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مصباح المستنبط فی طریق الاستنباط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19939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2019941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019943_128044782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12019945_1280447820">
            <w:r>
              <w:rPr>
                <w:webHidden/>
                <w:rStyle w:val="IndexLink"/>
                <w:rtl w:val="true"/>
              </w:rPr>
              <w:t>الفهرس</w:t>
            </w:r>
            <w:r>
              <w:rPr>
                <w:rStyle w:val="IndexLink"/>
                <w:rtl w:val="true"/>
              </w:rPr>
              <w:tab/>
            </w:r>
            <w:r>
              <w:rPr>
                <w:rStyle w:val="IndexLink"/>
              </w:rPr>
              <w:t>11</w:t>
            </w:r>
          </w:hyperlink>
        </w:p>
        <w:p>
          <w:pPr>
            <w:pStyle w:val="Contents2"/>
            <w:tabs>
              <w:tab w:val="clear" w:pos="8743"/>
              <w:tab w:val="right" w:pos="9026" w:leader="dot"/>
            </w:tabs>
            <w:rPr/>
          </w:pPr>
          <w:hyperlink w:anchor="__RefHeading___Toc12019947_1280447820">
            <w:r>
              <w:rPr>
                <w:webHidden/>
                <w:rStyle w:val="IndexLink"/>
                <w:rtl w:val="true"/>
              </w:rPr>
              <w:t>المدخل</w:t>
            </w:r>
            <w:r>
              <w:rPr>
                <w:rStyle w:val="IndexLink"/>
                <w:rtl w:val="true"/>
              </w:rPr>
              <w:tab/>
            </w:r>
            <w:r>
              <w:rPr>
                <w:rStyle w:val="IndexLink"/>
              </w:rPr>
              <w:t>17</w:t>
            </w:r>
          </w:hyperlink>
        </w:p>
        <w:p>
          <w:pPr>
            <w:pStyle w:val="Contents2"/>
            <w:tabs>
              <w:tab w:val="clear" w:pos="8743"/>
              <w:tab w:val="right" w:pos="9026" w:leader="dot"/>
            </w:tabs>
            <w:rPr/>
          </w:pPr>
          <w:hyperlink w:anchor="__RefHeading___Toc12019949_1280447820">
            <w:r>
              <w:rPr>
                <w:webHidden/>
                <w:rStyle w:val="IndexLink"/>
                <w:rtl w:val="true"/>
              </w:rPr>
              <w:t>تنبیهٌ فی العلوم التي تعتبر مقدّمةً للإجتهاد</w:t>
            </w:r>
            <w:r>
              <w:rPr>
                <w:rStyle w:val="IndexLink"/>
                <w:rtl w:val="true"/>
              </w:rPr>
              <w:tab/>
            </w:r>
            <w:r>
              <w:rPr>
                <w:rStyle w:val="IndexLink"/>
              </w:rPr>
              <w:t>22</w:t>
            </w:r>
          </w:hyperlink>
        </w:p>
        <w:p>
          <w:pPr>
            <w:pStyle w:val="Contents2"/>
            <w:tabs>
              <w:tab w:val="clear" w:pos="8743"/>
              <w:tab w:val="right" w:pos="9026" w:leader="dot"/>
            </w:tabs>
            <w:rPr/>
          </w:pPr>
          <w:hyperlink w:anchor="__RefHeading___Toc12019951_1280447820">
            <w:r>
              <w:rPr>
                <w:webHidden/>
                <w:rStyle w:val="IndexLink"/>
                <w:rtl w:val="true"/>
              </w:rPr>
              <w:t>أ</w:t>
            </w:r>
            <w:r>
              <w:rPr>
                <w:rStyle w:val="IndexLink"/>
                <w:rtl w:val="true"/>
              </w:rPr>
              <w:t xml:space="preserve">) </w:t>
            </w:r>
            <w:r>
              <w:rPr>
                <w:rStyle w:val="IndexLink"/>
                <w:rtl w:val="true"/>
              </w:rPr>
              <w:t>أدبيات اللغة العربية</w:t>
            </w:r>
            <w:r>
              <w:rPr>
                <w:rStyle w:val="IndexLink"/>
                <w:rtl w:val="true"/>
              </w:rPr>
              <w:tab/>
            </w:r>
            <w:r>
              <w:rPr>
                <w:rStyle w:val="IndexLink"/>
              </w:rPr>
              <w:t>22</w:t>
            </w:r>
          </w:hyperlink>
        </w:p>
        <w:p>
          <w:pPr>
            <w:pStyle w:val="Contents2"/>
            <w:tabs>
              <w:tab w:val="clear" w:pos="8743"/>
              <w:tab w:val="right" w:pos="9026" w:leader="dot"/>
            </w:tabs>
            <w:rPr/>
          </w:pPr>
          <w:hyperlink w:anchor="__RefHeading___Toc12019953_1280447820">
            <w:r>
              <w:rPr>
                <w:webHidden/>
                <w:rStyle w:val="IndexLink"/>
                <w:rtl w:val="true"/>
              </w:rPr>
              <w:t>الأوّل</w:t>
            </w:r>
            <w:r>
              <w:rPr>
                <w:rStyle w:val="IndexLink"/>
                <w:rtl w:val="true"/>
              </w:rPr>
              <w:t xml:space="preserve">: </w:t>
            </w:r>
            <w:r>
              <w:rPr>
                <w:rStyle w:val="IndexLink"/>
                <w:rtl w:val="true"/>
              </w:rPr>
              <w:t>علم الّغة</w:t>
            </w:r>
            <w:r>
              <w:rPr>
                <w:rStyle w:val="IndexLink"/>
                <w:rtl w:val="true"/>
              </w:rPr>
              <w:tab/>
            </w:r>
            <w:r>
              <w:rPr>
                <w:rStyle w:val="IndexLink"/>
              </w:rPr>
              <w:t>22</w:t>
            </w:r>
          </w:hyperlink>
        </w:p>
        <w:p>
          <w:pPr>
            <w:pStyle w:val="Contents2"/>
            <w:tabs>
              <w:tab w:val="clear" w:pos="8743"/>
              <w:tab w:val="right" w:pos="9026" w:leader="dot"/>
            </w:tabs>
            <w:rPr/>
          </w:pPr>
          <w:hyperlink w:anchor="__RefHeading___Toc12019955_1280447820">
            <w:r>
              <w:rPr>
                <w:webHidden/>
                <w:rStyle w:val="IndexLink"/>
                <w:rtl w:val="true"/>
              </w:rPr>
              <w:t>الثانی</w:t>
            </w:r>
            <w:r>
              <w:rPr>
                <w:rStyle w:val="IndexLink"/>
                <w:rtl w:val="true"/>
              </w:rPr>
              <w:t xml:space="preserve">: </w:t>
            </w:r>
            <w:r>
              <w:rPr>
                <w:rStyle w:val="IndexLink"/>
                <w:rtl w:val="true"/>
              </w:rPr>
              <w:t>علم الصرف</w:t>
            </w:r>
            <w:r>
              <w:rPr>
                <w:rStyle w:val="IndexLink"/>
                <w:rtl w:val="true"/>
              </w:rPr>
              <w:tab/>
            </w:r>
            <w:r>
              <w:rPr>
                <w:rStyle w:val="IndexLink"/>
              </w:rPr>
              <w:t>23</w:t>
            </w:r>
          </w:hyperlink>
        </w:p>
        <w:p>
          <w:pPr>
            <w:pStyle w:val="Contents2"/>
            <w:tabs>
              <w:tab w:val="clear" w:pos="8743"/>
              <w:tab w:val="right" w:pos="9026" w:leader="dot"/>
            </w:tabs>
            <w:rPr/>
          </w:pPr>
          <w:hyperlink w:anchor="__RefHeading___Toc12019957_1280447820">
            <w:r>
              <w:rPr>
                <w:webHidden/>
                <w:rStyle w:val="IndexLink"/>
                <w:rtl w:val="true"/>
              </w:rPr>
              <w:t>الثالث</w:t>
            </w:r>
            <w:r>
              <w:rPr>
                <w:rStyle w:val="IndexLink"/>
                <w:rtl w:val="true"/>
              </w:rPr>
              <w:t xml:space="preserve">: </w:t>
            </w:r>
            <w:r>
              <w:rPr>
                <w:rStyle w:val="IndexLink"/>
                <w:rtl w:val="true"/>
              </w:rPr>
              <w:t>علم النحو</w:t>
            </w:r>
            <w:r>
              <w:rPr>
                <w:rStyle w:val="IndexLink"/>
                <w:rtl w:val="true"/>
              </w:rPr>
              <w:tab/>
            </w:r>
            <w:r>
              <w:rPr>
                <w:rStyle w:val="IndexLink"/>
              </w:rPr>
              <w:t>23</w:t>
            </w:r>
          </w:hyperlink>
        </w:p>
        <w:p>
          <w:pPr>
            <w:pStyle w:val="Contents2"/>
            <w:tabs>
              <w:tab w:val="clear" w:pos="8743"/>
              <w:tab w:val="right" w:pos="9026" w:leader="dot"/>
            </w:tabs>
            <w:rPr/>
          </w:pPr>
          <w:hyperlink w:anchor="__RefHeading___Toc12019959_1280447820">
            <w:r>
              <w:rPr>
                <w:webHidden/>
                <w:rStyle w:val="IndexLink"/>
                <w:rtl w:val="true"/>
              </w:rPr>
              <w:t>الرابع</w:t>
            </w:r>
            <w:r>
              <w:rPr>
                <w:rStyle w:val="IndexLink"/>
                <w:rtl w:val="true"/>
              </w:rPr>
              <w:t xml:space="preserve">: </w:t>
            </w:r>
            <w:r>
              <w:rPr>
                <w:rStyle w:val="IndexLink"/>
                <w:rtl w:val="true"/>
              </w:rPr>
              <w:t xml:space="preserve">علم البلاغة </w:t>
            </w:r>
            <w:r>
              <w:rPr>
                <w:rStyle w:val="IndexLink"/>
                <w:rtl w:val="true"/>
              </w:rPr>
              <w:t>(</w:t>
            </w:r>
            <w:r>
              <w:rPr>
                <w:rStyle w:val="IndexLink"/>
                <w:rtl w:val="true"/>
              </w:rPr>
              <w:t>المعاني والبيان والبديع</w:t>
            </w:r>
            <w:r>
              <w:rPr>
                <w:rStyle w:val="IndexLink"/>
                <w:rtl w:val="true"/>
              </w:rPr>
              <w:t>)</w:t>
              <w:tab/>
            </w:r>
            <w:r>
              <w:rPr>
                <w:rStyle w:val="IndexLink"/>
              </w:rPr>
              <w:t>24</w:t>
            </w:r>
          </w:hyperlink>
        </w:p>
        <w:p>
          <w:pPr>
            <w:pStyle w:val="Contents2"/>
            <w:tabs>
              <w:tab w:val="clear" w:pos="8743"/>
              <w:tab w:val="right" w:pos="9026" w:leader="dot"/>
            </w:tabs>
            <w:rPr/>
          </w:pPr>
          <w:hyperlink w:anchor="__RefHeading___Toc12019961_1280447820">
            <w:r>
              <w:rPr>
                <w:webHidden/>
                <w:rStyle w:val="IndexLink"/>
                <w:rtl w:val="true"/>
              </w:rPr>
              <w:t>ب</w:t>
            </w:r>
            <w:r>
              <w:rPr>
                <w:rStyle w:val="IndexLink"/>
                <w:rtl w:val="true"/>
              </w:rPr>
              <w:t xml:space="preserve">) </w:t>
            </w:r>
            <w:r>
              <w:rPr>
                <w:rStyle w:val="IndexLink"/>
                <w:rtl w:val="true"/>
              </w:rPr>
              <w:t>العلوم العقلیّة</w:t>
            </w:r>
            <w:r>
              <w:rPr>
                <w:rStyle w:val="IndexLink"/>
                <w:rtl w:val="true"/>
              </w:rPr>
              <w:tab/>
            </w:r>
            <w:r>
              <w:rPr>
                <w:rStyle w:val="IndexLink"/>
              </w:rPr>
              <w:t>26</w:t>
            </w:r>
          </w:hyperlink>
        </w:p>
        <w:p>
          <w:pPr>
            <w:pStyle w:val="Contents2"/>
            <w:tabs>
              <w:tab w:val="clear" w:pos="8743"/>
              <w:tab w:val="right" w:pos="9026" w:leader="dot"/>
            </w:tabs>
            <w:rPr/>
          </w:pPr>
          <w:hyperlink w:anchor="__RefHeading___Toc12019963_1280447820">
            <w:r>
              <w:rPr>
                <w:webHidden/>
                <w:rStyle w:val="IndexLink"/>
                <w:rtl w:val="true"/>
              </w:rPr>
              <w:t>الأوّل</w:t>
            </w:r>
            <w:r>
              <w:rPr>
                <w:rStyle w:val="IndexLink"/>
                <w:rtl w:val="true"/>
              </w:rPr>
              <w:t xml:space="preserve">: </w:t>
            </w:r>
            <w:r>
              <w:rPr>
                <w:rStyle w:val="IndexLink"/>
                <w:rtl w:val="true"/>
              </w:rPr>
              <w:t>علم المنطق</w:t>
            </w:r>
            <w:r>
              <w:rPr>
                <w:rStyle w:val="IndexLink"/>
                <w:rtl w:val="true"/>
              </w:rPr>
              <w:tab/>
            </w:r>
            <w:r>
              <w:rPr>
                <w:rStyle w:val="IndexLink"/>
              </w:rPr>
              <w:t>26</w:t>
            </w:r>
          </w:hyperlink>
        </w:p>
        <w:p>
          <w:pPr>
            <w:pStyle w:val="Contents2"/>
            <w:tabs>
              <w:tab w:val="clear" w:pos="8743"/>
              <w:tab w:val="right" w:pos="9026" w:leader="dot"/>
            </w:tabs>
            <w:rPr/>
          </w:pPr>
          <w:hyperlink w:anchor="__RefHeading___Toc12019965_1280447820">
            <w:r>
              <w:rPr>
                <w:webHidden/>
                <w:rStyle w:val="IndexLink"/>
                <w:rtl w:val="true"/>
              </w:rPr>
              <w:t>الثانی</w:t>
            </w:r>
            <w:r>
              <w:rPr>
                <w:rStyle w:val="IndexLink"/>
                <w:rtl w:val="true"/>
              </w:rPr>
              <w:t xml:space="preserve">: </w:t>
            </w:r>
            <w:r>
              <w:rPr>
                <w:rStyle w:val="IndexLink"/>
                <w:rtl w:val="true"/>
              </w:rPr>
              <w:t>علم الفلسفة</w:t>
            </w:r>
            <w:r>
              <w:rPr>
                <w:rStyle w:val="IndexLink"/>
                <w:rtl w:val="true"/>
              </w:rPr>
              <w:tab/>
            </w:r>
            <w:r>
              <w:rPr>
                <w:rStyle w:val="IndexLink"/>
              </w:rPr>
              <w:t>27</w:t>
            </w:r>
          </w:hyperlink>
        </w:p>
        <w:p>
          <w:pPr>
            <w:pStyle w:val="Contents2"/>
            <w:tabs>
              <w:tab w:val="clear" w:pos="8743"/>
              <w:tab w:val="right" w:pos="9026" w:leader="dot"/>
            </w:tabs>
            <w:rPr/>
          </w:pPr>
          <w:hyperlink w:anchor="__RefHeading___Toc12019967_1280447820">
            <w:r>
              <w:rPr>
                <w:webHidden/>
                <w:rStyle w:val="IndexLink"/>
                <w:rtl w:val="true"/>
              </w:rPr>
              <w:t>الثالث</w:t>
            </w:r>
            <w:r>
              <w:rPr>
                <w:rStyle w:val="IndexLink"/>
                <w:rtl w:val="true"/>
              </w:rPr>
              <w:t xml:space="preserve">: </w:t>
            </w:r>
            <w:r>
              <w:rPr>
                <w:rStyle w:val="IndexLink"/>
                <w:rtl w:val="true"/>
              </w:rPr>
              <w:t>علم الکلام</w:t>
            </w:r>
            <w:r>
              <w:rPr>
                <w:rStyle w:val="IndexLink"/>
                <w:rtl w:val="true"/>
              </w:rPr>
              <w:tab/>
            </w:r>
            <w:r>
              <w:rPr>
                <w:rStyle w:val="IndexLink"/>
              </w:rPr>
              <w:t>28</w:t>
            </w:r>
          </w:hyperlink>
        </w:p>
        <w:p>
          <w:pPr>
            <w:pStyle w:val="Contents2"/>
            <w:tabs>
              <w:tab w:val="clear" w:pos="8743"/>
              <w:tab w:val="right" w:pos="9026" w:leader="dot"/>
            </w:tabs>
            <w:rPr/>
          </w:pPr>
          <w:hyperlink w:anchor="__RefHeading___Toc12019969_1280447820">
            <w:r>
              <w:rPr>
                <w:webHidden/>
                <w:rStyle w:val="IndexLink"/>
                <w:rtl w:val="true"/>
              </w:rPr>
              <w:t>ج</w:t>
            </w:r>
            <w:r>
              <w:rPr>
                <w:rStyle w:val="IndexLink"/>
                <w:rtl w:val="true"/>
              </w:rPr>
              <w:t xml:space="preserve">) </w:t>
            </w:r>
            <w:r>
              <w:rPr>
                <w:rStyle w:val="IndexLink"/>
                <w:rtl w:val="true"/>
              </w:rPr>
              <w:t>العلوم النقلية</w:t>
            </w:r>
            <w:r>
              <w:rPr>
                <w:rStyle w:val="IndexLink"/>
                <w:rtl w:val="true"/>
              </w:rPr>
              <w:tab/>
            </w:r>
            <w:r>
              <w:rPr>
                <w:rStyle w:val="IndexLink"/>
              </w:rPr>
              <w:t>29</w:t>
            </w:r>
          </w:hyperlink>
        </w:p>
        <w:p>
          <w:pPr>
            <w:pStyle w:val="Contents2"/>
            <w:tabs>
              <w:tab w:val="clear" w:pos="8743"/>
              <w:tab w:val="right" w:pos="9026" w:leader="dot"/>
            </w:tabs>
            <w:rPr/>
          </w:pPr>
          <w:hyperlink w:anchor="__RefHeading___Toc12019971_1280447820">
            <w:r>
              <w:rPr>
                <w:webHidden/>
                <w:rStyle w:val="IndexLink"/>
                <w:rtl w:val="true"/>
              </w:rPr>
              <w:t>الأوّل</w:t>
            </w:r>
            <w:r>
              <w:rPr>
                <w:rStyle w:val="IndexLink"/>
                <w:rtl w:val="true"/>
              </w:rPr>
              <w:t>:</w:t>
            </w:r>
            <w:r>
              <w:rPr>
                <w:rStyle w:val="IndexLink"/>
                <w:rtl w:val="true"/>
              </w:rPr>
              <w:t>علم التفسیر</w:t>
            </w:r>
            <w:r>
              <w:rPr>
                <w:rStyle w:val="IndexLink"/>
                <w:rtl w:val="true"/>
              </w:rPr>
              <w:tab/>
            </w:r>
            <w:r>
              <w:rPr>
                <w:rStyle w:val="IndexLink"/>
              </w:rPr>
              <w:t>29</w:t>
            </w:r>
          </w:hyperlink>
        </w:p>
        <w:p>
          <w:pPr>
            <w:pStyle w:val="Contents2"/>
            <w:tabs>
              <w:tab w:val="clear" w:pos="8743"/>
              <w:tab w:val="right" w:pos="9026" w:leader="dot"/>
            </w:tabs>
            <w:rPr/>
          </w:pPr>
          <w:hyperlink w:anchor="__RefHeading___Toc12019973_1280447820">
            <w:r>
              <w:rPr>
                <w:webHidden/>
                <w:rStyle w:val="IndexLink"/>
                <w:rtl w:val="true"/>
              </w:rPr>
              <w:t>الثانی</w:t>
            </w:r>
            <w:r>
              <w:rPr>
                <w:rStyle w:val="IndexLink"/>
                <w:rtl w:val="true"/>
              </w:rPr>
              <w:t xml:space="preserve">: </w:t>
            </w:r>
            <w:r>
              <w:rPr>
                <w:rStyle w:val="IndexLink"/>
                <w:rtl w:val="true"/>
              </w:rPr>
              <w:t>علم الحدیث</w:t>
            </w:r>
            <w:r>
              <w:rPr>
                <w:rStyle w:val="IndexLink"/>
                <w:rtl w:val="true"/>
              </w:rPr>
              <w:tab/>
            </w:r>
            <w:r>
              <w:rPr>
                <w:rStyle w:val="IndexLink"/>
              </w:rPr>
              <w:t>29</w:t>
            </w:r>
          </w:hyperlink>
        </w:p>
        <w:p>
          <w:pPr>
            <w:pStyle w:val="Contents2"/>
            <w:tabs>
              <w:tab w:val="clear" w:pos="8743"/>
              <w:tab w:val="right" w:pos="9026" w:leader="dot"/>
            </w:tabs>
            <w:rPr/>
          </w:pPr>
          <w:hyperlink w:anchor="__RefHeading___Toc12019975_1280447820">
            <w:r>
              <w:rPr>
                <w:webHidden/>
                <w:rStyle w:val="IndexLink"/>
                <w:rtl w:val="true"/>
              </w:rPr>
              <w:t>الثالث</w:t>
            </w:r>
            <w:r>
              <w:rPr>
                <w:rStyle w:val="IndexLink"/>
                <w:rtl w:val="true"/>
              </w:rPr>
              <w:t xml:space="preserve">: </w:t>
            </w:r>
            <w:r>
              <w:rPr>
                <w:rStyle w:val="IndexLink"/>
                <w:rtl w:val="true"/>
              </w:rPr>
              <w:t>علم الدرایة</w:t>
            </w:r>
            <w:r>
              <w:rPr>
                <w:rStyle w:val="IndexLink"/>
                <w:rtl w:val="true"/>
              </w:rPr>
              <w:tab/>
            </w:r>
            <w:r>
              <w:rPr>
                <w:rStyle w:val="IndexLink"/>
              </w:rPr>
              <w:t>30</w:t>
            </w:r>
          </w:hyperlink>
        </w:p>
        <w:p>
          <w:pPr>
            <w:pStyle w:val="Contents2"/>
            <w:tabs>
              <w:tab w:val="clear" w:pos="8743"/>
              <w:tab w:val="right" w:pos="9026" w:leader="dot"/>
            </w:tabs>
            <w:rPr/>
          </w:pPr>
          <w:hyperlink w:anchor="__RefHeading___Toc12019977_1280447820">
            <w:r>
              <w:rPr>
                <w:webHidden/>
                <w:rStyle w:val="IndexLink"/>
                <w:rtl w:val="true"/>
              </w:rPr>
              <w:t>الرابع</w:t>
            </w:r>
            <w:r>
              <w:rPr>
                <w:rStyle w:val="IndexLink"/>
                <w:rtl w:val="true"/>
              </w:rPr>
              <w:t xml:space="preserve">: </w:t>
            </w:r>
            <w:r>
              <w:rPr>
                <w:rStyle w:val="IndexLink"/>
                <w:rtl w:val="true"/>
              </w:rPr>
              <w:t>علم الرجال</w:t>
            </w:r>
            <w:r>
              <w:rPr>
                <w:rStyle w:val="IndexLink"/>
                <w:rtl w:val="true"/>
              </w:rPr>
              <w:tab/>
            </w:r>
            <w:r>
              <w:rPr>
                <w:rStyle w:val="IndexLink"/>
              </w:rPr>
              <w:t>30</w:t>
            </w:r>
          </w:hyperlink>
        </w:p>
        <w:p>
          <w:pPr>
            <w:pStyle w:val="Contents2"/>
            <w:tabs>
              <w:tab w:val="clear" w:pos="8743"/>
              <w:tab w:val="right" w:pos="9026" w:leader="dot"/>
            </w:tabs>
            <w:rPr/>
          </w:pPr>
          <w:hyperlink w:anchor="__RefHeading___Toc12019979_1280447820">
            <w:r>
              <w:rPr>
                <w:webHidden/>
                <w:rStyle w:val="IndexLink"/>
                <w:rtl w:val="true"/>
              </w:rPr>
              <w:t>الخامس</w:t>
            </w:r>
            <w:r>
              <w:rPr>
                <w:rStyle w:val="IndexLink"/>
                <w:rtl w:val="true"/>
              </w:rPr>
              <w:t xml:space="preserve">: </w:t>
            </w:r>
            <w:r>
              <w:rPr>
                <w:rStyle w:val="IndexLink"/>
                <w:rtl w:val="true"/>
              </w:rPr>
              <w:t>علم أصول الفقه</w:t>
            </w:r>
            <w:r>
              <w:rPr>
                <w:rStyle w:val="IndexLink"/>
                <w:rtl w:val="true"/>
              </w:rPr>
              <w:tab/>
            </w:r>
            <w:r>
              <w:rPr>
                <w:rStyle w:val="IndexLink"/>
              </w:rPr>
              <w:t>31</w:t>
            </w:r>
          </w:hyperlink>
        </w:p>
        <w:p>
          <w:pPr>
            <w:pStyle w:val="Contents2"/>
            <w:tabs>
              <w:tab w:val="clear" w:pos="8743"/>
              <w:tab w:val="right" w:pos="9026" w:leader="dot"/>
            </w:tabs>
            <w:rPr/>
          </w:pPr>
          <w:hyperlink w:anchor="__RefHeading___Toc12019981_1280447820">
            <w:r>
              <w:rPr>
                <w:webHidden/>
                <w:rStyle w:val="IndexLink"/>
                <w:rtl w:val="true"/>
              </w:rPr>
              <w:t>السادس</w:t>
            </w:r>
            <w:r>
              <w:rPr>
                <w:rStyle w:val="IndexLink"/>
                <w:rtl w:val="true"/>
              </w:rPr>
              <w:t xml:space="preserve">: </w:t>
            </w:r>
            <w:r>
              <w:rPr>
                <w:rStyle w:val="IndexLink"/>
                <w:rtl w:val="true"/>
              </w:rPr>
              <w:t xml:space="preserve">علم الفقه </w:t>
            </w:r>
            <w:r>
              <w:rPr>
                <w:rStyle w:val="IndexLink"/>
                <w:rtl w:val="true"/>
              </w:rPr>
              <w:t>(</w:t>
            </w:r>
            <w:r>
              <w:rPr>
                <w:rStyle w:val="IndexLink"/>
                <w:rtl w:val="true"/>
              </w:rPr>
              <w:t>ملکة الإجتهاد</w:t>
            </w:r>
            <w:r>
              <w:rPr>
                <w:rStyle w:val="IndexLink"/>
                <w:rtl w:val="true"/>
              </w:rPr>
              <w:t>)</w:t>
              <w:tab/>
            </w:r>
            <w:r>
              <w:rPr>
                <w:rStyle w:val="IndexLink"/>
              </w:rPr>
              <w:t>33</w:t>
            </w:r>
          </w:hyperlink>
        </w:p>
        <w:p>
          <w:pPr>
            <w:pStyle w:val="Contents2"/>
            <w:tabs>
              <w:tab w:val="clear" w:pos="8743"/>
              <w:tab w:val="right" w:pos="9026" w:leader="dot"/>
            </w:tabs>
            <w:rPr/>
          </w:pPr>
          <w:hyperlink w:anchor="__RefHeading___Toc12019983_1280447820">
            <w:r>
              <w:rPr>
                <w:webHidden/>
                <w:rStyle w:val="IndexLink"/>
                <w:rtl w:val="true"/>
              </w:rPr>
              <w:t>السابع</w:t>
            </w:r>
            <w:r>
              <w:rPr>
                <w:rStyle w:val="IndexLink"/>
                <w:rtl w:val="true"/>
              </w:rPr>
              <w:t xml:space="preserve">: </w:t>
            </w:r>
            <w:r>
              <w:rPr>
                <w:rStyle w:val="IndexLink"/>
                <w:rtl w:val="true"/>
              </w:rPr>
              <w:t>العلم بالقواعد الفقهیة</w:t>
            </w:r>
            <w:r>
              <w:rPr>
                <w:rStyle w:val="IndexLink"/>
                <w:rtl w:val="true"/>
              </w:rPr>
              <w:tab/>
            </w:r>
            <w:r>
              <w:rPr>
                <w:rStyle w:val="IndexLink"/>
              </w:rPr>
              <w:t>33</w:t>
            </w:r>
          </w:hyperlink>
        </w:p>
        <w:p>
          <w:pPr>
            <w:pStyle w:val="Contents2"/>
            <w:tabs>
              <w:tab w:val="clear" w:pos="8743"/>
              <w:tab w:val="right" w:pos="9026" w:leader="dot"/>
            </w:tabs>
            <w:rPr/>
          </w:pPr>
          <w:hyperlink w:anchor="__RefHeading___Toc12019985_1280447820">
            <w:r>
              <w:rPr>
                <w:webHidden/>
                <w:rStyle w:val="IndexLink"/>
                <w:rtl w:val="true"/>
              </w:rPr>
              <w:t>المقدّمة الاولی فی الأمور التمهیدیّة</w:t>
            </w:r>
            <w:r>
              <w:rPr>
                <w:rStyle w:val="IndexLink"/>
                <w:rtl w:val="true"/>
              </w:rPr>
              <w:tab/>
            </w:r>
            <w:r>
              <w:rPr>
                <w:rStyle w:val="IndexLink"/>
              </w:rPr>
              <w:t>35</w:t>
            </w:r>
          </w:hyperlink>
        </w:p>
        <w:p>
          <w:pPr>
            <w:pStyle w:val="Contents2"/>
            <w:tabs>
              <w:tab w:val="clear" w:pos="8743"/>
              <w:tab w:val="right" w:pos="9026" w:leader="dot"/>
            </w:tabs>
            <w:rPr/>
          </w:pPr>
          <w:hyperlink w:anchor="__RefHeading___Toc12019987_1280447820">
            <w:r>
              <w:rPr>
                <w:webHidden/>
                <w:rStyle w:val="IndexLink"/>
                <w:rtl w:val="true"/>
              </w:rPr>
              <w:t>الأمرالأوّل</w:t>
            </w:r>
            <w:r>
              <w:rPr>
                <w:rStyle w:val="IndexLink"/>
                <w:rtl w:val="true"/>
              </w:rPr>
              <w:t xml:space="preserve">: </w:t>
            </w:r>
            <w:r>
              <w:rPr>
                <w:rStyle w:val="IndexLink"/>
                <w:rtl w:val="true"/>
              </w:rPr>
              <w:t>فی تعریفها</w:t>
            </w:r>
            <w:r>
              <w:rPr>
                <w:rStyle w:val="IndexLink"/>
                <w:rtl w:val="true"/>
              </w:rPr>
              <w:tab/>
            </w:r>
            <w:r>
              <w:rPr>
                <w:rStyle w:val="IndexLink"/>
              </w:rPr>
              <w:t>37</w:t>
            </w:r>
          </w:hyperlink>
        </w:p>
        <w:p>
          <w:pPr>
            <w:pStyle w:val="Contents2"/>
            <w:tabs>
              <w:tab w:val="clear" w:pos="8743"/>
              <w:tab w:val="right" w:pos="9026" w:leader="dot"/>
            </w:tabs>
            <w:rPr/>
          </w:pPr>
          <w:hyperlink w:anchor="__RefHeading___Toc12019989_1280447820">
            <w:r>
              <w:rPr>
                <w:webHidden/>
                <w:rStyle w:val="IndexLink"/>
                <w:rtl w:val="true"/>
              </w:rPr>
              <w:t>الأمرالثانی</w:t>
            </w:r>
            <w:r>
              <w:rPr>
                <w:rStyle w:val="IndexLink"/>
                <w:rtl w:val="true"/>
              </w:rPr>
              <w:t xml:space="preserve">: </w:t>
            </w:r>
            <w:r>
              <w:rPr>
                <w:rStyle w:val="IndexLink"/>
                <w:rtl w:val="true"/>
              </w:rPr>
              <w:t>فی موضوعها</w:t>
            </w:r>
            <w:r>
              <w:rPr>
                <w:rStyle w:val="IndexLink"/>
                <w:rtl w:val="true"/>
              </w:rPr>
              <w:tab/>
            </w:r>
            <w:r>
              <w:rPr>
                <w:rStyle w:val="IndexLink"/>
              </w:rPr>
              <w:t>37</w:t>
            </w:r>
          </w:hyperlink>
        </w:p>
        <w:p>
          <w:pPr>
            <w:pStyle w:val="Contents2"/>
            <w:tabs>
              <w:tab w:val="clear" w:pos="8743"/>
              <w:tab w:val="right" w:pos="9026" w:leader="dot"/>
            </w:tabs>
            <w:rPr/>
          </w:pPr>
          <w:hyperlink w:anchor="__RefHeading___Toc12019991_1280447820">
            <w:r>
              <w:rPr>
                <w:webHidden/>
                <w:rStyle w:val="IndexLink"/>
                <w:rtl w:val="true"/>
              </w:rPr>
              <w:t>الأمرالثالث</w:t>
            </w:r>
            <w:r>
              <w:rPr>
                <w:rStyle w:val="IndexLink"/>
                <w:rtl w:val="true"/>
              </w:rPr>
              <w:t xml:space="preserve">: </w:t>
            </w:r>
            <w:r>
              <w:rPr>
                <w:rStyle w:val="IndexLink"/>
                <w:rtl w:val="true"/>
              </w:rPr>
              <w:t>فی أهمّ فوائد هذه الصناعة</w:t>
            </w:r>
            <w:r>
              <w:rPr>
                <w:rStyle w:val="IndexLink"/>
                <w:rtl w:val="true"/>
              </w:rPr>
              <w:tab/>
            </w:r>
            <w:r>
              <w:rPr>
                <w:rStyle w:val="IndexLink"/>
              </w:rPr>
              <w:t>38</w:t>
            </w:r>
          </w:hyperlink>
        </w:p>
        <w:p>
          <w:pPr>
            <w:pStyle w:val="Contents2"/>
            <w:tabs>
              <w:tab w:val="clear" w:pos="8743"/>
              <w:tab w:val="right" w:pos="9026" w:leader="dot"/>
            </w:tabs>
            <w:rPr/>
          </w:pPr>
          <w:hyperlink w:anchor="__RefHeading___Toc12019993_1280447820">
            <w:r>
              <w:rPr>
                <w:webHidden/>
                <w:rStyle w:val="IndexLink"/>
                <w:rtl w:val="true"/>
              </w:rPr>
              <w:t>الأمرالرابع</w:t>
            </w:r>
            <w:r>
              <w:rPr>
                <w:rStyle w:val="IndexLink"/>
                <w:rtl w:val="true"/>
              </w:rPr>
              <w:t xml:space="preserve">: </w:t>
            </w:r>
            <w:r>
              <w:rPr>
                <w:rStyle w:val="IndexLink"/>
                <w:rtl w:val="true"/>
              </w:rPr>
              <w:t>فی المقارنة بین هذه الصناعة و خارج الأصول و تطبیق العلم لعلم الأصول</w:t>
            </w:r>
            <w:r>
              <w:rPr>
                <w:rStyle w:val="IndexLink"/>
                <w:rtl w:val="true"/>
              </w:rPr>
              <w:t>:</w:t>
              <w:tab/>
            </w:r>
            <w:r>
              <w:rPr>
                <w:rStyle w:val="IndexLink"/>
              </w:rPr>
              <w:t>39</w:t>
            </w:r>
          </w:hyperlink>
        </w:p>
        <w:p>
          <w:pPr>
            <w:pStyle w:val="Contents2"/>
            <w:tabs>
              <w:tab w:val="clear" w:pos="8743"/>
              <w:tab w:val="right" w:pos="9026" w:leader="dot"/>
            </w:tabs>
            <w:rPr/>
          </w:pPr>
          <w:hyperlink w:anchor="__RefHeading___Toc12019995_1280447820">
            <w:r>
              <w:rPr>
                <w:webHidden/>
                <w:rStyle w:val="IndexLink"/>
                <w:rtl w:val="true"/>
              </w:rPr>
              <w:t>تنبیهات المقام</w:t>
            </w:r>
            <w:r>
              <w:rPr>
                <w:rStyle w:val="IndexLink"/>
                <w:rtl w:val="true"/>
              </w:rPr>
              <w:t>:</w:t>
              <w:tab/>
            </w:r>
            <w:r>
              <w:rPr>
                <w:rStyle w:val="IndexLink"/>
              </w:rPr>
              <w:t>42</w:t>
            </w:r>
          </w:hyperlink>
        </w:p>
        <w:p>
          <w:pPr>
            <w:pStyle w:val="Contents2"/>
            <w:tabs>
              <w:tab w:val="clear" w:pos="8743"/>
              <w:tab w:val="right" w:pos="9026" w:leader="dot"/>
            </w:tabs>
            <w:rPr/>
          </w:pPr>
          <w:hyperlink w:anchor="__RefHeading___Toc12019997_1280447820">
            <w:r>
              <w:rPr>
                <w:webHidden/>
                <w:rStyle w:val="IndexLink"/>
                <w:rtl w:val="true"/>
              </w:rPr>
              <w:t>التنبیه الأوّل</w:t>
            </w:r>
            <w:r>
              <w:rPr>
                <w:rStyle w:val="IndexLink"/>
                <w:rtl w:val="true"/>
              </w:rPr>
              <w:t xml:space="preserve">: </w:t>
            </w:r>
            <w:r>
              <w:rPr>
                <w:rStyle w:val="IndexLink"/>
                <w:rtl w:val="true"/>
              </w:rPr>
              <w:t>یمکن</w:t>
            </w:r>
            <w:r>
              <w:rPr>
                <w:rStyle w:val="IndexLink"/>
                <w:rtl w:val="true"/>
              </w:rPr>
              <w:tab/>
            </w:r>
            <w:r>
              <w:rPr>
                <w:rStyle w:val="IndexLink"/>
              </w:rPr>
              <w:t>42</w:t>
            </w:r>
          </w:hyperlink>
        </w:p>
        <w:p>
          <w:pPr>
            <w:pStyle w:val="Contents2"/>
            <w:tabs>
              <w:tab w:val="clear" w:pos="8743"/>
              <w:tab w:val="right" w:pos="9026" w:leader="dot"/>
            </w:tabs>
            <w:rPr/>
          </w:pPr>
          <w:hyperlink w:anchor="__RefHeading___Toc12019999_1280447820">
            <w:r>
              <w:rPr>
                <w:webHidden/>
                <w:rStyle w:val="IndexLink"/>
                <w:rtl w:val="true"/>
              </w:rPr>
              <w:t>التنبیه الثانی</w:t>
            </w:r>
            <w:r>
              <w:rPr>
                <w:rStyle w:val="IndexLink"/>
                <w:rtl w:val="true"/>
              </w:rPr>
              <w:t>:</w:t>
              <w:tab/>
            </w:r>
            <w:r>
              <w:rPr>
                <w:rStyle w:val="IndexLink"/>
              </w:rPr>
              <w:t>42</w:t>
            </w:r>
          </w:hyperlink>
        </w:p>
        <w:p>
          <w:pPr>
            <w:pStyle w:val="Contents2"/>
            <w:tabs>
              <w:tab w:val="clear" w:pos="8743"/>
              <w:tab w:val="right" w:pos="9026" w:leader="dot"/>
            </w:tabs>
            <w:rPr/>
          </w:pPr>
          <w:hyperlink w:anchor="__RefHeading___Toc12020001_1280447820">
            <w:r>
              <w:rPr>
                <w:webHidden/>
                <w:rStyle w:val="IndexLink"/>
                <w:rtl w:val="true"/>
              </w:rPr>
              <w:t>الأولی</w:t>
            </w:r>
            <w:r>
              <w:rPr>
                <w:rStyle w:val="IndexLink"/>
                <w:rtl w:val="true"/>
              </w:rPr>
              <w:t xml:space="preserve">: </w:t>
            </w:r>
            <w:r>
              <w:rPr>
                <w:rStyle w:val="IndexLink"/>
                <w:rtl w:val="true"/>
              </w:rPr>
              <w:t>الإسراع فی تحقیق الهدف من العلم</w:t>
            </w:r>
            <w:r>
              <w:rPr>
                <w:rStyle w:val="IndexLink"/>
                <w:rtl w:val="true"/>
              </w:rPr>
              <w:tab/>
            </w:r>
            <w:r>
              <w:rPr>
                <w:rStyle w:val="IndexLink"/>
              </w:rPr>
              <w:t>42</w:t>
            </w:r>
          </w:hyperlink>
        </w:p>
        <w:p>
          <w:pPr>
            <w:pStyle w:val="Contents2"/>
            <w:tabs>
              <w:tab w:val="clear" w:pos="8743"/>
              <w:tab w:val="right" w:pos="9026" w:leader="dot"/>
            </w:tabs>
            <w:rPr/>
          </w:pPr>
          <w:hyperlink w:anchor="__RefHeading___Toc12020003_1280447820">
            <w:r>
              <w:rPr>
                <w:webHidden/>
                <w:rStyle w:val="IndexLink"/>
                <w:rtl w:val="true"/>
              </w:rPr>
              <w:t>الثانیة</w:t>
            </w:r>
            <w:r>
              <w:rPr>
                <w:rStyle w:val="IndexLink"/>
                <w:rtl w:val="true"/>
              </w:rPr>
              <w:t xml:space="preserve">: </w:t>
            </w:r>
            <w:r>
              <w:rPr>
                <w:rStyle w:val="IndexLink"/>
                <w:rtl w:val="true"/>
              </w:rPr>
              <w:t>التحوّل فی طریق دراسة الطلّاب</w:t>
            </w:r>
            <w:r>
              <w:rPr>
                <w:rStyle w:val="IndexLink"/>
                <w:rtl w:val="true"/>
              </w:rPr>
              <w:tab/>
            </w:r>
            <w:r>
              <w:rPr>
                <w:rStyle w:val="IndexLink"/>
              </w:rPr>
              <w:t>42</w:t>
            </w:r>
          </w:hyperlink>
        </w:p>
        <w:p>
          <w:pPr>
            <w:pStyle w:val="Contents2"/>
            <w:tabs>
              <w:tab w:val="clear" w:pos="8743"/>
              <w:tab w:val="right" w:pos="9026" w:leader="dot"/>
            </w:tabs>
            <w:rPr/>
          </w:pPr>
          <w:hyperlink w:anchor="__RefHeading___Toc12020005_1280447820">
            <w:r>
              <w:rPr>
                <w:webHidden/>
                <w:rStyle w:val="IndexLink"/>
                <w:rtl w:val="true"/>
              </w:rPr>
              <w:t>التنبیه الثالث</w:t>
            </w:r>
            <w:r>
              <w:rPr>
                <w:rStyle w:val="IndexLink"/>
                <w:rtl w:val="true"/>
              </w:rPr>
              <w:t>:</w:t>
              <w:tab/>
            </w:r>
            <w:r>
              <w:rPr>
                <w:rStyle w:val="IndexLink"/>
              </w:rPr>
              <w:t>43</w:t>
            </w:r>
          </w:hyperlink>
        </w:p>
        <w:p>
          <w:pPr>
            <w:pStyle w:val="Contents2"/>
            <w:tabs>
              <w:tab w:val="clear" w:pos="8743"/>
              <w:tab w:val="right" w:pos="9026" w:leader="dot"/>
            </w:tabs>
            <w:rPr/>
          </w:pPr>
          <w:hyperlink w:anchor="__RefHeading___Toc12020007_1280447820">
            <w:r>
              <w:rPr>
                <w:webHidden/>
                <w:rStyle w:val="IndexLink"/>
                <w:rtl w:val="true"/>
              </w:rPr>
              <w:t>التنبیه الرابع</w:t>
            </w:r>
            <w:r>
              <w:rPr>
                <w:rStyle w:val="IndexLink"/>
                <w:rtl w:val="true"/>
              </w:rPr>
              <w:t>:</w:t>
              <w:tab/>
            </w:r>
            <w:r>
              <w:rPr>
                <w:rStyle w:val="IndexLink"/>
              </w:rPr>
              <w:t>43</w:t>
            </w:r>
          </w:hyperlink>
        </w:p>
        <w:p>
          <w:pPr>
            <w:pStyle w:val="Contents2"/>
            <w:tabs>
              <w:tab w:val="clear" w:pos="8743"/>
              <w:tab w:val="right" w:pos="9026" w:leader="dot"/>
            </w:tabs>
            <w:rPr/>
          </w:pPr>
          <w:hyperlink w:anchor="__RefHeading___Toc12020009_1280447820">
            <w:r>
              <w:rPr>
                <w:webHidden/>
                <w:rStyle w:val="IndexLink"/>
                <w:rtl w:val="true"/>
              </w:rPr>
              <w:t>تفصیل المطلب</w:t>
            </w:r>
            <w:r>
              <w:rPr>
                <w:rStyle w:val="IndexLink"/>
                <w:rtl w:val="true"/>
              </w:rPr>
              <w:t>:</w:t>
              <w:tab/>
            </w:r>
            <w:r>
              <w:rPr>
                <w:rStyle w:val="IndexLink"/>
              </w:rPr>
              <w:t>48</w:t>
            </w:r>
          </w:hyperlink>
        </w:p>
        <w:p>
          <w:pPr>
            <w:pStyle w:val="Contents2"/>
            <w:tabs>
              <w:tab w:val="clear" w:pos="8743"/>
              <w:tab w:val="right" w:pos="9026" w:leader="dot"/>
            </w:tabs>
            <w:rPr/>
          </w:pPr>
          <w:hyperlink w:anchor="__RefHeading___Toc12020011_1280447820">
            <w:r>
              <w:rPr>
                <w:webHidden/>
                <w:rStyle w:val="IndexLink"/>
                <w:rtl w:val="true"/>
              </w:rPr>
              <w:t>الدلیل الاوّل</w:t>
            </w:r>
            <w:r>
              <w:rPr>
                <w:rStyle w:val="IndexLink"/>
                <w:rtl w:val="true"/>
              </w:rPr>
              <w:t xml:space="preserve">: </w:t>
            </w:r>
            <w:r>
              <w:rPr>
                <w:rStyle w:val="IndexLink"/>
                <w:rtl w:val="true"/>
              </w:rPr>
              <w:t>الکتاب العزیز</w:t>
            </w:r>
            <w:r>
              <w:rPr>
                <w:rStyle w:val="IndexLink"/>
                <w:rtl w:val="true"/>
              </w:rPr>
              <w:tab/>
            </w:r>
            <w:r>
              <w:rPr>
                <w:rStyle w:val="IndexLink"/>
              </w:rPr>
              <w:t>48</w:t>
            </w:r>
          </w:hyperlink>
        </w:p>
        <w:p>
          <w:pPr>
            <w:pStyle w:val="Contents2"/>
            <w:tabs>
              <w:tab w:val="clear" w:pos="8743"/>
              <w:tab w:val="right" w:pos="9026" w:leader="dot"/>
            </w:tabs>
            <w:rPr/>
          </w:pPr>
          <w:hyperlink w:anchor="__RefHeading___Toc12020013_1280447820">
            <w:r>
              <w:rPr>
                <w:webHidden/>
                <w:rStyle w:val="IndexLink"/>
                <w:rtl w:val="true"/>
              </w:rPr>
              <w:t>الأمر الأوّل</w:t>
            </w:r>
            <w:r>
              <w:rPr>
                <w:rStyle w:val="IndexLink"/>
                <w:rtl w:val="true"/>
              </w:rPr>
              <w:t xml:space="preserve">: </w:t>
            </w:r>
            <w:r>
              <w:rPr>
                <w:rStyle w:val="IndexLink"/>
                <w:rtl w:val="true"/>
              </w:rPr>
              <w:t>فی أنّ القرآن کلام الله تعالی</w:t>
            </w:r>
            <w:r>
              <w:rPr>
                <w:rStyle w:val="IndexLink"/>
                <w:rtl w:val="true"/>
              </w:rPr>
              <w:tab/>
            </w:r>
            <w:r>
              <w:rPr>
                <w:rStyle w:val="IndexLink"/>
              </w:rPr>
              <w:t>49</w:t>
            </w:r>
          </w:hyperlink>
        </w:p>
        <w:p>
          <w:pPr>
            <w:pStyle w:val="Contents2"/>
            <w:tabs>
              <w:tab w:val="clear" w:pos="8743"/>
              <w:tab w:val="right" w:pos="9026" w:leader="dot"/>
            </w:tabs>
            <w:rPr/>
          </w:pPr>
          <w:hyperlink w:anchor="__RefHeading___Toc12020015_1280447820">
            <w:r>
              <w:rPr>
                <w:webHidden/>
                <w:rStyle w:val="IndexLink"/>
                <w:rtl w:val="true"/>
              </w:rPr>
              <w:t>الأمر الثانی</w:t>
            </w:r>
            <w:r>
              <w:rPr>
                <w:rStyle w:val="IndexLink"/>
                <w:rtl w:val="true"/>
              </w:rPr>
              <w:t xml:space="preserve">: </w:t>
            </w:r>
            <w:r>
              <w:rPr>
                <w:rStyle w:val="IndexLink"/>
                <w:rtl w:val="true"/>
              </w:rPr>
              <w:t>فی عدم تحریف القرآن</w:t>
            </w:r>
            <w:r>
              <w:rPr>
                <w:rStyle w:val="IndexLink"/>
                <w:rtl w:val="true"/>
              </w:rPr>
              <w:tab/>
            </w:r>
            <w:r>
              <w:rPr>
                <w:rStyle w:val="IndexLink"/>
              </w:rPr>
              <w:t>51</w:t>
            </w:r>
          </w:hyperlink>
        </w:p>
        <w:p>
          <w:pPr>
            <w:pStyle w:val="Contents2"/>
            <w:tabs>
              <w:tab w:val="clear" w:pos="8743"/>
              <w:tab w:val="right" w:pos="9026" w:leader="dot"/>
            </w:tabs>
            <w:rPr/>
          </w:pPr>
          <w:hyperlink w:anchor="__RefHeading___Toc12020017_1280447820">
            <w:r>
              <w:rPr>
                <w:webHidden/>
                <w:rStyle w:val="IndexLink"/>
                <w:rtl w:val="true"/>
              </w:rPr>
              <w:t>أدلّة عدم تحریف القرآن</w:t>
            </w:r>
            <w:r>
              <w:rPr>
                <w:rStyle w:val="IndexLink"/>
                <w:rtl w:val="true"/>
              </w:rPr>
              <w:tab/>
            </w:r>
            <w:r>
              <w:rPr>
                <w:rStyle w:val="IndexLink"/>
              </w:rPr>
              <w:t>51</w:t>
            </w:r>
          </w:hyperlink>
        </w:p>
        <w:p>
          <w:pPr>
            <w:pStyle w:val="Contents2"/>
            <w:tabs>
              <w:tab w:val="clear" w:pos="8743"/>
              <w:tab w:val="right" w:pos="9026" w:leader="dot"/>
            </w:tabs>
            <w:rPr/>
          </w:pPr>
          <w:hyperlink w:anchor="__RefHeading___Toc12020019_1280447820">
            <w:r>
              <w:rPr>
                <w:webHidden/>
                <w:rStyle w:val="IndexLink"/>
                <w:rtl w:val="true"/>
              </w:rPr>
              <w:t>الأوّل</w:t>
            </w:r>
            <w:r>
              <w:rPr>
                <w:rStyle w:val="IndexLink"/>
                <w:rtl w:val="true"/>
              </w:rPr>
              <w:t xml:space="preserve">: </w:t>
            </w:r>
            <w:r>
              <w:rPr>
                <w:rStyle w:val="IndexLink"/>
                <w:rtl w:val="true"/>
              </w:rPr>
              <w:t>آیات القرآن</w:t>
            </w:r>
            <w:r>
              <w:rPr>
                <w:rStyle w:val="IndexLink"/>
                <w:rtl w:val="true"/>
              </w:rPr>
              <w:tab/>
            </w:r>
            <w:r>
              <w:rPr>
                <w:rStyle w:val="IndexLink"/>
              </w:rPr>
              <w:t>51</w:t>
            </w:r>
          </w:hyperlink>
        </w:p>
        <w:p>
          <w:pPr>
            <w:pStyle w:val="Contents2"/>
            <w:tabs>
              <w:tab w:val="clear" w:pos="8743"/>
              <w:tab w:val="right" w:pos="9026" w:leader="dot"/>
            </w:tabs>
            <w:rPr/>
          </w:pPr>
          <w:hyperlink w:anchor="__RefHeading___Toc12020021_1280447820">
            <w:r>
              <w:rPr>
                <w:webHidden/>
                <w:rStyle w:val="IndexLink"/>
                <w:rtl w:val="true"/>
              </w:rPr>
              <w:t>الثانی</w:t>
            </w:r>
            <w:r>
              <w:rPr>
                <w:rStyle w:val="IndexLink"/>
                <w:rtl w:val="true"/>
              </w:rPr>
              <w:t xml:space="preserve">: </w:t>
            </w:r>
            <w:r>
              <w:rPr>
                <w:rStyle w:val="IndexLink"/>
                <w:rtl w:val="true"/>
              </w:rPr>
              <w:t>الأدلة التأريخية</w:t>
            </w:r>
            <w:r>
              <w:rPr>
                <w:rStyle w:val="IndexLink"/>
                <w:rtl w:val="true"/>
              </w:rPr>
              <w:tab/>
            </w:r>
            <w:r>
              <w:rPr>
                <w:rStyle w:val="IndexLink"/>
              </w:rPr>
              <w:t>52</w:t>
            </w:r>
          </w:hyperlink>
        </w:p>
        <w:p>
          <w:pPr>
            <w:pStyle w:val="Contents2"/>
            <w:tabs>
              <w:tab w:val="clear" w:pos="8743"/>
              <w:tab w:val="right" w:pos="9026" w:leader="dot"/>
            </w:tabs>
            <w:rPr/>
          </w:pPr>
          <w:hyperlink w:anchor="__RefHeading___Toc12020023_1280447820">
            <w:r>
              <w:rPr>
                <w:webHidden/>
                <w:rStyle w:val="IndexLink"/>
                <w:rtl w:val="true"/>
              </w:rPr>
              <w:t>الأمر الثالث</w:t>
            </w:r>
            <w:r>
              <w:rPr>
                <w:rStyle w:val="IndexLink"/>
                <w:rtl w:val="true"/>
              </w:rPr>
              <w:t xml:space="preserve">: </w:t>
            </w:r>
            <w:r>
              <w:rPr>
                <w:rStyle w:val="IndexLink"/>
                <w:rtl w:val="true"/>
              </w:rPr>
              <w:t>فی حجّیّة ظواهر القرآن</w:t>
            </w:r>
            <w:r>
              <w:rPr>
                <w:rStyle w:val="IndexLink"/>
                <w:rtl w:val="true"/>
              </w:rPr>
              <w:tab/>
            </w:r>
            <w:r>
              <w:rPr>
                <w:rStyle w:val="IndexLink"/>
              </w:rPr>
              <w:t>53</w:t>
            </w:r>
          </w:hyperlink>
        </w:p>
        <w:p>
          <w:pPr>
            <w:pStyle w:val="Contents2"/>
            <w:tabs>
              <w:tab w:val="clear" w:pos="8743"/>
              <w:tab w:val="right" w:pos="9026" w:leader="dot"/>
            </w:tabs>
            <w:rPr/>
          </w:pPr>
          <w:hyperlink w:anchor="__RefHeading___Toc12020025_1280447820">
            <w:r>
              <w:rPr>
                <w:webHidden/>
                <w:rStyle w:val="IndexLink"/>
                <w:rtl w:val="true"/>
              </w:rPr>
              <w:t>الأوّل</w:t>
            </w:r>
            <w:r>
              <w:rPr>
                <w:rStyle w:val="IndexLink"/>
                <w:rtl w:val="true"/>
              </w:rPr>
              <w:t>:</w:t>
            </w:r>
            <w:r>
              <w:rPr>
                <w:rStyle w:val="IndexLink"/>
                <w:rtl w:val="true"/>
              </w:rPr>
              <w:t>ارتکاز العقلاء</w:t>
            </w:r>
            <w:r>
              <w:rPr>
                <w:rStyle w:val="IndexLink"/>
                <w:rtl w:val="true"/>
              </w:rPr>
              <w:tab/>
            </w:r>
            <w:r>
              <w:rPr>
                <w:rStyle w:val="IndexLink"/>
              </w:rPr>
              <w:t>53</w:t>
            </w:r>
          </w:hyperlink>
        </w:p>
        <w:p>
          <w:pPr>
            <w:pStyle w:val="Contents2"/>
            <w:tabs>
              <w:tab w:val="clear" w:pos="8743"/>
              <w:tab w:val="right" w:pos="9026" w:leader="dot"/>
            </w:tabs>
            <w:rPr/>
          </w:pPr>
          <w:hyperlink w:anchor="__RefHeading___Toc12020027_1280447820">
            <w:r>
              <w:rPr>
                <w:webHidden/>
                <w:rStyle w:val="IndexLink"/>
                <w:rtl w:val="true"/>
              </w:rPr>
              <w:t>الثانی</w:t>
            </w:r>
            <w:r>
              <w:rPr>
                <w:rStyle w:val="IndexLink"/>
                <w:rtl w:val="true"/>
              </w:rPr>
              <w:t xml:space="preserve">: </w:t>
            </w:r>
            <w:r>
              <w:rPr>
                <w:rStyle w:val="IndexLink"/>
                <w:rtl w:val="true"/>
              </w:rPr>
              <w:t>لزوم نقض الغرض</w:t>
            </w:r>
            <w:r>
              <w:rPr>
                <w:rStyle w:val="IndexLink"/>
                <w:rtl w:val="true"/>
              </w:rPr>
              <w:tab/>
            </w:r>
            <w:r>
              <w:rPr>
                <w:rStyle w:val="IndexLink"/>
              </w:rPr>
              <w:t>53</w:t>
            </w:r>
          </w:hyperlink>
        </w:p>
        <w:p>
          <w:pPr>
            <w:pStyle w:val="Contents2"/>
            <w:tabs>
              <w:tab w:val="clear" w:pos="8743"/>
              <w:tab w:val="right" w:pos="9026" w:leader="dot"/>
            </w:tabs>
            <w:rPr/>
          </w:pPr>
          <w:hyperlink w:anchor="__RefHeading___Toc12020029_1280447820">
            <w:r>
              <w:rPr>
                <w:webHidden/>
                <w:rStyle w:val="IndexLink"/>
                <w:rtl w:val="true"/>
              </w:rPr>
              <w:t>الدلیل الثانی</w:t>
            </w:r>
            <w:r>
              <w:rPr>
                <w:rStyle w:val="IndexLink"/>
                <w:rtl w:val="true"/>
              </w:rPr>
              <w:t xml:space="preserve">: </w:t>
            </w:r>
            <w:r>
              <w:rPr>
                <w:rStyle w:val="IndexLink"/>
                <w:rtl w:val="true"/>
              </w:rPr>
              <w:t>السّنة المقدّسة</w:t>
            </w:r>
            <w:r>
              <w:rPr>
                <w:rStyle w:val="IndexLink"/>
                <w:rtl w:val="true"/>
              </w:rPr>
              <w:tab/>
            </w:r>
            <w:r>
              <w:rPr>
                <w:rStyle w:val="IndexLink"/>
              </w:rPr>
              <w:t>54</w:t>
            </w:r>
          </w:hyperlink>
        </w:p>
        <w:p>
          <w:pPr>
            <w:pStyle w:val="Contents2"/>
            <w:tabs>
              <w:tab w:val="clear" w:pos="8743"/>
              <w:tab w:val="right" w:pos="9026" w:leader="dot"/>
            </w:tabs>
            <w:rPr/>
          </w:pPr>
          <w:hyperlink w:anchor="__RefHeading___Toc12020031_1280447820">
            <w:r>
              <w:rPr>
                <w:webHidden/>
                <w:rStyle w:val="IndexLink"/>
                <w:rtl w:val="true"/>
              </w:rPr>
              <w:t>الأوّل</w:t>
            </w:r>
            <w:r>
              <w:rPr>
                <w:rStyle w:val="IndexLink"/>
                <w:rtl w:val="true"/>
              </w:rPr>
              <w:t xml:space="preserve">: </w:t>
            </w:r>
            <w:r>
              <w:rPr>
                <w:rStyle w:val="IndexLink"/>
                <w:rtl w:val="true"/>
              </w:rPr>
              <w:t>الحسّ</w:t>
            </w:r>
            <w:r>
              <w:rPr>
                <w:rStyle w:val="IndexLink"/>
                <w:rtl w:val="true"/>
              </w:rPr>
              <w:tab/>
            </w:r>
            <w:r>
              <w:rPr>
                <w:rStyle w:val="IndexLink"/>
              </w:rPr>
              <w:t>58</w:t>
            </w:r>
          </w:hyperlink>
        </w:p>
        <w:p>
          <w:pPr>
            <w:pStyle w:val="Contents2"/>
            <w:tabs>
              <w:tab w:val="clear" w:pos="8743"/>
              <w:tab w:val="right" w:pos="9026" w:leader="dot"/>
            </w:tabs>
            <w:rPr/>
          </w:pPr>
          <w:hyperlink w:anchor="__RefHeading___Toc12020033_1280447820">
            <w:r>
              <w:rPr>
                <w:webHidden/>
                <w:rStyle w:val="IndexLink"/>
                <w:rtl w:val="true"/>
              </w:rPr>
              <w:t>الثانی</w:t>
            </w:r>
            <w:r>
              <w:rPr>
                <w:rStyle w:val="IndexLink"/>
                <w:rtl w:val="true"/>
              </w:rPr>
              <w:t xml:space="preserve">: </w:t>
            </w:r>
            <w:r>
              <w:rPr>
                <w:rStyle w:val="IndexLink"/>
                <w:rtl w:val="true"/>
              </w:rPr>
              <w:t>الحدس</w:t>
            </w:r>
            <w:r>
              <w:rPr>
                <w:rStyle w:val="IndexLink"/>
                <w:rtl w:val="true"/>
              </w:rPr>
              <w:tab/>
            </w:r>
            <w:r>
              <w:rPr>
                <w:rStyle w:val="IndexLink"/>
              </w:rPr>
              <w:t>58</w:t>
            </w:r>
          </w:hyperlink>
        </w:p>
        <w:p>
          <w:pPr>
            <w:pStyle w:val="Contents2"/>
            <w:tabs>
              <w:tab w:val="clear" w:pos="8743"/>
              <w:tab w:val="right" w:pos="9026" w:leader="dot"/>
            </w:tabs>
            <w:rPr/>
          </w:pPr>
          <w:hyperlink w:anchor="__RefHeading___Toc12020035_1280447820">
            <w:r>
              <w:rPr>
                <w:webHidden/>
                <w:rStyle w:val="IndexLink"/>
                <w:rtl w:val="true"/>
              </w:rPr>
              <w:t>الثالث</w:t>
            </w:r>
            <w:r>
              <w:rPr>
                <w:rStyle w:val="IndexLink"/>
                <w:rtl w:val="true"/>
              </w:rPr>
              <w:t xml:space="preserve">: </w:t>
            </w:r>
            <w:r>
              <w:rPr>
                <w:rStyle w:val="IndexLink"/>
                <w:rtl w:val="true"/>
              </w:rPr>
              <w:t>اللطف</w:t>
            </w:r>
            <w:r>
              <w:rPr>
                <w:rStyle w:val="IndexLink"/>
                <w:rtl w:val="true"/>
              </w:rPr>
              <w:tab/>
            </w:r>
            <w:r>
              <w:rPr>
                <w:rStyle w:val="IndexLink"/>
              </w:rPr>
              <w:t>59</w:t>
            </w:r>
          </w:hyperlink>
        </w:p>
        <w:p>
          <w:pPr>
            <w:pStyle w:val="Contents2"/>
            <w:tabs>
              <w:tab w:val="clear" w:pos="8743"/>
              <w:tab w:val="right" w:pos="9026" w:leader="dot"/>
            </w:tabs>
            <w:rPr/>
          </w:pPr>
          <w:hyperlink w:anchor="__RefHeading___Toc12020037_1280447820">
            <w:r>
              <w:rPr>
                <w:webHidden/>
                <w:rStyle w:val="IndexLink"/>
                <w:rtl w:val="true"/>
              </w:rPr>
              <w:t>الدلیل الرابع</w:t>
            </w:r>
            <w:r>
              <w:rPr>
                <w:rStyle w:val="IndexLink"/>
                <w:rtl w:val="true"/>
              </w:rPr>
              <w:t xml:space="preserve">: </w:t>
            </w:r>
            <w:r>
              <w:rPr>
                <w:rStyle w:val="IndexLink"/>
                <w:rtl w:val="true"/>
              </w:rPr>
              <w:t>العقل</w:t>
            </w:r>
            <w:r>
              <w:rPr>
                <w:rStyle w:val="IndexLink"/>
                <w:rtl w:val="true"/>
              </w:rPr>
              <w:tab/>
            </w:r>
            <w:r>
              <w:rPr>
                <w:rStyle w:val="IndexLink"/>
              </w:rPr>
              <w:t>59</w:t>
            </w:r>
          </w:hyperlink>
        </w:p>
        <w:p>
          <w:pPr>
            <w:pStyle w:val="Contents2"/>
            <w:tabs>
              <w:tab w:val="clear" w:pos="8743"/>
              <w:tab w:val="right" w:pos="9026" w:leader="dot"/>
            </w:tabs>
            <w:rPr/>
          </w:pPr>
          <w:hyperlink w:anchor="__RefHeading___Toc12020039_1280447820">
            <w:r>
              <w:rPr>
                <w:webHidden/>
                <w:rStyle w:val="IndexLink"/>
                <w:rtl w:val="true"/>
              </w:rPr>
              <w:t>الأمر الأوّل</w:t>
            </w:r>
            <w:r>
              <w:rPr>
                <w:rStyle w:val="IndexLink"/>
                <w:rtl w:val="true"/>
              </w:rPr>
              <w:t xml:space="preserve">: </w:t>
            </w:r>
            <w:r>
              <w:rPr>
                <w:rStyle w:val="IndexLink"/>
                <w:rtl w:val="true"/>
              </w:rPr>
              <w:t>الفرق بین العقل العملی و النظری</w:t>
            </w:r>
            <w:r>
              <w:rPr>
                <w:rStyle w:val="IndexLink"/>
                <w:rtl w:val="true"/>
              </w:rPr>
              <w:tab/>
            </w:r>
            <w:r>
              <w:rPr>
                <w:rStyle w:val="IndexLink"/>
              </w:rPr>
              <w:t>59</w:t>
            </w:r>
          </w:hyperlink>
        </w:p>
        <w:p>
          <w:pPr>
            <w:pStyle w:val="Contents2"/>
            <w:tabs>
              <w:tab w:val="clear" w:pos="8743"/>
              <w:tab w:val="right" w:pos="9026" w:leader="dot"/>
            </w:tabs>
            <w:rPr/>
          </w:pPr>
          <w:hyperlink w:anchor="__RefHeading___Toc12020041_1280447820">
            <w:r>
              <w:rPr>
                <w:webHidden/>
                <w:rStyle w:val="IndexLink"/>
                <w:rtl w:val="true"/>
              </w:rPr>
              <w:t>الأمر الثانی</w:t>
            </w:r>
            <w:r>
              <w:rPr>
                <w:rStyle w:val="IndexLink"/>
                <w:rtl w:val="true"/>
              </w:rPr>
              <w:t xml:space="preserve">: </w:t>
            </w:r>
            <w:r>
              <w:rPr>
                <w:rStyle w:val="IndexLink"/>
                <w:rtl w:val="true"/>
              </w:rPr>
              <w:t>معانی الحسن و القبح</w:t>
            </w:r>
            <w:r>
              <w:rPr>
                <w:rStyle w:val="IndexLink"/>
                <w:rtl w:val="true"/>
              </w:rPr>
              <w:tab/>
            </w:r>
            <w:r>
              <w:rPr>
                <w:rStyle w:val="IndexLink"/>
              </w:rPr>
              <w:t>60</w:t>
            </w:r>
          </w:hyperlink>
        </w:p>
        <w:p>
          <w:pPr>
            <w:pStyle w:val="Contents2"/>
            <w:tabs>
              <w:tab w:val="clear" w:pos="8743"/>
              <w:tab w:val="right" w:pos="9026" w:leader="dot"/>
            </w:tabs>
            <w:rPr/>
          </w:pPr>
          <w:hyperlink w:anchor="__RefHeading___Toc12020043_1280447820">
            <w:r>
              <w:rPr>
                <w:webHidden/>
                <w:rStyle w:val="IndexLink"/>
                <w:rtl w:val="true"/>
              </w:rPr>
              <w:t>الکلام فی حجیّة حکم العقل فی الإستنباط</w:t>
            </w:r>
            <w:r>
              <w:rPr>
                <w:rStyle w:val="IndexLink"/>
                <w:rtl w:val="true"/>
              </w:rPr>
              <w:tab/>
            </w:r>
            <w:r>
              <w:rPr>
                <w:rStyle w:val="IndexLink"/>
              </w:rPr>
              <w:t>60</w:t>
            </w:r>
          </w:hyperlink>
        </w:p>
        <w:p>
          <w:pPr>
            <w:pStyle w:val="Contents2"/>
            <w:tabs>
              <w:tab w:val="clear" w:pos="8743"/>
              <w:tab w:val="right" w:pos="9026" w:leader="dot"/>
            </w:tabs>
            <w:rPr/>
          </w:pPr>
          <w:hyperlink w:anchor="__RefHeading___Toc12020045_1280447820">
            <w:r>
              <w:rPr>
                <w:webHidden/>
                <w:rStyle w:val="IndexLink"/>
                <w:rtl w:val="true"/>
              </w:rPr>
              <w:t>الثانیة</w:t>
            </w:r>
            <w:r>
              <w:rPr>
                <w:rStyle w:val="IndexLink"/>
                <w:rtl w:val="true"/>
              </w:rPr>
              <w:t xml:space="preserve">: </w:t>
            </w:r>
            <w:r>
              <w:rPr>
                <w:rStyle w:val="IndexLink"/>
                <w:rtl w:val="true"/>
              </w:rPr>
              <w:t>مع التسلیم بثبوت الحسن و القبح للأفعال، هل یستطیع العقل، أن یدرک الحسن و القبح بلا بیان عن الشارع أم لا؟</w:t>
            </w:r>
            <w:r>
              <w:rPr>
                <w:rStyle w:val="IndexLink"/>
                <w:rtl w:val="true"/>
              </w:rPr>
              <w:tab/>
            </w:r>
            <w:r>
              <w:rPr>
                <w:rStyle w:val="IndexLink"/>
              </w:rPr>
              <w:t>61</w:t>
            </w:r>
          </w:hyperlink>
        </w:p>
        <w:p>
          <w:pPr>
            <w:pStyle w:val="Contents2"/>
            <w:tabs>
              <w:tab w:val="clear" w:pos="8743"/>
              <w:tab w:val="right" w:pos="9026" w:leader="dot"/>
            </w:tabs>
            <w:rPr/>
          </w:pPr>
          <w:hyperlink w:anchor="__RefHeading___Toc12020047_1280447820">
            <w:r>
              <w:rPr>
                <w:webHidden/>
                <w:rStyle w:val="IndexLink"/>
                <w:rtl w:val="true"/>
              </w:rPr>
              <w:t>الثالثة</w:t>
            </w:r>
            <w:r>
              <w:rPr>
                <w:rStyle w:val="IndexLink"/>
                <w:rtl w:val="true"/>
              </w:rPr>
              <w:t xml:space="preserve">: </w:t>
            </w:r>
            <w:r>
              <w:rPr>
                <w:rStyle w:val="IndexLink"/>
                <w:rtl w:val="true"/>
              </w:rPr>
              <w:t>هل هناک ملازمة بین حکم العقل بالحسن و القبح و حکم الشارع أم لا؟</w:t>
            </w:r>
            <w:r>
              <w:rPr>
                <w:rStyle w:val="IndexLink"/>
                <w:rtl w:val="true"/>
              </w:rPr>
              <w:tab/>
            </w:r>
            <w:r>
              <w:rPr>
                <w:rStyle w:val="IndexLink"/>
              </w:rPr>
              <w:t>61</w:t>
            </w:r>
          </w:hyperlink>
        </w:p>
        <w:p>
          <w:pPr>
            <w:pStyle w:val="Contents2"/>
            <w:tabs>
              <w:tab w:val="clear" w:pos="8743"/>
              <w:tab w:val="right" w:pos="9026" w:leader="dot"/>
            </w:tabs>
            <w:rPr/>
          </w:pPr>
          <w:hyperlink w:anchor="__RefHeading___Toc12020049_1280447820">
            <w:r>
              <w:rPr>
                <w:webHidden/>
                <w:rStyle w:val="IndexLink"/>
                <w:rtl w:val="true"/>
              </w:rPr>
              <w:t>الدلیل الخامس</w:t>
            </w:r>
            <w:r>
              <w:rPr>
                <w:rStyle w:val="IndexLink"/>
                <w:rtl w:val="true"/>
              </w:rPr>
              <w:t xml:space="preserve">: </w:t>
            </w:r>
            <w:r>
              <w:rPr>
                <w:rStyle w:val="IndexLink"/>
                <w:rtl w:val="true"/>
              </w:rPr>
              <w:t>الأصول العملیّة</w:t>
            </w:r>
            <w:r>
              <w:rPr>
                <w:rStyle w:val="IndexLink"/>
                <w:rtl w:val="true"/>
              </w:rPr>
              <w:tab/>
            </w:r>
            <w:r>
              <w:rPr>
                <w:rStyle w:val="IndexLink"/>
              </w:rPr>
              <w:t>62</w:t>
            </w:r>
          </w:hyperlink>
        </w:p>
        <w:p>
          <w:pPr>
            <w:pStyle w:val="Contents2"/>
            <w:tabs>
              <w:tab w:val="clear" w:pos="8743"/>
              <w:tab w:val="right" w:pos="9026" w:leader="dot"/>
            </w:tabs>
            <w:rPr/>
          </w:pPr>
          <w:hyperlink w:anchor="__RefHeading___Toc12020051_1280447820">
            <w:r>
              <w:rPr>
                <w:webHidden/>
                <w:rStyle w:val="IndexLink"/>
                <w:rtl w:val="true"/>
              </w:rPr>
              <w:t>الثانی</w:t>
            </w:r>
            <w:r>
              <w:rPr>
                <w:rStyle w:val="IndexLink"/>
                <w:rtl w:val="true"/>
              </w:rPr>
              <w:t xml:space="preserve">: </w:t>
            </w:r>
            <w:r>
              <w:rPr>
                <w:rStyle w:val="IndexLink"/>
                <w:rtl w:val="true"/>
              </w:rPr>
              <w:t>العامة</w:t>
            </w:r>
            <w:r>
              <w:rPr>
                <w:rStyle w:val="IndexLink"/>
                <w:rtl w:val="true"/>
              </w:rPr>
              <w:tab/>
            </w:r>
            <w:r>
              <w:rPr>
                <w:rStyle w:val="IndexLink"/>
              </w:rPr>
              <w:t>63</w:t>
            </w:r>
          </w:hyperlink>
        </w:p>
        <w:p>
          <w:pPr>
            <w:pStyle w:val="Contents2"/>
            <w:tabs>
              <w:tab w:val="clear" w:pos="8743"/>
              <w:tab w:val="right" w:pos="9026" w:leader="dot"/>
            </w:tabs>
            <w:rPr/>
          </w:pPr>
          <w:hyperlink w:anchor="__RefHeading___Toc12020053_1280447820">
            <w:r>
              <w:rPr>
                <w:webHidden/>
                <w:rStyle w:val="IndexLink"/>
                <w:rtl w:val="true"/>
              </w:rPr>
              <w:t>الأصل الأوّل</w:t>
            </w:r>
            <w:r>
              <w:rPr>
                <w:rStyle w:val="IndexLink"/>
                <w:rtl w:val="true"/>
              </w:rPr>
              <w:t xml:space="preserve">: </w:t>
            </w:r>
            <w:r>
              <w:rPr>
                <w:rStyle w:val="IndexLink"/>
                <w:rtl w:val="true"/>
              </w:rPr>
              <w:t>البرائة</w:t>
            </w:r>
            <w:r>
              <w:rPr>
                <w:rStyle w:val="IndexLink"/>
                <w:rtl w:val="true"/>
              </w:rPr>
              <w:tab/>
            </w:r>
            <w:r>
              <w:rPr>
                <w:rStyle w:val="IndexLink"/>
              </w:rPr>
              <w:t>63</w:t>
            </w:r>
          </w:hyperlink>
        </w:p>
        <w:p>
          <w:pPr>
            <w:pStyle w:val="Contents2"/>
            <w:tabs>
              <w:tab w:val="clear" w:pos="8743"/>
              <w:tab w:val="right" w:pos="9026" w:leader="dot"/>
            </w:tabs>
            <w:rPr/>
          </w:pPr>
          <w:hyperlink w:anchor="__RefHeading___Toc12020055_1280447820">
            <w:r>
              <w:rPr>
                <w:webHidden/>
                <w:rStyle w:val="IndexLink"/>
                <w:rtl w:val="true"/>
              </w:rPr>
              <w:t>الأصل الثانی</w:t>
            </w:r>
            <w:r>
              <w:rPr>
                <w:rStyle w:val="IndexLink"/>
                <w:rtl w:val="true"/>
              </w:rPr>
              <w:t xml:space="preserve">: </w:t>
            </w:r>
            <w:r>
              <w:rPr>
                <w:rStyle w:val="IndexLink"/>
                <w:rtl w:val="true"/>
              </w:rPr>
              <w:t>التخییر</w:t>
            </w:r>
            <w:r>
              <w:rPr>
                <w:rStyle w:val="IndexLink"/>
                <w:rtl w:val="true"/>
              </w:rPr>
              <w:tab/>
            </w:r>
            <w:r>
              <w:rPr>
                <w:rStyle w:val="IndexLink"/>
              </w:rPr>
              <w:t>68</w:t>
            </w:r>
          </w:hyperlink>
        </w:p>
        <w:p>
          <w:pPr>
            <w:pStyle w:val="Contents2"/>
            <w:tabs>
              <w:tab w:val="clear" w:pos="8743"/>
              <w:tab w:val="right" w:pos="9026" w:leader="dot"/>
            </w:tabs>
            <w:rPr/>
          </w:pPr>
          <w:hyperlink w:anchor="__RefHeading___Toc12020057_1280447820">
            <w:r>
              <w:rPr>
                <w:webHidden/>
                <w:rStyle w:val="IndexLink"/>
                <w:rtl w:val="true"/>
              </w:rPr>
              <w:t>الأصل الثالث</w:t>
            </w:r>
            <w:r>
              <w:rPr>
                <w:rStyle w:val="IndexLink"/>
                <w:rtl w:val="true"/>
              </w:rPr>
              <w:t xml:space="preserve">: </w:t>
            </w:r>
            <w:r>
              <w:rPr>
                <w:rStyle w:val="IndexLink"/>
                <w:rtl w:val="true"/>
              </w:rPr>
              <w:t>الإحتیاط</w:t>
            </w:r>
            <w:r>
              <w:rPr>
                <w:rStyle w:val="IndexLink"/>
                <w:rtl w:val="true"/>
              </w:rPr>
              <w:tab/>
            </w:r>
            <w:r>
              <w:rPr>
                <w:rStyle w:val="IndexLink"/>
              </w:rPr>
              <w:t>70</w:t>
            </w:r>
          </w:hyperlink>
        </w:p>
        <w:p>
          <w:pPr>
            <w:pStyle w:val="Contents2"/>
            <w:tabs>
              <w:tab w:val="clear" w:pos="8743"/>
              <w:tab w:val="right" w:pos="9026" w:leader="dot"/>
            </w:tabs>
            <w:rPr/>
          </w:pPr>
          <w:hyperlink w:anchor="__RefHeading___Toc12020059_1280447820">
            <w:r>
              <w:rPr>
                <w:webHidden/>
                <w:rStyle w:val="IndexLink"/>
                <w:rtl w:val="true"/>
              </w:rPr>
              <w:t>الأصل الرّابع</w:t>
            </w:r>
            <w:r>
              <w:rPr>
                <w:rStyle w:val="IndexLink"/>
                <w:rtl w:val="true"/>
              </w:rPr>
              <w:t xml:space="preserve">: </w:t>
            </w:r>
            <w:r>
              <w:rPr>
                <w:rStyle w:val="IndexLink"/>
                <w:rtl w:val="true"/>
              </w:rPr>
              <w:t>الإستصحاب</w:t>
            </w:r>
            <w:r>
              <w:rPr>
                <w:rStyle w:val="IndexLink"/>
                <w:rtl w:val="true"/>
              </w:rPr>
              <w:tab/>
            </w:r>
            <w:r>
              <w:rPr>
                <w:rStyle w:val="IndexLink"/>
              </w:rPr>
              <w:t>76</w:t>
            </w:r>
          </w:hyperlink>
        </w:p>
        <w:p>
          <w:pPr>
            <w:pStyle w:val="Contents2"/>
            <w:tabs>
              <w:tab w:val="clear" w:pos="8743"/>
              <w:tab w:val="right" w:pos="9026" w:leader="dot"/>
            </w:tabs>
            <w:rPr/>
          </w:pPr>
          <w:hyperlink w:anchor="__RefHeading___Toc12020061_1280447820">
            <w:r>
              <w:rPr>
                <w:webHidden/>
                <w:rStyle w:val="IndexLink"/>
                <w:rtl w:val="true"/>
              </w:rPr>
              <w:t>خاتمة المقام</w:t>
            </w:r>
            <w:r>
              <w:rPr>
                <w:rStyle w:val="IndexLink"/>
                <w:rtl w:val="true"/>
              </w:rPr>
              <w:tab/>
            </w:r>
            <w:r>
              <w:rPr>
                <w:rStyle w:val="IndexLink"/>
              </w:rPr>
              <w:t>79</w:t>
            </w:r>
          </w:hyperlink>
        </w:p>
        <w:p>
          <w:pPr>
            <w:pStyle w:val="Contents2"/>
            <w:tabs>
              <w:tab w:val="clear" w:pos="8743"/>
              <w:tab w:val="right" w:pos="9026" w:leader="dot"/>
            </w:tabs>
            <w:rPr/>
          </w:pPr>
          <w:hyperlink w:anchor="__RefHeading___Toc12020063_1280447820">
            <w:r>
              <w:rPr>
                <w:webHidden/>
                <w:rStyle w:val="IndexLink"/>
                <w:rtl w:val="true"/>
              </w:rPr>
              <w:t>فی موجبات تعدیة الحکم من موضوع إلی موضوع آخر أو تضییقه</w:t>
            </w:r>
            <w:r>
              <w:rPr>
                <w:rStyle w:val="IndexLink"/>
                <w:rtl w:val="true"/>
              </w:rPr>
              <w:t>.</w:t>
              <w:tab/>
            </w:r>
            <w:r>
              <w:rPr>
                <w:rStyle w:val="IndexLink"/>
              </w:rPr>
              <w:t>79</w:t>
            </w:r>
          </w:hyperlink>
        </w:p>
        <w:p>
          <w:pPr>
            <w:pStyle w:val="Contents2"/>
            <w:tabs>
              <w:tab w:val="clear" w:pos="8743"/>
              <w:tab w:val="right" w:pos="9026" w:leader="dot"/>
            </w:tabs>
            <w:rPr/>
          </w:pPr>
          <w:hyperlink w:anchor="__RefHeading___Toc12020065_1280447820">
            <w:r>
              <w:rPr>
                <w:webHidden/>
                <w:rStyle w:val="IndexLink"/>
                <w:rtl w:val="true"/>
              </w:rPr>
              <w:t>الأوّل</w:t>
            </w:r>
            <w:r>
              <w:rPr>
                <w:rStyle w:val="IndexLink"/>
                <w:rtl w:val="true"/>
              </w:rPr>
              <w:t xml:space="preserve">: </w:t>
            </w:r>
            <w:r>
              <w:rPr>
                <w:rStyle w:val="IndexLink"/>
                <w:rtl w:val="true"/>
              </w:rPr>
              <w:t>إلغاء الخصوصیّة</w:t>
            </w:r>
            <w:r>
              <w:rPr>
                <w:rStyle w:val="IndexLink"/>
                <w:rtl w:val="true"/>
              </w:rPr>
              <w:tab/>
            </w:r>
            <w:r>
              <w:rPr>
                <w:rStyle w:val="IndexLink"/>
              </w:rPr>
              <w:t>79</w:t>
            </w:r>
          </w:hyperlink>
        </w:p>
        <w:p>
          <w:pPr>
            <w:pStyle w:val="Contents2"/>
            <w:tabs>
              <w:tab w:val="clear" w:pos="8743"/>
              <w:tab w:val="right" w:pos="9026" w:leader="dot"/>
            </w:tabs>
            <w:rPr/>
          </w:pPr>
          <w:hyperlink w:anchor="__RefHeading___Toc12020067_1280447820">
            <w:r>
              <w:rPr>
                <w:webHidden/>
                <w:rStyle w:val="IndexLink"/>
                <w:rtl w:val="true"/>
              </w:rPr>
              <w:t>الثانی</w:t>
            </w:r>
            <w:r>
              <w:rPr>
                <w:rStyle w:val="IndexLink"/>
                <w:rtl w:val="true"/>
              </w:rPr>
              <w:t xml:space="preserve">: </w:t>
            </w:r>
            <w:r>
              <w:rPr>
                <w:rStyle w:val="IndexLink"/>
                <w:rtl w:val="true"/>
              </w:rPr>
              <w:t>تنقیح المناط</w:t>
            </w:r>
            <w:r>
              <w:rPr>
                <w:rStyle w:val="IndexLink"/>
                <w:rtl w:val="true"/>
              </w:rPr>
              <w:tab/>
            </w:r>
            <w:r>
              <w:rPr>
                <w:rStyle w:val="IndexLink"/>
              </w:rPr>
              <w:t>80</w:t>
            </w:r>
          </w:hyperlink>
        </w:p>
        <w:p>
          <w:pPr>
            <w:pStyle w:val="Contents2"/>
            <w:tabs>
              <w:tab w:val="clear" w:pos="8743"/>
              <w:tab w:val="right" w:pos="9026" w:leader="dot"/>
            </w:tabs>
            <w:rPr/>
          </w:pPr>
          <w:hyperlink w:anchor="__RefHeading___Toc12020069_1280447820">
            <w:r>
              <w:rPr>
                <w:webHidden/>
                <w:rStyle w:val="IndexLink"/>
                <w:rtl w:val="true"/>
              </w:rPr>
              <w:t>الثالث</w:t>
            </w:r>
            <w:r>
              <w:rPr>
                <w:rStyle w:val="IndexLink"/>
                <w:rtl w:val="true"/>
              </w:rPr>
              <w:t xml:space="preserve">: </w:t>
            </w:r>
            <w:r>
              <w:rPr>
                <w:rStyle w:val="IndexLink"/>
                <w:rtl w:val="true"/>
              </w:rPr>
              <w:t>الألویّة</w:t>
            </w:r>
            <w:r>
              <w:rPr>
                <w:rStyle w:val="IndexLink"/>
                <w:rtl w:val="true"/>
              </w:rPr>
              <w:t>:</w:t>
              <w:tab/>
            </w:r>
            <w:r>
              <w:rPr>
                <w:rStyle w:val="IndexLink"/>
              </w:rPr>
              <w:t>80</w:t>
            </w:r>
          </w:hyperlink>
        </w:p>
        <w:p>
          <w:pPr>
            <w:pStyle w:val="Contents2"/>
            <w:tabs>
              <w:tab w:val="clear" w:pos="8743"/>
              <w:tab w:val="right" w:pos="9026" w:leader="dot"/>
            </w:tabs>
            <w:rPr/>
          </w:pPr>
          <w:hyperlink w:anchor="__RefHeading___Toc12020071_1280447820">
            <w:r>
              <w:rPr>
                <w:webHidden/>
                <w:rStyle w:val="IndexLink"/>
                <w:rtl w:val="true"/>
              </w:rPr>
              <w:t>الرابع</w:t>
            </w:r>
            <w:r>
              <w:rPr>
                <w:rStyle w:val="IndexLink"/>
                <w:rtl w:val="true"/>
              </w:rPr>
              <w:t xml:space="preserve">: </w:t>
            </w:r>
            <w:r>
              <w:rPr>
                <w:rStyle w:val="IndexLink"/>
                <w:rtl w:val="true"/>
              </w:rPr>
              <w:t>مناسبة الحکم و الموضوع</w:t>
            </w:r>
            <w:r>
              <w:rPr>
                <w:rStyle w:val="IndexLink"/>
                <w:rtl w:val="true"/>
              </w:rPr>
              <w:tab/>
            </w:r>
            <w:r>
              <w:rPr>
                <w:rStyle w:val="IndexLink"/>
              </w:rPr>
              <w:t>81</w:t>
            </w:r>
          </w:hyperlink>
        </w:p>
        <w:p>
          <w:pPr>
            <w:pStyle w:val="Contents2"/>
            <w:tabs>
              <w:tab w:val="clear" w:pos="8743"/>
              <w:tab w:val="right" w:pos="9026" w:leader="dot"/>
            </w:tabs>
            <w:rPr/>
          </w:pPr>
          <w:hyperlink w:anchor="__RefHeading___Toc12020073_1280447820">
            <w:r>
              <w:rPr>
                <w:webHidden/>
                <w:rStyle w:val="IndexLink"/>
                <w:rtl w:val="true"/>
              </w:rPr>
              <w:t>الخامس</w:t>
            </w:r>
            <w:r>
              <w:rPr>
                <w:rStyle w:val="IndexLink"/>
                <w:rtl w:val="true"/>
              </w:rPr>
              <w:t xml:space="preserve">: </w:t>
            </w:r>
            <w:r>
              <w:rPr>
                <w:rStyle w:val="IndexLink"/>
                <w:rtl w:val="true"/>
              </w:rPr>
              <w:t>مذاق الشرع</w:t>
            </w:r>
            <w:r>
              <w:rPr>
                <w:rStyle w:val="IndexLink"/>
                <w:rtl w:val="true"/>
              </w:rPr>
              <w:tab/>
            </w:r>
            <w:r>
              <w:rPr>
                <w:rStyle w:val="IndexLink"/>
              </w:rPr>
              <w:t>82</w:t>
            </w:r>
          </w:hyperlink>
        </w:p>
        <w:p>
          <w:pPr>
            <w:pStyle w:val="Contents2"/>
            <w:tabs>
              <w:tab w:val="clear" w:pos="8743"/>
              <w:tab w:val="right" w:pos="9026" w:leader="dot"/>
            </w:tabs>
            <w:rPr/>
          </w:pPr>
          <w:hyperlink w:anchor="__RefHeading___Toc12020075_1280447820">
            <w:r>
              <w:rPr>
                <w:webHidden/>
                <w:rStyle w:val="IndexLink"/>
                <w:rtl w:val="true"/>
              </w:rPr>
              <w:t>السادس</w:t>
            </w:r>
            <w:r>
              <w:rPr>
                <w:rStyle w:val="IndexLink"/>
                <w:rtl w:val="true"/>
              </w:rPr>
              <w:t xml:space="preserve">: </w:t>
            </w:r>
            <w:r>
              <w:rPr>
                <w:rStyle w:val="IndexLink"/>
                <w:rtl w:val="true"/>
              </w:rPr>
              <w:t>مقاصد الشریعة</w:t>
            </w:r>
            <w:r>
              <w:rPr>
                <w:rStyle w:val="IndexLink"/>
                <w:rtl w:val="true"/>
              </w:rPr>
              <w:tab/>
            </w:r>
            <w:r>
              <w:rPr>
                <w:rStyle w:val="IndexLink"/>
              </w:rPr>
              <w:t>83</w:t>
            </w:r>
          </w:hyperlink>
        </w:p>
        <w:p>
          <w:pPr>
            <w:pStyle w:val="Contents2"/>
            <w:tabs>
              <w:tab w:val="clear" w:pos="8743"/>
              <w:tab w:val="right" w:pos="9026" w:leader="dot"/>
            </w:tabs>
            <w:rPr/>
          </w:pPr>
          <w:hyperlink w:anchor="__RefHeading___Toc12020077_1280447820">
            <w:r>
              <w:rPr>
                <w:webHidden/>
                <w:rStyle w:val="IndexLink"/>
                <w:rtl w:val="true"/>
              </w:rPr>
              <w:t>المقدّمة الثالثة فی تنافی الدّلیلین</w:t>
            </w:r>
            <w:r>
              <w:rPr>
                <w:rStyle w:val="IndexLink"/>
                <w:rtl w:val="true"/>
              </w:rPr>
              <w:tab/>
            </w:r>
            <w:r>
              <w:rPr>
                <w:rStyle w:val="IndexLink"/>
              </w:rPr>
              <w:t>85</w:t>
            </w:r>
          </w:hyperlink>
        </w:p>
        <w:p>
          <w:pPr>
            <w:pStyle w:val="Contents2"/>
            <w:tabs>
              <w:tab w:val="clear" w:pos="8743"/>
              <w:tab w:val="right" w:pos="9026" w:leader="dot"/>
            </w:tabs>
            <w:rPr/>
          </w:pPr>
          <w:hyperlink w:anchor="__RefHeading___Toc12020079_1280447820">
            <w:r>
              <w:rPr>
                <w:webHidden/>
                <w:rStyle w:val="IndexLink"/>
                <w:rtl w:val="true"/>
              </w:rPr>
              <w:t>الکلام فی أقسام التنافی بین الدّلیلین</w:t>
            </w:r>
            <w:r>
              <w:rPr>
                <w:rStyle w:val="IndexLink"/>
                <w:rtl w:val="true"/>
              </w:rPr>
              <w:tab/>
            </w:r>
            <w:r>
              <w:rPr>
                <w:rStyle w:val="IndexLink"/>
              </w:rPr>
              <w:t>88</w:t>
            </w:r>
          </w:hyperlink>
        </w:p>
        <w:p>
          <w:pPr>
            <w:pStyle w:val="Contents2"/>
            <w:tabs>
              <w:tab w:val="clear" w:pos="8743"/>
              <w:tab w:val="right" w:pos="9026" w:leader="dot"/>
            </w:tabs>
            <w:rPr/>
          </w:pPr>
          <w:hyperlink w:anchor="__RefHeading___Toc12020081_1280447820">
            <w:r>
              <w:rPr>
                <w:webHidden/>
                <w:rStyle w:val="IndexLink"/>
                <w:rtl w:val="true"/>
              </w:rPr>
              <w:t>الصورة الأولی</w:t>
            </w:r>
            <w:r>
              <w:rPr>
                <w:rStyle w:val="IndexLink"/>
                <w:rtl w:val="true"/>
              </w:rPr>
              <w:t xml:space="preserve">: </w:t>
            </w:r>
            <w:r>
              <w:rPr>
                <w:rStyle w:val="IndexLink"/>
                <w:rtl w:val="true"/>
              </w:rPr>
              <w:t>التنافی بین الإستصحاب و البرائة</w:t>
            </w:r>
            <w:r>
              <w:rPr>
                <w:rStyle w:val="IndexLink"/>
                <w:rtl w:val="true"/>
              </w:rPr>
              <w:t>.</w:t>
              <w:tab/>
            </w:r>
            <w:r>
              <w:rPr>
                <w:rStyle w:val="IndexLink"/>
              </w:rPr>
              <w:t>90</w:t>
            </w:r>
          </w:hyperlink>
        </w:p>
        <w:p>
          <w:pPr>
            <w:pStyle w:val="Contents2"/>
            <w:tabs>
              <w:tab w:val="clear" w:pos="8743"/>
              <w:tab w:val="right" w:pos="9026" w:leader="dot"/>
            </w:tabs>
            <w:rPr/>
          </w:pPr>
          <w:hyperlink w:anchor="__RefHeading___Toc12020083_1280447820">
            <w:r>
              <w:rPr>
                <w:webHidden/>
                <w:rStyle w:val="IndexLink"/>
                <w:rtl w:val="true"/>
              </w:rPr>
              <w:t>الصورة الثانیة</w:t>
            </w:r>
            <w:r>
              <w:rPr>
                <w:rStyle w:val="IndexLink"/>
                <w:rtl w:val="true"/>
              </w:rPr>
              <w:t xml:space="preserve">: </w:t>
            </w:r>
            <w:r>
              <w:rPr>
                <w:rStyle w:val="IndexLink"/>
                <w:rtl w:val="true"/>
              </w:rPr>
              <w:t>التنافی بین الإستصحاب و الإحتیاط</w:t>
            </w:r>
            <w:r>
              <w:rPr>
                <w:rStyle w:val="IndexLink"/>
                <w:rtl w:val="true"/>
              </w:rPr>
              <w:t>.</w:t>
              <w:tab/>
            </w:r>
            <w:r>
              <w:rPr>
                <w:rStyle w:val="IndexLink"/>
              </w:rPr>
              <w:t>90</w:t>
            </w:r>
          </w:hyperlink>
        </w:p>
        <w:p>
          <w:pPr>
            <w:pStyle w:val="Contents2"/>
            <w:tabs>
              <w:tab w:val="clear" w:pos="8743"/>
              <w:tab w:val="right" w:pos="9026" w:leader="dot"/>
            </w:tabs>
            <w:rPr/>
          </w:pPr>
          <w:hyperlink w:anchor="__RefHeading___Toc12020085_1280447820">
            <w:r>
              <w:rPr>
                <w:webHidden/>
                <w:rStyle w:val="IndexLink"/>
                <w:rtl w:val="true"/>
              </w:rPr>
              <w:t>الصورة الثالثة</w:t>
            </w:r>
            <w:r>
              <w:rPr>
                <w:rStyle w:val="IndexLink"/>
                <w:rtl w:val="true"/>
              </w:rPr>
              <w:t xml:space="preserve">: </w:t>
            </w:r>
            <w:r>
              <w:rPr>
                <w:rStyle w:val="IndexLink"/>
                <w:rtl w:val="true"/>
              </w:rPr>
              <w:t>التنافی بین الإستصحاب و التخییر</w:t>
            </w:r>
            <w:r>
              <w:rPr>
                <w:rStyle w:val="IndexLink"/>
                <w:rtl w:val="true"/>
              </w:rPr>
              <w:t>.</w:t>
              <w:tab/>
            </w:r>
            <w:r>
              <w:rPr>
                <w:rStyle w:val="IndexLink"/>
              </w:rPr>
              <w:t>91</w:t>
            </w:r>
          </w:hyperlink>
        </w:p>
        <w:p>
          <w:pPr>
            <w:pStyle w:val="Contents2"/>
            <w:tabs>
              <w:tab w:val="clear" w:pos="8743"/>
              <w:tab w:val="right" w:pos="9026" w:leader="dot"/>
            </w:tabs>
            <w:rPr/>
          </w:pPr>
          <w:hyperlink w:anchor="__RefHeading___Toc12020087_1280447820">
            <w:r>
              <w:rPr>
                <w:webHidden/>
                <w:rStyle w:val="IndexLink"/>
                <w:rtl w:val="true"/>
              </w:rPr>
              <w:t>ذی المقدّمة فی طریق الإستنباط</w:t>
            </w:r>
            <w:r>
              <w:rPr>
                <w:rStyle w:val="IndexLink"/>
                <w:rtl w:val="true"/>
              </w:rPr>
              <w:tab/>
            </w:r>
            <w:r>
              <w:rPr>
                <w:rStyle w:val="IndexLink"/>
              </w:rPr>
              <w:t>95</w:t>
            </w:r>
          </w:hyperlink>
        </w:p>
        <w:p>
          <w:pPr>
            <w:pStyle w:val="Contents2"/>
            <w:tabs>
              <w:tab w:val="clear" w:pos="8743"/>
              <w:tab w:val="right" w:pos="9026" w:leader="dot"/>
            </w:tabs>
            <w:rPr/>
          </w:pPr>
          <w:hyperlink w:anchor="__RefHeading___Toc12020089_1280447820">
            <w:r>
              <w:rPr>
                <w:webHidden/>
                <w:rStyle w:val="IndexLink"/>
                <w:rtl w:val="true"/>
              </w:rPr>
              <w:t>المرحلة الأولی</w:t>
            </w:r>
            <w:r>
              <w:rPr>
                <w:rStyle w:val="IndexLink"/>
                <w:rtl w:val="true"/>
              </w:rPr>
              <w:t xml:space="preserve">: </w:t>
            </w:r>
            <w:r>
              <w:rPr>
                <w:rStyle w:val="IndexLink"/>
                <w:rtl w:val="true"/>
              </w:rPr>
              <w:t>معرفة الموضوع</w:t>
            </w:r>
            <w:r>
              <w:rPr>
                <w:rStyle w:val="IndexLink"/>
                <w:rtl w:val="true"/>
              </w:rPr>
              <w:tab/>
            </w:r>
            <w:r>
              <w:rPr>
                <w:rStyle w:val="IndexLink"/>
              </w:rPr>
              <w:t>97</w:t>
            </w:r>
          </w:hyperlink>
        </w:p>
        <w:p>
          <w:pPr>
            <w:pStyle w:val="Contents2"/>
            <w:tabs>
              <w:tab w:val="clear" w:pos="8743"/>
              <w:tab w:val="right" w:pos="9026" w:leader="dot"/>
            </w:tabs>
            <w:rPr/>
          </w:pPr>
          <w:hyperlink w:anchor="__RefHeading___Toc12020091_1280447820">
            <w:r>
              <w:rPr>
                <w:webHidden/>
                <w:rStyle w:val="IndexLink"/>
                <w:rtl w:val="true"/>
              </w:rPr>
              <w:t>المقام الأوّل</w:t>
            </w:r>
            <w:r>
              <w:rPr>
                <w:rStyle w:val="IndexLink"/>
                <w:rtl w:val="true"/>
              </w:rPr>
              <w:t xml:space="preserve">: </w:t>
            </w:r>
            <w:r>
              <w:rPr>
                <w:rStyle w:val="IndexLink"/>
                <w:rtl w:val="true"/>
              </w:rPr>
              <w:t>تعریف الموضوع</w:t>
            </w:r>
            <w:r>
              <w:rPr>
                <w:rStyle w:val="IndexLink"/>
                <w:rtl w:val="true"/>
              </w:rPr>
              <w:tab/>
            </w:r>
            <w:r>
              <w:rPr>
                <w:rStyle w:val="IndexLink"/>
              </w:rPr>
              <w:t>98</w:t>
            </w:r>
          </w:hyperlink>
        </w:p>
        <w:p>
          <w:pPr>
            <w:pStyle w:val="Contents2"/>
            <w:tabs>
              <w:tab w:val="clear" w:pos="8743"/>
              <w:tab w:val="right" w:pos="9026" w:leader="dot"/>
            </w:tabs>
            <w:rPr/>
          </w:pPr>
          <w:hyperlink w:anchor="__RefHeading___Toc12020093_1280447820">
            <w:r>
              <w:rPr>
                <w:webHidden/>
                <w:rStyle w:val="IndexLink"/>
                <w:rtl w:val="true"/>
              </w:rPr>
              <w:t>المقام الثانی</w:t>
            </w:r>
            <w:r>
              <w:rPr>
                <w:rStyle w:val="IndexLink"/>
                <w:rtl w:val="true"/>
              </w:rPr>
              <w:t xml:space="preserve">: </w:t>
            </w:r>
            <w:r>
              <w:rPr>
                <w:rStyle w:val="IndexLink"/>
                <w:rtl w:val="true"/>
              </w:rPr>
              <w:t>أقسام الموضوع بالمعنی الأعمّ</w:t>
            </w:r>
            <w:r>
              <w:rPr>
                <w:rStyle w:val="IndexLink"/>
                <w:rtl w:val="true"/>
              </w:rPr>
              <w:tab/>
            </w:r>
            <w:r>
              <w:rPr>
                <w:rStyle w:val="IndexLink"/>
              </w:rPr>
              <w:t>99</w:t>
            </w:r>
          </w:hyperlink>
        </w:p>
        <w:p>
          <w:pPr>
            <w:pStyle w:val="Contents2"/>
            <w:tabs>
              <w:tab w:val="clear" w:pos="8743"/>
              <w:tab w:val="right" w:pos="9026" w:leader="dot"/>
            </w:tabs>
            <w:rPr/>
          </w:pPr>
          <w:hyperlink w:anchor="__RefHeading___Toc12020095_1280447820">
            <w:r>
              <w:rPr>
                <w:webHidden/>
                <w:rStyle w:val="IndexLink"/>
                <w:rtl w:val="true"/>
              </w:rPr>
              <w:t>تطبیقاتٌ</w:t>
            </w:r>
            <w:r>
              <w:rPr>
                <w:rStyle w:val="IndexLink"/>
                <w:rtl w:val="true"/>
              </w:rPr>
              <w:t>:</w:t>
              <w:tab/>
            </w:r>
            <w:r>
              <w:rPr>
                <w:rStyle w:val="IndexLink"/>
              </w:rPr>
              <w:t>101</w:t>
            </w:r>
          </w:hyperlink>
        </w:p>
        <w:p>
          <w:pPr>
            <w:pStyle w:val="Contents2"/>
            <w:tabs>
              <w:tab w:val="clear" w:pos="8743"/>
              <w:tab w:val="right" w:pos="9026" w:leader="dot"/>
            </w:tabs>
            <w:rPr/>
          </w:pPr>
          <w:hyperlink w:anchor="__RefHeading___Toc12020097_1280447820">
            <w:r>
              <w:rPr>
                <w:webHidden/>
                <w:rStyle w:val="IndexLink"/>
                <w:rtl w:val="true"/>
              </w:rPr>
              <w:t>المرحلة الثانیة</w:t>
            </w:r>
            <w:r>
              <w:rPr>
                <w:rStyle w:val="IndexLink"/>
                <w:rtl w:val="true"/>
              </w:rPr>
              <w:t xml:space="preserve">: </w:t>
            </w:r>
            <w:r>
              <w:rPr>
                <w:rStyle w:val="IndexLink"/>
                <w:rtl w:val="true"/>
              </w:rPr>
              <w:t>الرجوع إلی آیات الأحکام</w:t>
            </w:r>
            <w:r>
              <w:rPr>
                <w:rStyle w:val="IndexLink"/>
                <w:rtl w:val="true"/>
              </w:rPr>
              <w:tab/>
            </w:r>
            <w:r>
              <w:rPr>
                <w:rStyle w:val="IndexLink"/>
              </w:rPr>
              <w:t>113</w:t>
            </w:r>
          </w:hyperlink>
        </w:p>
        <w:p>
          <w:pPr>
            <w:pStyle w:val="Contents2"/>
            <w:tabs>
              <w:tab w:val="clear" w:pos="8743"/>
              <w:tab w:val="right" w:pos="9026" w:leader="dot"/>
            </w:tabs>
            <w:rPr/>
          </w:pPr>
          <w:hyperlink w:anchor="__RefHeading___Toc12020099_1280447820">
            <w:r>
              <w:rPr>
                <w:webHidden/>
                <w:rStyle w:val="IndexLink"/>
                <w:rtl w:val="true"/>
              </w:rPr>
              <w:t>تنبیه فی مقدار وجوب التفحص</w:t>
            </w:r>
            <w:r>
              <w:rPr>
                <w:rStyle w:val="IndexLink"/>
                <w:rtl w:val="true"/>
              </w:rPr>
              <w:t>:</w:t>
              <w:tab/>
            </w:r>
            <w:r>
              <w:rPr>
                <w:rStyle w:val="IndexLink"/>
              </w:rPr>
              <w:t>113</w:t>
            </w:r>
          </w:hyperlink>
        </w:p>
        <w:p>
          <w:pPr>
            <w:pStyle w:val="Contents2"/>
            <w:tabs>
              <w:tab w:val="clear" w:pos="8743"/>
              <w:tab w:val="right" w:pos="9026" w:leader="dot"/>
            </w:tabs>
            <w:rPr/>
          </w:pPr>
          <w:hyperlink w:anchor="__RefHeading___Toc12020101_1280447820">
            <w:r>
              <w:rPr>
                <w:webHidden/>
                <w:rStyle w:val="IndexLink"/>
                <w:rtl w:val="true"/>
              </w:rPr>
              <w:t>تطبیقاتٌ</w:t>
            </w:r>
            <w:r>
              <w:rPr>
                <w:rStyle w:val="IndexLink"/>
                <w:rtl w:val="true"/>
              </w:rPr>
              <w:t>:</w:t>
              <w:tab/>
            </w:r>
            <w:r>
              <w:rPr>
                <w:rStyle w:val="IndexLink"/>
              </w:rPr>
              <w:t>120</w:t>
            </w:r>
          </w:hyperlink>
        </w:p>
        <w:p>
          <w:pPr>
            <w:pStyle w:val="Contents2"/>
            <w:tabs>
              <w:tab w:val="clear" w:pos="8743"/>
              <w:tab w:val="right" w:pos="9026" w:leader="dot"/>
            </w:tabs>
            <w:rPr/>
          </w:pPr>
          <w:hyperlink w:anchor="__RefHeading___Toc12020103_1280447820">
            <w:r>
              <w:rPr>
                <w:webHidden/>
                <w:rStyle w:val="IndexLink"/>
                <w:rtl w:val="true"/>
              </w:rPr>
              <w:t>المرحلة الثالثة</w:t>
            </w:r>
            <w:r>
              <w:rPr>
                <w:rStyle w:val="IndexLink"/>
                <w:rtl w:val="true"/>
              </w:rPr>
              <w:t xml:space="preserve">: </w:t>
            </w:r>
            <w:r>
              <w:rPr>
                <w:rStyle w:val="IndexLink"/>
                <w:rtl w:val="true"/>
              </w:rPr>
              <w:t>الرجوع إلی الروایات</w:t>
            </w:r>
            <w:r>
              <w:rPr>
                <w:rStyle w:val="IndexLink"/>
                <w:rtl w:val="true"/>
              </w:rPr>
              <w:tab/>
            </w:r>
            <w:r>
              <w:rPr>
                <w:rStyle w:val="IndexLink"/>
              </w:rPr>
              <w:t>125</w:t>
            </w:r>
          </w:hyperlink>
        </w:p>
        <w:p>
          <w:pPr>
            <w:pStyle w:val="Contents2"/>
            <w:tabs>
              <w:tab w:val="clear" w:pos="8743"/>
              <w:tab w:val="right" w:pos="9026" w:leader="dot"/>
            </w:tabs>
            <w:rPr/>
          </w:pPr>
          <w:hyperlink w:anchor="__RefHeading___Toc12020105_1280447820">
            <w:r>
              <w:rPr>
                <w:webHidden/>
                <w:rStyle w:val="IndexLink"/>
                <w:rtl w:val="true"/>
              </w:rPr>
              <w:t>تطبیقاتٌ</w:t>
            </w:r>
            <w:r>
              <w:rPr>
                <w:rStyle w:val="IndexLink"/>
                <w:rtl w:val="true"/>
              </w:rPr>
              <w:t>:</w:t>
              <w:tab/>
            </w:r>
            <w:r>
              <w:rPr>
                <w:rStyle w:val="IndexLink"/>
              </w:rPr>
              <w:t>126</w:t>
            </w:r>
          </w:hyperlink>
        </w:p>
        <w:p>
          <w:pPr>
            <w:pStyle w:val="Contents2"/>
            <w:tabs>
              <w:tab w:val="clear" w:pos="8743"/>
              <w:tab w:val="right" w:pos="9026" w:leader="dot"/>
            </w:tabs>
            <w:rPr/>
          </w:pPr>
          <w:hyperlink w:anchor="__RefHeading___Toc12020107_1280447820">
            <w:r>
              <w:rPr>
                <w:webHidden/>
                <w:rStyle w:val="IndexLink"/>
                <w:rtl w:val="true"/>
              </w:rPr>
              <w:t>المرحلة الرابعة</w:t>
            </w:r>
            <w:r>
              <w:rPr>
                <w:rStyle w:val="IndexLink"/>
                <w:rtl w:val="true"/>
              </w:rPr>
              <w:t xml:space="preserve">: </w:t>
            </w:r>
            <w:r>
              <w:rPr>
                <w:rStyle w:val="IndexLink"/>
                <w:rtl w:val="true"/>
              </w:rPr>
              <w:t>الرجوع إلی الإجماعات</w:t>
            </w:r>
            <w:r>
              <w:rPr>
                <w:rStyle w:val="IndexLink"/>
                <w:rtl w:val="true"/>
              </w:rPr>
              <w:tab/>
            </w:r>
            <w:r>
              <w:rPr>
                <w:rStyle w:val="IndexLink"/>
              </w:rPr>
              <w:t>131</w:t>
            </w:r>
          </w:hyperlink>
        </w:p>
        <w:p>
          <w:pPr>
            <w:pStyle w:val="Contents2"/>
            <w:tabs>
              <w:tab w:val="clear" w:pos="8743"/>
              <w:tab w:val="right" w:pos="9026" w:leader="dot"/>
            </w:tabs>
            <w:rPr/>
          </w:pPr>
          <w:hyperlink w:anchor="__RefHeading___Toc12020109_1280447820">
            <w:r>
              <w:rPr>
                <w:webHidden/>
                <w:rStyle w:val="IndexLink"/>
                <w:rtl w:val="true"/>
              </w:rPr>
              <w:t>تطبیقاتٌ</w:t>
            </w:r>
            <w:r>
              <w:rPr>
                <w:rStyle w:val="IndexLink"/>
                <w:rtl w:val="true"/>
              </w:rPr>
              <w:t>:</w:t>
              <w:tab/>
            </w:r>
            <w:r>
              <w:rPr>
                <w:rStyle w:val="IndexLink"/>
              </w:rPr>
              <w:t>131</w:t>
            </w:r>
          </w:hyperlink>
        </w:p>
        <w:p>
          <w:pPr>
            <w:pStyle w:val="Contents2"/>
            <w:tabs>
              <w:tab w:val="clear" w:pos="8743"/>
              <w:tab w:val="right" w:pos="9026" w:leader="dot"/>
            </w:tabs>
            <w:rPr/>
          </w:pPr>
          <w:hyperlink w:anchor="__RefHeading___Toc12020111_1280447820">
            <w:r>
              <w:rPr>
                <w:webHidden/>
                <w:rStyle w:val="IndexLink"/>
                <w:rtl w:val="true"/>
              </w:rPr>
              <w:t>المرحلة الخامسة</w:t>
            </w:r>
            <w:r>
              <w:rPr>
                <w:rStyle w:val="IndexLink"/>
                <w:rtl w:val="true"/>
              </w:rPr>
              <w:t xml:space="preserve">: </w:t>
            </w:r>
            <w:r>
              <w:rPr>
                <w:rStyle w:val="IndexLink"/>
                <w:rtl w:val="true"/>
              </w:rPr>
              <w:t>الرجوع إلی العقل</w:t>
            </w:r>
            <w:r>
              <w:rPr>
                <w:rStyle w:val="IndexLink"/>
                <w:rtl w:val="true"/>
              </w:rPr>
              <w:tab/>
            </w:r>
            <w:r>
              <w:rPr>
                <w:rStyle w:val="IndexLink"/>
              </w:rPr>
              <w:t>134</w:t>
            </w:r>
          </w:hyperlink>
        </w:p>
        <w:p>
          <w:pPr>
            <w:pStyle w:val="Contents2"/>
            <w:tabs>
              <w:tab w:val="clear" w:pos="8743"/>
              <w:tab w:val="right" w:pos="9026" w:leader="dot"/>
            </w:tabs>
            <w:rPr/>
          </w:pPr>
          <w:hyperlink w:anchor="__RefHeading___Toc12020113_1280447820">
            <w:r>
              <w:rPr>
                <w:webHidden/>
                <w:rStyle w:val="IndexLink"/>
                <w:rtl w:val="true"/>
              </w:rPr>
              <w:t>تطبیقاتٌ</w:t>
            </w:r>
            <w:r>
              <w:rPr>
                <w:rStyle w:val="IndexLink"/>
                <w:rtl w:val="true"/>
              </w:rPr>
              <w:t>:</w:t>
              <w:tab/>
            </w:r>
            <w:r>
              <w:rPr>
                <w:rStyle w:val="IndexLink"/>
              </w:rPr>
              <w:t>135</w:t>
            </w:r>
          </w:hyperlink>
        </w:p>
        <w:p>
          <w:pPr>
            <w:pStyle w:val="Contents2"/>
            <w:tabs>
              <w:tab w:val="clear" w:pos="8743"/>
              <w:tab w:val="right" w:pos="9026" w:leader="dot"/>
            </w:tabs>
            <w:rPr/>
          </w:pPr>
          <w:hyperlink w:anchor="__RefHeading___Toc12020115_1280447820">
            <w:r>
              <w:rPr>
                <w:webHidden/>
                <w:rStyle w:val="IndexLink"/>
                <w:rtl w:val="true"/>
              </w:rPr>
              <w:t>المرحلة السادسة</w:t>
            </w:r>
            <w:r>
              <w:rPr>
                <w:rStyle w:val="IndexLink"/>
                <w:rtl w:val="true"/>
              </w:rPr>
              <w:t xml:space="preserve">: </w:t>
            </w:r>
            <w:r>
              <w:rPr>
                <w:rStyle w:val="IndexLink"/>
                <w:rtl w:val="true"/>
              </w:rPr>
              <w:t>الرجوع إلی الأصول العملیّة</w:t>
            </w:r>
            <w:r>
              <w:rPr>
                <w:rStyle w:val="IndexLink"/>
                <w:rtl w:val="true"/>
              </w:rPr>
              <w:tab/>
            </w:r>
            <w:r>
              <w:rPr>
                <w:rStyle w:val="IndexLink"/>
              </w:rPr>
              <w:t>137</w:t>
            </w:r>
          </w:hyperlink>
        </w:p>
        <w:p>
          <w:pPr>
            <w:pStyle w:val="Contents2"/>
            <w:tabs>
              <w:tab w:val="clear" w:pos="8743"/>
              <w:tab w:val="right" w:pos="9026" w:leader="dot"/>
            </w:tabs>
            <w:rPr/>
          </w:pPr>
          <w:hyperlink w:anchor="__RefHeading___Toc12020117_1280447820">
            <w:r>
              <w:rPr>
                <w:webHidden/>
                <w:rStyle w:val="IndexLink"/>
                <w:rtl w:val="true"/>
              </w:rPr>
              <w:t>تطبیقاتٌ</w:t>
            </w:r>
            <w:r>
              <w:rPr>
                <w:rStyle w:val="IndexLink"/>
                <w:rtl w:val="true"/>
              </w:rPr>
              <w:t>:</w:t>
              <w:tab/>
            </w:r>
            <w:r>
              <w:rPr>
                <w:rStyle w:val="IndexLink"/>
              </w:rPr>
              <w:t>137</w:t>
            </w:r>
          </w:hyperlink>
        </w:p>
        <w:p>
          <w:pPr>
            <w:pStyle w:val="Contents2"/>
            <w:tabs>
              <w:tab w:val="clear" w:pos="8743"/>
              <w:tab w:val="right" w:pos="9026" w:leader="dot"/>
            </w:tabs>
            <w:rPr/>
          </w:pPr>
          <w:hyperlink w:anchor="__RefHeading___Toc12020119_1280447820">
            <w:r>
              <w:rPr>
                <w:webHidden/>
                <w:rStyle w:val="IndexLink"/>
                <w:rtl w:val="true"/>
              </w:rPr>
              <w:t>مصادر التحقیق</w:t>
            </w:r>
            <w:r>
              <w:rPr>
                <w:rStyle w:val="IndexLink"/>
                <w:rtl w:val="true"/>
              </w:rPr>
              <w:t>:</w:t>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46_227678"/>
      <w:bookmarkStart w:id="1" w:name="pg16646_227678"/>
      <w:bookmarkEnd w:id="1"/>
    </w:p>
    <w:p>
      <w:pPr>
        <w:pStyle w:val="Heading2"/>
        <w:numPr>
          <w:ilvl w:val="1"/>
          <w:numId w:val="1"/>
        </w:numPr>
        <w:rPr/>
      </w:pPr>
      <w:bookmarkStart w:id="2" w:name="pg16646_227678"/>
      <w:bookmarkStart w:id="3" w:name="__RefHeading___Toc12019939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علوی‌تبار، سبحان،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مصباح‌المستنبط فی طریق‌الاستنباط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علوی‌تبار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عشق،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91910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p>
    <w:p>
      <w:pPr>
        <w:pStyle w:val="BookText"/>
        <w:rPr/>
      </w:pPr>
      <w:r>
        <w:rPr>
          <w:rFonts w:eastAsia="Times New Roman" w:cs="Times New Roman" w:ascii="Times New Roman" w:hAnsi="Times New Roman"/>
          <w:color w:val="111111"/>
          <w:sz w:val="28"/>
          <w:szCs w:val="28"/>
          <w:lang w:val="en-US" w:bidi="en-US"/>
        </w:rPr>
        <w:t>Islamic law -- Interpretation and construction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9847276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1994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مصباح المستنبط</w:t>
      </w:r>
    </w:p>
    <w:p>
      <w:pPr>
        <w:pStyle w:val="BookText"/>
        <w:rPr/>
      </w:pPr>
      <w:r>
        <w:rPr>
          <w:rFonts w:ascii="IRNazanin" w:hAnsi="IRNazanin" w:eastAsia="IRNazanin"/>
          <w:color w:val="111111"/>
          <w:sz w:val="28"/>
          <w:sz w:val="28"/>
          <w:szCs w:val="28"/>
          <w:rtl w:val="true"/>
          <w:lang w:bidi="fa-IR"/>
        </w:rPr>
        <w:t>فی طریق الاستنباط</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سبحان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 تبار </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16646_227682"/>
    </w:p>
    <w:p>
      <w:pPr>
        <w:pStyle w:val="Heading2"/>
        <w:numPr>
          <w:ilvl w:val="1"/>
          <w:numId w:val="1"/>
        </w:numPr>
        <w:rPr/>
      </w:pPr>
      <w:bookmarkStart w:id="8" w:name="__RefHeading___Toc12019943_12804478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الراية المحمّدية،</w:t>
      </w:r>
    </w:p>
    <w:p>
      <w:pPr>
        <w:pStyle w:val="BookText"/>
        <w:rPr/>
      </w:pPr>
      <w:r>
        <w:rPr>
          <w:rFonts w:ascii="Amiri" w:hAnsi="Amiri" w:eastAsia="Amiri" w:cs="Amiri"/>
          <w:color w:val="111111"/>
          <w:sz w:val="28"/>
          <w:sz w:val="28"/>
          <w:szCs w:val="28"/>
          <w:rtl w:val="true"/>
          <w:lang w:bidi="ar-SA"/>
        </w:rPr>
        <w:t>و الصولة الحيدرية،</w:t>
      </w:r>
    </w:p>
    <w:p>
      <w:pPr>
        <w:pStyle w:val="BookText"/>
        <w:rPr/>
      </w:pPr>
      <w:r>
        <w:rPr>
          <w:rFonts w:ascii="Amiri" w:hAnsi="Amiri" w:eastAsia="Amiri" w:cs="Amiri"/>
          <w:color w:val="111111"/>
          <w:sz w:val="28"/>
          <w:sz w:val="28"/>
          <w:szCs w:val="28"/>
          <w:rtl w:val="true"/>
          <w:lang w:bidi="ar-SA"/>
        </w:rPr>
        <w:t>و الطريقة الجعفرية،</w:t>
      </w:r>
    </w:p>
    <w:p>
      <w:pPr>
        <w:pStyle w:val="BookText"/>
        <w:rPr/>
      </w:pPr>
      <w:r>
        <w:rPr>
          <w:rFonts w:ascii="Amiri" w:hAnsi="Amiri" w:eastAsia="Amiri" w:cs="Amiri"/>
          <w:color w:val="111111"/>
          <w:sz w:val="28"/>
          <w:sz w:val="28"/>
          <w:szCs w:val="28"/>
          <w:rtl w:val="true"/>
          <w:lang w:bidi="ar-SA"/>
        </w:rPr>
        <w:t>يا بقية اللّه الأعظم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أهدى إليك هذه الرسالة الّتی هی أوّل تألیفی</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646_227684"/>
      <w:bookmarkStart w:id="11" w:name="pg16646_227684"/>
      <w:bookmarkEnd w:id="11"/>
    </w:p>
    <w:p>
      <w:pPr>
        <w:pStyle w:val="Heading2"/>
        <w:numPr>
          <w:ilvl w:val="1"/>
          <w:numId w:val="1"/>
        </w:numPr>
        <w:rPr/>
      </w:pPr>
      <w:bookmarkStart w:id="12" w:name="pg16646_227684"/>
      <w:bookmarkStart w:id="13" w:name="__RefHeading___Toc12019945_1280447820"/>
      <w:bookmarkStart w:id="14" w:name="_Toc4"/>
      <w:bookmarkEnd w:id="12"/>
      <w:bookmarkEnd w:id="13"/>
      <w:r>
        <w:rPr>
          <w:rtl w:val="true"/>
        </w:rPr>
        <w:t>الفهرس</w:t>
      </w:r>
      <w:bookmarkEnd w:id="14"/>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646_227690"/>
      <w:bookmarkStart w:id="16" w:name="pg16646_227690"/>
      <w:bookmarkEnd w:id="1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16646_227690"/>
      <w:bookmarkStart w:id="18" w:name="__RefHeading___Toc12019947_1280447820"/>
      <w:bookmarkStart w:id="19" w:name="_Toc5"/>
      <w:bookmarkEnd w:id="17"/>
      <w:bookmarkEnd w:id="18"/>
      <w:r>
        <w:rPr>
          <w:rtl w:val="true"/>
        </w:rPr>
        <w:t>المدخل</w:t>
      </w:r>
      <w:bookmarkEnd w:id="1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 صلى الله على أکمل نفس إنسانیة محمّد المصطفی، و علی عترته الأبرار و ذرّیته الأخیار و سلّم تسلیماً، و لعنة اللّه على أعدائهم أجمعين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یستفاد الاجتهاد الشرعي قيمته من أهمية الغاية المتوخاة من تشريعه، و من أهمية المرمى الذي يهدف إليه الشارع من الدعوة إليه، و الإلزام به، كما في أمثال آية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إحساس الحاجة إلي علم الأصول فى الاجتهاد ممّا لا يكاد يخفى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الأحكام الشرعيّة ليست من الأمور الضروريّة الّتى لا يحتاج اثباتها إلى الدليل، بل انّما هى أمور نظريّة دقيقة يتوقّف تحصيلها على الدليل و البرهان، و المتكفّل لأدلّة الأحكام و براهينها من الحجج و الامارات و غيرهما ممّا يؤدّى إلى معرفة الأحكام الشرعيّة، هو علم أصول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من حكم نظرى، إلّا و يستنبط من تلك الأدلّة، فعلى الفقيه أن يتقنها و يحصّلها بالنظر و الإجتهاد، لأنّها لو كانت تقليديّة لأدّى إلى التّقليد فى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صحّ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دور علم الأصول بالنسبة إلى الإستدلال الفقهي يشابه دور علم المنطق بالنسبة إلى الاستدلال بوجه عامّ، حيث إنّ علم المنطق يزوّد الاستدلال بوجه عامّ بالعناصر المشتركة التي لا تختصّ بباب من أبواب التفكير دون باب، و علم الاصول يزوّد الاستدلال الفقهي خاصّة بالعناصر المشتركة التي لا تختصّ بباب من أبواب الفقه دون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یطلق عنوان الفقیه علی کلّ متکفّل لإستنباط الحکم الشرعی، إلّا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طریق و منهج إجتهادیّ و استنبط الأحکام الشرعیّة فی کلّ أبواب الفقه، علی نهج واحد؛ فهل يمكن للفقيه أن يكون فقيهاً، ولكن ليس لهمنهج و یستنبط فی باب على منهج جماعة و فی باب آخر علی منهج جماعة أخری؟ فمثلاً یستنبط الأحکام فی باب الطهارة بأخبار الآحاد و و یطرد هذه الأخبار فی باب الحدود و القصاص؛ أم یختار طریقة الاجتهاد الصناعیّة فی مسألة و یختار طریقة تجمیع الظنون فی مسألة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عالماً بالطرق و المناهج؛ لأنّه یجب علی المستنبط، تتبّع أقوال الفقهاء و فهم آرائهم؛ فهل یمکن فهم آراء الشیخ الأعظم الأنصاری مثلاً لمن لا یعلم بأنّه یستنبط الحکم بالطریقة الصناعیّة أو تجمیع الظنون و کیف یستخرج القواعد عن النصوص و کیف یستنبط حرمة شیءٍ و جوازه؟</w:t>
      </w:r>
    </w:p>
    <w:p>
      <w:pPr>
        <w:pStyle w:val="BookText"/>
        <w:rPr/>
      </w:pPr>
      <w:r>
        <w:rPr>
          <w:rFonts w:ascii="IRNazanin" w:hAnsi="IRNazanin" w:eastAsia="IRNazanin"/>
          <w:color w:val="111111"/>
          <w:sz w:val="28"/>
          <w:sz w:val="28"/>
          <w:szCs w:val="28"/>
          <w:rtl w:val="true"/>
          <w:lang w:bidi="fa-IR"/>
        </w:rPr>
        <w:t>فتبیّن قوام الشریعة بالإجتهاد و قوام الإجتهاد بعلم الأصول و بالتالی شأن الطریقة و المنهج فی الإجتهاد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ملازمة بین تألیف هذه الرسالة و کون المؤلّف مستنبطاً؛ لأنّ الإستنباط یحتاج إلی الطریقة و المعلومات؛ و المتکفّل للثانی، هی الدروس </w:t>
      </w:r>
    </w:p>
    <w:p>
      <w:pPr>
        <w:pStyle w:val="BookText"/>
        <w:rPr/>
      </w:pPr>
      <w:r>
        <w:rPr>
          <w:rFonts w:ascii="IRNazanin" w:hAnsi="IRNazanin" w:eastAsia="IRNazanin"/>
          <w:color w:val="111111"/>
          <w:sz w:val="28"/>
          <w:sz w:val="28"/>
          <w:szCs w:val="28"/>
          <w:rtl w:val="true"/>
          <w:lang w:bidi="fa-IR"/>
        </w:rPr>
        <w:t>الخارج الاصول و أنا فاقدها و لکنّ الطریقة، یجب علی کلّ من یتدرّس المکاسب فی الحوزات العلمیّة، معرفة طریقة الشیخ الأعظم و إلّا لا یفهم ما یتدرّس 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لابدّ للمستنبط أن یکون صاحب الموادّ و الطریقة و لفهم المواد یجب علیه تعلیم العلوم المختلفة التی یأتی بیانها فی التنبیه الآتیة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تألیف هذه الرسالة معرفة الطریقة، و البحث عن المواد، إستطرادیٌّ</w:t>
      </w:r>
      <w:r>
        <w:rPr>
          <w:rFonts w:eastAsia="IRNazanin" w:cs="IRNazanin"/>
          <w:color w:val="111111"/>
          <w:sz w:val="28"/>
          <w:szCs w:val="28"/>
          <w:rtl w:val="true"/>
          <w:lang w:bidi="fa-IR"/>
        </w:rPr>
        <w:t xml:space="preserve">. </w:t>
      </w:r>
      <w:bookmarkStart w:id="20" w:name="pg16646_227695"/>
    </w:p>
    <w:p>
      <w:pPr>
        <w:pStyle w:val="Heading2"/>
        <w:numPr>
          <w:ilvl w:val="1"/>
          <w:numId w:val="1"/>
        </w:numPr>
        <w:rPr/>
      </w:pPr>
      <w:bookmarkStart w:id="21" w:name="__RefHeading___Toc12019949_1280447820"/>
      <w:bookmarkStart w:id="22" w:name="_Toc6"/>
      <w:bookmarkEnd w:id="20"/>
      <w:bookmarkEnd w:id="21"/>
      <w:r>
        <w:rPr>
          <w:rtl w:val="true"/>
        </w:rPr>
        <w:t>تنبیهٌ فی العلوم التي تعتبر مقدّمةً للإجتهاد</w:t>
      </w:r>
      <w:bookmarkEnd w:id="22"/>
    </w:p>
    <w:p>
      <w:pPr>
        <w:pStyle w:val="BookText"/>
        <w:rPr/>
      </w:pPr>
      <w:r>
        <w:rPr>
          <w:rFonts w:ascii="Amiri" w:hAnsi="Amiri" w:eastAsia="Amiri" w:cs="Amiri"/>
          <w:color w:val="111111"/>
          <w:sz w:val="28"/>
          <w:sz w:val="28"/>
          <w:szCs w:val="28"/>
          <w:rtl w:val="true"/>
          <w:lang w:bidi="ar-SA"/>
        </w:rPr>
        <w:t>إنّ العلوم الممهدّة للإجتهاد، وفي نظر المشهور من علماء الإسلام، أربعة عشر علماً، ويمكن إدراجها جميعاً في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الأدبيات العربية، العلوم العقلية، العلوم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بيان ضرورة تعلّم هذه العلوم كمقدّمة للاجتهاد، نبحث كلّ واحد منها بشكل مستقلّ</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2019951_1280447820"/>
      <w:bookmarkStart w:id="24" w:name="_Toc7"/>
      <w:bookmarkEnd w:id="23"/>
      <w:r>
        <w:rPr>
          <w:rtl w:val="true"/>
        </w:rPr>
        <w:t>أ</w:t>
      </w:r>
      <w:r>
        <w:rPr>
          <w:rtl w:val="true"/>
        </w:rPr>
        <w:t xml:space="preserve">) </w:t>
      </w:r>
      <w:r>
        <w:rPr>
          <w:rtl w:val="true"/>
        </w:rPr>
        <w:t>أدبيات اللغة العربية</w:t>
      </w:r>
      <w:bookmarkEnd w:id="24"/>
    </w:p>
    <w:p>
      <w:pPr>
        <w:pStyle w:val="BookText"/>
        <w:rPr/>
      </w:pPr>
      <w:r>
        <w:rPr>
          <w:rFonts w:ascii="Amiri" w:hAnsi="Amiri" w:eastAsia="Amiri" w:cs="Amiri"/>
          <w:color w:val="111111"/>
          <w:sz w:val="28"/>
          <w:sz w:val="28"/>
          <w:szCs w:val="28"/>
          <w:rtl w:val="true"/>
          <w:lang w:bidi="ar-SA"/>
        </w:rPr>
        <w:t>وهذه العلوم بمجموعها على أربعة أقسام</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2019953_1280447820"/>
      <w:bookmarkStart w:id="26" w:name="_Toc8"/>
      <w:bookmarkEnd w:id="25"/>
      <w:r>
        <w:rPr>
          <w:rtl w:val="true"/>
        </w:rPr>
        <w:t>الأوّل</w:t>
      </w:r>
      <w:r>
        <w:rPr>
          <w:rtl w:val="true"/>
        </w:rPr>
        <w:t xml:space="preserve">: </w:t>
      </w:r>
      <w:r>
        <w:rPr>
          <w:rtl w:val="true"/>
        </w:rPr>
        <w:t>علم الّغة</w:t>
      </w:r>
      <w:bookmarkEnd w:id="26"/>
    </w:p>
    <w:p>
      <w:pPr>
        <w:pStyle w:val="BookText"/>
        <w:rPr/>
      </w:pPr>
      <w:r>
        <w:rPr>
          <w:rFonts w:ascii="IRNazanin" w:hAnsi="IRNazanin" w:eastAsia="IRNazanin"/>
          <w:color w:val="111111"/>
          <w:sz w:val="28"/>
          <w:sz w:val="28"/>
          <w:szCs w:val="28"/>
          <w:rtl w:val="true"/>
          <w:lang w:bidi="fa-IR"/>
        </w:rPr>
        <w:t>معرفة اللغة العربية لغرض الإستنباط وإستخراج الأحكام الشرعية الفرعية من منابعها الأصلية ممّا لا یخفی؛ لأنّ أهمّ منابع إستنباط الأحكام الشرعية، أي الكتاب والسنّة، وردت باللغة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فلابدّ للفقيه أن يعلم بمعاني المفردات العربية لكي يمكنه فهم مراد المتكلّم من عبارات الكتاب والسنّة، ولا يختلف الحال في أن تكون معرفته هذه باللغة العربية، من طريق الإجتهاد في اللغة أو من خلال مراجعته لأقوال العلماء في هذا الفنّ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فإذا لم يكن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للفقيه وهل أنّ المراد منه مثلاً مطلق وجه الأرض أم خصوص التراب، فإنّه لا يتمكّن من الإفتاء بشكل صريح بجواز التيمّم على مطلق وجه الأرض أو خصوص التراب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 xml:space="preserve">: </w:t>
      </w:r>
      <w:bookmarkStart w:id="27" w:name="pg16646_227696"/>
    </w:p>
    <w:p>
      <w:pPr>
        <w:pStyle w:val="BookText"/>
        <w:rPr/>
      </w:pPr>
      <w:bookmarkEnd w:id="27"/>
      <w:r>
        <w:rPr>
          <w:rFonts w:ascii="Amiri" w:hAnsi="Amiri" w:eastAsia="Amiri" w:cs="Amiri"/>
          <w:color w:val="111111"/>
          <w:sz w:val="28"/>
          <w:sz w:val="28"/>
          <w:szCs w:val="28"/>
          <w:rtl w:val="true"/>
          <w:lang w:bidi="ar-SA"/>
        </w:rPr>
        <w:t>من مقدّمات الإجتهاد، العلم بفنون العلوم العربية بمقدار يحتاج إليه في فهم الكتاب و السنة، فكثيرا ما يقع المحصل في خلاف الواقع لأجل القصور في فهم اللغة و خصوصيات كلام العرب لدى المحاورات، فلا بد له من التدبر في محاورات أهل اللسان و تحصيل علم اللغة و سائر العلوم العربية بالمقدار المحتاج إليه</w:t>
      </w:r>
      <w:r>
        <w:rPr>
          <w:rFonts w:eastAsia="Amiri" w:cs="Amiri" w:ascii="Amiri" w:hAnsi="Amiri"/>
          <w:color w:val="111111"/>
          <w:sz w:val="28"/>
          <w:szCs w:val="28"/>
          <w:rtl w:val="true"/>
          <w:lang w:bidi="ar-SA"/>
        </w:rPr>
        <w:t>.</w:t>
      </w:r>
      <w:r>
        <w:rPr>
          <w:rStyle w:val="FootnoteAnchor"/>
          <w:rtl w:val="true"/>
        </w:rPr>
        <w:footnoteReference w:id="4"/>
      </w:r>
    </w:p>
    <w:p>
      <w:pPr>
        <w:pStyle w:val="Heading2"/>
        <w:numPr>
          <w:ilvl w:val="1"/>
          <w:numId w:val="1"/>
        </w:numPr>
        <w:rPr/>
      </w:pPr>
      <w:bookmarkStart w:id="28" w:name="__RefHeading___Toc12019955_1280447820"/>
      <w:bookmarkStart w:id="29" w:name="_Toc9"/>
      <w:bookmarkEnd w:id="28"/>
      <w:r>
        <w:rPr>
          <w:rtl w:val="true"/>
        </w:rPr>
        <w:t>الثانی</w:t>
      </w:r>
      <w:r>
        <w:rPr>
          <w:rtl w:val="true"/>
        </w:rPr>
        <w:t xml:space="preserve">: </w:t>
      </w:r>
      <w:r>
        <w:rPr>
          <w:rtl w:val="true"/>
        </w:rPr>
        <w:t>علم الصرف</w:t>
      </w:r>
      <w:bookmarkEnd w:id="29"/>
    </w:p>
    <w:p>
      <w:pPr>
        <w:pStyle w:val="BookText"/>
        <w:rPr/>
      </w:pPr>
      <w:r>
        <w:rPr>
          <w:rFonts w:ascii="IRNazanin" w:hAnsi="IRNazanin" w:eastAsia="IRNazanin"/>
          <w:color w:val="111111"/>
          <w:sz w:val="28"/>
          <w:sz w:val="28"/>
          <w:szCs w:val="28"/>
          <w:rtl w:val="true"/>
          <w:lang w:bidi="fa-IR"/>
        </w:rPr>
        <w:t xml:space="preserve">إنّ علم الصرف هو العلم الذي يقدر الإنسان عند معرفته، القدرة على تغيير الكلمة بأشكال مختلفة ليحصل من ذلك على معانٍ مختلفة، مثلاً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يمكن تبديلها من خلال القواعد الصرفية إلى صور عديدة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وبالتالي يستفيد منها في معانٍ مختلفة، وعليه فإنّ فائدة علم الصرف، معرفة الكلمات من ناحیة الهيئة والصيغة، يعني أنّ الإنسان عند معرفته بتفاصيل هذا العلم يمكنه تشخيص أنّ هذه الصيغة مثلاً واردة على سبيل النفي أو الجحد أو اسم فاعل، أواسم زمان ومكان أو اسم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بإمكانه التوصّل إلى مراد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ويتّضح من ذلك أنّ علم الصرف ضروريّ لفهم ألفاظ القرآن والسنّة وتحصيل مراد المتكلّم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وبالطبع فإنّ المقدار اللازم الذي يحتاج إليه الإجتهاد من هذا العلم، هو أن يتمكّن الشخص من إحداث هذه التغييرات المختلفة في الكلمة الواحدة وتشخيصها على أساس القواعد الصرفية</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2019957_1280447820"/>
      <w:bookmarkStart w:id="31" w:name="_Toc10"/>
      <w:bookmarkEnd w:id="30"/>
      <w:r>
        <w:rPr>
          <w:rtl w:val="true"/>
        </w:rPr>
        <w:t>الثالث</w:t>
      </w:r>
      <w:r>
        <w:rPr>
          <w:rtl w:val="true"/>
        </w:rPr>
        <w:t xml:space="preserve">: </w:t>
      </w:r>
      <w:r>
        <w:rPr>
          <w:rtl w:val="true"/>
        </w:rPr>
        <w:t>علم النحو</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 النحو هو العلم الذي يتمكّن الإنسان بواسطته من معرفة أحوال أواخر الكلمات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الفعل، والحرف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كونها معربة أو </w:t>
      </w:r>
      <w:bookmarkStart w:id="32" w:name="pg16646_227697"/>
    </w:p>
    <w:p>
      <w:pPr>
        <w:pStyle w:val="BookText"/>
        <w:rPr/>
      </w:pPr>
      <w:bookmarkEnd w:id="32"/>
      <w:r>
        <w:rPr>
          <w:rFonts w:ascii="Amiri" w:hAnsi="Amiri" w:eastAsia="Amiri" w:cs="Amiri"/>
          <w:color w:val="111111"/>
          <w:sz w:val="28"/>
          <w:sz w:val="28"/>
          <w:szCs w:val="28"/>
          <w:rtl w:val="true"/>
          <w:lang w:bidi="ar-SA"/>
        </w:rPr>
        <w:t>مبنيّة وكيفية إعرابها وتركيب بعضها مع البعض الآخر، وبما أنّ الكلمة الواحدة أحياناً تكون قابلة لاستخلاص عدّة معانٍ مختلفة حتّى في حالة واحدة، مثلاً إذا كانت منصوبة فيحتمل أن تكون مفعولاً أو تمييزاً أو حالاً، وإذا كانت مرفوعة فلعلّها فاعل أو نائب فاعل، وكلّ واحد من هذه الإحتمالات مؤثّر في صياغة المعنى، وبالتالي يؤثّر كذلك في عملية الاستنباط والاجتهاد، ومن هنا فإنّ عملية تحصيل علم النحو ضروري لتحقيق ملكة الإجتهاد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بالنسبة لمسألة المسح في الوضوء فيما يتّصل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فهناك اختلاف بين الإمامية وأكثر أهل السنّة في وجوب المسح أو غسل القدم، وذلك يعود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هي 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وبالطبع فإنّ معرفة الحقّ في هذه المسألة يبتني على المعرفة الدقيقة بالقواعد النحوية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توقّف الاستنباط من الكتاب والسنّة الصادرين باللغة العربية على معرفة القواعد النحوية، لا یخفی</w:t>
      </w:r>
      <w:r>
        <w:rPr>
          <w:rFonts w:eastAsia="IRNazanin" w:cs="IRNazanin"/>
          <w:color w:val="111111"/>
          <w:sz w:val="28"/>
          <w:szCs w:val="28"/>
          <w:rtl w:val="true"/>
          <w:lang w:bidi="fa-IR"/>
        </w:rPr>
        <w:t>.</w:t>
      </w:r>
    </w:p>
    <w:p>
      <w:pPr>
        <w:pStyle w:val="Heading2"/>
        <w:numPr>
          <w:ilvl w:val="1"/>
          <w:numId w:val="1"/>
        </w:numPr>
        <w:rPr/>
      </w:pPr>
      <w:bookmarkStart w:id="33" w:name="__RefHeading___Toc12019959_1280447820"/>
      <w:bookmarkStart w:id="34" w:name="_Toc11"/>
      <w:bookmarkEnd w:id="33"/>
      <w:r>
        <w:rPr>
          <w:rtl w:val="true"/>
        </w:rPr>
        <w:t>الرابع</w:t>
      </w:r>
      <w:r>
        <w:rPr>
          <w:rtl w:val="true"/>
        </w:rPr>
        <w:t xml:space="preserve">: </w:t>
      </w:r>
      <w:r>
        <w:rPr>
          <w:rtl w:val="true"/>
        </w:rPr>
        <w:t xml:space="preserve">علم البلاغة </w:t>
      </w:r>
      <w:r>
        <w:rPr>
          <w:rtl w:val="true"/>
        </w:rPr>
        <w:t>(</w:t>
      </w:r>
      <w:r>
        <w:rPr>
          <w:rtl w:val="true"/>
        </w:rPr>
        <w:t>المعاني والبيان والبديع</w:t>
      </w:r>
      <w:r>
        <w:rPr>
          <w:rtl w:val="true"/>
        </w:rPr>
        <w:t>)</w:t>
      </w:r>
      <w:bookmarkEnd w:id="34"/>
    </w:p>
    <w:p>
      <w:pPr>
        <w:pStyle w:val="BookText"/>
        <w:rPr/>
      </w:pPr>
      <w:r>
        <w:rPr>
          <w:rFonts w:ascii="Amiri" w:hAnsi="Amiri" w:eastAsia="Amiri" w:cs="Amiri"/>
          <w:color w:val="111111"/>
          <w:sz w:val="28"/>
          <w:sz w:val="28"/>
          <w:szCs w:val="28"/>
          <w:rtl w:val="true"/>
          <w:lang w:bidi="ar-SA"/>
        </w:rPr>
        <w:t>ويعتبر علم البلاغة من العلوم اللازمة معرفتها في استنباط الأحكام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البهبهانی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السيّد المرتضى، الشهيد الثاني والشيخ أحمد بن متوّج البحراني، يرون علم المعاني والبيان من شرائط الإجتهاد، بل إنّ الشيخ أحمد والشهيد الثاني ذهبا إلى أنّ علم البديع أيضاً من شرائط الاجتهاد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ذلک، کون الفصاحة و البلاغة من أحد المرجحات فی باب التعارض بین الخبرین، بمعنی أنّه إذا كان الخبران المتعارضان متساويين من جميع الجهات، فإنّ الخبر الأبلغ والأفصح يكون هو المقدّم، وبديهيّ أنّ معرفة هذا الأمر تتوقّف على المعرفة بعلم المعاني والبيان والبديع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المرجّحات المتنیّة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يرجع إلى المتن ، فهي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 فيقدّم الفصيح على غيره ؛ لأنّ الركيك أبعد من كلام المعصوم عليه‌السلام ، إلاّ أن يكون منقولا بالمعنى</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لکن یمکن أن یقال فی ردّ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الفصاحة والبلاغة ليستا من مرجّحات باب التعارض، لأنّ كلمات المعصومين عليهم السلام تختلف في الفصاحة والبلاغة، فأحياناً تكون الرواية واردة في مقام الوعظ والخطابة کخطب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ذلك، وأحياناً أخرى في مقام بيان الأحكام الفرعية والمسائل العملية التي تلقى للناس بلسان العرف وباللغة السائدة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بعض مباحث هذه العلوم مثل مباحث القصر ومباحث الإنشاء والخبر في المعاني، والمباحث المتعلّقة بالحقيقة والمجاز وأقسام الدلالات والكناية وأقسام التشبيه في علم البيان، مؤثر فی الإستنباط و فهم المقصود من الآیات و الروایات و بالتالی فهم الأحکام من الأدلّة اللفظیّة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البحوث تبحث عادة في علم الأصول فی المباحث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يحتاج المجتهد إلى دراسة وتحصيل علم البلاغة بشكل مستقل</w:t>
      </w:r>
      <w:r>
        <w:rPr>
          <w:rFonts w:eastAsia="IRNazanin" w:cs="IRNazanin"/>
          <w:color w:val="111111"/>
          <w:sz w:val="28"/>
          <w:szCs w:val="28"/>
          <w:rtl w:val="true"/>
          <w:lang w:bidi="fa-IR"/>
        </w:rPr>
        <w:t xml:space="preserve">. </w:t>
      </w:r>
      <w:bookmarkStart w:id="35" w:name="pg16646_227699"/>
    </w:p>
    <w:p>
      <w:pPr>
        <w:pStyle w:val="Heading2"/>
        <w:numPr>
          <w:ilvl w:val="1"/>
          <w:numId w:val="1"/>
        </w:numPr>
        <w:rPr/>
      </w:pPr>
      <w:bookmarkStart w:id="36" w:name="__RefHeading___Toc12019961_1280447820"/>
      <w:bookmarkStart w:id="37" w:name="_Toc12"/>
      <w:bookmarkEnd w:id="35"/>
      <w:bookmarkEnd w:id="36"/>
      <w:r>
        <w:rPr>
          <w:rtl w:val="true"/>
        </w:rPr>
        <w:t>ب</w:t>
      </w:r>
      <w:r>
        <w:rPr>
          <w:rtl w:val="true"/>
        </w:rPr>
        <w:t xml:space="preserve">) </w:t>
      </w:r>
      <w:r>
        <w:rPr>
          <w:rtl w:val="true"/>
        </w:rPr>
        <w:t>العلوم العقلیّة</w:t>
      </w:r>
      <w:bookmarkEnd w:id="37"/>
    </w:p>
    <w:p>
      <w:pPr>
        <w:pStyle w:val="BookText"/>
        <w:rPr/>
      </w:pPr>
      <w:r>
        <w:rPr>
          <w:rFonts w:ascii="IRNazanin" w:hAnsi="IRNazanin" w:eastAsia="IRNazanin"/>
          <w:color w:val="111111"/>
          <w:sz w:val="28"/>
          <w:sz w:val="28"/>
          <w:szCs w:val="28"/>
          <w:rtl w:val="true"/>
          <w:lang w:bidi="fa-IR"/>
        </w:rPr>
        <w:t>و هذه العلوم بمجموعها علی ثلاثة أقسام</w:t>
      </w:r>
      <w:r>
        <w:rPr>
          <w:rFonts w:eastAsia="IRNazanin" w:cs="IRNazanin"/>
          <w:color w:val="111111"/>
          <w:sz w:val="28"/>
          <w:szCs w:val="28"/>
          <w:rtl w:val="true"/>
          <w:lang w:bidi="fa-IR"/>
        </w:rPr>
        <w:t>:</w:t>
      </w:r>
    </w:p>
    <w:p>
      <w:pPr>
        <w:pStyle w:val="Heading2"/>
        <w:numPr>
          <w:ilvl w:val="1"/>
          <w:numId w:val="1"/>
        </w:numPr>
        <w:rPr/>
      </w:pPr>
      <w:bookmarkStart w:id="38" w:name="__RefHeading___Toc12019963_1280447820"/>
      <w:bookmarkStart w:id="39" w:name="_Toc13"/>
      <w:bookmarkEnd w:id="38"/>
      <w:r>
        <w:rPr>
          <w:rtl w:val="true"/>
        </w:rPr>
        <w:t>الأوّل</w:t>
      </w:r>
      <w:r>
        <w:rPr>
          <w:rtl w:val="true"/>
        </w:rPr>
        <w:t xml:space="preserve">: </w:t>
      </w:r>
      <w:r>
        <w:rPr>
          <w:rtl w:val="true"/>
        </w:rPr>
        <w:t>علم المنطق</w:t>
      </w:r>
      <w:bookmarkEnd w:id="39"/>
    </w:p>
    <w:p>
      <w:pPr>
        <w:pStyle w:val="BookText"/>
        <w:rPr/>
      </w:pPr>
      <w:r>
        <w:rPr>
          <w:rFonts w:ascii="Amiri" w:hAnsi="Amiri" w:eastAsia="Amiri" w:cs="Amiri"/>
          <w:color w:val="111111"/>
          <w:sz w:val="28"/>
          <w:sz w:val="28"/>
          <w:szCs w:val="28"/>
          <w:rtl w:val="true"/>
          <w:lang w:bidi="ar-SA"/>
        </w:rPr>
        <w:t>و هو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قوانين تعصم مراعاتها ذهن الإنسان من الخطأ في التفكّر والاستدلال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استنباط الأحكام الشرعيّة من مصادرها الأصلية بحاجة إلى عملية استدلال وإقامة البرهان، فإنّ الاستدلال الصحيح وإثبات المطلوب بالبرهان القاطع بحيث يكون منزّهاً من المغالطة والإشتباه، لا يتحقّق إلّا من خلال معرفة القواعد المنطقية واستخدامها في عمليّة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القواعد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أنواع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الأشكال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البهبهانی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الاحتياج إلي علم المنطق لتصحيح المسائل الخلافية و غيرها من العلوم المذكورة؛ إذ لا يكفي التقليد سيّما في الخلافيّات مع إمكان الترجيح، و كذا لردّ الفروع الغريبة إلى اصولها؛ لأنّه محتاج إلى إقامة الدليل، فتدبّر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وعلى هذا، فإنّ لزوم تحصيل هذا العلم كمقدّمة لتحصيل علم الاجتهاد أمر ضروريّ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قال المحقّق الخوئی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علم المنطق فلا توقف للاجتهاد عليه أصلاً، لأن المهم في المنطق إنما هو بيان ما له دخالة في الاستنتاج من الأقيسة و الأشكال كاعتبار كلّية الكبرى و كون الصغرى موجبه في الشكل، مع أن الشروط الّتي </w:t>
      </w:r>
      <w:bookmarkStart w:id="40" w:name="pg16646_227700"/>
    </w:p>
    <w:p>
      <w:pPr>
        <w:pStyle w:val="BookText"/>
        <w:rPr/>
      </w:pPr>
      <w:bookmarkEnd w:id="40"/>
      <w:r>
        <w:rPr>
          <w:rFonts w:ascii="Amiri" w:hAnsi="Amiri" w:eastAsia="Amiri" w:cs="Amiri"/>
          <w:color w:val="111111"/>
          <w:sz w:val="28"/>
          <w:sz w:val="28"/>
          <w:szCs w:val="28"/>
          <w:rtl w:val="true"/>
          <w:lang w:bidi="ar-SA"/>
        </w:rPr>
        <w:t>لها دخل في الاستنتاج مما يعرفه كل عاقل حتى الصبيان، لأنك إذا عرضت على أيّ عاقل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حيوان، و بعض الحيوان موذٍ، لم يتردد في أنه لا ينتج أن هذا الحيوان موذٍ</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الحقّ، عدم الحاجة إلی دقائق هذا العلم و تفاصیله فی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تعلم المنطق بمقدار تشخيص الأقيسة و ترتيب الحدود و تنظيم الإشكال من الاقترانيات و غيرها و تمييز عقيمها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المباحث الرائجة منه في نوع المحاورات لئلا يقع في الخطاء لأجل إهمال بعض قواعده، و اما تفاصيل قواعده و دقائقه الغير الرائجة في لسان أهل المحاورة فليست لازمة و لا يحتاج إليها في الاستنباط</w:t>
      </w:r>
      <w:r>
        <w:rPr>
          <w:rFonts w:eastAsia="Amiri" w:cs="Amiri" w:ascii="Amiri" w:hAnsi="Amiri"/>
          <w:color w:val="111111"/>
          <w:sz w:val="28"/>
          <w:szCs w:val="28"/>
          <w:rtl w:val="true"/>
          <w:lang w:bidi="ar-SA"/>
        </w:rPr>
        <w:t>.</w:t>
      </w:r>
      <w:r>
        <w:rPr>
          <w:rStyle w:val="FootnoteAnchor"/>
          <w:rtl w:val="true"/>
        </w:rPr>
        <w:footnoteReference w:id="10"/>
      </w:r>
    </w:p>
    <w:p>
      <w:pPr>
        <w:pStyle w:val="Heading2"/>
        <w:numPr>
          <w:ilvl w:val="1"/>
          <w:numId w:val="1"/>
        </w:numPr>
        <w:rPr/>
      </w:pPr>
      <w:bookmarkStart w:id="41" w:name="__RefHeading___Toc12019965_1280447820"/>
      <w:bookmarkStart w:id="42" w:name="_Toc14"/>
      <w:bookmarkEnd w:id="41"/>
      <w:r>
        <w:rPr>
          <w:rtl w:val="true"/>
        </w:rPr>
        <w:t>الثانی</w:t>
      </w:r>
      <w:r>
        <w:rPr>
          <w:rtl w:val="true"/>
        </w:rPr>
        <w:t xml:space="preserve">: </w:t>
      </w:r>
      <w:r>
        <w:rPr>
          <w:rtl w:val="true"/>
        </w:rPr>
        <w:t>علم الفلسفة</w:t>
      </w:r>
      <w:bookmarkEnd w:id="42"/>
    </w:p>
    <w:p>
      <w:pPr>
        <w:pStyle w:val="BookText"/>
        <w:rPr/>
      </w:pPr>
      <w:r>
        <w:rPr>
          <w:rFonts w:ascii="IRNazanin" w:hAnsi="IRNazanin" w:eastAsia="IRNazanin"/>
          <w:color w:val="111111"/>
          <w:sz w:val="28"/>
          <w:sz w:val="28"/>
          <w:szCs w:val="28"/>
          <w:rtl w:val="true"/>
          <w:lang w:bidi="fa-IR"/>
        </w:rPr>
        <w:t>الفلسفة عبارة عن مجموعة مسائل تبحث عن الأحكام الكلّية للوجود، بدون أن تلاحظ الخصوصيات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أحد خصائص علم الأصول في العصر الحاضر هو الإستفادة في مجال بحوثه من القواعد الفلسفية لتبيين أو إثباب القواعد الأصولية، یمکن إدراج الفلسفة من العلوم التی تعتبر مقدمة للاجتهاد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علماء الأصول ذهبو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اجتماع الأمر والنهي في مورد واحد، وكذلك الوجوب والحرمة، ولأنّهما حكمان مستفادان من الأمر والنهي</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أنّه قد ثبت في المنطق والفلسفة أنّ اجتماع الضدّين في موضوع واحد ممتنع، إذن فاجتماع الأمر والنهي على موضوع واحد ممتنع أيضاً</w:t>
      </w:r>
      <w:r>
        <w:rPr>
          <w:rFonts w:eastAsia="Amiri" w:cs="Amiri" w:ascii="Amiri" w:hAnsi="Amiri"/>
          <w:color w:val="111111"/>
          <w:sz w:val="28"/>
          <w:szCs w:val="28"/>
          <w:rtl w:val="true"/>
          <w:lang w:bidi="ar-SA"/>
        </w:rPr>
        <w:t xml:space="preserve">. </w:t>
      </w:r>
      <w:bookmarkStart w:id="43" w:name="pg16646_227701"/>
    </w:p>
    <w:p>
      <w:pPr>
        <w:pStyle w:val="BookText"/>
        <w:rPr/>
      </w:pPr>
      <w:bookmarkEnd w:id="43"/>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الموارد الأصولية التي تستوحى من القواعد الفلسفية، هي أنّ بعض العلماء ذهبوا إلى أنّ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قبيل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بمنزلة المعلول و الموضوع بمنزلة العلّة، وبالتالي فإنّ أحكام العلّة و المعلول تجري في هذا المورد أيضاً</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2019967_1280447820"/>
      <w:bookmarkStart w:id="45" w:name="_Toc15"/>
      <w:bookmarkEnd w:id="44"/>
      <w:r>
        <w:rPr>
          <w:rtl w:val="true"/>
        </w:rPr>
        <w:t>الثالث</w:t>
      </w:r>
      <w:r>
        <w:rPr>
          <w:rtl w:val="true"/>
        </w:rPr>
        <w:t xml:space="preserve">: </w:t>
      </w:r>
      <w:r>
        <w:rPr>
          <w:rtl w:val="true"/>
        </w:rPr>
        <w:t>علم الکلام</w:t>
      </w:r>
      <w:bookmarkEnd w:id="45"/>
    </w:p>
    <w:p>
      <w:pPr>
        <w:pStyle w:val="BookText"/>
        <w:rPr/>
      </w:pPr>
      <w:r>
        <w:rPr>
          <w:rFonts w:ascii="IRNazanin" w:hAnsi="IRNazanin" w:eastAsia="IRNazanin"/>
          <w:color w:val="111111"/>
          <w:sz w:val="28"/>
          <w:sz w:val="28"/>
          <w:szCs w:val="28"/>
          <w:rtl w:val="true"/>
          <w:lang w:bidi="fa-IR"/>
        </w:rPr>
        <w:t>علم الکلام موثر فی عملیّة الإستنباط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حجيّة كلام وفعل وتقرير المعصوم عليه السلام متوقّف على إثبات النبوّة والإمامة والعصمة لهؤلاء المعصومين في مرتبة سابقة، كما أنّ إثبات حجّية ظواهر القرآن تبتني على أساس حقّانية أصل الكتاب، وإثبات أنّ القرآن كلام اللّٰه لا كلام المخلوق، ومعلوم أنّ محلّ البحث في هذه الأمور يندرج في علم الكلام؛ کما یأتی الإشارة إلیه فی 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ودليل اشتراط الكلام، توقّف الإجتهاد على إثبات الصانع والنبيّ صلى الله عليه و آله والإمام عليه السلام ووجوب إطاعتهم وتعيين الإمام وصدق النبيّ صلى الله عليه و آله وعلى نفي القبيح عنه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وظيفة المجتهد هي البحث والتحقيق في كيفيّة التكليف، وهذا المعنى متفرّع على معرفة أصل التكليف والمكلِّف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معرفة ما يكون إثباته متوقّف عليه يعدّ ضرورياً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المحقق الفخر الرازی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فغير معتبرٍ لأنّا لو فرضنا إنساناً جازماً بالإسلام تقليداً </w:t>
      </w:r>
      <w:bookmarkStart w:id="46" w:name="pg16646_227702"/>
    </w:p>
    <w:p>
      <w:pPr>
        <w:pStyle w:val="BookText"/>
        <w:rPr/>
      </w:pPr>
      <w:bookmarkEnd w:id="46"/>
      <w:r>
        <w:rPr>
          <w:rFonts w:ascii="Amiri" w:hAnsi="Amiri" w:eastAsia="Amiri" w:cs="Amiri"/>
          <w:color w:val="111111"/>
          <w:sz w:val="28"/>
          <w:sz w:val="28"/>
          <w:szCs w:val="28"/>
          <w:rtl w:val="true"/>
          <w:lang w:bidi="ar-SA"/>
        </w:rPr>
        <w:t>لأمكنه الاستدلال بالدلائل الشرعية على الأحكام</w:t>
      </w:r>
      <w:r>
        <w:rPr>
          <w:rFonts w:eastAsia="Amiri" w:cs="Amiri" w:ascii="Amiri" w:hAnsi="Amiri"/>
          <w:color w:val="111111"/>
          <w:sz w:val="28"/>
          <w:szCs w:val="28"/>
          <w:rtl w:val="true"/>
          <w:lang w:bidi="ar-SA"/>
        </w:rPr>
        <w:t>.</w:t>
      </w:r>
      <w:r>
        <w:rPr>
          <w:rStyle w:val="FootnoteAnchor"/>
          <w:rtl w:val="true"/>
        </w:rPr>
        <w:footnoteReference w:id="12"/>
      </w:r>
    </w:p>
    <w:p>
      <w:pPr>
        <w:pStyle w:val="Heading2"/>
        <w:numPr>
          <w:ilvl w:val="1"/>
          <w:numId w:val="1"/>
        </w:numPr>
        <w:rPr/>
      </w:pPr>
      <w:bookmarkStart w:id="47" w:name="__RefHeading___Toc12019969_1280447820"/>
      <w:bookmarkStart w:id="48" w:name="_Toc16"/>
      <w:bookmarkEnd w:id="47"/>
      <w:r>
        <w:rPr>
          <w:rtl w:val="true"/>
        </w:rPr>
        <w:t>ج</w:t>
      </w:r>
      <w:r>
        <w:rPr>
          <w:rtl w:val="true"/>
        </w:rPr>
        <w:t xml:space="preserve">) </w:t>
      </w:r>
      <w:r>
        <w:rPr>
          <w:rtl w:val="true"/>
        </w:rPr>
        <w:t>العلوم النقلية</w:t>
      </w:r>
      <w:bookmarkEnd w:id="48"/>
    </w:p>
    <w:p>
      <w:pPr>
        <w:pStyle w:val="BookText"/>
        <w:rPr/>
      </w:pPr>
      <w:r>
        <w:rPr>
          <w:rFonts w:ascii="Amiri" w:hAnsi="Amiri" w:eastAsia="Amiri" w:cs="Amiri"/>
          <w:color w:val="111111"/>
          <w:sz w:val="28"/>
          <w:sz w:val="28"/>
          <w:szCs w:val="28"/>
          <w:rtl w:val="true"/>
          <w:lang w:bidi="ar-SA"/>
        </w:rPr>
        <w:t>وهي العلوم التي وصلت إلينا عن طريق الوحي وكلمات المعصومين عليهم السلام أو التي تبحث حول هذا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العلوم بمجموعها علی سبعة أقسام</w:t>
      </w:r>
      <w:r>
        <w:rPr>
          <w:rFonts w:eastAsia="IRNazanin" w:cs="IRNazanin"/>
          <w:color w:val="111111"/>
          <w:sz w:val="28"/>
          <w:szCs w:val="28"/>
          <w:rtl w:val="true"/>
          <w:lang w:bidi="fa-IR"/>
        </w:rPr>
        <w:t>:</w:t>
      </w:r>
    </w:p>
    <w:p>
      <w:pPr>
        <w:pStyle w:val="Heading2"/>
        <w:numPr>
          <w:ilvl w:val="1"/>
          <w:numId w:val="1"/>
        </w:numPr>
        <w:rPr/>
      </w:pPr>
      <w:bookmarkStart w:id="49" w:name="__RefHeading___Toc12019971_1280447820"/>
      <w:bookmarkStart w:id="50" w:name="_Toc17"/>
      <w:bookmarkEnd w:id="49"/>
      <w:r>
        <w:rPr>
          <w:rtl w:val="true"/>
        </w:rPr>
        <w:t>الأوّل</w:t>
      </w:r>
      <w:r>
        <w:rPr>
          <w:rtl w:val="true"/>
        </w:rPr>
        <w:t>:</w:t>
      </w:r>
      <w:r>
        <w:rPr>
          <w:rtl w:val="true"/>
        </w:rPr>
        <w:t>علم التفسیر</w:t>
      </w:r>
      <w:bookmarkEnd w:id="50"/>
    </w:p>
    <w:p>
      <w:pPr>
        <w:pStyle w:val="BookText"/>
        <w:rPr/>
      </w:pPr>
      <w:r>
        <w:rPr>
          <w:rFonts w:ascii="Amiri" w:hAnsi="Amiri" w:eastAsia="Amiri" w:cs="Amiri"/>
          <w:color w:val="111111"/>
          <w:sz w:val="28"/>
          <w:sz w:val="28"/>
          <w:szCs w:val="28"/>
          <w:rtl w:val="true"/>
          <w:lang w:bidi="ar-SA"/>
        </w:rPr>
        <w:t xml:space="preserve">لا شكّ في أنّ من أحد أهم مصادر الاستنباط والاجتهاد، هو القرآن الكريم، وهناك طائفة من البحوث القرآنية من قبيل معرفة المحكم والمتشابه، والناسخ والمنسوخ، ومعرفة مفردات ومعاني الجمل القرآنية، وبالأخصّ معرفة أسباب النزول والموارد التي نزلت في شأنها الآيات القرآنية، وكذلك معرفة الآيات المتعلّقة بالأحكام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لا تبحث في علمالأصول، بل ينبغي بحثها في دائرة العلوم القرآنية وعلم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توقّف الاجتهاد واستنباط الأحكام الشرعية الفرعية على الإطّلاع على هذه البحوث القرآنية</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2019973_1280447820"/>
      <w:bookmarkStart w:id="52" w:name="_Toc18"/>
      <w:bookmarkEnd w:id="51"/>
      <w:r>
        <w:rPr>
          <w:rtl w:val="true"/>
        </w:rPr>
        <w:t>الثانی</w:t>
      </w:r>
      <w:r>
        <w:rPr>
          <w:rtl w:val="true"/>
        </w:rPr>
        <w:t xml:space="preserve">: </w:t>
      </w:r>
      <w:r>
        <w:rPr>
          <w:rtl w:val="true"/>
        </w:rPr>
        <w:t>علم الحدیث</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هذا العلم، معرفة أدبيات وسياق الروايات، وشأن ورود الأحاديث والظروف الزمانية والمكانية لصدورها، و معرفة الطائفة من الروايات والأحاديث المتعلّقة بالأحكام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الحديث بمنزلة التفسير بالنسبة للقرآن، حيث يمكن بواسطته معرفة الحديث من غير الحديث والناسخ من المنسوخ والمحكم من المتشابه</w:t>
      </w:r>
      <w:r>
        <w:rPr>
          <w:rFonts w:eastAsia="IRNazanin" w:cs="IRNazanin"/>
          <w:color w:val="111111"/>
          <w:sz w:val="28"/>
          <w:szCs w:val="28"/>
          <w:rtl w:val="true"/>
          <w:lang w:bidi="fa-IR"/>
        </w:rPr>
        <w:t xml:space="preserve">. </w:t>
      </w:r>
      <w:bookmarkStart w:id="53" w:name="pg16646_227703"/>
    </w:p>
    <w:p>
      <w:pPr>
        <w:pStyle w:val="BookText"/>
        <w:rPr/>
      </w:pPr>
      <w:bookmarkEnd w:id="53"/>
      <w:r>
        <w:rPr>
          <w:rFonts w:ascii="Amiri" w:hAnsi="Amiri" w:eastAsia="Amiri" w:cs="Amiri"/>
          <w:color w:val="111111"/>
          <w:sz w:val="28"/>
          <w:sz w:val="28"/>
          <w:szCs w:val="28"/>
          <w:rtl w:val="true"/>
          <w:lang w:bidi="ar-SA"/>
        </w:rPr>
        <w:t>قال المحقّق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من الأمور التی یتوقّف علیها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بالأحاديث المتعلّقة بالأحكام، سواء حفظها أم كان عنده من الأُصول المصحّحة ما يرجع إليها عند الاحتياج، ويعرف مواقع أبوابه</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54" w:name="__RefHeading___Toc12019975_1280447820"/>
      <w:bookmarkStart w:id="55" w:name="_Toc19"/>
      <w:bookmarkEnd w:id="54"/>
      <w:r>
        <w:rPr>
          <w:rtl w:val="true"/>
        </w:rPr>
        <w:t>الثالث</w:t>
      </w:r>
      <w:r>
        <w:rPr>
          <w:rtl w:val="true"/>
        </w:rPr>
        <w:t xml:space="preserve">: </w:t>
      </w:r>
      <w:r>
        <w:rPr>
          <w:rtl w:val="true"/>
        </w:rPr>
        <w:t>علم الدرایة</w:t>
      </w:r>
      <w:bookmarkEnd w:id="55"/>
    </w:p>
    <w:p>
      <w:pPr>
        <w:pStyle w:val="BookText"/>
        <w:rPr/>
      </w:pPr>
      <w:r>
        <w:rPr>
          <w:rFonts w:ascii="Amiri" w:hAnsi="Amiri" w:eastAsia="Amiri" w:cs="Amiri"/>
          <w:color w:val="111111"/>
          <w:sz w:val="28"/>
          <w:sz w:val="28"/>
          <w:szCs w:val="28"/>
          <w:rtl w:val="true"/>
          <w:lang w:bidi="ar-SA"/>
        </w:rPr>
        <w:t>وهو العلم الذي من خلاله تعرف تفاصيل الحديث ومراتبه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المستفيض، الصحيح، الضعيف، الموثّق، الحسن، المرسل، المقطوع، المضمر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يمنح الفقيه معرفة بأنواع الأحاديث وميزان اعتبارها والمشكلات الموجودة في أسنادها</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12019977_1280447820"/>
      <w:bookmarkStart w:id="57" w:name="_Toc20"/>
      <w:bookmarkEnd w:id="56"/>
      <w:r>
        <w:rPr>
          <w:rtl w:val="true"/>
        </w:rPr>
        <w:t>الرابع</w:t>
      </w:r>
      <w:r>
        <w:rPr>
          <w:rtl w:val="true"/>
        </w:rPr>
        <w:t xml:space="preserve">: </w:t>
      </w:r>
      <w:r>
        <w:rPr>
          <w:rtl w:val="true"/>
        </w:rPr>
        <w:t>علم الرجال</w:t>
      </w:r>
      <w:bookmarkEnd w:id="57"/>
    </w:p>
    <w:p>
      <w:pPr>
        <w:pStyle w:val="BookText"/>
        <w:rPr/>
      </w:pPr>
      <w:r>
        <w:rPr>
          <w:rFonts w:ascii="Amiri" w:hAnsi="Amiri" w:eastAsia="Amiri" w:cs="Amiri"/>
          <w:color w:val="111111"/>
          <w:sz w:val="28"/>
          <w:sz w:val="28"/>
          <w:szCs w:val="28"/>
          <w:rtl w:val="true"/>
          <w:lang w:bidi="ar-SA"/>
        </w:rPr>
        <w:t>هو العلم الذي يتمكّن الفقيه بواسطته من معرفة أحوال الأشخاص والرواة للأحاديث، يعني يتمكّن بواسطة هذا العلم أن يتعرّف على أنّ الراوي الفلاني ثقة ومورد إطمئنان وعادل، وأنّه هل يمكن الإعتماد على الروايات التي يرويها هذا الشخص أم لا؟</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إمّا أن يكون متواتراً يفيد القطع بصدوره أو خبراً واحداً، وخبر الواحد إمّا أن يكون محفوفاً بالقرينة المفيدة للعلم بصدوره أو مجرّداً عن القرينة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للخبر المتواتر وخبر الواحد المحفوف بالقرينة لا حاجة للتحقيق في السند ومعرفة أحوال الرجال المذكورين في سند الحديث، والحاجة في التحقيق للسند إنّما تكون في الخبر الواحد المجرّد من القرينة لمعرفة حالة </w:t>
      </w:r>
      <w:bookmarkStart w:id="58" w:name="pg16646_227704"/>
    </w:p>
    <w:p>
      <w:pPr>
        <w:pStyle w:val="BookText"/>
        <w:rPr/>
      </w:pPr>
      <w:bookmarkEnd w:id="58"/>
      <w:r>
        <w:rPr>
          <w:rFonts w:ascii="IRNazanin" w:hAnsi="IRNazanin" w:eastAsia="IRNazanin"/>
          <w:color w:val="111111"/>
          <w:sz w:val="28"/>
          <w:sz w:val="28"/>
          <w:szCs w:val="28"/>
          <w:rtl w:val="true"/>
          <w:lang w:bidi="fa-IR"/>
        </w:rPr>
        <w:t>الصدور، وهذا إنّما تتمّ معرفته من خلال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ذهب الأخباریون إلی أنّ الأخبار والروايات الواردة في الكتب الحديثية المشهورة وخاصّة الكتب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التهذيب، الاستبصار،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صحيحة ولا حاجة للتحقيق في أحوال رواة هذه الأحاديث، وعليه فلا حاجة في ذلك لعلم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الأسترآبادي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جميع أخبار الآحاد في رواياتنا محفوفة بالقرائن المختلفة التي توجب القطع بصدورها من المعصوم علیه السلام، ومع وجود هذه القرائن والقطع بالصدور، فلا حاجة إلى علم الرجال بعد ذلك</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قال الإمام الخمینی فی ردّ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علم الرّجال بمقدار يحتاج إليه في تشخيص الروايات و لو بالمراجعة إلى الكتب المعدة له حال الاستنباط، و ما قيل من عدم الاحتياج إليهلقطعية صدور ما في الكتب الأربعة أو شهادة مصنفيها بصحة جميعها أو غير ذلك كما ترى</w:t>
      </w:r>
      <w:r>
        <w:rPr>
          <w:rFonts w:eastAsia="Amiri" w:cs="Amiri" w:ascii="Amiri" w:hAnsi="Amiri"/>
          <w:color w:val="111111"/>
          <w:sz w:val="28"/>
          <w:szCs w:val="28"/>
          <w:rtl w:val="true"/>
          <w:lang w:bidi="ar-SA"/>
        </w:rPr>
        <w:t>.</w:t>
      </w:r>
      <w:r>
        <w:rPr>
          <w:rStyle w:val="FootnoteAnchor"/>
          <w:rtl w:val="true"/>
        </w:rPr>
        <w:footnoteReference w:id="15"/>
      </w:r>
    </w:p>
    <w:p>
      <w:pPr>
        <w:pStyle w:val="Heading2"/>
        <w:numPr>
          <w:ilvl w:val="1"/>
          <w:numId w:val="1"/>
        </w:numPr>
        <w:rPr/>
      </w:pPr>
      <w:bookmarkStart w:id="59" w:name="__RefHeading___Toc12019979_1280447820"/>
      <w:bookmarkStart w:id="60" w:name="_Toc21"/>
      <w:bookmarkEnd w:id="59"/>
      <w:r>
        <w:rPr>
          <w:rtl w:val="true"/>
        </w:rPr>
        <w:t>الخامس</w:t>
      </w:r>
      <w:r>
        <w:rPr>
          <w:rtl w:val="true"/>
        </w:rPr>
        <w:t xml:space="preserve">: </w:t>
      </w:r>
      <w:r>
        <w:rPr>
          <w:rtl w:val="true"/>
        </w:rPr>
        <w:t>علم أصول الفقه</w:t>
      </w:r>
      <w:bookmarkEnd w:id="60"/>
    </w:p>
    <w:p>
      <w:pPr>
        <w:pStyle w:val="BookText"/>
        <w:rPr/>
      </w:pPr>
      <w:r>
        <w:rPr>
          <w:rFonts w:ascii="Amiri" w:hAnsi="Amiri" w:eastAsia="Amiri" w:cs="Amiri"/>
          <w:color w:val="111111"/>
          <w:sz w:val="28"/>
          <w:sz w:val="28"/>
          <w:szCs w:val="28"/>
          <w:rtl w:val="true"/>
          <w:lang w:bidi="ar-SA"/>
        </w:rPr>
        <w:t>هو عبارة عن مجموعة من القواعد التي تقع نتيجتها في طريق استنباط الأحكام الشرعية والتي لم تبحث في علم آخر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الحاجة إلی علم الأصول فی الإستنباط ممّا لا یخفی؛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توقّف الاجتهاد على علم الأصول يمكن تحصيله من تعريف علم الأصول وموضوعه، لأنّ موضوع علم الأصول عبارة عن الأدلّة الأربعة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السنّة، 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بشكل أكثر شمولية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حاجة الفقيه لعلم الأصول في استنباط الأحكام الشرعية أكثر من حاجته إلى جميع العلوم الأخرى، لأنّه في كلّ خطوة في هذه العملية يواجه أصلاً أو قاعدة لا تتبيّن إلّا في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أنكر دخالة علم الأصول في استنباط الأحكام فقد أفرط، ضرورة تقوم استنباط كثير من الأحكام بإتقان مسائله و بدونه يتعذر الاستنباط في هذا الزمان و قياس زمان أصحاب الأئمة بزماننا مع الفارق من جهات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کما قال المحقّق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 العلوم للمجتهد، علم أصول الفقه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لکن لا ینبغی الإفراط فی تحصیل هذا العلم و إتلاف العمر فی المسائل التی لا ربط لها بالإستنباط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كثرة اشتغال بعض طلبة الأصول و النّظر إليه استقلالاً، و توهم أنّه علم برأسه و تحصيله كمال النّفس و صرف العمر في المباحث الغير المحتاج إليها في الفقه لهذا التوهم في طرف التفريط و العذر بأنّ الإشتغال بتلك المباحث يوجب تشييد الذهن و الأنس بدقائق الفن غير وجيه</w:t>
      </w:r>
      <w:r>
        <w:rPr>
          <w:rFonts w:eastAsia="Amiri" w:cs="Amiri" w:ascii="Amiri" w:hAnsi="Amiri"/>
          <w:color w:val="111111"/>
          <w:sz w:val="28"/>
          <w:szCs w:val="28"/>
          <w:rtl w:val="true"/>
          <w:lang w:bidi="ar-SA"/>
        </w:rPr>
        <w:t>.</w:t>
      </w:r>
      <w:r>
        <w:rPr>
          <w:rStyle w:val="FootnoteAnchor"/>
          <w:rtl w:val="true"/>
        </w:rPr>
        <w:footnoteReference w:id="18"/>
      </w:r>
      <w:bookmarkStart w:id="61" w:name="pg16646_227706"/>
    </w:p>
    <w:p>
      <w:pPr>
        <w:pStyle w:val="Heading2"/>
        <w:numPr>
          <w:ilvl w:val="1"/>
          <w:numId w:val="1"/>
        </w:numPr>
        <w:rPr/>
      </w:pPr>
      <w:bookmarkStart w:id="62" w:name="__RefHeading___Toc12019981_1280447820"/>
      <w:bookmarkStart w:id="63" w:name="_Toc22"/>
      <w:bookmarkEnd w:id="61"/>
      <w:bookmarkEnd w:id="62"/>
      <w:r>
        <w:rPr>
          <w:rtl w:val="true"/>
        </w:rPr>
        <w:t>السادس</w:t>
      </w:r>
      <w:r>
        <w:rPr>
          <w:rtl w:val="true"/>
        </w:rPr>
        <w:t xml:space="preserve">: </w:t>
      </w:r>
      <w:r>
        <w:rPr>
          <w:rtl w:val="true"/>
        </w:rPr>
        <w:t xml:space="preserve">علم الفقه </w:t>
      </w:r>
      <w:r>
        <w:rPr>
          <w:rtl w:val="true"/>
        </w:rPr>
        <w:t>(</w:t>
      </w:r>
      <w:r>
        <w:rPr>
          <w:rtl w:val="true"/>
        </w:rPr>
        <w:t>ملکة الإجتهاد</w:t>
      </w:r>
      <w:r>
        <w:rPr>
          <w:rtl w:val="true"/>
        </w:rPr>
        <w:t>)</w:t>
      </w:r>
      <w:bookmarkEnd w:id="63"/>
    </w:p>
    <w:p>
      <w:pPr>
        <w:pStyle w:val="BookText"/>
        <w:rPr/>
      </w:pPr>
      <w:r>
        <w:rPr>
          <w:rFonts w:ascii="Amiri" w:hAnsi="Amiri" w:eastAsia="Amiri" w:cs="Amiri"/>
          <w:color w:val="111111"/>
          <w:sz w:val="28"/>
          <w:sz w:val="28"/>
          <w:szCs w:val="28"/>
          <w:rtl w:val="true"/>
          <w:lang w:bidi="ar-SA"/>
        </w:rPr>
        <w:t>والمقصود من علم الفقه الذي يندرج في مباني ومقدّمات الإجتهاد وإستنباط الأحكام، هو عملية التمرّن والممارسة على الإجتهاد في المسائل الفقهية وإستنباط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الإجتهاد مقدّمة ووسيلة لتحصيل الفقه وأنّ الفقه ذو المقدّمة، إذن كيف يمكن أن يكون الفقه مقدّمة للإجتهاد؟</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بالفقه هنا، ملکة الإجتهاد و قوّة ردّ الفروع إلی الأصول و إرجاع الجزئیات إلی الکلیّات و بالعکس</w:t>
      </w:r>
      <w:r>
        <w:rPr>
          <w:rFonts w:eastAsia="IRNazanin" w:cs="IRNazanin"/>
          <w:color w:val="111111"/>
          <w:sz w:val="28"/>
          <w:szCs w:val="28"/>
          <w:rtl w:val="true"/>
          <w:lang w:bidi="fa-IR"/>
        </w:rPr>
        <w:t>.</w:t>
      </w:r>
    </w:p>
    <w:p>
      <w:pPr>
        <w:pStyle w:val="Heading2"/>
        <w:numPr>
          <w:ilvl w:val="1"/>
          <w:numId w:val="1"/>
        </w:numPr>
        <w:rPr/>
      </w:pPr>
      <w:bookmarkStart w:id="64" w:name="__RefHeading___Toc12019983_1280447820"/>
      <w:bookmarkStart w:id="65" w:name="_Toc23"/>
      <w:bookmarkEnd w:id="64"/>
      <w:r>
        <w:rPr>
          <w:rtl w:val="true"/>
        </w:rPr>
        <w:t>السابع</w:t>
      </w:r>
      <w:r>
        <w:rPr>
          <w:rtl w:val="true"/>
        </w:rPr>
        <w:t xml:space="preserve">: </w:t>
      </w:r>
      <w:r>
        <w:rPr>
          <w:rtl w:val="true"/>
        </w:rPr>
        <w:t>العلم بالقواعد الفقهیة</w:t>
      </w:r>
      <w:bookmarkEnd w:id="65"/>
    </w:p>
    <w:p>
      <w:pPr>
        <w:pStyle w:val="BookText"/>
        <w:rPr/>
      </w:pPr>
      <w:r>
        <w:rPr>
          <w:rFonts w:ascii="IRNazanin" w:hAnsi="IRNazanin" w:eastAsia="IRNazanin"/>
          <w:color w:val="111111"/>
          <w:sz w:val="28"/>
          <w:sz w:val="28"/>
          <w:szCs w:val="28"/>
          <w:rtl w:val="true"/>
          <w:lang w:bidi="fa-IR"/>
        </w:rPr>
        <w:t>لا شكّ في أنّ إحدى المقدّمات المهمّة للاستنباط والاجتهاد في الأحكام، العلم بالقواعد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القواعد التی تجری فی باب من أبواب الفقه دون باب؛ کقاعدة لا ضرر و لا حرج و الإقدام و التجاوز و السلطنة و السوق و القرعة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الأستاذ المکارم الشیرازی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القواعد الفقهية عبارة عن الأحكام العامة الجارية في أبواب مختلفة من الفقه، وبمثابة برزخ بين أصول الفقه وعلم الفقه، وعليه فإنّ اختلافها مع مسائل علم الأصول هو أنّ المسائل الأصولية تتضمّن دائماً حكماً من الأحكام الكّلية التي تدور حول موضوع كلّي، وتختلف عن المسائل الفقهية في أنّ الفقه يتحدّث دائماً عن الأحكام الخاصّة المترتبة على الموضوعات الجزئية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یمکن إستفادة الفرق بین القواعد الفقهیّة و المسائل الأصولیّة عن بیان الشیخ الأنصاری عند البحث عن حجّیّة الإستصحاب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يشكل كون الاستصحاب من المسائل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إجراءها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الشكّ في بقاء الحكم الشرعي السابق، كنجاسة الماء المتغيّر بعد زوال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بالمجتهد و ليس وظيفة للمقلّد ، فهي ممّا يحتاج إليه المجتهد فقط و لا ينفع للمقلّد، و هذا من خواصّ المسألة الاصوليّة؛ فإنّ المسائل الاصوليّة لمّا مهّدت للاجتهاد و استنباط الأحكام من الأدلّة اختصّ التكلّم فيها بالمستنبط، و لا حظّ لغيره فيها</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الموادّ و ذکرناه استطراداً و یلیه ما یأتی، فی الطریقة فی أربعة مقدّماتٍ، إن شاء الله تعالی</w:t>
      </w:r>
      <w:r>
        <w:rPr>
          <w:rFonts w:eastAsia="IRNazanin" w:cs="IRNazanin"/>
          <w:color w:val="111111"/>
          <w:sz w:val="28"/>
          <w:szCs w:val="28"/>
          <w:rtl w:val="true"/>
          <w:lang w:bidi="fa-IR"/>
        </w:rPr>
        <w:t xml:space="preserve">. </w:t>
      </w:r>
      <w:bookmarkStart w:id="66" w:name="pg16646_2277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 w:name="__RefHeading___Toc12019985_1280447820"/>
      <w:bookmarkStart w:id="68" w:name="_Toc24"/>
      <w:bookmarkEnd w:id="66"/>
      <w:bookmarkEnd w:id="67"/>
      <w:r>
        <w:rPr>
          <w:rtl w:val="true"/>
        </w:rPr>
        <w:t>المقدّمة الاولی فی الأمور التمهیدیّة</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6646_227710"/>
      <w:bookmarkStart w:id="70" w:name="pg16646_227710"/>
      <w:bookmarkEnd w:id="70"/>
    </w:p>
    <w:p>
      <w:pPr>
        <w:pStyle w:val="BookText"/>
        <w:rPr/>
      </w:pPr>
      <w:bookmarkStart w:id="71" w:name="pg16646_227710"/>
      <w:bookmarkEnd w:id="71"/>
      <w:r>
        <w:rPr>
          <w:rFonts w:ascii="IRNazanin" w:hAnsi="IRNazanin" w:eastAsia="IRNazanin"/>
          <w:color w:val="111111"/>
          <w:sz w:val="28"/>
          <w:sz w:val="28"/>
          <w:szCs w:val="28"/>
          <w:rtl w:val="true"/>
          <w:lang w:bidi="fa-IR"/>
        </w:rPr>
        <w:t>و في هذه المقدّمة التی هی بمنزلة التمهید لهذه الصناعة لابدّ من التنبّه إلی الأمور التالیة</w:t>
      </w:r>
      <w:r>
        <w:rPr>
          <w:rFonts w:eastAsia="IRNazanin" w:cs="IRNazanin"/>
          <w:color w:val="111111"/>
          <w:sz w:val="28"/>
          <w:szCs w:val="28"/>
          <w:rtl w:val="true"/>
          <w:lang w:bidi="fa-IR"/>
        </w:rPr>
        <w:t>:</w:t>
      </w:r>
    </w:p>
    <w:p>
      <w:pPr>
        <w:pStyle w:val="Heading2"/>
        <w:numPr>
          <w:ilvl w:val="1"/>
          <w:numId w:val="1"/>
        </w:numPr>
        <w:rPr/>
      </w:pPr>
      <w:bookmarkStart w:id="72" w:name="__RefHeading___Toc12019987_1280447820"/>
      <w:bookmarkStart w:id="73" w:name="_Toc25"/>
      <w:bookmarkEnd w:id="72"/>
      <w:r>
        <w:rPr>
          <w:rtl w:val="true"/>
        </w:rPr>
        <w:t>الأمرالأوّل</w:t>
      </w:r>
      <w:r>
        <w:rPr>
          <w:rtl w:val="true"/>
        </w:rPr>
        <w:t xml:space="preserve">: </w:t>
      </w:r>
      <w:r>
        <w:rPr>
          <w:rtl w:val="true"/>
        </w:rPr>
        <w:t>فی تعریفها</w:t>
      </w:r>
      <w:bookmarkEnd w:id="73"/>
    </w:p>
    <w:p>
      <w:pPr>
        <w:pStyle w:val="BookText"/>
        <w:rPr/>
      </w:pPr>
      <w:r>
        <w:rPr>
          <w:rFonts w:ascii="IRNazanin" w:hAnsi="IRNazanin" w:eastAsia="IRNazanin"/>
          <w:color w:val="111111"/>
          <w:sz w:val="28"/>
          <w:sz w:val="28"/>
          <w:szCs w:val="28"/>
          <w:rtl w:val="true"/>
          <w:lang w:bidi="fa-IR"/>
        </w:rPr>
        <w:t>نعلم بالبداهة العقلیّة أنّ الوصول إلی أیّ غایة، یستدعی خریطة طریقٍ و إستنباط الأحکام الذی هو غایة الفقیه، لا یستثنی من قاعدة المذکورة التی هی بمنزلة الکبری الکلیّة؛ فالفقیه الذی غایته إستنباط الأحکام، لابدّ من خریطه طریق للوصول إلی غایته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فیتبیّن أنّ منهجیّة الإجتهاد بمنزلة خریطة طریقٍ للفقیه فی عملیة الإستنباط؛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الصناعة تعین الفقیه فی العملیّة التی یقوم بها بعد مواجهة المجهول حتّی الوصول إلی النتیجة و صدور الحکم؛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أو عدم جواز تلقیح الإصطناعیّ، مجهولٌ یواجهه الفقیه و هذه الصناعة آلة الفقیه من بدء الإستنباط إلی إنتهائه و تبدیل المجهول بالمعلوم</w:t>
      </w:r>
      <w:r>
        <w:rPr>
          <w:rFonts w:eastAsia="IRNazanin" w:cs="IRNazanin"/>
          <w:color w:val="111111"/>
          <w:sz w:val="28"/>
          <w:szCs w:val="28"/>
          <w:rtl w:val="true"/>
          <w:lang w:bidi="fa-IR"/>
        </w:rPr>
        <w:t>.</w:t>
      </w:r>
    </w:p>
    <w:p>
      <w:pPr>
        <w:pStyle w:val="Heading2"/>
        <w:numPr>
          <w:ilvl w:val="1"/>
          <w:numId w:val="1"/>
        </w:numPr>
        <w:rPr/>
      </w:pPr>
      <w:bookmarkStart w:id="74" w:name="__RefHeading___Toc12019989_1280447820"/>
      <w:bookmarkStart w:id="75" w:name="_Toc26"/>
      <w:bookmarkEnd w:id="74"/>
      <w:r>
        <w:rPr>
          <w:rtl w:val="true"/>
        </w:rPr>
        <w:t>الأمرالثانی</w:t>
      </w:r>
      <w:r>
        <w:rPr>
          <w:rtl w:val="true"/>
        </w:rPr>
        <w:t xml:space="preserve">: </w:t>
      </w:r>
      <w:r>
        <w:rPr>
          <w:rtl w:val="true"/>
        </w:rPr>
        <w:t>فی موضوعها</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ییتبیّن ممّا تقدم، موضوع هذه الصناعة و هی عملیّة المجتهد فی مقام إستنباط الأحکام من أدلّتها من معرفة الموضوع و فتوی الإبتدائیّة بدون مقارنة الأدلّة بعضهم ببعض و فتوی النهائیّة بعد مقارنة الأدلّة و بعد الکسر والإنکسار</w:t>
      </w:r>
      <w:r>
        <w:rPr>
          <w:rFonts w:eastAsia="IRNazanin" w:cs="IRNazanin"/>
          <w:color w:val="111111"/>
          <w:sz w:val="28"/>
          <w:szCs w:val="28"/>
          <w:rtl w:val="true"/>
          <w:lang w:bidi="fa-IR"/>
        </w:rPr>
        <w:t xml:space="preserve">. </w:t>
      </w:r>
      <w:bookmarkStart w:id="76" w:name="pg16646_227711"/>
    </w:p>
    <w:p>
      <w:pPr>
        <w:pStyle w:val="Heading2"/>
        <w:numPr>
          <w:ilvl w:val="1"/>
          <w:numId w:val="1"/>
        </w:numPr>
        <w:rPr/>
      </w:pPr>
      <w:bookmarkStart w:id="77" w:name="__RefHeading___Toc12019991_1280447820"/>
      <w:bookmarkStart w:id="78" w:name="_Toc27"/>
      <w:bookmarkEnd w:id="76"/>
      <w:bookmarkEnd w:id="77"/>
      <w:r>
        <w:rPr>
          <w:rtl w:val="true"/>
        </w:rPr>
        <w:t>الأمرالثالث</w:t>
      </w:r>
      <w:r>
        <w:rPr>
          <w:rtl w:val="true"/>
        </w:rPr>
        <w:t xml:space="preserve">: </w:t>
      </w:r>
      <w:r>
        <w:rPr>
          <w:rtl w:val="true"/>
        </w:rPr>
        <w:t>فی أهمّ فوائد هذه الصناعة</w:t>
      </w:r>
      <w:bookmarkEnd w:id="78"/>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إهتمام الطّالب بالمسائل الأصولیّة العملیّة المحتاج إلیها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 الطالب المسائل العملیّة من غیرها وأهمیّة المسائل العملیّة تصبح واضحة و هذا ما یدفع الطالب إلی الإهتمام بالمسائل العمیّةفی علم الأصول؛ لانّ الفقیه فی موقف الإستنباط یحتاج إلی المسائل العملیّة فقط و هذا بخلاف موقف قرائة الکتب الأصولیّة و تدریسه فإنّه یهتمّ إلی المسائل غیر العملیّة ایضاً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النقص فی الکتب الأصولیّة الشائعة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الصناعة یتحدّد مقدار حاجة الفقیه إلی المسائل الأصولیّة فی موقف الإستنباط و هی السبب للعلم بالنقص والزیادة</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فی الکتب الأصولیّة الشائعة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کدلیل العقل الذی لم یبحث عنه فی الکتب الأصولیّة کما هو حقّه و العوارض الذاتیّة التی یبحث عنها فی الکتب الأصولیّة و لیس من شأنها أن یطرح فی هذا العلم؛ لأنّ الإستنباط لا یتوقّف إلی فهم العوارض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لایعنی طرد الکتب الأصولیّة الشائعة بل یجب دراسة الکتب الحالیّة جیّداً حتی یتمّ تألیف کتاب جدید یتناول المسائل العملیّة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هذه المسائل الغیر العملیّة الدقّة العلمیّة للطلاب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إزدیاد الدقّة غیر منحصرة فی البحث عن هذه المسائل بل هناک طرق آخر یفید هذه الفائدة و یکفیک للوصول إلی هذه الفائدة البحث عن </w:t>
      </w:r>
      <w:bookmarkStart w:id="79" w:name="pg16646_227712"/>
    </w:p>
    <w:p>
      <w:pPr>
        <w:pStyle w:val="BookText"/>
        <w:rPr/>
      </w:pPr>
      <w:bookmarkEnd w:id="79"/>
      <w:r>
        <w:rPr>
          <w:rFonts w:ascii="IRNazanin" w:hAnsi="IRNazanin" w:eastAsia="IRNazanin"/>
          <w:color w:val="111111"/>
          <w:sz w:val="28"/>
          <w:sz w:val="28"/>
          <w:szCs w:val="28"/>
          <w:rtl w:val="true"/>
          <w:lang w:bidi="fa-IR"/>
        </w:rPr>
        <w:t>المسائل العملیّة</w:t>
      </w:r>
      <w:r>
        <w:rPr>
          <w:rFonts w:eastAsia="IRNazanin" w:cs="IRNazanin"/>
          <w:color w:val="111111"/>
          <w:sz w:val="28"/>
          <w:szCs w:val="28"/>
          <w:rtl w:val="true"/>
          <w:lang w:bidi="fa-IR"/>
        </w:rPr>
        <w:t>.</w:t>
      </w:r>
    </w:p>
    <w:p>
      <w:pPr>
        <w:pStyle w:val="Heading2"/>
        <w:numPr>
          <w:ilvl w:val="1"/>
          <w:numId w:val="1"/>
        </w:numPr>
        <w:rPr/>
      </w:pPr>
      <w:bookmarkStart w:id="80" w:name="__RefHeading___Toc12019993_1280447820"/>
      <w:bookmarkStart w:id="81" w:name="_Toc28"/>
      <w:bookmarkEnd w:id="80"/>
      <w:r>
        <w:rPr>
          <w:rtl w:val="true"/>
        </w:rPr>
        <w:t>الأمرالرابع</w:t>
      </w:r>
      <w:r>
        <w:rPr>
          <w:rtl w:val="true"/>
        </w:rPr>
        <w:t xml:space="preserve">: </w:t>
      </w:r>
      <w:r>
        <w:rPr>
          <w:rtl w:val="true"/>
        </w:rPr>
        <w:t>فی المقارنة بین هذه الصناعة و خارج الأصول و تطبیق العلم لعلم الأصول</w:t>
      </w:r>
      <w:r>
        <w:rPr>
          <w:rtl w:val="true"/>
        </w:rPr>
        <w:t>:</w:t>
      </w:r>
      <w:bookmarkEnd w:id="81"/>
    </w:p>
    <w:p>
      <w:pPr>
        <w:pStyle w:val="BookText"/>
        <w:rPr/>
      </w:pPr>
      <w:r>
        <w:rPr>
          <w:rFonts w:ascii="IRNazanin" w:hAnsi="IRNazanin" w:eastAsia="IRNazanin"/>
          <w:color w:val="111111"/>
          <w:sz w:val="28"/>
          <w:sz w:val="28"/>
          <w:szCs w:val="28"/>
          <w:rtl w:val="true"/>
          <w:lang w:bidi="fa-IR"/>
        </w:rPr>
        <w:t>تفترق الخارج عن تطبیق العلم من جهات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p>
    <w:p>
      <w:pPr>
        <w:pStyle w:val="BookText"/>
        <w:rPr/>
      </w:pPr>
      <w:r>
        <w:rPr>
          <w:rFonts w:ascii="IRNazanin" w:hAnsi="IRNazanin" w:eastAsia="IRNazanin"/>
          <w:color w:val="111111"/>
          <w:sz w:val="28"/>
          <w:sz w:val="28"/>
          <w:szCs w:val="28"/>
          <w:rtl w:val="true"/>
          <w:lang w:bidi="fa-IR"/>
        </w:rPr>
        <w:t>الأصول هو المقرّر الذی یعرض الأستاذ المشکلة أولاً، ثم یشرح جمیع الأقوال بالأدلّة، ثم یختار قولاً من الأقوال بالأدلة و یطرد سائر الأقوال بالأدلة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أربعة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الإستحباب، قدرالمشترک بین الوجوب و الإستحباب، إشتراک اللفظی بین الوجوب و الاستحباب بالأدلّة الکذائیّة</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نختار القول الأوّل مثلاً بالأدلّة الکذائیّة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نطرد سائر الأقوال بالأدلّة الکذائیّة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تطبیق العلم الذی یبحث الباحث فیه بعد إختیار قول المختار و لا یبحث فیه عن الأدلّة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w:t>
      </w:r>
    </w:p>
    <w:p>
      <w:pPr>
        <w:pStyle w:val="BookText"/>
        <w:rPr/>
      </w:pPr>
      <w:r>
        <w:rPr>
          <w:rFonts w:ascii="IRNazanin" w:hAnsi="IRNazanin" w:eastAsia="IRNazanin"/>
          <w:color w:val="111111"/>
          <w:sz w:val="28"/>
          <w:sz w:val="28"/>
          <w:szCs w:val="28"/>
          <w:rtl w:val="true"/>
          <w:lang w:bidi="fa-IR"/>
        </w:rPr>
        <w:t>فی الخارج الاصول عن المسائل العملیّة و غیر العملیّة الّتی یستخدم الاستاذ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الخراسانی فی تعریف موضوع العلم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موضوع کلّ 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هو الذی یبحث فیه عن عوارضه الذاتیّة أی بلا واسطة فی العروض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هو نفس موضوعات مسائله عیناً و ما یتّحد معها خارجاً وإن کان یغایرها مفهوماً تغایرالکلیّ ومصادیقه و أفراده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قال الأستاذ السبحانی فی بیان وجه تمایز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أختلفت کلماتهم فی تعیین الممیّز بین العلوم إلی أقوال أربعة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بتمایز الأغراض؛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بتمایز الموضوعات و تمایز الموضوعات بتمایز الحیثیات؛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بالجهة الجامعة بین مسائلها المنتزعة عن المحمولات المنتسبة إلی موضوعاتها؛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بذاتها و جوهرها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نعلم عدم ترتّب الفائدة العملیّة للبحث عن موضوع العلم و تمایز العلوم و غیره من المسائل الغیر العملیّة التی یبحث فی الخارج الأصول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تطبیق العلم التی یبحث فیه عن المسائل العملیّة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سیاق الخارج، ینطبق المسائل الأصولیّة علی الأمثلة الشرعیّة و العرفیّة الفرضیّة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الانصاری فی البحث عن القسم الثانی من الإستصحاب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فالظاهر جواز الإستصحاب فی الکلیّ مطلقاً علی المشهور سواءٌ کان الشک من جهة الرافع کما إذا علم بحدوث البول أو المنیّ و لم یعلم الحالة السابقة وجب الجمع بین الطهارتین، فاذا فعل إحداهما و شکّ فی رفع الحدث فالأصل بقائه، و إن کان الأصل عدم تحقق الجنابة، فیجوز له ما یحرم علی الجنب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کان الشک من جهة المقتضی، کما لو تردّد من فی الدار بین کونه حیواناً لا یعیش الّا سنةً و کونه حیواناً یعیش مائة سنة، فیجوز بعد السنة الأولی إستصحاب الکلیّ المشترک بین الحیوانین، و یترتب علیه </w:t>
      </w:r>
    </w:p>
    <w:p>
      <w:pPr>
        <w:pStyle w:val="BookText"/>
        <w:rPr/>
      </w:pPr>
      <w:r>
        <w:rPr>
          <w:rFonts w:ascii="IRNazanin" w:hAnsi="IRNazanin" w:eastAsia="IRNazanin"/>
          <w:color w:val="111111"/>
          <w:sz w:val="28"/>
          <w:sz w:val="28"/>
          <w:szCs w:val="28"/>
          <w:rtl w:val="true"/>
          <w:lang w:bidi="fa-IR"/>
        </w:rPr>
        <w:t>آثاره الشرعیّة الثابتة دون آثار شیء من الخصوصیتین، بل یحکم بعدم کلٍّ منهما لو لم یکن مانع عن إجراء الأصلین، کما فی الشبهة المحصوره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فأوضح المسالة بمثالین شرعیّ و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تطبیق العلم التی ینطبق المسائل الأصولیّة علی الأمثلة الشرعیّة الواقعیّة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المفارقة بین خارج الأصول وتطبیق العلم لعلم الأصول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بإضافة هذا الأمر الرابع إلی الأمور السابقة، یتبیّن الفرق بین منهجیّة الإجتهاد و بین خارج الأصول و تطبیق علم الأصول و سیاتی زیادة توضیح فی التنبیه الرابع، إن شاء الله تعالی</w:t>
      </w:r>
      <w:r>
        <w:rPr>
          <w:rFonts w:eastAsia="IRNazanin" w:cs="IRNazanin"/>
          <w:color w:val="111111"/>
          <w:sz w:val="28"/>
          <w:szCs w:val="28"/>
          <w:rtl w:val="true"/>
          <w:lang w:bidi="fa-IR"/>
        </w:rPr>
        <w:t xml:space="preserve">. </w:t>
      </w:r>
      <w:bookmarkStart w:id="82" w:name="pg16646_227715"/>
    </w:p>
    <w:p>
      <w:pPr>
        <w:pStyle w:val="Heading2"/>
        <w:numPr>
          <w:ilvl w:val="1"/>
          <w:numId w:val="1"/>
        </w:numPr>
        <w:rPr/>
      </w:pPr>
      <w:bookmarkStart w:id="83" w:name="__RefHeading___Toc12019995_1280447820"/>
      <w:bookmarkStart w:id="84" w:name="_Toc29"/>
      <w:bookmarkEnd w:id="82"/>
      <w:bookmarkEnd w:id="83"/>
      <w:r>
        <w:rPr>
          <w:rtl w:val="true"/>
        </w:rPr>
        <w:t>تنبیهات المقام</w:t>
      </w:r>
      <w:r>
        <w:rPr>
          <w:rtl w:val="true"/>
        </w:rPr>
        <w:t>:</w:t>
      </w:r>
      <w:bookmarkEnd w:id="84"/>
    </w:p>
    <w:p>
      <w:pPr>
        <w:pStyle w:val="Heading2"/>
        <w:numPr>
          <w:ilvl w:val="1"/>
          <w:numId w:val="1"/>
        </w:numPr>
        <w:rPr/>
      </w:pPr>
      <w:bookmarkStart w:id="85" w:name="__RefHeading___Toc12019997_1280447820"/>
      <w:bookmarkStart w:id="86" w:name="_Toc30"/>
      <w:bookmarkEnd w:id="85"/>
      <w:r>
        <w:rPr>
          <w:rtl w:val="true"/>
        </w:rPr>
        <w:t>التنبیه الأوّل</w:t>
      </w:r>
      <w:r>
        <w:rPr>
          <w:rtl w:val="true"/>
        </w:rPr>
        <w:t xml:space="preserve">: </w:t>
      </w:r>
      <w:r>
        <w:rPr>
          <w:rtl w:val="true"/>
        </w:rPr>
        <w:t>یمکن</w:t>
      </w:r>
      <w:bookmarkEnd w:id="86"/>
    </w:p>
    <w:p>
      <w:pPr>
        <w:pStyle w:val="BookText"/>
        <w:rPr/>
      </w:pPr>
      <w:r>
        <w:rPr>
          <w:rFonts w:ascii="IRNazanin" w:hAnsi="IRNazanin" w:eastAsia="IRNazanin"/>
          <w:color w:val="111111"/>
          <w:sz w:val="28"/>
          <w:sz w:val="28"/>
          <w:szCs w:val="28"/>
          <w:rtl w:val="true"/>
          <w:lang w:bidi="fa-IR"/>
        </w:rPr>
        <w:t>أن تکون خارج الأصول و تطبیق العلم لعلم الأصول، بدائل و بتعلّم إحداهما، لا داعی للأخری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من الأفضل أن نتعلم تطبیق العلم بدلاً من الخارج، لکنّ التحوّل فی التعلیم و التعلّم فی کلّ علمٍ أمرٌ تدریجیٌّ و شروط التحوّل غیر متوفرةٍ فی زماننا هذا ظاهراً بسبب شیوع تدریس خارج الأصول فی مختلف الأزمنة و الأمکنة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بخلاف منهجیّة الإجتهاد التی یجب لکل فقیهٍ أن یحدّدها لنفسه حتّی لا تتعارض آراءه الفقهیّة بعضها مع البعض و لیحافظ وحدة سیاق آراءه فی طریق الإستنباط، و لغیره حتّی یتمکنّوا من فهم آراءه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قد عرفت فی أوّل الرسالة أنّ فهم کلام کل مجتهدٍ یعتمد علی فهم منهجه الإجتهادیّة</w:t>
      </w:r>
      <w:r>
        <w:rPr>
          <w:rFonts w:eastAsia="IRNazanin" w:cs="IRNazanin"/>
          <w:color w:val="111111"/>
          <w:sz w:val="28"/>
          <w:szCs w:val="28"/>
          <w:rtl w:val="true"/>
          <w:lang w:bidi="fa-IR"/>
        </w:rPr>
        <w:t>_.</w:t>
      </w:r>
    </w:p>
    <w:p>
      <w:pPr>
        <w:pStyle w:val="Heading2"/>
        <w:numPr>
          <w:ilvl w:val="1"/>
          <w:numId w:val="1"/>
        </w:numPr>
        <w:rPr/>
      </w:pPr>
      <w:bookmarkStart w:id="87" w:name="__RefHeading___Toc12019999_1280447820"/>
      <w:bookmarkStart w:id="88" w:name="_Toc31"/>
      <w:bookmarkEnd w:id="87"/>
      <w:r>
        <w:rPr>
          <w:rtl w:val="true"/>
        </w:rPr>
        <w:t>التنبیه الثانی</w:t>
      </w:r>
      <w:r>
        <w:rPr>
          <w:rtl w:val="true"/>
        </w:rPr>
        <w:t>:</w:t>
      </w:r>
      <w:bookmarkEnd w:id="88"/>
    </w:p>
    <w:p>
      <w:pPr>
        <w:pStyle w:val="BookText"/>
        <w:rPr/>
      </w:pPr>
      <w:r>
        <w:rPr>
          <w:rFonts w:ascii="IRNazanin" w:hAnsi="IRNazanin" w:eastAsia="IRNazanin"/>
          <w:color w:val="111111"/>
          <w:sz w:val="28"/>
          <w:sz w:val="28"/>
          <w:szCs w:val="28"/>
          <w:rtl w:val="true"/>
          <w:lang w:bidi="fa-IR"/>
        </w:rPr>
        <w:t>فتبیّن ممّا تقدم أنّ موضوع تطبیق العلم، هو المسائل العملیّة فقط و لذا یترتب علیه فائدتان</w:t>
      </w:r>
      <w:r>
        <w:rPr>
          <w:rFonts w:eastAsia="IRNazanin" w:cs="IRNazanin"/>
          <w:color w:val="111111"/>
          <w:sz w:val="28"/>
          <w:szCs w:val="28"/>
          <w:rtl w:val="true"/>
          <w:lang w:bidi="fa-IR"/>
        </w:rPr>
        <w:t>:</w:t>
      </w:r>
    </w:p>
    <w:p>
      <w:pPr>
        <w:pStyle w:val="Heading2"/>
        <w:numPr>
          <w:ilvl w:val="1"/>
          <w:numId w:val="1"/>
        </w:numPr>
        <w:rPr/>
      </w:pPr>
      <w:bookmarkStart w:id="89" w:name="__RefHeading___Toc12020001_1280447820"/>
      <w:bookmarkStart w:id="90" w:name="_Toc32"/>
      <w:bookmarkEnd w:id="89"/>
      <w:r>
        <w:rPr>
          <w:rtl w:val="true"/>
        </w:rPr>
        <w:t>الأولی</w:t>
      </w:r>
      <w:r>
        <w:rPr>
          <w:rtl w:val="true"/>
        </w:rPr>
        <w:t xml:space="preserve">: </w:t>
      </w:r>
      <w:r>
        <w:rPr>
          <w:rtl w:val="true"/>
        </w:rPr>
        <w:t>الإسراع فی تحقیق الهدف من العلم</w:t>
      </w:r>
      <w:bookmarkEnd w:id="90"/>
    </w:p>
    <w:p>
      <w:pPr>
        <w:pStyle w:val="BookText"/>
        <w:rPr/>
      </w:pPr>
      <w:r>
        <w:rPr>
          <w:rFonts w:ascii="IRNazanin" w:hAnsi="IRNazanin" w:eastAsia="IRNazanin"/>
          <w:color w:val="111111"/>
          <w:sz w:val="28"/>
          <w:sz w:val="28"/>
          <w:szCs w:val="28"/>
          <w:rtl w:val="true"/>
          <w:lang w:bidi="fa-IR"/>
        </w:rPr>
        <w:t>لأنّ کلّ علمٍ مدوّنٌ لهدف مّا، و ما یوصلنا إلی هذا الهدف هی المسائل العملیّة للعلم و عرفنا أنّ المتکفّل للمسائل العملیّة فی علم الأصول، هو تطبیق العلم لعلم الأصول</w:t>
      </w:r>
      <w:r>
        <w:rPr>
          <w:rFonts w:eastAsia="IRNazanin" w:cs="IRNazanin"/>
          <w:color w:val="111111"/>
          <w:sz w:val="28"/>
          <w:szCs w:val="28"/>
          <w:rtl w:val="true"/>
          <w:lang w:bidi="fa-IR"/>
        </w:rPr>
        <w:t>.</w:t>
      </w:r>
    </w:p>
    <w:p>
      <w:pPr>
        <w:pStyle w:val="Heading2"/>
        <w:numPr>
          <w:ilvl w:val="1"/>
          <w:numId w:val="1"/>
        </w:numPr>
        <w:rPr/>
      </w:pPr>
      <w:bookmarkStart w:id="91" w:name="__RefHeading___Toc12020003_1280447820"/>
      <w:bookmarkStart w:id="92" w:name="_Toc33"/>
      <w:bookmarkEnd w:id="91"/>
      <w:r>
        <w:rPr>
          <w:rtl w:val="true"/>
        </w:rPr>
        <w:t>الثانیة</w:t>
      </w:r>
      <w:r>
        <w:rPr>
          <w:rtl w:val="true"/>
        </w:rPr>
        <w:t xml:space="preserve">: </w:t>
      </w:r>
      <w:r>
        <w:rPr>
          <w:rtl w:val="true"/>
        </w:rPr>
        <w:t>التحوّل فی طریق دراسة الطلّاب</w:t>
      </w:r>
      <w:bookmarkEnd w:id="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الطالب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علمٍ مرحلتان، مرحلة تعلّم العلم و مرحلة تطبیق العلم؛ و لکن الطالب الذی لم یدرس هذا الدرس، قد یهمل المرحلة الثانیة و ینظر إلی غایة العلم فقط لتعلّمه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فالطالب الأوّل یتعلّم العلم منذ البدایة بحیث یتمکّن من تطبیق المسائل علی الأمثلة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أسئلة </w:t>
      </w:r>
      <w:bookmarkStart w:id="93" w:name="pg16646_227716"/>
    </w:p>
    <w:p>
      <w:pPr>
        <w:pStyle w:val="BookText"/>
        <w:rPr/>
      </w:pPr>
      <w:bookmarkEnd w:id="93"/>
      <w:r>
        <w:rPr>
          <w:rFonts w:ascii="IRNazanin" w:hAnsi="IRNazanin" w:eastAsia="IRNazanin"/>
          <w:color w:val="111111"/>
          <w:sz w:val="28"/>
          <w:sz w:val="28"/>
          <w:szCs w:val="28"/>
          <w:rtl w:val="true"/>
          <w:lang w:bidi="fa-IR"/>
        </w:rPr>
        <w:t>هذین الشخصین مختلفةٌ، لأنّ الطالب الأوّل یسأل عن النتائج العملیّة فقط</w:t>
      </w:r>
      <w:r>
        <w:rPr>
          <w:rFonts w:eastAsia="IRNazanin" w:cs="IRNazanin"/>
          <w:color w:val="111111"/>
          <w:sz w:val="28"/>
          <w:szCs w:val="28"/>
          <w:rtl w:val="true"/>
          <w:lang w:bidi="fa-IR"/>
        </w:rPr>
        <w:t>.</w:t>
      </w:r>
    </w:p>
    <w:p>
      <w:pPr>
        <w:pStyle w:val="Heading2"/>
        <w:numPr>
          <w:ilvl w:val="1"/>
          <w:numId w:val="1"/>
        </w:numPr>
        <w:rPr/>
      </w:pPr>
      <w:bookmarkStart w:id="94" w:name="__RefHeading___Toc12020005_1280447820"/>
      <w:bookmarkStart w:id="95" w:name="_Toc34"/>
      <w:bookmarkEnd w:id="94"/>
      <w:r>
        <w:rPr>
          <w:rtl w:val="true"/>
        </w:rPr>
        <w:t>التنبیه الثالث</w:t>
      </w:r>
      <w:r>
        <w:rPr>
          <w:rtl w:val="true"/>
        </w:rPr>
        <w:t>:</w:t>
      </w:r>
      <w:bookmarkEnd w:id="95"/>
    </w:p>
    <w:p>
      <w:pPr>
        <w:pStyle w:val="BookText"/>
        <w:rPr/>
      </w:pPr>
      <w:r>
        <w:rPr>
          <w:rFonts w:ascii="IRNazanin" w:hAnsi="IRNazanin" w:eastAsia="IRNazanin"/>
          <w:color w:val="111111"/>
          <w:sz w:val="28"/>
          <w:sz w:val="28"/>
          <w:szCs w:val="28"/>
          <w:rtl w:val="true"/>
          <w:lang w:bidi="fa-IR"/>
        </w:rPr>
        <w:t>إنّ دلیل حرمة تقلید المجتهد عن غیره، یشمل أیضاً هذا المجتهد الذی یعلم المسائل العملیّة فقط؛ 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جواز التقلید، سواءٌ کان السیرة العقلائیّة، أو الکتاب، أو السنة، أو البداهة العقلیّة، یکون موضوعه هو الجاهل بالحکم، و من لایکون جاهلاً و له طریقٌ إلی العلم، فلا یکون موضوعاً لهذا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المجتهد، عالمٌ بالمسائل العملیّة و جاهلٌ بالمسائل الغیر العملیّة، و قد عرفت فی التنبیه السابق أنّا نوصل إلی هدف العلم، بالمسائل العملیّة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فی تعریف الإجتهاد الإصطلاحی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إستقصاء الوسع فی طریق کشف الأحکام من الأدلّة؛ و لا یخفی أنّ هذا التعریف یشمل المجتهد الذی تعلّم تطبیق العلم دون الخارج؛ لأنّا عندما نقول بأنّ الإجتهاد هو إستنباط الفروع من الأصول، نعنی الفروع العملیّة دون غیر العملیّة و الافتراضیّة نظیر أکرم العلماء و لا تکرم الفساق</w:t>
      </w:r>
      <w:r>
        <w:rPr>
          <w:rFonts w:eastAsia="IRNazanin" w:cs="IRNazanin"/>
          <w:color w:val="111111"/>
          <w:sz w:val="28"/>
          <w:szCs w:val="28"/>
          <w:rtl w:val="true"/>
          <w:lang w:bidi="fa-IR"/>
        </w:rPr>
        <w:t>.</w:t>
      </w:r>
    </w:p>
    <w:p>
      <w:pPr>
        <w:pStyle w:val="Heading2"/>
        <w:numPr>
          <w:ilvl w:val="1"/>
          <w:numId w:val="1"/>
        </w:numPr>
        <w:rPr/>
      </w:pPr>
      <w:bookmarkStart w:id="96" w:name="__RefHeading___Toc12020007_1280447820"/>
      <w:bookmarkStart w:id="97" w:name="_Toc35"/>
      <w:bookmarkEnd w:id="96"/>
      <w:r>
        <w:rPr>
          <w:rtl w:val="true"/>
        </w:rPr>
        <w:t>التنبیه الرابع</w:t>
      </w:r>
      <w:r>
        <w:rPr>
          <w:rtl w:val="true"/>
        </w:rPr>
        <w:t>:</w:t>
      </w:r>
      <w:bookmarkEnd w:id="97"/>
    </w:p>
    <w:p>
      <w:pPr>
        <w:pStyle w:val="BookText"/>
        <w:rPr/>
      </w:pPr>
      <w:r>
        <w:rPr>
          <w:rFonts w:ascii="IRNazanin" w:hAnsi="IRNazanin" w:eastAsia="IRNazanin"/>
          <w:color w:val="111111"/>
          <w:sz w:val="28"/>
          <w:sz w:val="28"/>
          <w:szCs w:val="28"/>
          <w:rtl w:val="true"/>
          <w:lang w:bidi="fa-IR"/>
        </w:rPr>
        <w:t>تقدّم فی أوّل الرسالة أنّ إستنباط الأحکام یحتاج إلی الموادّ القطعیّة و الطرق لإستعمال الموادّ و المتکفّل للأوّل هو خارج الأصول و للثانی هو المنهجیّة الإجتهاد؛ لکنّ الکلام هنا فی معنی القطعیّة التی قیّد الموادّ بها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القطعیّة فی مقابل التقلیدیّة؛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الموادّ التی یستخدم الفقیه فی الإستنباط، لابدّ أن یکون عن إجتهادٍ لا عن تقلیدٍ؛ فالفقیه الذی یحکم بالوجوب أو الحرمة للخبر الواحد أو الإجماع، لابدّ أن یکون حجیّة الخبر الواحد أو الإجماع عنده عن اجتهادٍ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الأمور التمهیدیّة و تلیه المقدّمة الثانیّة فی الأدلّة، إن شاء الله تعالی</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الثانیّة فی أدلّة الإستنباط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إنّما نتحدّث فی هذا المقام، عن الأدلّة التی یستنبط الفقیه الأحکام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المطلب، يجب أن نتذكر نکتتان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نحاول شرح هذا الأمر بالتفصيل لأنّه موادٌّ یستخدمها الفقیه فی الإستنباط و یبحث عنها فی خارج الأصول وتقدم أنّ هذه الصناعة لا تتعلق بالموادّ بل هی صناعة أسلوبیّة؛ و لکن من أجل فهم هذه الصناعة جیّداً، نورد هذه المقدّمة و المقدّمة التی تلیها بالإختصار و لو یجب علی الطالب أن یتعلّم کل مسالةٍ من المسائل المطروحة هنا، بالتفصیل و الدقّة و بدونها لم یترتّب فائدةٌ للمنهجیّة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نتکلّم فی بیان الأدلّة و خصوصیاتها علی رأی المشهور و لو کان رأینا خلاف ذلک؛ لأنّ المشی علی طریق المشهور، یفی بغرضنا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الأدلّة فی الإستنباط، خمسةٌ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الکتاب و السنة و الإجماع المحصّل و العقل و 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بیانهم تفصیلاً، إن شاء الله تعالی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فی هذه الصناعة داخلٌ فی أدلّة الإستنباط؛ لأنّ </w:t>
      </w:r>
      <w:bookmarkStart w:id="98" w:name="pg16646_227721"/>
    </w:p>
    <w:p>
      <w:pPr>
        <w:pStyle w:val="BookText"/>
        <w:rPr/>
      </w:pPr>
      <w:bookmarkEnd w:id="98"/>
      <w:r>
        <w:rPr>
          <w:rFonts w:ascii="IRNazanin" w:hAnsi="IRNazanin" w:eastAsia="IRNazanin"/>
          <w:color w:val="111111"/>
          <w:sz w:val="28"/>
          <w:sz w:val="28"/>
          <w:szCs w:val="28"/>
          <w:rtl w:val="true"/>
          <w:lang w:bidi="fa-IR"/>
        </w:rPr>
        <w:t>المراد من الدلیل، الأعمّ من الإجتهادی و الفقاهی</w:t>
      </w:r>
      <w:r>
        <w:rPr>
          <w:rStyle w:val="FootnoteAnchor"/>
          <w:rtl w:val="true"/>
        </w:rPr>
        <w:footnoteReference w:id="28"/>
      </w:r>
      <w:r>
        <w:rPr>
          <w:rFonts w:ascii="IRNazanin" w:hAnsi="IRNazanin" w:eastAsia="IRNazanin"/>
          <w:color w:val="111111"/>
          <w:sz w:val="28"/>
          <w:sz w:val="28"/>
          <w:szCs w:val="28"/>
          <w:rtl w:val="true"/>
          <w:lang w:bidi="fa-IR"/>
        </w:rPr>
        <w:t xml:space="preserve">و المراد من الإستنباط، معناه اللغوی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 دخول الأصول العملیّة فی الأدلّة، مسامحةٌ واضحةٌ؛ لأنّ الأصول العملیّة تستخدم فی مقام التطبیق لا الإستنباط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یکون الأدلة عند فقیهٍ أکثر من هذه الموارد فرأی السیرة أو الشهرة، من الأدلّة و أنکر حجیّة الإجماع مثلاً ؛ أو أقلّ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یبحث فی خارج الأصول</w:t>
      </w:r>
      <w:r>
        <w:rPr>
          <w:rFonts w:eastAsia="IRNazanin" w:cs="IRNazanin"/>
          <w:color w:val="111111"/>
          <w:sz w:val="28"/>
          <w:szCs w:val="28"/>
          <w:rtl w:val="true"/>
          <w:lang w:bidi="fa-IR"/>
        </w:rPr>
        <w:t>.</w:t>
      </w:r>
    </w:p>
    <w:p>
      <w:pPr>
        <w:pStyle w:val="Heading2"/>
        <w:numPr>
          <w:ilvl w:val="1"/>
          <w:numId w:val="1"/>
        </w:numPr>
        <w:rPr/>
      </w:pPr>
      <w:bookmarkStart w:id="99" w:name="__RefHeading___Toc12020009_1280447820"/>
      <w:bookmarkStart w:id="100" w:name="_Toc36"/>
      <w:bookmarkEnd w:id="99"/>
      <w:r>
        <w:rPr>
          <w:rtl w:val="true"/>
        </w:rPr>
        <w:t>تفصیل المطلب</w:t>
      </w:r>
      <w:r>
        <w:rPr>
          <w:rtl w:val="true"/>
        </w:rPr>
        <w:t>:</w:t>
      </w:r>
      <w:bookmarkEnd w:id="100"/>
    </w:p>
    <w:p>
      <w:pPr>
        <w:pStyle w:val="Heading2"/>
        <w:numPr>
          <w:ilvl w:val="1"/>
          <w:numId w:val="1"/>
        </w:numPr>
        <w:rPr/>
      </w:pPr>
      <w:bookmarkStart w:id="101" w:name="__RefHeading___Toc12020011_1280447820"/>
      <w:bookmarkStart w:id="102" w:name="_Toc37"/>
      <w:bookmarkEnd w:id="101"/>
      <w:r>
        <w:rPr>
          <w:rtl w:val="true"/>
        </w:rPr>
        <w:t>الدلیل الاوّل</w:t>
      </w:r>
      <w:r>
        <w:rPr>
          <w:rtl w:val="true"/>
        </w:rPr>
        <w:t xml:space="preserve">: </w:t>
      </w:r>
      <w:r>
        <w:rPr>
          <w:rtl w:val="true"/>
        </w:rPr>
        <w:t>الکتاب العزیز</w:t>
      </w:r>
      <w:bookmarkEnd w:id="102"/>
    </w:p>
    <w:p>
      <w:pPr>
        <w:pStyle w:val="BookText"/>
        <w:rPr/>
      </w:pPr>
      <w:r>
        <w:rPr>
          <w:rFonts w:ascii="IRNazanin" w:hAnsi="IRNazanin" w:eastAsia="IRNazanin"/>
          <w:color w:val="111111"/>
          <w:sz w:val="28"/>
          <w:sz w:val="28"/>
          <w:szCs w:val="28"/>
          <w:rtl w:val="true"/>
          <w:lang w:bidi="fa-IR"/>
        </w:rPr>
        <w:t>المصدر الأساسی و الأکثر أهمیّةً للوصول إلی أحکام الله تعالی، هو القرآن الکریم الذی یشتمل علی المسائل الأخلاقیّة و الإعتقادیّة و التأریخیّة و الفقهیّة؛ و العمدة فی هذه الصناعة و للمجتهد فی طریق الإستنباط، هی القسم المتعلق بالأحکام الفقهیّة التی یسمی بآیات الأحکام أو أحکام القرآن؛ وقیل أنّ خمسمائة آیةٍ من آیات القرآن، تختصّ بآیات الأحکام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معظم آیات القرآن یستفاد الحکم الشرعیّ بنحو من الأنحاء؛ صراحتاً او بالإستدلال من آیةٍ دون ضمیمة آیات أخری أو بضمیمة آیتین أو أکثر بعضها ببعض أو بضمیمة الآیة علی الروایة التی هی مفسرها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لکی نستنبط الأحکام من القرآن، نحتاج إلی إثبات ثلاثة أمورٍ</w:t>
      </w:r>
      <w:r>
        <w:rPr>
          <w:rFonts w:eastAsia="IRNazanin" w:cs="IRNazanin"/>
          <w:color w:val="111111"/>
          <w:sz w:val="28"/>
          <w:szCs w:val="28"/>
          <w:rtl w:val="true"/>
          <w:lang w:bidi="fa-IR"/>
        </w:rPr>
        <w:t xml:space="preserve">: </w:t>
      </w:r>
      <w:bookmarkStart w:id="103" w:name="pg16646_227722"/>
    </w:p>
    <w:p>
      <w:pPr>
        <w:pStyle w:val="Heading2"/>
        <w:numPr>
          <w:ilvl w:val="1"/>
          <w:numId w:val="1"/>
        </w:numPr>
        <w:rPr/>
      </w:pPr>
      <w:bookmarkStart w:id="104" w:name="__RefHeading___Toc12020013_1280447820"/>
      <w:bookmarkStart w:id="105" w:name="_Toc38"/>
      <w:bookmarkEnd w:id="103"/>
      <w:bookmarkEnd w:id="104"/>
      <w:r>
        <w:rPr>
          <w:rtl w:val="true"/>
        </w:rPr>
        <w:t>الأمر الأوّل</w:t>
      </w:r>
      <w:r>
        <w:rPr>
          <w:rtl w:val="true"/>
        </w:rPr>
        <w:t xml:space="preserve">: </w:t>
      </w:r>
      <w:r>
        <w:rPr>
          <w:rtl w:val="true"/>
        </w:rPr>
        <w:t>فی أنّ القرآن کلام الله تعالی</w:t>
      </w:r>
      <w:bookmarkEnd w:id="105"/>
    </w:p>
    <w:p>
      <w:pPr>
        <w:pStyle w:val="BookText"/>
        <w:rPr/>
      </w:pPr>
      <w:r>
        <w:rPr>
          <w:rFonts w:ascii="IRNazanin" w:hAnsi="IRNazanin" w:eastAsia="IRNazanin"/>
          <w:color w:val="111111"/>
          <w:sz w:val="28"/>
          <w:sz w:val="28"/>
          <w:szCs w:val="28"/>
          <w:rtl w:val="true"/>
          <w:lang w:bidi="fa-IR"/>
        </w:rPr>
        <w:t>وهذه مناقشة كلاميّة ثبت فيها بالأدلة المختلفة أنّ القرآن كلام الله تعالی وهذا هو إعتقاد 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ويعتقدون أنّ القرآن وحيٌ إلهيٌّ أنزله الله تعالی على النّبي صلى الله عليه و آله و سلم، وكان النّبي نفسه على يقينٍ من أنّ هذا الكلام من عند الله عندما تلقى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یتًّضح أنّ العمدة فی هذه المناقشة، هی البحث عن الوحی و کیفیته التی لا یناسب البحث عنها تفصیلاً فی هذا المقام و للطالب الرجوع إلی الکتب الکلامیّة؛ و لکن ینبغی أن نعلم اجمالاً أنّ وجوه إعجاز القرآن المختلفة</w:t>
      </w:r>
      <w:r>
        <w:rPr>
          <w:rStyle w:val="FootnoteAnchor"/>
          <w:rtl w:val="true"/>
        </w:rPr>
        <w:footnoteReference w:id="30"/>
      </w:r>
      <w:r>
        <w:rPr>
          <w:rFonts w:ascii="IRNazanin" w:hAnsi="IRNazanin" w:eastAsia="IRNazanin"/>
          <w:color w:val="111111"/>
          <w:sz w:val="28"/>
          <w:sz w:val="28"/>
          <w:szCs w:val="28"/>
          <w:rtl w:val="true"/>
          <w:lang w:bidi="fa-IR"/>
        </w:rPr>
        <w:t>فی الطریق</w:t>
      </w:r>
      <w:r>
        <w:rPr>
          <w:rStyle w:val="FootnoteAnchor"/>
          <w:rtl w:val="true"/>
        </w:rPr>
        <w:footnoteReference w:id="31"/>
      </w:r>
      <w:r>
        <w:rPr>
          <w:rFonts w:ascii="IRNazanin" w:hAnsi="IRNazanin" w:eastAsia="IRNazanin"/>
          <w:color w:val="111111"/>
          <w:sz w:val="28"/>
          <w:sz w:val="28"/>
          <w:szCs w:val="28"/>
          <w:rtl w:val="true"/>
          <w:lang w:bidi="fa-IR"/>
        </w:rPr>
        <w:t>و المضمون</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w:t>
      </w:r>
      <w:r>
        <w:rPr>
          <w:rStyle w:val="FootnoteAnchor"/>
          <w:rtl w:val="true"/>
        </w:rPr>
        <w:footnoteReference w:id="33"/>
      </w:r>
      <w:r>
        <w:rPr>
          <w:rFonts w:ascii="IRNazanin" w:hAnsi="IRNazanin" w:eastAsia="IRNazanin"/>
          <w:color w:val="111111"/>
          <w:sz w:val="28"/>
          <w:sz w:val="28"/>
          <w:szCs w:val="28"/>
          <w:rtl w:val="true"/>
          <w:lang w:bidi="fa-IR"/>
        </w:rPr>
        <w:t>و العلم</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بیان الأخبار الغیبیّة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هی العمدة</w:t>
      </w:r>
    </w:p>
    <w:p>
      <w:pPr>
        <w:pStyle w:val="BookText"/>
        <w:rPr/>
      </w:pPr>
      <w:r>
        <w:rPr>
          <w:rFonts w:ascii="IRNazanin" w:hAnsi="IRNazanin" w:eastAsia="IRNazanin"/>
          <w:color w:val="111111"/>
          <w:sz w:val="28"/>
          <w:sz w:val="28"/>
          <w:szCs w:val="28"/>
          <w:rtl w:val="true"/>
          <w:lang w:bidi="fa-IR"/>
        </w:rPr>
        <w:t>للإستدلال بأنّه وحی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المراد لیس وحی المعنی و المفهوم فقط بل نعتقد بأنّ کلماته هی کلام الله تعالی و بهذا یتّضح الفرق الأساسی بین آیات القرآن و الروایات؛ لأنّ کثیراً من الروایات لیست عین الفاظ المعصومین علیهم السلام بل هی من قبیل النقل بالمعنی؛ و قد أجاز الأئمّة المعصومین علیهم السلام لرواة الأحادیث، تغییر الألفاظ مع حفظ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یجوّزون المحدثون و فقهاء الإمامیّة و أکثر أهل السنة، النقل بالمعنی فی الأحادیث إلّا جماعة قلیلة من أهل السنة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قال المحقّق البهبهانی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القرآن كلامه تعالى يقينا، فإذا ظهر مراده تعالى فلا يمكن التأمّل، لأنّه في الحقيقة تأمّلٌ في كونه تعالى حجّة يجب إتّباع قوله تعالى و إمتثال أمره و نهيه و الإعتداد بخطاباته و أحكامه، و لا يرضى بذلك كافرٌ فضلاً عن مؤمن، سيّما أن يكون التأمّل من جهة إدّعاء ظهور من ظواهر بعض الأخبار و أين سند القرآن و متنه من سنده و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الدلالة فربّما كانت قطعيّة، و ربّما كانت ظنّيّة في غاية القوّة، و ربّما كانت ظنّيّة مقابلة للظنّ الحاصل من الأخبار، مع أنّه حجّة عندهم قطعا، و ما دلّ على حجّيته يشمل هذا أيضا، بل بطريق أولى، لأنّه مفهوم كلام الشارع القطعي سنداً أو متناً بخلاف مفهوم كلام لا يعلم أنّه متن كلام الشارع لإحتمال كونه كلام الرّاوي، و أنّه ليس من المعصوم عليه السلام أصلاً، أو أنّه منه لكن نقلا بالمعنى، بل هذا هو الأظهر، كما يظهر من مخالفة ألفاظ حديث واحد في مقامات متعدّدة و أنّهم عليهم السلام رخّصوا النقل بالمعنى و غير ذلك بل كثير من الروايات يحصل القطع بأنّه ليس من كلام المعصوم مثل روايات عمّار و غير </w:t>
      </w:r>
      <w:bookmarkStart w:id="106" w:name="pg16646_227724"/>
    </w:p>
    <w:p>
      <w:pPr>
        <w:pStyle w:val="BookText"/>
        <w:rPr/>
      </w:pPr>
      <w:bookmarkEnd w:id="106"/>
      <w:r>
        <w:rPr>
          <w:rFonts w:ascii="Amiri" w:hAnsi="Amiri" w:eastAsia="Amiri" w:cs="Amiri"/>
          <w:color w:val="111111"/>
          <w:sz w:val="28"/>
          <w:sz w:val="28"/>
          <w:szCs w:val="28"/>
          <w:rtl w:val="true"/>
          <w:lang w:bidi="ar-SA"/>
        </w:rPr>
        <w:t>ذلك و هي حجّة عندهم قطعاً مع أنّ ما فهموه ليس إلاّ محض التوهّم ممّا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علم القرآن منحصر في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في أنّ المراد علم الجميع، و كلّ حكم يكون فيه، إذ لا شكّ في أن الأطفال يعلمون أنّ مراده تعالى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 و أمثال ذلك من الأحكام، و المواعظ، و القصص بحيث لا يحصى</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لکن لا یجوز النقل بالمعنی فی ألفاظ القرآن؛ فلهذا عندما ینزّل الله تعالی مثلاً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النّبی صلی الله علیه و آله و سلّم، و إن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خاصّاً للنّبی، إلّا أنّه لم یحذفها عند قرائتها علی الناس، بل قرءها کما کان قد تلقی ذلک</w:t>
      </w:r>
      <w:r>
        <w:rPr>
          <w:rFonts w:eastAsia="IRNazanin" w:cs="IRNazanin"/>
          <w:color w:val="111111"/>
          <w:sz w:val="28"/>
          <w:szCs w:val="28"/>
          <w:rtl w:val="true"/>
          <w:lang w:bidi="fa-IR"/>
        </w:rPr>
        <w:t>.</w:t>
      </w:r>
    </w:p>
    <w:p>
      <w:pPr>
        <w:pStyle w:val="Heading2"/>
        <w:numPr>
          <w:ilvl w:val="1"/>
          <w:numId w:val="1"/>
        </w:numPr>
        <w:rPr/>
      </w:pPr>
      <w:bookmarkStart w:id="107" w:name="__RefHeading___Toc12020015_1280447820"/>
      <w:bookmarkStart w:id="108" w:name="_Toc39"/>
      <w:bookmarkEnd w:id="107"/>
      <w:r>
        <w:rPr>
          <w:rtl w:val="true"/>
        </w:rPr>
        <w:t>الأمر الثانی</w:t>
      </w:r>
      <w:r>
        <w:rPr>
          <w:rtl w:val="true"/>
        </w:rPr>
        <w:t xml:space="preserve">: </w:t>
      </w:r>
      <w:r>
        <w:rPr>
          <w:rtl w:val="true"/>
        </w:rPr>
        <w:t>فی عدم تحریف القرآن</w:t>
      </w:r>
      <w:bookmarkEnd w:id="108"/>
    </w:p>
    <w:p>
      <w:pPr>
        <w:pStyle w:val="BookText"/>
        <w:rPr/>
      </w:pPr>
      <w:r>
        <w:rPr>
          <w:rFonts w:ascii="IRNazanin" w:hAnsi="IRNazanin" w:eastAsia="IRNazanin"/>
          <w:color w:val="111111"/>
          <w:sz w:val="28"/>
          <w:sz w:val="28"/>
          <w:szCs w:val="28"/>
          <w:rtl w:val="true"/>
          <w:lang w:bidi="fa-IR"/>
        </w:rPr>
        <w:t>و المقصود بالتحریف هنا، هی تبدیل ألفاظ القرآن الموجود بأیدینا أو قلته أو کثرته بالنسبة إلی القرآن الحقیقی المصطلح بالتحریف اللفظی و إلّا لا شکّ فی تحریفه المعنوی الذی هو تفسیر الآیة بطریقة تتعارض مع معناها الحقیقی</w:t>
      </w:r>
      <w:r>
        <w:rPr>
          <w:rFonts w:eastAsia="IRNazanin" w:cs="IRNazanin"/>
          <w:color w:val="111111"/>
          <w:sz w:val="28"/>
          <w:szCs w:val="28"/>
          <w:rtl w:val="true"/>
          <w:lang w:bidi="fa-IR"/>
        </w:rPr>
        <w:t>.</w:t>
      </w:r>
    </w:p>
    <w:p>
      <w:pPr>
        <w:pStyle w:val="Heading2"/>
        <w:numPr>
          <w:ilvl w:val="1"/>
          <w:numId w:val="1"/>
        </w:numPr>
        <w:rPr/>
      </w:pPr>
      <w:bookmarkStart w:id="109" w:name="__RefHeading___Toc12020017_1280447820"/>
      <w:bookmarkStart w:id="110" w:name="_Toc40"/>
      <w:bookmarkEnd w:id="109"/>
      <w:r>
        <w:rPr>
          <w:rtl w:val="true"/>
        </w:rPr>
        <w:t>أدلّة عدم تحریف القرآن</w:t>
      </w:r>
      <w:bookmarkEnd w:id="110"/>
    </w:p>
    <w:p>
      <w:pPr>
        <w:pStyle w:val="Heading2"/>
        <w:numPr>
          <w:ilvl w:val="1"/>
          <w:numId w:val="1"/>
        </w:numPr>
        <w:rPr/>
      </w:pPr>
      <w:bookmarkStart w:id="111" w:name="__RefHeading___Toc12020019_1280447820"/>
      <w:bookmarkStart w:id="112" w:name="_Toc41"/>
      <w:bookmarkEnd w:id="111"/>
      <w:r>
        <w:rPr>
          <w:rtl w:val="true"/>
        </w:rPr>
        <w:t>الأوّل</w:t>
      </w:r>
      <w:r>
        <w:rPr>
          <w:rtl w:val="true"/>
        </w:rPr>
        <w:t xml:space="preserve">: </w:t>
      </w:r>
      <w:r>
        <w:rPr>
          <w:rtl w:val="true"/>
        </w:rPr>
        <w:t>آیات القرآن</w:t>
      </w:r>
      <w:bookmarkEnd w:id="11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تتحدث هذه الآية عن صيانة القرآن وحفظه من أيّ نوعٍ من التحريف بعد نزوله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نفی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یأْتِیهِ الْباطِلُ مِنْ بَینِ یدَیهِ وَ لا مِنْ خَلْفِهِ تَنْزِیلٌ </w:t>
      </w:r>
      <w:bookmarkStart w:id="113" w:name="pg16646_227725"/>
    </w:p>
    <w:p>
      <w:pPr>
        <w:pStyle w:val="BookText"/>
        <w:rPr/>
      </w:pPr>
      <w:bookmarkEnd w:id="113"/>
      <w:r>
        <w:rPr>
          <w:rFonts w:ascii="Amiri" w:hAnsi="Amiri" w:eastAsia="Amiri" w:cs="Amiri"/>
          <w:color w:val="111111"/>
          <w:sz w:val="28"/>
          <w:sz w:val="28"/>
          <w:szCs w:val="28"/>
          <w:rtl w:val="true"/>
          <w:lang w:bidi="ar-SA"/>
        </w:rPr>
        <w:t>مِنْ حَکِیمٍ حَمِیدٍ</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وبنفى الباطل، ينفي القرآن أيّ نوعٍ من التغيير والتبدّل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فإنّ القرآن كتاب لا یرسم علیه خطّ البطلان لا في وقت النزول ولا بعده</w:t>
      </w:r>
      <w:r>
        <w:rPr>
          <w:rFonts w:eastAsia="IRNazanin" w:cs="IRNazanin"/>
          <w:color w:val="111111"/>
          <w:sz w:val="28"/>
          <w:szCs w:val="28"/>
          <w:rtl w:val="true"/>
          <w:lang w:bidi="fa-IR"/>
        </w:rPr>
        <w:t>.</w:t>
      </w:r>
    </w:p>
    <w:p>
      <w:pPr>
        <w:pStyle w:val="Heading2"/>
        <w:numPr>
          <w:ilvl w:val="1"/>
          <w:numId w:val="1"/>
        </w:numPr>
        <w:rPr/>
      </w:pPr>
      <w:bookmarkStart w:id="114" w:name="__RefHeading___Toc12020021_1280447820"/>
      <w:bookmarkStart w:id="115" w:name="_Toc42"/>
      <w:bookmarkEnd w:id="114"/>
      <w:r>
        <w:rPr>
          <w:rtl w:val="true"/>
        </w:rPr>
        <w:t>الثانی</w:t>
      </w:r>
      <w:r>
        <w:rPr>
          <w:rtl w:val="true"/>
        </w:rPr>
        <w:t xml:space="preserve">: </w:t>
      </w:r>
      <w:r>
        <w:rPr>
          <w:rtl w:val="true"/>
        </w:rPr>
        <w:t>الأدلة التأريخية</w:t>
      </w:r>
      <w:bookmarkEnd w:id="115"/>
    </w:p>
    <w:p>
      <w:pPr>
        <w:pStyle w:val="BookText"/>
        <w:rPr/>
      </w:pPr>
      <w:r>
        <w:rPr>
          <w:rFonts w:ascii="IRNazanin" w:hAnsi="IRNazanin" w:eastAsia="IRNazanin"/>
          <w:color w:val="111111"/>
          <w:sz w:val="28"/>
          <w:sz w:val="28"/>
          <w:szCs w:val="28"/>
          <w:rtl w:val="true"/>
          <w:lang w:bidi="fa-IR"/>
        </w:rPr>
        <w:t>نشاهد فی هذا الدلیل، عنایة خاصّةً من المسلمین فی جمیع وجوه الجمع و الحفظ و الضبط و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إستدلال الأئمّة علیهم السلام والأصحاب بآیات المحذوفة المدّعاة فی أمر الخلافة، و أیضاً خوف النّبی من المعاندین و المنافقین فی آخر سنوات عمره، و إبلاغ آیة الولایة، یکشف عن عدم حذف آیاتٍ من القرآن فی فضائل أهل البیت علیهم السلام وأسمائهم؛ و إلّا لکان قد إستشهدوا أمیر المومنین علیه السلام و فاطمة الزهرا سلام الله علیها بهم وأحتجّوا علیهم بهذه الآیات فی مسألة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کون الأسماء فی القرآن، لم یکن النّبی صلی الله علیه و آله وسلّم مکلّفاً بإبلاغ الولایة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قال الإمام الخمینی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سبب عدم ذكر إسم الإمام علیه السلام في القرآن، هو خوف النبي صلی الله علیه و آله، من المنافقين في تحريف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تشهد بعض الآيات على هذه المسألة والتاريخ يؤكد ذلك أيضًا</w:t>
      </w:r>
      <w:r>
        <w:rPr>
          <w:rFonts w:eastAsia="IRNazanin" w:cs="IRNazanin"/>
          <w:color w:val="111111"/>
          <w:sz w:val="28"/>
          <w:szCs w:val="28"/>
          <w:rtl w:val="true"/>
          <w:lang w:bidi="fa-IR"/>
        </w:rPr>
        <w:t>.</w:t>
      </w:r>
      <w:r>
        <w:rPr>
          <w:rStyle w:val="FootnoteAnchor"/>
          <w:rtl w:val="true"/>
        </w:rPr>
        <w:footnoteReference w:id="4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إستدلّ القائلون القلیلون بالتحریف، بالروایات التی فی أسنادها </w:t>
      </w:r>
      <w:bookmarkStart w:id="116" w:name="pg16646_227726"/>
    </w:p>
    <w:p>
      <w:pPr>
        <w:pStyle w:val="BookText"/>
        <w:rPr/>
      </w:pPr>
      <w:bookmarkEnd w:id="116"/>
      <w:r>
        <w:rPr>
          <w:rFonts w:ascii="IRNazanin" w:hAnsi="IRNazanin" w:eastAsia="IRNazanin"/>
          <w:color w:val="111111"/>
          <w:sz w:val="28"/>
          <w:sz w:val="28"/>
          <w:szCs w:val="28"/>
          <w:rtl w:val="true"/>
          <w:lang w:bidi="fa-IR"/>
        </w:rPr>
        <w:t>ضعفٌ أو ترجع إلی التحریف المعنوی و لا یهمّنا البحث عنها بعد ذکر الأدلّة الدالّة علی عدم التحریف و عدم وسع هذه الرسالة لإطالة الکلام فی بیان المسائل الخارجة عن الموضوع الأصلیّ</w:t>
      </w:r>
      <w:r>
        <w:rPr>
          <w:rFonts w:eastAsia="IRNazanin" w:cs="IRNazanin"/>
          <w:color w:val="111111"/>
          <w:sz w:val="28"/>
          <w:szCs w:val="28"/>
          <w:rtl w:val="true"/>
          <w:lang w:bidi="fa-IR"/>
        </w:rPr>
        <w:t>.</w:t>
      </w:r>
    </w:p>
    <w:p>
      <w:pPr>
        <w:pStyle w:val="Heading2"/>
        <w:numPr>
          <w:ilvl w:val="1"/>
          <w:numId w:val="1"/>
        </w:numPr>
        <w:rPr/>
      </w:pPr>
      <w:bookmarkStart w:id="117" w:name="__RefHeading___Toc12020023_1280447820"/>
      <w:bookmarkStart w:id="118" w:name="_Toc43"/>
      <w:bookmarkEnd w:id="117"/>
      <w:r>
        <w:rPr>
          <w:rtl w:val="true"/>
        </w:rPr>
        <w:t>الأمر الثالث</w:t>
      </w:r>
      <w:r>
        <w:rPr>
          <w:rtl w:val="true"/>
        </w:rPr>
        <w:t xml:space="preserve">: </w:t>
      </w:r>
      <w:r>
        <w:rPr>
          <w:rtl w:val="true"/>
        </w:rPr>
        <w:t>فی حجّیّة ظواهر القرآن</w:t>
      </w:r>
      <w:bookmarkEnd w:id="118"/>
    </w:p>
    <w:p>
      <w:pPr>
        <w:pStyle w:val="BookText"/>
        <w:rPr/>
      </w:pPr>
      <w:r>
        <w:rPr>
          <w:rFonts w:ascii="IRNazanin" w:hAnsi="IRNazanin" w:eastAsia="IRNazanin"/>
          <w:color w:val="111111"/>
          <w:sz w:val="28"/>
          <w:sz w:val="28"/>
          <w:szCs w:val="28"/>
          <w:rtl w:val="true"/>
          <w:lang w:bidi="fa-IR"/>
        </w:rPr>
        <w:t>هذا الأمر بخلاف الأمرین السابقین، یبحث عنها فی علم الأصول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تمّت البحث عنها فی الکتب الأصولیّة بما فیه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لأجل حفاظة الأسلوب الذي سافرنا إليه حتى الآن، أعنی بیان المطالب المقدّمیة بقدر الإختصار و الکفایة، نذکر بعض أدلّة حجیّة ظواهر الکتاب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البیان</w:t>
      </w:r>
      <w:r>
        <w:rPr>
          <w:rFonts w:eastAsia="IRNazanin" w:cs="IRNazanin"/>
          <w:color w:val="111111"/>
          <w:sz w:val="28"/>
          <w:szCs w:val="28"/>
          <w:rtl w:val="true"/>
          <w:lang w:bidi="fa-IR"/>
        </w:rPr>
        <w:t>:</w:t>
      </w:r>
    </w:p>
    <w:p>
      <w:pPr>
        <w:pStyle w:val="Heading2"/>
        <w:numPr>
          <w:ilvl w:val="1"/>
          <w:numId w:val="1"/>
        </w:numPr>
        <w:rPr/>
      </w:pPr>
      <w:bookmarkStart w:id="119" w:name="__RefHeading___Toc12020025_1280447820"/>
      <w:bookmarkStart w:id="120" w:name="_Toc44"/>
      <w:bookmarkEnd w:id="119"/>
      <w:r>
        <w:rPr>
          <w:rtl w:val="true"/>
        </w:rPr>
        <w:t>الأوّل</w:t>
      </w:r>
      <w:r>
        <w:rPr>
          <w:rtl w:val="true"/>
        </w:rPr>
        <w:t>:</w:t>
      </w:r>
      <w:r>
        <w:rPr>
          <w:rtl w:val="true"/>
        </w:rPr>
        <w:t>ارتکاز العقلاء</w:t>
      </w:r>
      <w:bookmarkEnd w:id="120"/>
    </w:p>
    <w:p>
      <w:pPr>
        <w:pStyle w:val="BookText"/>
        <w:rPr/>
      </w:pPr>
      <w:r>
        <w:rPr>
          <w:rFonts w:ascii="IRNazanin" w:hAnsi="IRNazanin" w:eastAsia="IRNazanin"/>
          <w:color w:val="111111"/>
          <w:sz w:val="28"/>
          <w:sz w:val="28"/>
          <w:szCs w:val="28"/>
          <w:rtl w:val="true"/>
          <w:lang w:bidi="fa-IR"/>
        </w:rPr>
        <w:t>نعلم بالوجدان، إعتماد الناس علی ظواهر کلامهم فی المحاورات و المکاتبات و غیرها؛ و الشارع المقدّس، لم یخرج عن طریقة أهل الکلام فی الخطابات الشرعیّة، بل یمضیها</w:t>
      </w:r>
      <w:r>
        <w:rPr>
          <w:rFonts w:eastAsia="IRNazanin" w:cs="IRNazanin"/>
          <w:color w:val="111111"/>
          <w:sz w:val="28"/>
          <w:szCs w:val="28"/>
          <w:rtl w:val="true"/>
          <w:lang w:bidi="fa-IR"/>
        </w:rPr>
        <w:t>.</w:t>
      </w:r>
    </w:p>
    <w:p>
      <w:pPr>
        <w:pStyle w:val="Heading2"/>
        <w:numPr>
          <w:ilvl w:val="1"/>
          <w:numId w:val="1"/>
        </w:numPr>
        <w:rPr/>
      </w:pPr>
      <w:bookmarkStart w:id="121" w:name="__RefHeading___Toc12020027_1280447820"/>
      <w:bookmarkStart w:id="122" w:name="_Toc45"/>
      <w:bookmarkEnd w:id="121"/>
      <w:r>
        <w:rPr>
          <w:rtl w:val="true"/>
        </w:rPr>
        <w:t>الثانی</w:t>
      </w:r>
      <w:r>
        <w:rPr>
          <w:rtl w:val="true"/>
        </w:rPr>
        <w:t xml:space="preserve">: </w:t>
      </w:r>
      <w:r>
        <w:rPr>
          <w:rtl w:val="true"/>
        </w:rPr>
        <w:t>لزوم نقض الغرض</w:t>
      </w:r>
      <w:bookmarkEnd w:id="122"/>
    </w:p>
    <w:p>
      <w:pPr>
        <w:pStyle w:val="BookText"/>
        <w:rPr/>
      </w:pPr>
      <w:r>
        <w:rPr>
          <w:rFonts w:ascii="IRNazanin" w:hAnsi="IRNazanin" w:eastAsia="IRNazanin"/>
          <w:color w:val="111111"/>
          <w:sz w:val="28"/>
          <w:sz w:val="28"/>
          <w:szCs w:val="28"/>
          <w:rtl w:val="true"/>
          <w:lang w:bidi="fa-IR"/>
        </w:rPr>
        <w:t>لأنّ الغرض من وضع الألفاظ و القوانین المتعلّقة بالحقیقة و المجاز و الإستعارة و الکنایة و غیرها، هو التفهیم و التفهّم و مع عدم حجیّة الظواهر، لن یتحقّق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الإعتقاد علی حجیّة الظواهر، هو بعد الفحص عن المخصّص فی العمومات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بوجود مخالفات الظواهر لا یرتفع أثره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هو </w:t>
      </w:r>
      <w:bookmarkStart w:id="123" w:name="pg16646_227727"/>
    </w:p>
    <w:p>
      <w:pPr>
        <w:pStyle w:val="BookText"/>
        <w:rPr/>
      </w:pPr>
      <w:bookmarkEnd w:id="123"/>
      <w:r>
        <w:rPr>
          <w:rFonts w:ascii="IRNazanin" w:hAnsi="IRNazanin" w:eastAsia="IRNazanin"/>
          <w:color w:val="111111"/>
          <w:sz w:val="28"/>
          <w:sz w:val="28"/>
          <w:szCs w:val="28"/>
          <w:rtl w:val="true"/>
          <w:lang w:bidi="fa-IR"/>
        </w:rPr>
        <w:t>وجوب التوقّف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بالفحص؛ و لذا لو تردّد اللفظ بین معنیین، أو علم إجمالاً بمخالفة أحد الظاهرین لظاهره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فی العامّین من وجه و شبههما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وجب التوقّف فیه و لو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المعلوم إجمالاً هو وجود مخالفاتٍ کثیرة فی الواقع فیما بأیدینا بحیث تظهر تفصیلاً بعد الفحص، و أمّا وجود مخالفات فی الواقع زائداً علی ذلک فغیر معلوم، فحینئذٍ لا یجوز العمل قبل الفحص؛ لإحتمال وجود مخصّص یظهر بالفحص، و لا یمکن نفیه بالأصل؛ لأجل العلم الإجمالی، و أمّا بعد الفحص فإحتمال وجود المخصّص فی الواقع ینفی بالأصل السالم عن العلم الإجمالی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یتکلّم الشیخ الأعظم هنا، فی موضع الردّ علی الأخباریین الذین ینکرون حجیّة ظواهر خصوص القرآن ویعتقدون بعدم إنعقاد الظهور لآیات القرآن مع عدم الرجوع إلی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فرائد الاصول للشیخ الأعظم الأنصاری ما به الکفایة عن أدلّة الأخباریین و الجواب عنها؛ فراجع</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فبتمامیّة هذه الأمور الثلاثة، یصحّ إستنباط الأحکام الشرعیّة بالکتاب العزیز</w:t>
      </w:r>
      <w:r>
        <w:rPr>
          <w:rFonts w:eastAsia="IRNazanin" w:cs="IRNazanin"/>
          <w:color w:val="111111"/>
          <w:sz w:val="28"/>
          <w:szCs w:val="28"/>
          <w:rtl w:val="true"/>
          <w:lang w:bidi="fa-IR"/>
        </w:rPr>
        <w:t>.</w:t>
      </w:r>
    </w:p>
    <w:p>
      <w:pPr>
        <w:pStyle w:val="Heading2"/>
        <w:numPr>
          <w:ilvl w:val="1"/>
          <w:numId w:val="1"/>
        </w:numPr>
        <w:rPr/>
      </w:pPr>
      <w:bookmarkStart w:id="124" w:name="__RefHeading___Toc12020029_1280447820"/>
      <w:bookmarkStart w:id="125" w:name="_Toc46"/>
      <w:bookmarkEnd w:id="124"/>
      <w:r>
        <w:rPr>
          <w:rtl w:val="true"/>
        </w:rPr>
        <w:t>الدلیل الثانی</w:t>
      </w:r>
      <w:r>
        <w:rPr>
          <w:rtl w:val="true"/>
        </w:rPr>
        <w:t xml:space="preserve">: </w:t>
      </w:r>
      <w:r>
        <w:rPr>
          <w:rtl w:val="true"/>
        </w:rPr>
        <w:t>السّنة المقدّسة</w:t>
      </w:r>
      <w:bookmarkEnd w:id="1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تطلق السنّة فی الإصطلاح، بالقول و الفعل و التقریر الصادرین عن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المراد من السنّة فی هذه الصناعة، هو خصوص خبر المتواتر و الواحد عن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لندرت المتواترات، یستنبط الفقیه الحکم من الأخبار الآحاد فی مقام الإستنباط عمدتاً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من خبر الواحد الّتی هی حجة یصحّ الإستنباط بها، هو کلّ ما فی الکتب المعتبرة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قال به بعض الأخباریّین</w:t>
      </w:r>
      <w:r>
        <w:rPr>
          <w:rStyle w:val="FootnoteAnchor"/>
          <w:rtl w:val="true"/>
        </w:rPr>
        <w:footnoteReference w:id="43"/>
      </w:r>
      <w:r>
        <w:rPr>
          <w:rFonts w:ascii="IRNazanin" w:hAnsi="IRNazanin" w:eastAsia="IRNazanin"/>
          <w:color w:val="111111"/>
          <w:sz w:val="28"/>
          <w:sz w:val="28"/>
          <w:szCs w:val="28"/>
          <w:rtl w:val="true"/>
          <w:lang w:bidi="fa-IR"/>
        </w:rPr>
        <w:t>و المحقق النراقی من الأصولیّین بعد إستثناء ما کان مخالفاَ للمشهور</w:t>
      </w:r>
      <w:r>
        <w:rPr>
          <w:rStyle w:val="FootnoteAnchor"/>
          <w:rtl w:val="true"/>
        </w:rPr>
        <w:footnoteReference w:id="44"/>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أنّ المعتبر بعضها و أنّ الملاک فی الإعتبارعمل الأصحاب کما یظهر من کلام المحقق</w:t>
      </w:r>
      <w:r>
        <w:rPr>
          <w:rStyle w:val="FootnoteAnchor"/>
          <w:rtl w:val="true"/>
        </w:rPr>
        <w:footnoteReference w:id="45"/>
      </w:r>
      <w:r>
        <w:rPr>
          <w:rFonts w:ascii="IRNazanin" w:hAnsi="IRNazanin" w:eastAsia="IRNazanin"/>
          <w:color w:val="111111"/>
          <w:sz w:val="28"/>
          <w:sz w:val="28"/>
          <w:szCs w:val="28"/>
          <w:rtl w:val="true"/>
          <w:lang w:bidi="fa-IR"/>
        </w:rPr>
        <w:t>، أو عدالة الراوی، أو وثاقته،أو مجرّد الظنّ بصدور الرّوایة من غیر اعتبار صفةٍ فی الراوی، أو غیر ذلک من التفصیلات</w:t>
      </w:r>
      <w:r>
        <w:rPr>
          <w:rStyle w:val="FootnoteAnchor"/>
          <w:rtl w:val="true"/>
        </w:rPr>
        <w:footnoteReference w:id="46"/>
      </w:r>
      <w:r>
        <w:rPr>
          <w:rFonts w:ascii="Amiri" w:hAnsi="Amiri" w:eastAsia="Amiri" w:cs="Amiri"/>
          <w:color w:val="111111"/>
          <w:sz w:val="28"/>
          <w:sz w:val="28"/>
          <w:szCs w:val="28"/>
          <w:rtl w:val="true"/>
          <w:lang w:bidi="ar-SA"/>
        </w:rPr>
        <w:t>أقوال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الموثوق بصدوره عن المعصوم علیه السلام لا خصوص خبر الثقه، و بینهما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الأستاذ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ملازمة بین وثاقة الرّاوی و کون الخبر موثوقاً بالصّدور، بل ربّما یکون الرّاوی ثقة، ولکنّ القرائن و الأمارات تشهد علی عدم صدور الخبر من الإمام علیه السلام، و أنّ الثّقة قد ألتبس علیه الأمر، و هذا بخلاف ما لو قلنا بأنّ المناط هو کون الخبر موثوق الصّدور، إذ عندئذٍ تکون وثاقة الرّاوی من إحدی الأمارات علی کون الخبر موثوق الصّدور و لا تنحصر الحجیّة بخبر الثّقة، بل لو لم یحرز وثاقة الرّاوی و دلّت القرائن علی صدق الخبر و صحّته یجوز الأخذ به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القول غیر بعید بالنّظر إلی سیرة العقلاء، فقد جرت سیرتهم </w:t>
      </w:r>
    </w:p>
    <w:p>
      <w:pPr>
        <w:pStyle w:val="BookText"/>
        <w:rPr/>
      </w:pPr>
      <w:r>
        <w:rPr>
          <w:rFonts w:ascii="IRNazanin" w:hAnsi="IRNazanin" w:eastAsia="IRNazanin"/>
          <w:color w:val="111111"/>
          <w:sz w:val="28"/>
          <w:sz w:val="28"/>
          <w:szCs w:val="28"/>
          <w:rtl w:val="true"/>
          <w:lang w:bidi="fa-IR"/>
        </w:rPr>
        <w:t>علی الأخذ بالخبر الموثوق الصّدور، وإن لم تحرز وثاقة المخبر، لأنّ وثاقة المخبر طریق إلی إحراز صدق الخبر، و علی ذلک فیجوز الأخذ بمطلق الموثوق بصدوره إذا شهدت القرائن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یوضح هذا مفاد آیة النّبأ و هو لزوم التثبّت و التوقّف حتّی یتبیّن الحال، فإذا تبیّنت و انکشف الواقع انکشافاً عقلائیاً بحیث یرکن علیه العقلاء، یجوز الرکون إلیه و الإعتماد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أنّ المناط هو تبیّن الحال و إن کان الرّاوی غیر ثقة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لا یهمّنا البحث عن أدلّة سائر الأقوال لأنّ المقصود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إثبات حجیّة الخبر فی الجملة فی مقابل السلب الکلّی، و حجیّته کاد أن یکون اجماعیّاً کما إلتزم به الشیخ الأنصاری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هنا، بیان شرائط إستنباط الحکم من السنّة؛ فنقول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تبعاً للشیخ الأنصاری فی فرائد الأصول</w:t>
      </w:r>
      <w:r>
        <w:rPr>
          <w:rFonts w:eastAsia="IRNazanin" w:cs="IRNazanin"/>
          <w:color w:val="111111"/>
          <w:sz w:val="28"/>
          <w:szCs w:val="28"/>
          <w:rtl w:val="true"/>
          <w:lang w:bidi="fa-IR"/>
        </w:rPr>
        <w:t>_:</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أنّ إثبات الحکم الشرعیّ بالأخبار المرویّة عن المعصوم علیه السلام موقوف علی مقدّماتٍ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الکلام صادراً عن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نثبته بالأدلّة الدّالة علی حجیّة أخبار الآحاد التی یبحث عنها فی الکتب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یناسب ذکرها فی هذه الرّسالة؛ فراجع</w:t>
      </w:r>
      <w:r>
        <w:rPr>
          <w:rFonts w:eastAsia="IRNazanin" w:cs="IRNazanin"/>
          <w:color w:val="111111"/>
          <w:sz w:val="28"/>
          <w:szCs w:val="28"/>
          <w:rtl w:val="true"/>
          <w:lang w:bidi="fa-IR"/>
        </w:rPr>
        <w:t>.</w:t>
      </w:r>
      <w:r>
        <w:rPr>
          <w:rStyle w:val="FootnoteAnchor"/>
          <w:rtl w:val="true"/>
        </w:rPr>
        <w:footnoteReference w:id="5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صدور الکلام عن المعصوم علیه السلام، لبیان حکم اللّه لا لوجهٍ آخر </w:t>
      </w:r>
    </w:p>
    <w:p>
      <w:pPr>
        <w:pStyle w:val="BookText"/>
        <w:rPr/>
      </w:pPr>
      <w:r>
        <w:rPr>
          <w:rFonts w:ascii="Amiri" w:hAnsi="Amiri" w:eastAsia="Amiri" w:cs="Amiri"/>
          <w:color w:val="111111"/>
          <w:sz w:val="28"/>
          <w:sz w:val="28"/>
          <w:szCs w:val="28"/>
          <w:rtl w:val="true"/>
          <w:lang w:bidi="ar-SA"/>
        </w:rPr>
        <w:t>من تقیّةٍ أو إمتحانٍ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نثبته بأصالة عدم صدور الروایة لغیر داعی بیان الحکم الواقعیّ، و هی حجّة؛ لرجوعها إلی القاعدة المجمع علیها بین العلماء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کلام المتکلّم علی کونه صادراً لبیان مطلوبه الواقعیّ، لا لبیان خلاف مقصوده من تقیّةٍ أو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أوضاع ألفاظ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نثبته بالقول اللغوی و الرجوع إلی الکتب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المراد من ألفاظ الروایّة، و أنّ المراد مقتضی وضعها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نثبته بالأصل الکلّی و العقلائی و هی حجیّة ظهور الألفاظ؛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للّفظ ظهورٌ فی معنی، هی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فبتمامیّة هذه المقدّمات، یصح إستنباط الأحکام بالسّنة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المحصّل</w:t>
      </w:r>
    </w:p>
    <w:p>
      <w:pPr>
        <w:pStyle w:val="BookText"/>
        <w:rPr/>
      </w:pPr>
      <w:r>
        <w:rPr>
          <w:rFonts w:ascii="IRNazanin" w:hAnsi="IRNazanin" w:eastAsia="IRNazanin"/>
          <w:color w:val="111111"/>
          <w:sz w:val="28"/>
          <w:sz w:val="28"/>
          <w:szCs w:val="28"/>
          <w:rtl w:val="true"/>
          <w:lang w:bidi="fa-IR"/>
        </w:rPr>
        <w:t>و المراد تحصیل الفقیه إتفاق العلماء المعاصرین مع عصر الغیبة الصغری أو بعد مدّة قصیرة من عصر الغیبة الصغری؛ لأنّ هذا الإتّفاق کاشفٌ قطعیٌّ عن إرتکاز الحکم بین معاصری الأئمّة علیهم السلام، و إرتکاز الحکم بینهم، کاشفٌ عن رأی الإمام علیه السلام؛ لضعف إحتمال کون هذا الإرتکاز شائعاً بین المتشرّعة من دون الرجوع إلی الإمام علیه السلام و أخذ الحکم عنه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الإطلاق فی الحجییّة لا یوجد فی الإجماع المنقول؛ و المقصود به، الإجماع الذی لم یحصّله الفقیه بنفسه، و إنّما ینقله له من حصّله من الفقهاء؛ و هذا القسم من الإجماع، إن نقل بالخبر المتواتر و قد حصل علیه جمع کثیر من الفقهاء و نقلوا إلی غیرهم، فهو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نقل بالخبر الواحد و قد حصل علیه جمع قلیل من الفقهاء و نقلوا إلی غیرهم، ففی حجیّته خلافٌ</w:t>
      </w:r>
      <w:r>
        <w:rPr>
          <w:rFonts w:eastAsia="IRNazanin" w:cs="IRNazanin"/>
          <w:color w:val="111111"/>
          <w:sz w:val="28"/>
          <w:szCs w:val="28"/>
          <w:rtl w:val="true"/>
          <w:lang w:bidi="fa-IR"/>
        </w:rPr>
        <w:t xml:space="preserve">. </w:t>
      </w:r>
      <w:bookmarkStart w:id="126" w:name="pg16646_227731"/>
    </w:p>
    <w:p>
      <w:pPr>
        <w:pStyle w:val="BookText"/>
        <w:rPr/>
      </w:pPr>
      <w:bookmarkEnd w:id="126"/>
      <w:r>
        <w:rPr>
          <w:rFonts w:ascii="IRNazanin" w:hAnsi="IRNazanin" w:eastAsia="IRNazanin"/>
          <w:color w:val="111111"/>
          <w:sz w:val="28"/>
          <w:sz w:val="28"/>
          <w:szCs w:val="28"/>
          <w:rtl w:val="true"/>
          <w:lang w:bidi="fa-IR"/>
        </w:rPr>
        <w:t>قال المحقّق المظفر فی منشأ هذا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الخلاف في المسألة يكمن في أنّ أدلة خبر الواحد من جهة أنها تدل على وجوب التعبد بالخبر لا تشمل كل خبر عن أي شي‌ءٍ كان بل مختصةٌ بالخبر الحاكي عن حكم شرعي أو عن ذي أثر شرعي ليصح أن يتعبدنا الشارع به و إلّا فالمحكي بالخبر إذا لم يكن حكماً شرعياً أو ذا أثرٍ شرعيٍ لا معنى للتعبد به فلا يكون مشمولاً لأدلة حجية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الإجماع المنقول غير الإجماع الدخولي أنّما المحكي به بالمطابقة نفس أقوال العلماء و أقوال العلماء في أنفسها بما هي أقوال علماء ليست حكماً شرعياً و لا ذات أثر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فنقل أقوال العلماء من جهة كونها أقوال علماء لا يصح أن يكون مشمولاً لأدلة خبر الواحد و إنّما يصح أن يكون مشمولاً لها إذا كشف هذا النقل عن الحكم الصادر عن المعصوم علیه السلام ليصح التعبد به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بما تقدّم أنّ المناط فی حجیّة الإجماع، العلم بکاشفیّته عن رأی الإمام علیه السلام، إلّا أنّ مستند علم الحاکی للإجماع بقول الإمام علیه السلام، أحد أمورٍ</w:t>
      </w:r>
      <w:r>
        <w:rPr>
          <w:rFonts w:eastAsia="IRNazanin" w:cs="IRNazanin"/>
          <w:color w:val="111111"/>
          <w:sz w:val="28"/>
          <w:szCs w:val="28"/>
          <w:rtl w:val="true"/>
          <w:lang w:bidi="fa-IR"/>
        </w:rPr>
        <w:t>:</w:t>
      </w:r>
    </w:p>
    <w:p>
      <w:pPr>
        <w:pStyle w:val="Heading2"/>
        <w:numPr>
          <w:ilvl w:val="1"/>
          <w:numId w:val="1"/>
        </w:numPr>
        <w:rPr/>
      </w:pPr>
      <w:bookmarkStart w:id="127" w:name="__RefHeading___Toc12020031_1280447820"/>
      <w:bookmarkStart w:id="128" w:name="_Toc47"/>
      <w:bookmarkEnd w:id="127"/>
      <w:r>
        <w:rPr>
          <w:rtl w:val="true"/>
        </w:rPr>
        <w:t>الأوّل</w:t>
      </w:r>
      <w:r>
        <w:rPr>
          <w:rtl w:val="true"/>
        </w:rPr>
        <w:t xml:space="preserve">: </w:t>
      </w:r>
      <w:r>
        <w:rPr>
          <w:rtl w:val="true"/>
        </w:rPr>
        <w:t>الحسّ</w:t>
      </w:r>
      <w:bookmarkEnd w:id="128"/>
    </w:p>
    <w:p>
      <w:pPr>
        <w:pStyle w:val="BookText"/>
        <w:rPr/>
      </w:pPr>
      <w:r>
        <w:rPr>
          <w:rFonts w:ascii="IRNazanin" w:hAnsi="IRNazanin" w:eastAsia="IRNazanin"/>
          <w:color w:val="111111"/>
          <w:sz w:val="28"/>
          <w:sz w:val="28"/>
          <w:szCs w:val="28"/>
          <w:rtl w:val="true"/>
          <w:lang w:bidi="fa-IR"/>
        </w:rPr>
        <w:t>إذا تیقّن أنّ جمیع الفقهاء متّفقون علی حکم، یفهم من هذا الإتّفاق الشامل، أنّ رأی رئیس الفقهاء أی الإمام علیه السلام، علی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بالإجماع الدخولی</w:t>
      </w:r>
      <w:r>
        <w:rPr>
          <w:rFonts w:eastAsia="IRNazanin" w:cs="IRNazanin"/>
          <w:color w:val="111111"/>
          <w:sz w:val="28"/>
          <w:szCs w:val="28"/>
          <w:rtl w:val="true"/>
          <w:lang w:bidi="fa-IR"/>
        </w:rPr>
        <w:t>.</w:t>
      </w:r>
    </w:p>
    <w:p>
      <w:pPr>
        <w:pStyle w:val="Heading2"/>
        <w:numPr>
          <w:ilvl w:val="1"/>
          <w:numId w:val="1"/>
        </w:numPr>
        <w:rPr/>
      </w:pPr>
      <w:bookmarkStart w:id="129" w:name="__RefHeading___Toc12020033_1280447820"/>
      <w:bookmarkStart w:id="130" w:name="_Toc48"/>
      <w:bookmarkEnd w:id="129"/>
      <w:r>
        <w:rPr>
          <w:rtl w:val="true"/>
        </w:rPr>
        <w:t>الثانی</w:t>
      </w:r>
      <w:r>
        <w:rPr>
          <w:rtl w:val="true"/>
        </w:rPr>
        <w:t xml:space="preserve">: </w:t>
      </w:r>
      <w:r>
        <w:rPr>
          <w:rtl w:val="true"/>
        </w:rPr>
        <w:t>الحدس</w:t>
      </w:r>
      <w:bookmarkEnd w:id="13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أنّ الفقهاء یختلفون فی معظم الأخبار، فبإتّفاقهم فی الحکم، یحدس وجود </w:t>
      </w:r>
      <w:bookmarkStart w:id="131" w:name="pg16646_227732"/>
    </w:p>
    <w:p>
      <w:pPr>
        <w:pStyle w:val="BookText"/>
        <w:rPr/>
      </w:pPr>
      <w:bookmarkEnd w:id="131"/>
      <w:r>
        <w:rPr>
          <w:rFonts w:ascii="IRNazanin" w:hAnsi="IRNazanin" w:eastAsia="IRNazanin"/>
          <w:color w:val="111111"/>
          <w:sz w:val="28"/>
          <w:sz w:val="28"/>
          <w:szCs w:val="28"/>
          <w:rtl w:val="true"/>
          <w:lang w:bidi="fa-IR"/>
        </w:rPr>
        <w:t>رأی الإمام علیه السلام بین المتّفقین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بالإجماع الحدسی</w:t>
      </w:r>
      <w:r>
        <w:rPr>
          <w:rFonts w:eastAsia="IRNazanin" w:cs="IRNazanin"/>
          <w:color w:val="111111"/>
          <w:sz w:val="28"/>
          <w:szCs w:val="28"/>
          <w:rtl w:val="true"/>
          <w:lang w:bidi="fa-IR"/>
        </w:rPr>
        <w:t>.</w:t>
      </w:r>
    </w:p>
    <w:p>
      <w:pPr>
        <w:pStyle w:val="Heading2"/>
        <w:numPr>
          <w:ilvl w:val="1"/>
          <w:numId w:val="1"/>
        </w:numPr>
        <w:rPr/>
      </w:pPr>
      <w:bookmarkStart w:id="132" w:name="__RefHeading___Toc12020035_1280447820"/>
      <w:bookmarkStart w:id="133" w:name="_Toc49"/>
      <w:bookmarkEnd w:id="132"/>
      <w:r>
        <w:rPr>
          <w:rtl w:val="true"/>
        </w:rPr>
        <w:t>الثالث</w:t>
      </w:r>
      <w:r>
        <w:rPr>
          <w:rtl w:val="true"/>
        </w:rPr>
        <w:t xml:space="preserve">: </w:t>
      </w:r>
      <w:r>
        <w:rPr>
          <w:rtl w:val="true"/>
        </w:rPr>
        <w:t>اللطف</w:t>
      </w:r>
      <w:bookmarkEnd w:id="133"/>
    </w:p>
    <w:p>
      <w:pPr>
        <w:pStyle w:val="BookText"/>
        <w:rPr/>
      </w:pPr>
      <w:r>
        <w:rPr>
          <w:rFonts w:ascii="IRNazanin" w:hAnsi="IRNazanin" w:eastAsia="IRNazanin"/>
          <w:color w:val="111111"/>
          <w:sz w:val="28"/>
          <w:sz w:val="28"/>
          <w:szCs w:val="28"/>
          <w:rtl w:val="true"/>
          <w:lang w:bidi="fa-IR"/>
        </w:rPr>
        <w:t>إذا کان هناک إجماعٌ علی خلاف الحقّ، یجب علی المعصوم علیه السلام بمقتضی اللطف، منعه؛ فعلی هذا إذا کان هناک إجماعٌ و لم یکن رأی مخالفٌ، یکشف رأی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بالإجماع اللطفی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فبتمامیّة الإنکشاف، یصحّ التمسّک بالإجماع المحصّل و لکن فی إمکان تحقّق تحصیل الإجماع، نظرٌ؛ کما لا یخفی</w:t>
      </w:r>
      <w:r>
        <w:rPr>
          <w:rFonts w:eastAsia="IRNazanin" w:cs="IRNazanin"/>
          <w:color w:val="111111"/>
          <w:sz w:val="28"/>
          <w:szCs w:val="28"/>
          <w:rtl w:val="true"/>
          <w:lang w:bidi="fa-IR"/>
        </w:rPr>
        <w:t>.</w:t>
      </w:r>
    </w:p>
    <w:p>
      <w:pPr>
        <w:pStyle w:val="Heading2"/>
        <w:numPr>
          <w:ilvl w:val="1"/>
          <w:numId w:val="1"/>
        </w:numPr>
        <w:rPr/>
      </w:pPr>
      <w:bookmarkStart w:id="134" w:name="__RefHeading___Toc12020037_1280447820"/>
      <w:bookmarkStart w:id="135" w:name="_Toc50"/>
      <w:bookmarkEnd w:id="134"/>
      <w:r>
        <w:rPr>
          <w:rtl w:val="true"/>
        </w:rPr>
        <w:t>الدلیل الرابع</w:t>
      </w:r>
      <w:r>
        <w:rPr>
          <w:rtl w:val="true"/>
        </w:rPr>
        <w:t xml:space="preserve">: </w:t>
      </w:r>
      <w:r>
        <w:rPr>
          <w:rtl w:val="true"/>
        </w:rPr>
        <w:t>العقل</w:t>
      </w:r>
      <w:bookmarkEnd w:id="135"/>
    </w:p>
    <w:p>
      <w:pPr>
        <w:pStyle w:val="BookText"/>
        <w:rPr/>
      </w:pPr>
      <w:r>
        <w:rPr>
          <w:rFonts w:ascii="IRNazanin" w:hAnsi="IRNazanin" w:eastAsia="IRNazanin"/>
          <w:color w:val="111111"/>
          <w:sz w:val="28"/>
          <w:sz w:val="28"/>
          <w:szCs w:val="28"/>
          <w:rtl w:val="true"/>
          <w:lang w:bidi="fa-IR"/>
        </w:rPr>
        <w:t>المراد بالعقل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النظری بوجود الملازمة بین حکم العقل العملی و 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العملی یدرک جزماً حسن الأفعال أو قبحها؛ و العقل النظری یدرک بوجود الملازمة بین حکم العقل العملی و حکم الشارع؛ فالعقل النظری یحکم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العقل العملی بحسنها، فهی واجبٌ أو مستحبٌ شرعاً و کلّ ما حکم العقل العملی بقبحها فهی حرامٌ أو مکروهٌ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العملی یدرک جزماً قبح التدخین؛ و العقل النظری یدرک الملازمة بین هذا الحکم العقلی و حکم الشارع؛ فیحکم بحرمة التدخین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لفهم ما ذکر، ینبغی التنبیه علی أمرین</w:t>
      </w:r>
      <w:r>
        <w:rPr>
          <w:rFonts w:eastAsia="IRNazanin" w:cs="IRNazanin"/>
          <w:color w:val="111111"/>
          <w:sz w:val="28"/>
          <w:szCs w:val="28"/>
          <w:rtl w:val="true"/>
          <w:lang w:bidi="fa-IR"/>
        </w:rPr>
        <w:t>:</w:t>
      </w:r>
    </w:p>
    <w:p>
      <w:pPr>
        <w:pStyle w:val="Heading2"/>
        <w:numPr>
          <w:ilvl w:val="1"/>
          <w:numId w:val="1"/>
        </w:numPr>
        <w:rPr/>
      </w:pPr>
      <w:bookmarkStart w:id="136" w:name="__RefHeading___Toc12020039_1280447820"/>
      <w:bookmarkStart w:id="137" w:name="_Toc51"/>
      <w:bookmarkEnd w:id="136"/>
      <w:r>
        <w:rPr>
          <w:rtl w:val="true"/>
        </w:rPr>
        <w:t>الأمر الأوّل</w:t>
      </w:r>
      <w:r>
        <w:rPr>
          <w:rtl w:val="true"/>
        </w:rPr>
        <w:t xml:space="preserve">: </w:t>
      </w:r>
      <w:r>
        <w:rPr>
          <w:rtl w:val="true"/>
        </w:rPr>
        <w:t>الفرق بین العقل العملی و النظری</w:t>
      </w:r>
      <w:bookmarkEnd w:id="1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بین العقل العملی و النظری إلّا بإعتبار المدرک؛ فإن تعلّق بما ینبغی أن یعلم، الحاکم به هو العقل النظری و إن تعلّق بما ینبغی أن یفعل، الحاکم به هو العقل العملی؛ فالعقل العملی یحکم بحسن الأفعال و قبحها لأنّها ممّا ینبغی أن </w:t>
      </w:r>
      <w:bookmarkStart w:id="138" w:name="pg16646_227733"/>
    </w:p>
    <w:p>
      <w:pPr>
        <w:pStyle w:val="BookText"/>
        <w:rPr/>
      </w:pPr>
      <w:bookmarkEnd w:id="138"/>
      <w:r>
        <w:rPr>
          <w:rFonts w:ascii="IRNazanin" w:hAnsi="IRNazanin" w:eastAsia="IRNazanin"/>
          <w:color w:val="111111"/>
          <w:sz w:val="28"/>
          <w:sz w:val="28"/>
          <w:szCs w:val="28"/>
          <w:rtl w:val="true"/>
          <w:lang w:bidi="fa-IR"/>
        </w:rPr>
        <w:t>یفعل و العقل النظری یحکم بالملازمة، لأنّ الملازمة ممّا ینبغی أن یعلم</w:t>
      </w:r>
      <w:r>
        <w:rPr>
          <w:rFonts w:eastAsia="IRNazanin" w:cs="IRNazanin"/>
          <w:color w:val="111111"/>
          <w:sz w:val="28"/>
          <w:szCs w:val="28"/>
          <w:rtl w:val="true"/>
          <w:lang w:bidi="fa-IR"/>
        </w:rPr>
        <w:t>.</w:t>
      </w:r>
    </w:p>
    <w:p>
      <w:pPr>
        <w:pStyle w:val="Heading2"/>
        <w:numPr>
          <w:ilvl w:val="1"/>
          <w:numId w:val="1"/>
        </w:numPr>
        <w:rPr/>
      </w:pPr>
      <w:bookmarkStart w:id="139" w:name="__RefHeading___Toc12020041_1280447820"/>
      <w:bookmarkStart w:id="140" w:name="_Toc52"/>
      <w:bookmarkEnd w:id="139"/>
      <w:r>
        <w:rPr>
          <w:rtl w:val="true"/>
        </w:rPr>
        <w:t>الأمر الثانی</w:t>
      </w:r>
      <w:r>
        <w:rPr>
          <w:rtl w:val="true"/>
        </w:rPr>
        <w:t xml:space="preserve">: </w:t>
      </w:r>
      <w:r>
        <w:rPr>
          <w:rtl w:val="true"/>
        </w:rPr>
        <w:t>معانی الحسن و القبح</w:t>
      </w:r>
      <w:bookmarkEnd w:id="140"/>
    </w:p>
    <w:p>
      <w:pPr>
        <w:pStyle w:val="BookText"/>
        <w:rPr/>
      </w:pPr>
      <w:r>
        <w:rPr>
          <w:rFonts w:ascii="IRNazanin" w:hAnsi="IRNazanin" w:eastAsia="IRNazanin"/>
          <w:color w:val="111111"/>
          <w:sz w:val="28"/>
          <w:sz w:val="28"/>
          <w:szCs w:val="28"/>
          <w:rtl w:val="true"/>
          <w:lang w:bidi="fa-IR"/>
        </w:rPr>
        <w:t>الحسن و القبح یطلق علی ثلاثة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بمعنی الملائمة مع طبیعة الإنسان و القبح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بمعنی الکمال و القبح بمعنی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بمعنی الصفات الحسنة للأفعال الّتی توجب مدح الفاعل و القبح بمعنی الصفات القبیحة للأفعال الّتی توجب ذمّ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بمعنی الإستحقاق للثّواب و القبح بمعنی الإستحقاق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محلّ النّزاع هو المعنی الثالث</w:t>
      </w:r>
      <w:r>
        <w:rPr>
          <w:rFonts w:eastAsia="IRNazanin" w:cs="IRNazanin"/>
          <w:color w:val="111111"/>
          <w:sz w:val="28"/>
          <w:szCs w:val="28"/>
          <w:rtl w:val="true"/>
          <w:lang w:bidi="fa-IR"/>
        </w:rPr>
        <w:t>.</w:t>
      </w:r>
    </w:p>
    <w:p>
      <w:pPr>
        <w:pStyle w:val="Heading2"/>
        <w:numPr>
          <w:ilvl w:val="1"/>
          <w:numId w:val="1"/>
        </w:numPr>
        <w:rPr/>
      </w:pPr>
      <w:bookmarkStart w:id="141" w:name="__RefHeading___Toc12020043_1280447820"/>
      <w:bookmarkStart w:id="142" w:name="_Toc53"/>
      <w:bookmarkEnd w:id="141"/>
      <w:r>
        <w:rPr>
          <w:rtl w:val="true"/>
        </w:rPr>
        <w:t>الکلام فی حجیّة حکم العقل فی الإستنباط</w:t>
      </w:r>
      <w:bookmarkEnd w:id="142"/>
    </w:p>
    <w:p>
      <w:pPr>
        <w:pStyle w:val="BookText"/>
        <w:rPr/>
      </w:pPr>
      <w:r>
        <w:rPr>
          <w:rFonts w:ascii="IRNazanin" w:hAnsi="IRNazanin" w:eastAsia="IRNazanin"/>
          <w:color w:val="111111"/>
          <w:sz w:val="28"/>
          <w:sz w:val="28"/>
          <w:szCs w:val="28"/>
          <w:rtl w:val="true"/>
          <w:lang w:bidi="fa-IR"/>
        </w:rPr>
        <w:t>بعد الفراغ عن معنی الحکم العقل فی الإستنباط، بقی الکلام فی حجیّتها و صحّة الإستنباط بها؛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لإستنباط الأحکام بالعقل، یجب أن یوضح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الحسن و القبح ثابتان للأفعال مع قطع النظر عن الشرع أم 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القبح ثابتان للأفعال؛</w:t>
      </w:r>
      <w:r>
        <w:rPr>
          <w:rStyle w:val="FootnoteAnchor"/>
          <w:rtl w:val="true"/>
        </w:rPr>
        <w:footnoteReference w:id="52"/>
      </w:r>
      <w:r>
        <w:rPr>
          <w:rFonts w:ascii="IRNazanin" w:hAnsi="IRNazanin" w:eastAsia="IRNazanin"/>
          <w:color w:val="111111"/>
          <w:sz w:val="28"/>
          <w:sz w:val="28"/>
          <w:szCs w:val="28"/>
          <w:rtl w:val="true"/>
          <w:lang w:bidi="fa-IR"/>
        </w:rPr>
        <w:t>و لذلک إذا کانت المصلحة فی الفعل، یوجبه الشارع و إذا کانت المفسدة فیه، یحرمه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إذا أمر الشارع للفعل الذی یدرک </w:t>
      </w:r>
      <w:bookmarkStart w:id="143" w:name="pg16646_227734"/>
    </w:p>
    <w:p>
      <w:pPr>
        <w:pStyle w:val="BookText"/>
        <w:rPr/>
      </w:pPr>
      <w:bookmarkEnd w:id="143"/>
      <w:r>
        <w:rPr>
          <w:rFonts w:ascii="IRNazanin" w:hAnsi="IRNazanin" w:eastAsia="IRNazanin"/>
          <w:color w:val="111111"/>
          <w:sz w:val="28"/>
          <w:sz w:val="28"/>
          <w:szCs w:val="28"/>
          <w:rtl w:val="true"/>
          <w:lang w:bidi="fa-IR"/>
        </w:rPr>
        <w:t>العقل حسنه أو إذا نهی الشارع عن فعل الذی یدرک العقل قبحه،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فی الأفعال حسن أو قبح مع قطع النظر عن الشرع؛ فالحسن ما حسّنه الشارع و القبیح ما قبّحه الشارع</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144" w:name="__RefHeading___Toc12020045_1280447820"/>
      <w:bookmarkStart w:id="145" w:name="_Toc54"/>
      <w:bookmarkEnd w:id="144"/>
      <w:r>
        <w:rPr>
          <w:rtl w:val="true"/>
        </w:rPr>
        <w:t>الثانیة</w:t>
      </w:r>
      <w:r>
        <w:rPr>
          <w:rtl w:val="true"/>
        </w:rPr>
        <w:t xml:space="preserve">: </w:t>
      </w:r>
      <w:r>
        <w:rPr>
          <w:rtl w:val="true"/>
        </w:rPr>
        <w:t>مع التسلیم بثبوت الحسن و القبح للأفعال، هل یستطیع العقل، أن یدرک الحسن و القبح بلا بیان عن الشارع أم لا؟</w:t>
      </w:r>
      <w:bookmarkEnd w:id="145"/>
    </w:p>
    <w:p>
      <w:pPr>
        <w:pStyle w:val="BookText"/>
        <w:rPr/>
      </w:pPr>
      <w:r>
        <w:rPr>
          <w:rFonts w:ascii="IRNazanin" w:hAnsi="IRNazanin" w:eastAsia="IRNazanin"/>
          <w:color w:val="111111"/>
          <w:sz w:val="28"/>
          <w:sz w:val="28"/>
          <w:szCs w:val="28"/>
          <w:rtl w:val="true"/>
          <w:lang w:bidi="fa-IR"/>
        </w:rPr>
        <w:t>الاصولیون یعتقدون بإستطاعة العقل لفهم الحسن و القبح و خالفهم الاخباریون فی ذلک</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146" w:name="__RefHeading___Toc12020047_1280447820"/>
      <w:bookmarkStart w:id="147" w:name="_Toc55"/>
      <w:bookmarkEnd w:id="146"/>
      <w:r>
        <w:rPr>
          <w:rtl w:val="true"/>
        </w:rPr>
        <w:t>الثالثة</w:t>
      </w:r>
      <w:r>
        <w:rPr>
          <w:rtl w:val="true"/>
        </w:rPr>
        <w:t xml:space="preserve">: </w:t>
      </w:r>
      <w:r>
        <w:rPr>
          <w:rtl w:val="true"/>
        </w:rPr>
        <w:t>هل هناک ملازمة بین حکم العقل بالحسن و القبح و حکم الشارع أم لا؟</w:t>
      </w:r>
      <w:bookmarkEnd w:id="147"/>
    </w:p>
    <w:p>
      <w:pPr>
        <w:pStyle w:val="BookText"/>
        <w:rPr/>
      </w:pPr>
      <w:r>
        <w:rPr>
          <w:rFonts w:ascii="IRNazanin" w:hAnsi="IRNazanin" w:eastAsia="IRNazanin"/>
          <w:color w:val="111111"/>
          <w:sz w:val="28"/>
          <w:sz w:val="28"/>
          <w:szCs w:val="28"/>
          <w:rtl w:val="true"/>
          <w:lang w:bidi="fa-IR"/>
        </w:rPr>
        <w:t>رأی الأصولیین هنا مختلفةٌ بین وجود الملازمة کما علیه المشهور</w:t>
      </w:r>
      <w:r>
        <w:rPr>
          <w:rStyle w:val="FootnoteAnchor"/>
          <w:rtl w:val="true"/>
        </w:rPr>
        <w:footnoteReference w:id="55"/>
      </w:r>
      <w:r>
        <w:rPr>
          <w:rFonts w:ascii="IRNazanin" w:hAnsi="IRNazanin" w:eastAsia="IRNazanin"/>
          <w:color w:val="111111"/>
          <w:sz w:val="28"/>
          <w:sz w:val="28"/>
          <w:szCs w:val="28"/>
          <w:rtl w:val="true"/>
          <w:lang w:bidi="fa-IR"/>
        </w:rPr>
        <w:t>و عدمها کما علیه صاحب الفصول</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بإکمال البحث فی هذه المراحل و الإعتقاد برأی المشهور، یصحّ الإستنباط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الأدلّة الإجتهادیّة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و الإجماع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مع فقدها یلتجأ الفقیه إلی الأصول العملیّة الّتی هی بمنزلة الدلیل الخامس فی الإستنباط</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 الأدلّة علی الأصول ثلاثة أقوالٍ</w:t>
      </w:r>
      <w:r>
        <w:rPr>
          <w:rFonts w:eastAsia="IRNazanin" w:cs="IRNazanin"/>
          <w:color w:val="111111"/>
          <w:sz w:val="28"/>
          <w:szCs w:val="28"/>
          <w:rtl w:val="true"/>
          <w:lang w:bidi="fa-IR"/>
        </w:rPr>
        <w:t xml:space="preserve">: </w:t>
      </w:r>
      <w:bookmarkStart w:id="148" w:name="pg16646_227735"/>
    </w:p>
    <w:p>
      <w:pPr>
        <w:pStyle w:val="BookText"/>
        <w:rPr/>
      </w:pPr>
      <w:bookmarkEnd w:id="148"/>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وارد علی الأصل؛ لأنّ موضوع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یرتفع بوجود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یخصّص الأصل؛ الأصل عام و الدلیل خاص و الخاص مقدّم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حاکم علی الأصل فیقدّم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وجه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تلک الأمارة و إن لم یکن کالدلیل العلمیّ رافعاً لموضوع الأصل، إلّا أنّه نزّل شرعا منزلة الرافع، فهو حاکم علی الأصل لا مخصّصٌ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یتمّ بالنسبة إلی الأدلّة الشرعیّة، و أمّا الأدلّة العقلیّة القائمة علی البرائة و الإشتغال، فارتفاع موضوعها بعد ورود الأدلّة الظنّیّة واضح؛ لجواز الإقتناع بها فی مقام البیان و انتهاضها رافعاً لإحتمال العقاب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التخییر فهو أصلٌ عقلیٌّ لا غیر</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149" w:name="__RefHeading___Toc12020049_1280447820"/>
      <w:bookmarkStart w:id="150" w:name="_Toc56"/>
      <w:bookmarkEnd w:id="149"/>
      <w:r>
        <w:rPr>
          <w:rtl w:val="true"/>
        </w:rPr>
        <w:t>الدلیل الخامس</w:t>
      </w:r>
      <w:r>
        <w:rPr>
          <w:rtl w:val="true"/>
        </w:rPr>
        <w:t xml:space="preserve">: </w:t>
      </w:r>
      <w:r>
        <w:rPr>
          <w:rtl w:val="true"/>
        </w:rPr>
        <w:t>الأصول العملیّة</w:t>
      </w:r>
      <w:bookmarkEnd w:id="150"/>
    </w:p>
    <w:p>
      <w:pPr>
        <w:pStyle w:val="BookText"/>
        <w:rPr/>
      </w:pPr>
      <w:r>
        <w:rPr>
          <w:rFonts w:ascii="IRNazanin" w:hAnsi="IRNazanin" w:eastAsia="IRNazanin"/>
          <w:color w:val="111111"/>
          <w:sz w:val="28"/>
          <w:sz w:val="28"/>
          <w:szCs w:val="28"/>
          <w:rtl w:val="true"/>
          <w:lang w:bidi="fa-IR"/>
        </w:rPr>
        <w:t>الأصول العملیّة تنقسم إلی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الأصول الّتی تجری فی بعض أبواب الفقه دون البعض کأصالة الطهارة و الحلیّة و عدم التّذکیة التی لا تجری فی باب الحدود و القصاص مثلاً؛ و یبحث عنها فی علم الفقه و القواعد الفقهیّة غالباً لا علم الأصول</w:t>
      </w:r>
      <w:r>
        <w:rPr>
          <w:rFonts w:eastAsia="IRNazanin" w:cs="IRNazanin"/>
          <w:color w:val="111111"/>
          <w:sz w:val="28"/>
          <w:szCs w:val="28"/>
          <w:rtl w:val="true"/>
          <w:lang w:bidi="fa-IR"/>
        </w:rPr>
        <w:t xml:space="preserve">. </w:t>
      </w:r>
      <w:bookmarkStart w:id="151" w:name="pg16646_227736"/>
    </w:p>
    <w:p>
      <w:pPr>
        <w:pStyle w:val="Heading2"/>
        <w:numPr>
          <w:ilvl w:val="1"/>
          <w:numId w:val="1"/>
        </w:numPr>
        <w:rPr/>
      </w:pPr>
      <w:bookmarkStart w:id="152" w:name="__RefHeading___Toc12020051_1280447820"/>
      <w:bookmarkStart w:id="153" w:name="_Toc57"/>
      <w:bookmarkEnd w:id="151"/>
      <w:bookmarkEnd w:id="152"/>
      <w:r>
        <w:rPr>
          <w:rtl w:val="true"/>
        </w:rPr>
        <w:t>الثانی</w:t>
      </w:r>
      <w:r>
        <w:rPr>
          <w:rtl w:val="true"/>
        </w:rPr>
        <w:t xml:space="preserve">: </w:t>
      </w:r>
      <w:r>
        <w:rPr>
          <w:rtl w:val="true"/>
        </w:rPr>
        <w:t>العامة</w:t>
      </w:r>
      <w:bookmarkEnd w:id="153"/>
    </w:p>
    <w:p>
      <w:pPr>
        <w:pStyle w:val="BookText"/>
        <w:rPr/>
      </w:pPr>
      <w:r>
        <w:rPr>
          <w:rFonts w:ascii="IRNazanin" w:hAnsi="IRNazanin" w:eastAsia="IRNazanin"/>
          <w:color w:val="111111"/>
          <w:sz w:val="28"/>
          <w:sz w:val="28"/>
          <w:szCs w:val="28"/>
          <w:rtl w:val="true"/>
          <w:lang w:bidi="fa-IR"/>
        </w:rPr>
        <w:t>الأصول الّتی تجری</w:t>
      </w:r>
    </w:p>
    <w:p>
      <w:pPr>
        <w:pStyle w:val="BookText"/>
        <w:rPr/>
      </w:pPr>
      <w:r>
        <w:rPr>
          <w:rFonts w:ascii="IRNazanin" w:hAnsi="IRNazanin" w:eastAsia="IRNazanin"/>
          <w:color w:val="111111"/>
          <w:sz w:val="28"/>
          <w:sz w:val="28"/>
          <w:szCs w:val="28"/>
          <w:rtl w:val="true"/>
          <w:lang w:bidi="fa-IR"/>
        </w:rPr>
        <w:t>فی کلیّة أبواب الفقه و هی منحصرة بالحصر العقلی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البرائة و التخییر و الإحتیاط و الإستصحاب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وجه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الشکّ إمّا أن یلاحظ فیه الحالة السّابقة أو لا، فالأوّل مجری الإستصحاب،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الشّک فیه فی التکلیف أو لا، فالأوّل مجری أصالة البرائة،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یمکن فیه الإحتیاط أو لا، فالأوّل مجری قاعدة الإحتیاط، و الثانی مجری قاعدة التخییر</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تطلق علی ما ذکرنا، مجاری الأصول العملیّة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نشرح کلّ واحد بالتفصیل</w:t>
      </w:r>
      <w:r>
        <w:rPr>
          <w:rFonts w:eastAsia="IRNazanin" w:cs="IRNazanin"/>
          <w:color w:val="111111"/>
          <w:sz w:val="28"/>
          <w:szCs w:val="28"/>
          <w:rtl w:val="true"/>
          <w:lang w:bidi="fa-IR"/>
        </w:rPr>
        <w:t>:</w:t>
      </w:r>
    </w:p>
    <w:p>
      <w:pPr>
        <w:pStyle w:val="Heading2"/>
        <w:numPr>
          <w:ilvl w:val="1"/>
          <w:numId w:val="1"/>
        </w:numPr>
        <w:rPr/>
      </w:pPr>
      <w:bookmarkStart w:id="154" w:name="__RefHeading___Toc12020053_1280447820"/>
      <w:bookmarkStart w:id="155" w:name="_Toc58"/>
      <w:bookmarkEnd w:id="154"/>
      <w:r>
        <w:rPr>
          <w:rtl w:val="true"/>
        </w:rPr>
        <w:t>الأصل الأوّل</w:t>
      </w:r>
      <w:r>
        <w:rPr>
          <w:rtl w:val="true"/>
        </w:rPr>
        <w:t xml:space="preserve">: </w:t>
      </w:r>
      <w:r>
        <w:rPr>
          <w:rtl w:val="true"/>
        </w:rPr>
        <w:t>البرائة</w:t>
      </w:r>
      <w:bookmarkEnd w:id="155"/>
    </w:p>
    <w:p>
      <w:pPr>
        <w:pStyle w:val="BookText"/>
        <w:rPr/>
      </w:pPr>
      <w:r>
        <w:rPr>
          <w:rFonts w:ascii="IRNazanin" w:hAnsi="IRNazanin" w:eastAsia="IRNazanin"/>
          <w:color w:val="111111"/>
          <w:sz w:val="28"/>
          <w:sz w:val="28"/>
          <w:szCs w:val="28"/>
          <w:rtl w:val="true"/>
          <w:lang w:bidi="fa-IR"/>
        </w:rPr>
        <w:t>مجری البرائة هی الشکّ فی التکلیف و الشکّ فی التکلیف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المشکوک فیه، تحریمٌ مشتبهٌ بغیر الوجوب؛ کالشکّ فی حرمة شرب التتن أو تلقیح الإصطناعی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شکّ الفقیه فی الشبهات التحریمیّة، أحد الأمور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کفقدان النص علی حرمة التلقیح الإصطناعی أو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المراد بالنصّ، الدّلیل لا خصوص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جریان البرائة فی هذا القسم علی ما یرجع إلی قولین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إباحة الفعل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وجوب الإحتیاط </w:t>
      </w:r>
    </w:p>
    <w:p>
      <w:pPr>
        <w:pStyle w:val="BookText"/>
        <w:rPr/>
      </w:pPr>
      <w:r>
        <w:rPr>
          <w:rFonts w:ascii="IRNazanin" w:hAnsi="IRNazanin" w:eastAsia="IRNazanin"/>
          <w:color w:val="111111"/>
          <w:sz w:val="28"/>
          <w:sz w:val="28"/>
          <w:szCs w:val="28"/>
          <w:rtl w:val="true"/>
          <w:lang w:bidi="fa-IR"/>
        </w:rPr>
        <w:t>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الترک و یعبّر عنه بالإحتیاط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منسوبٌ إلی المجتهدین، و الثانی إلی معظم الأخباریین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قال الشیخ الأنصاری فی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العقلاء کافةً بقبح مؤاخذة المولی عبده علی فعل ما یعترف بعدم إعلامه أصلاً بتحریمه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الدلیل العقلی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کبعض ما تقدّم من الأدلّة النقلیّة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معلّقٌ علی عدم تمامیّة أدلّة الإحتیاط</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کالنهی المجرّد عن القرینة إذا قلنا بإشتراکه لفظاً بین الحرمة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زرارة و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نقصت من السورة شیئاً فاقرأ من حیث نقصت، و لا تقرأ فاتحة الکتاب</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یری بعض الأصولیین، أنّ صیغة النّهی مشترکٌ لفظیٌّ بین الحرمة و الکراهة و وضع لکلا المعنیین؛ و الظابط فی المشترک اللفظیّ، إقترانها بالقرینة المعییّنة و القرینة مفقودة فی الدلیل؛ فیصیر صیغة النّهی فی الرّوایة مجملةً و توجب الشکّ فی حرمة قرائة فاتحة الکتاب أو کراهتها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 البرائة بالنّسبة إلی خصوص الحرمة و الکراهة و لکن بالنّسبة إلی القدر المشترک أعنی مطلق الطّلب، لأنّه لا إجمال فی الطلب و لا نشکّ فی مطلوبیّة ترک القرائة؛ فیصحّ الإفتاء بترک القرائة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کالروایات المانعة و المجوّزة لبیع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المیتة سحت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الجلود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المستفاد منها، جواز بیع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فثمن المیتة سحتٌ و لا بأس ببیع المیتة، نصّان متعارضان توجبان الشکّ فی حرمة بیع المیتة أم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البرائة هنا إن قلنا بأنّ المرجع فی التعارض النصّین، التساقط؛ لأنّه بعد التساقط، یرجع الأمر إلی فقدان النصّ الذی تجری فیه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إن قلنا بأخذ أحد النصّین، ترجیحاً أو تخییراً، لا تجری البرائة؛ لوجود الحجّة المعتبرة و هی أحد النصّین؛ و مع وجود الدلیل الإجتهادی، لا معنی للرّجوع إلی الدلیل الفقاهی أعنی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فیه أیضاً عدم وجوب الإحتیاط؛ لعدم الدلیل علیه عدا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المذکورة التی عرفت حالها و بعض ما ورد فی خصوص تعارض النصّین، مثل ما فی عوالی الآلی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مرفوعة العلّامة رحمه الله إلی زرارة عن مولانا أبی جعفر 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أو الحديثان المتعارضان فبأيّهما آخذ؟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 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مرويّان مأثوران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يقوله أعدلهما عندك و أوثقهما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مذهب العامّة فاتركه و خذ بما خالفهم؛ فإنّ الحقّ فيما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ربما كانا موافقين لهم أو مخالفين، 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بما فيه الحائطة لدينك، و اترك ما خالف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أحدهما فتأخذ به و تدع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و إن كانت أخصّ من أخبار التخيير، إلّا أنّها ضعيفة السند، و قد طعن صاحب الحدائق فيها و في كتاب العوالي و صاحبه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إشتباه الأمور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بالشّبهة الموضوعیّة؛ کما إذا شکّ فی حرمة شرب مائعٍ و إباحته للتردّد فی أنّه خلٌّ أو خمر، و فی حرمة لحمٍ للتردّد بین کونه من الشاة أو من الإرنب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البرائة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 أنّ مقتضی الأصل فیه الإباحة؛ للأخبارالکثیرة فی ذلک،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المشکوک فیه، وجوبٌ مشتبهٌ بغیر التحریم؛ کالشکّ فی وجوب الدّعاء عند 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شکّ الفقیه فی الشبهات الوجوبیّة، أحد الأمور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کفقدان النصّ علی وجوب الدعاء عند رؤیة الهلال أو إستحبابها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النصّ أعمّ من الرّوایة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هنا جریان البرائة؛ و المعروف من الأخباریین هنا، موافقة المجتهدین بخلاف الشبهة التحریمیّة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الشیخ الأنصاری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 المسألة خلافيّة، لكن لم يعرف القائل به بعينه، و إن كان يظهر من الشيخ و السيّدين التمسّك به أحيانا، لكن يعلم مذهبهم من أكثر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البراءة للأدلّة الأربعة المتقدّمة، مضافا إلى الإجماع المركّب</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 المجرد عن القرینة، إذا قلنا باشتراکه لفظاً بین الوجوب و الإستحباب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موثقة 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ع عَمَّارٌ السَّابَاطِيُّ أَنَّهُ قَالَ إِذَا قُمْتَ إِلَى الصَّلَاةِ الْفَرِيضَةِ فَأَذِّنْ وَ أَقِمْ وَ افْصِلْ بَيْنَ الْأَذَانِ وَ الْإِقَامَةِ بِقُعُودٍ أَوْ بِكَلَامٍ أَوْ تَسْبِيحٍ وَ قَالَ سَأَلْتُهُ كَمِ الَّذِي يُجْزِي بَيْنَ الْأَذَانِ وَ الْإِقَامَةِ مِنَ الْقَوْلِ قَالَ الْحَمْدُ لِلَّهِ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یری بعض الأصولیین، أنّ صیغة الأمر مشترکٌ لفظیٌّ بین الوجوب و الإستحباب و وضع لکلا المعنیین؛ و الظابط فی المشترک اللفظیّ، إقترانها بالقرینة المعییّنة و القرینة مفقودة فی الدلیل؛ فیصیر صیغة الأمر فی الرّوایة مجملةً و توجب الشکّ فی وجوب الأذان و القامة أو استحبابها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جریان البرائة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کالتوقيع المرويّ في الاحتجاج عن الحميريّ، حيث كتب إلى الصاحب عجّل اللّه فرجه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يسألني بعض الفقهاء عن المصلّي إذا قام من التشهّد الأوّل إلى الركعة الثالثة،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bookmarkStart w:id="156" w:name="pg16646_227741"/>
    </w:p>
    <w:p>
      <w:pPr>
        <w:pStyle w:val="BookText"/>
        <w:rPr/>
      </w:pPr>
      <w:bookmarkEnd w:id="156"/>
      <w:r>
        <w:rPr>
          <w:rFonts w:ascii="Amiri" w:hAnsi="Amiri" w:eastAsia="Amiri" w:cs="Amiri"/>
          <w:color w:val="111111"/>
          <w:sz w:val="28"/>
          <w:sz w:val="28"/>
          <w:szCs w:val="28"/>
          <w:rtl w:val="true"/>
          <w:lang w:bidi="ar-SA"/>
        </w:rPr>
        <w:t>عليه تكبيرة، و يجوز أن يقول بحول اللّه و قوّته أقوم و أقعد؟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حديثان، أمّا أحدهما، فإنّه إذا انتقل عن حالة إلى اخرى فعليه التكبير، و أمّا الحديث الآخر، فإنّه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رفع رأسه من السجدة الثانيةو كبّر ثمّ جلس ثمّ قام، فليس عليه في القيام بعد القعود تكبير، و التشهّد الأوّل يجري هذا المجرى، و بأيّهما أخذت من باب التسليم كان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فعلیه التکبیر و لیس علیه تکبیرٌ، نصّان متعارضان توجبان الشکّ فی وجوب التکبیر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الّذی ذکرنا فی الشبهة التّحریمیّة مع تعارض النصّین، جارٍ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البرائة إن لم نأخذ أحد النصّین ترجیحاً أو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إشتباه الأمور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فی وجوب بح شاةٍ للتردّد بین حلفه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فیه البرائة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المشکوک فیه بین الوجوب و الحرمة المعروف بدوران الأمر بین المحذورین، خارج عن المقام؛ لأنّه نحو یقین بالتکلیف و یجری فیه التّخییر الآتیة و نجری البرائة فی الشک فی التکلیف</w:t>
      </w:r>
      <w:r>
        <w:rPr>
          <w:rFonts w:eastAsia="IRNazanin" w:cs="IRNazanin"/>
          <w:color w:val="111111"/>
          <w:sz w:val="28"/>
          <w:szCs w:val="28"/>
          <w:rtl w:val="true"/>
          <w:lang w:bidi="fa-IR"/>
        </w:rPr>
        <w:t>.</w:t>
      </w:r>
    </w:p>
    <w:p>
      <w:pPr>
        <w:pStyle w:val="Heading2"/>
        <w:numPr>
          <w:ilvl w:val="1"/>
          <w:numId w:val="1"/>
        </w:numPr>
        <w:rPr/>
      </w:pPr>
      <w:bookmarkStart w:id="157" w:name="__RefHeading___Toc12020055_1280447820"/>
      <w:bookmarkStart w:id="158" w:name="_Toc59"/>
      <w:bookmarkEnd w:id="157"/>
      <w:r>
        <w:rPr>
          <w:rtl w:val="true"/>
        </w:rPr>
        <w:t>الأصل الثانی</w:t>
      </w:r>
      <w:r>
        <w:rPr>
          <w:rtl w:val="true"/>
        </w:rPr>
        <w:t xml:space="preserve">: </w:t>
      </w:r>
      <w:r>
        <w:rPr>
          <w:rtl w:val="true"/>
        </w:rPr>
        <w:t>التخییر</w:t>
      </w:r>
      <w:bookmarkEnd w:id="158"/>
    </w:p>
    <w:p>
      <w:pPr>
        <w:pStyle w:val="BookText"/>
        <w:rPr/>
      </w:pPr>
      <w:r>
        <w:rPr>
          <w:rFonts w:ascii="IRNazanin" w:hAnsi="IRNazanin" w:eastAsia="IRNazanin"/>
          <w:color w:val="111111"/>
          <w:sz w:val="28"/>
          <w:sz w:val="28"/>
          <w:szCs w:val="28"/>
          <w:rtl w:val="true"/>
          <w:lang w:bidi="fa-IR"/>
        </w:rPr>
        <w:t>مجری التخییر هی دوران الأمر بین المحذورین أعنی خصوص الوجوب و الحرمة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الدّوران، هی أحد الأمور الآتیة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اختلفت الأمّة علی القولین بحیث علم عدم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هنا، الحکم بالإباحة ظاهراً؛ لا التّوقف بمعنی عدم الحکم بشیءٍ لا ظاهراً و لا واقعاً، و لا وجوب الأخذ بأحدهما بعینه أو لا بعینه؛ کما نسب إلی بعض الأصولیین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قال الشیخ الأنصاری فی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فی محل الکلام بالإباحة ظاهراً؛ لعموم أدلّة الإباحة الظّاهریّة،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 من الوجوب و الحرمة قد حجب عن العباد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أدلّته، حتّی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حتبی یرد فیه نهی أو أمر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 المردّد بین الإیجاب و التّهدید الّذی لازمه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أنّ المولی، أمر بالصلاة عند رؤیت الهلال، و لا نعلم أنّ المراد هو الوجوب أو التّهدید، نشکّ فی وجوب الصّلاة أو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فرض ورود الأمر بإکرام الشّعراء فی روایةٍ و ورود النّهی بإکرامهم فی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التّخییر أیضاً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إشتباه الأمور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وجب إکرام العدول و حرم إکرام الفسّاق و اشتبه حال زید من حیث الفسق و العدالة؛ أو کما إذا حلف بذبح </w:t>
      </w:r>
      <w:bookmarkStart w:id="159" w:name="pg16646_227743"/>
    </w:p>
    <w:p>
      <w:pPr>
        <w:pStyle w:val="BookText"/>
        <w:rPr/>
      </w:pPr>
      <w:bookmarkEnd w:id="159"/>
      <w:r>
        <w:rPr>
          <w:rFonts w:ascii="IRNazanin" w:hAnsi="IRNazanin" w:eastAsia="IRNazanin"/>
          <w:color w:val="111111"/>
          <w:sz w:val="28"/>
          <w:sz w:val="28"/>
          <w:szCs w:val="28"/>
          <w:rtl w:val="true"/>
          <w:lang w:bidi="fa-IR"/>
        </w:rPr>
        <w:t>شاةٍ و حلف بعدم ذبح شاةٍ؛ و نشکّ فی تعیین الشاة و بالتّالی، نشکّ فی وجوب الذّبح 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فیه کما فی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الأخذ بأحدهما فی الظاهر، بل هنا أولی؛ إذ لیس فیه إطراحٌ لقول الإمام علیه السلام ؛ إذ لیس الإشتباه فی الحکم الشرعیّ الکلّی الّذی بیّنه الإمام علیه السلام</w:t>
      </w:r>
      <w:r>
        <w:rPr>
          <w:rFonts w:eastAsia="IRNazanin" w:cs="IRNazanin"/>
          <w:color w:val="111111"/>
          <w:sz w:val="28"/>
          <w:szCs w:val="28"/>
          <w:rtl w:val="true"/>
          <w:lang w:bidi="fa-IR"/>
        </w:rPr>
        <w:t>.</w:t>
      </w:r>
    </w:p>
    <w:p>
      <w:pPr>
        <w:pStyle w:val="Heading2"/>
        <w:numPr>
          <w:ilvl w:val="1"/>
          <w:numId w:val="1"/>
        </w:numPr>
        <w:rPr/>
      </w:pPr>
      <w:bookmarkStart w:id="160" w:name="__RefHeading___Toc12020057_1280447820"/>
      <w:bookmarkStart w:id="161" w:name="_Toc60"/>
      <w:bookmarkEnd w:id="160"/>
      <w:r>
        <w:rPr>
          <w:rtl w:val="true"/>
        </w:rPr>
        <w:t>الأصل الثالث</w:t>
      </w:r>
      <w:r>
        <w:rPr>
          <w:rtl w:val="true"/>
        </w:rPr>
        <w:t xml:space="preserve">: </w:t>
      </w:r>
      <w:r>
        <w:rPr>
          <w:rtl w:val="true"/>
        </w:rPr>
        <w:t>الإحتیاط</w:t>
      </w:r>
      <w:bookmarkEnd w:id="161"/>
    </w:p>
    <w:p>
      <w:pPr>
        <w:pStyle w:val="BookText"/>
        <w:rPr/>
      </w:pPr>
      <w:r>
        <w:rPr>
          <w:rFonts w:ascii="IRNazanin" w:hAnsi="IRNazanin" w:eastAsia="IRNazanin"/>
          <w:color w:val="111111"/>
          <w:sz w:val="28"/>
          <w:sz w:val="28"/>
          <w:szCs w:val="28"/>
          <w:rtl w:val="true"/>
          <w:lang w:bidi="fa-IR"/>
        </w:rPr>
        <w:t>مجری الإحتیاط هی الشکّ فی المکلّف به؛ بأن یعلم الحرمة أو الوجوب و یشتبه الحرام أو الواجب؛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تفصیلاً بوجوب الصّلاة یوم الجمعة، ولکن تعلّق الوجوب بصلاة الظّهر أو الجمعة، من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نعلم بوجود الخمر فی إحدی الإنائین؛ فنعلم الحرمة تفصیلاً و لکن تعلّق الحرمة و وجوب الإجتناب بهذا أو ذاک،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ثلاثة أنواع من الشک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المکلّف به فی ضمن الشّبهة التّحریمیّة؛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هناک، فی الحرام و غیر الحرام مع العلم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شکّ الفقیه هنا، أحد الأمور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اختلفت الأمّة بین حرمة الصوت المطرب و الصوت المرجع بسبب فقدان النصّ المعتبر؛ فالعلم بالحرمة موجودٌ و لکن شککنا فی متعلّق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هنا الإحتیاط</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دلّ الخبر علی حرمة الغناء و اختلفت الأمّة فی تفسیرها بالصوت المطرب أو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 إذا ثبت بالدّلیل حرمة الأذان الثالث یوم الجمعة و اختلف فی تعیینه؛ کما فی روایة حفص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الأذان </w:t>
      </w:r>
    </w:p>
    <w:p>
      <w:pPr>
        <w:pStyle w:val="BookText"/>
        <w:rPr/>
      </w:pPr>
      <w:r>
        <w:rPr>
          <w:rFonts w:ascii="IRNazanin" w:hAnsi="IRNazanin" w:eastAsia="IRNazanin"/>
          <w:color w:val="111111"/>
          <w:sz w:val="28"/>
          <w:sz w:val="28"/>
          <w:szCs w:val="28"/>
          <w:rtl w:val="true"/>
          <w:lang w:bidi="fa-IR"/>
        </w:rPr>
        <w:t>الثالث یوم الجمعة بدعة</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جدّد قبراً أو مثّل مثالاً فقد خرج عن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حیث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 الحاء و الخاء، 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الحکم هنا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دلّ خبرٌ علی حرمة الصوت المطرب و خبر آخر علی حرمة الصوت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الإحتیاط، إن لم نقل بأخذ أحد النصّین؛ لأنّه مع الأخذ بأحد النصّین، الدّلیل الإجتهادی موجودٌ و لا معنی للرّجوع إلی الدلیل الفقاهی و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إشتباه الأمور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الأمر یتحقّق تارةً فی ضمن الشّبهة المحصورة؛ کما إذا دار الحرام بین أمرین أو أمور محصورة و تارةً أخری فی ضمن الشّبهة غیر المحصورة؛ کما إذا دار الحرام بین أمورٍ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الشّبهة المحصورة هو الإحتیاط و حرمة المخالفة القطعیّة، و فی الشّبهة غیر المحصورة، عدم وجوب الإحتیاط و لکن یجب ترک بعض المشتبهات؛ لأن لا یقع فی المخالفة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کون الشّبهة من المحصورات أو غیر المحصورات، العرف علی الأقوی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اختلف عبارات الأصحاب في بيان ضابط المحصور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الشهيد و المحقّق الثانيين و الميسيّ و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فيه إلى العرف،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غير محصور في العادة، بمعنى أنّه يعسر عدّه، لا ما إمتنع عدّه؛ لأنّ كلّ ما يوجد من الأعداد قابل للعدّ و الحصر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لکن لا یقبل الشیخ الأعظم هذا الملاک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ما ذكرنا في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المحصور ما بلغ كثرة الوقائع المحتملة للتحريم إلى حيث لا يعتني العقلاء بالعلم الإجماليّ الحاصل فيها؛ أ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نهى المولى عبده عن المعاملة مع زيد فعامل العبد مع واحد من أهل قرية كبيرة يعلم بوجود زيد فيها، لم يكن ملوما و إن صادف زيدا؟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موارد الشكّ إلى حكم العقلاء بوجوب مراعاة العلم الإجماليّ الموجود في ذلك المورد؛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دلالته على تنجّز التكليف بالاجتناب عن الخمر، بين الخمر المعلوم المردّد بين امور محصورة و بين الموجود المردّد بين امور غير محصورة، غاية الأمر قيام الدليل في غير المحصورة على اكتفاء الشارع عن الحرام الواقعيّ ببعض محتملاته، كما تقدّم سابقا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شكّ في كون الشبهة محصورة أو غير محصورة، شكّ في قيام الدليل على قيام بعض المحتملات مقام الحرام الواقعيّ في الاكتفاء عن امتثاله بترك ذلك البعض، فيجب ترك جميع المحتملات؛ لعدم الأمن من الوقوع في العقاب بارتكاب البعض</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المکلّف به فی ضمن الشّبهة الوجوبیّة؛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هناک، فی الواجب و غیر الواجب مع العلم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مردّدٌ بین أمرین متباینین؛ کما إذا تردّد الأمر بین وجوب الظهر و الجمعة فی یوم الجمعة؛ فنعلم قطعاً بصدور الحکم الوجوبیّ عن الشّارع فی یوم الجمعة، و لکن لا نعلم تعلّقه بالظّهر أو الجمعة؛ فالواجب مردّدٌ بین المتباینین؛ لأنّ الظّهر و الجمعة أمران 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شکّ الفقیه هنا، أحد الأمور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اختلفت الأمّة فی وجوب الظّهر و الجمعة بسبب فقدان النصّ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حرمة المخالفة القطعیّة؛ لأنّها معصیةٌ عند العقلاء، فإنّهم لا یفرّقون بین الخطاب المعلوم تفصیلاً أو إجمالاً فی حرمة مخالفته و فی عدّها 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یتعلّق التّکلیف الوجوبیّ بأمرٍ مجملٍ؛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بناءً علی تردّدالصلاة الوسطی بین صلاة الجمعة کما فی بعض الرّوایات</w:t>
      </w:r>
      <w:r>
        <w:rPr>
          <w:rStyle w:val="FootnoteAnchor"/>
          <w:rtl w:val="true"/>
        </w:rPr>
        <w:footnoteReference w:id="77"/>
      </w:r>
      <w:r>
        <w:rPr>
          <w:rFonts w:ascii="IRNazanin" w:hAnsi="IRNazanin" w:eastAsia="IRNazanin"/>
          <w:color w:val="111111"/>
          <w:sz w:val="28"/>
          <w:sz w:val="28"/>
          <w:szCs w:val="28"/>
          <w:rtl w:val="true"/>
          <w:lang w:bidi="fa-IR"/>
        </w:rPr>
        <w:t>، و غیرها کما فی بعضٍ آخر</w:t>
      </w:r>
      <w:r>
        <w:rPr>
          <w:rStyle w:val="FootnoteAnchor"/>
          <w:rtl w:val="true"/>
        </w:rPr>
        <w:footnoteReference w:id="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تردّد العین فی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معانیها المختلفة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هنا الإحتیاط کما فی الأمر الأوّل، بل هنا أولی؛ لأنّ الخطاب هنا تفصیلاً متوجهٌ إلی المکلّفین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دلّ خبرٌ علی وجوب الظهر و خبرٌ آخر علی وجوب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فیه التخییر؛ لأخبار التخییر السلیمة عن المعارض حتّی ما دلّ علی الأخذ بما فیه الإحتیاط؛ لأنّ المفروض عدم موافقة شیءٍ منهما للإحتیاط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إشتباه الأمور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صور اشتباه القبلة؛ فنعلم تفصیلاً بوجوب صلاةٍ و لکن لا نعلم تعلّقها بالصلاة بهذه الجهة أو الجهة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الإحتیاط کما 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مردّدٌ بین الأقلّ و الأکثر؛ کما</w:t>
      </w:r>
    </w:p>
    <w:p>
      <w:pPr>
        <w:pStyle w:val="BookText"/>
        <w:rPr/>
      </w:pPr>
      <w:r>
        <w:rPr>
          <w:rFonts w:ascii="IRNazanin" w:hAnsi="IRNazanin" w:eastAsia="IRNazanin"/>
          <w:color w:val="111111"/>
          <w:sz w:val="28"/>
          <w:sz w:val="28"/>
          <w:szCs w:val="28"/>
          <w:rtl w:val="true"/>
          <w:lang w:bidi="fa-IR"/>
        </w:rPr>
        <w:t>إذا تردّدت الصلاة الواجبة بین ذات السّورة و فاقدتها؛ فنعلم تفصیلاً بصدور وجوبٍ عن الشّارع و لکن الشکّ فی تعلّقه بالصلاة الّتی یجب فیها السورة أو الصلاة التّی یجوز ترک السورة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فالواجد لها أکثرٌ و الفاقد لها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شکّ الفقیه هنا، أحد الأمور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اختلفت الأمّة فی أنّ الواجب فی الصلاة تسعة أجزاءٍ أو عشرة بسبب فقدان النصّ المعتبر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کالاستعاذة قبل القراءة فی الرکعة الاولی علی ما ذهب إلیه بعض فقهائنا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غالباً ناشئاً من ذهاب جماعة إلی جزئیّة الأمر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أعثر فی کلمات من تقدّم علی المحقّق السبزواری، علی من یلتزم بوجوب الإحتیاط فی الأجزاء و الشرائط و إن کان فیهم من یختلف کلامه فی ذلک، کالسیّد و الشیخ و الشهید قدس سرهم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فالمختار جریان أصل البرائة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وجب فی الغسل، غسل ظاهر البدن فیشکّ فی أنّ الجزء الفلانی کباطن الأذن، من الظّاهر أو الباطن؛ بحیث یکون الآتی بالأکثر آتیاً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البرائة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یدلّ أحد الخبرین علی جزئیّة السورة و الآخر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إشتباه الأمور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أمر بمفهوم مبیّنٍ مردّدٍ مصداقه بین الأقلّ و الأکثر؛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وجب علی المکلّف بالنذر صوم شهرٍ هلالیّ </w:t>
      </w:r>
      <w:r>
        <w:rPr>
          <w:rFonts w:ascii="IRNazanin" w:hAnsi="IRNazanin" w:eastAsia="IRNazanin"/>
          <w:i/>
          <w:i/>
          <w:iCs/>
          <w:color w:val="111111"/>
          <w:sz w:val="28"/>
          <w:sz w:val="28"/>
          <w:szCs w:val="28"/>
          <w:rtl w:val="true"/>
          <w:lang w:bidi="fa-IR"/>
        </w:rPr>
        <w:t>و هو ما بین الهلالین</w:t>
      </w:r>
      <w:r>
        <w:rPr>
          <w:rFonts w:ascii="IRNazanin" w:hAnsi="IRNazanin" w:eastAsia="IRNazanin"/>
          <w:color w:val="111111"/>
          <w:sz w:val="28"/>
          <w:sz w:val="28"/>
          <w:szCs w:val="28"/>
          <w:rtl w:val="true"/>
          <w:lang w:bidi="fa-IR"/>
        </w:rPr>
        <w:t xml:space="preserve"> فشکّ فی أنّه ثلاثون أو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أمر بالطهور لأجل الصلاة، أعنی الفعل الرافع للحدث أو المبیح للصلاة، فشکّ فی جزئیّة شیءٍ للوضوء أو الغسل الرافعین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اللازم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لأنّ المفروض تنجّز التكليف بمفهوم مبيّن معلوم تفصيلا، و إنّما الشكّ في تحقّقه بالأقلّ، فمقتضى أصالة عدم تحقّقه و بقاء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به و لزوم الإتيان بالأكثر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يجري هنا ما تقدّم من الدليل العقليّ و النقليّ الدالّ على البراءة؛ لأنّ البيان الذي لا بدّ منه في التكليف قد وصل من الشارع، فلا يقبح المؤاخذة على ترك ما بيّنه تفصيلا، فإذا شكّ في تحقّقه في الخارج </w:t>
      </w:r>
      <w:bookmarkStart w:id="162" w:name="pg16646_227749"/>
    </w:p>
    <w:p>
      <w:pPr>
        <w:pStyle w:val="BookText"/>
        <w:rPr/>
      </w:pPr>
      <w:bookmarkEnd w:id="162"/>
      <w:r>
        <w:rPr>
          <w:rFonts w:ascii="Amiri" w:hAnsi="Amiri" w:eastAsia="Amiri" w:cs="Amiri"/>
          <w:color w:val="111111"/>
          <w:sz w:val="28"/>
          <w:sz w:val="28"/>
          <w:szCs w:val="28"/>
          <w:rtl w:val="true"/>
          <w:lang w:bidi="ar-SA"/>
        </w:rPr>
        <w:t>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بوجوب القطع بإحراز ما علم وجوبه تفصيلا، أعني المفهوم المعيّن المبيّن المأمور به؛ أ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في وجود باقي الأجزاء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يعلم أنّه أتى بها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العقل و الاستصحاب وجوب الإتيان بها؟</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المکلّف به فی ضمن دوران الأمر بین المحذورین؛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إشتباه الواجب بالحرام مع العلم بالحرمة و الوجوب؛ کما إذا اشتبه محلوفة الذّبح من الشاة بمحلوفة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التخییر بین فعل أحدهما و ترک الآخر</w:t>
      </w:r>
      <w:r>
        <w:rPr>
          <w:rFonts w:eastAsia="IRNazanin" w:cs="IRNazanin"/>
          <w:color w:val="111111"/>
          <w:sz w:val="28"/>
          <w:szCs w:val="28"/>
          <w:rtl w:val="true"/>
          <w:lang w:bidi="fa-IR"/>
        </w:rPr>
        <w:t>.</w:t>
      </w:r>
    </w:p>
    <w:p>
      <w:pPr>
        <w:pStyle w:val="Heading2"/>
        <w:numPr>
          <w:ilvl w:val="1"/>
          <w:numId w:val="1"/>
        </w:numPr>
        <w:rPr/>
      </w:pPr>
      <w:bookmarkStart w:id="163" w:name="__RefHeading___Toc12020059_1280447820"/>
      <w:bookmarkStart w:id="164" w:name="_Toc61"/>
      <w:bookmarkEnd w:id="163"/>
      <w:r>
        <w:rPr>
          <w:rtl w:val="true"/>
        </w:rPr>
        <w:t>الأصل الرّابع</w:t>
      </w:r>
      <w:r>
        <w:rPr>
          <w:rtl w:val="true"/>
        </w:rPr>
        <w:t xml:space="preserve">: </w:t>
      </w:r>
      <w:r>
        <w:rPr>
          <w:rtl w:val="true"/>
        </w:rPr>
        <w:t>الإستصحاب</w:t>
      </w:r>
      <w:bookmarkEnd w:id="164"/>
    </w:p>
    <w:p>
      <w:pPr>
        <w:pStyle w:val="BookText"/>
        <w:rPr/>
      </w:pPr>
      <w:r>
        <w:rPr>
          <w:rFonts w:ascii="IRNazanin" w:hAnsi="IRNazanin" w:eastAsia="IRNazanin"/>
          <w:color w:val="111111"/>
          <w:sz w:val="28"/>
          <w:sz w:val="28"/>
          <w:szCs w:val="28"/>
          <w:rtl w:val="true"/>
          <w:lang w:bidi="fa-IR"/>
        </w:rPr>
        <w:t>مجری الإستصحاب هو الشکّ فی البقاء مطلقاً علی رأی المشهور؛</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الشکّ فی بقاء الأمر الوجودی، کوجوب شیءٍ و طهارة شیءٍ أم الأمر العدمی، کعدم نقل اللفظ عن معناه و عدم موت زید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الشکّ فی بقاء الحکم الشرعی، کالطهارة المستصحبة بعد خروج المذی، و النجاسة المستصحبة بعد زوال تغیّر المتغیّر بنفسه، أم الأمور الخارجیّة، کاستصحاب الکرّیة و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الشکّ فی بقاء الحکم التکلیفی، کإستصحاب وجوب الجمعة، أم الحکم الوضعی، کإستصحاب الأسباب و الشروط و الموانع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الشکّ فی بقاء الحکم الکلیّ، کطهارة من خرج منه المذی، أم الحکم الجزئیّ، کطهارة هذا الثوب و نجاسته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الشکّ فی الحکم الکلیّ، کإستصحاب بقاء الإنسان الکلیّ، أم الحکم الجزئیّ، کإستصحاب بقاء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الشکّ فی الکلیّ من جهة الشکّ فی بقاء ذلک الفرد، أم من جهة الشکّ فی تعیین ذلک الفرد و تردّده بین ما هو باقٍ جزماً و بین ما هو مرتفعٌ کذلک، أم من جهة الشکّ فی وجود فرد آخر مع الجزم بارتفاع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الشکّ من جهة المقتضی، 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من حیث إستعداده و قابلیّته فی ذاته للبقاء، کالشکّ فی بقاء اللیل و النهار، أم من جهة الرّافع مع القطع بإستعداده للبقاء، کالشکّ فی حدوث البول و فعل الظهر المشکوک کونه رافعاً لشغل الذمّة بالصلاة المکلّف بها قبل العصر یوم الجمعة من جهة تردّده بین الظهر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دلیل المستصحب الدلیل الشرعی، أم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التّفصیلات المذکورة فی الکتب الأصولیّة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لکن قال الشیخ الأنصاری فی المقام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إنّه قد يثبت بالدليل الشرعيّ، و قد يثبت بالدليل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من فصّل بينهما، إلّا أنّ في تحقّق الاستصحاب مع ثبوت الحكم بالدليل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العقليّ المتوصّل به إلى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 نظرا إلى أنّ الأحكام العقليّة كلّها مبيّنة مفصّلة من حيث مناط الحكم ، و الشكّ في بقاء المستصحب و عدمه لا بدّ و أن يرجع إلى الشكّ في موضوع الحكم؛ لأنّ الجهات المقتضية للحكم العقليّ بالحسن و القبح كلّها راجعة إلى قيود فعل المكلّف، الذي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حكم العقل حتّى لأجل وجود الرافع لا يكون إلّا </w:t>
      </w:r>
    </w:p>
    <w:p>
      <w:pPr>
        <w:pStyle w:val="BookText"/>
        <w:rPr/>
      </w:pPr>
      <w:r>
        <w:rPr>
          <w:rFonts w:ascii="Amiri" w:hAnsi="Amiri" w:eastAsia="Amiri" w:cs="Amiri"/>
          <w:color w:val="111111"/>
          <w:sz w:val="28"/>
          <w:sz w:val="28"/>
          <w:szCs w:val="28"/>
          <w:rtl w:val="true"/>
          <w:lang w:bidi="ar-SA"/>
        </w:rPr>
        <w:t xml:space="preserve">للشكّ في موضوعه، و الموضوع لا بدّ أن يكون محرزا معلوم البقاء في الاستصحاب، كما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بين أن يكون الشكّ من جهة الشكّ في وجود الرافع، و بين أن يكون لأجل الشكّ في استعداد الحكم؛ لأنّ ارتفاع الحكم العقليّ لا يكون إلّا بارتفاع موضوعه، فيرجع الأمر بالأخرة إلى تبدّل العنوان؛ أ لا ترى أنّ العقل إذا حكم بقبح الصدق الضارّ، فحكمه يرجع إلى أنّ الضارّ من حيث إنّه ضارّ حرام، و معلوم أنّ هذه القضيّة غير قابلة للاستصحاب عند الشكّ في الضرر مع العلم بتحقّقه سابقا؛ لأنّ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المضرّ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دائميّ لا يحتمل ارتفاعه أبدا، و لا ينفع في إثبات القبح عند الشكّ في بقاء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الصدق كان قبيحا سابقا فيستصحب قبحه؛ لأنّ الموضوع في حكم العقل بالقبح ليس هذا الصدق، بل عنوان المضرّ، و الحكم له مقطوع البقاء، و هذا بخلاف الأحكام الشرعيّة؛ فإنّه قد يحكم الشارع على الصدق بكونه حراما، و لا يعلم أنّ المناط الحقيقيّ فيه باق في زمان الشكّ أو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جهل المناط أو من جهة الجهل ببقائه مع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الحكم الشرعيّ</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فی أدلّة الإستنباط الّتی بحثنا عنها علی الإیجاز و الکفایة</w:t>
      </w:r>
      <w:r>
        <w:rPr>
          <w:rFonts w:eastAsia="IRNazanin" w:cs="IRNazanin"/>
          <w:color w:val="111111"/>
          <w:sz w:val="28"/>
          <w:szCs w:val="28"/>
          <w:rtl w:val="true"/>
          <w:lang w:bidi="fa-IR"/>
        </w:rPr>
        <w:t xml:space="preserve">. </w:t>
      </w:r>
      <w:bookmarkStart w:id="165" w:name="pg16646_227752"/>
    </w:p>
    <w:p>
      <w:pPr>
        <w:pStyle w:val="Heading2"/>
        <w:numPr>
          <w:ilvl w:val="1"/>
          <w:numId w:val="1"/>
        </w:numPr>
        <w:rPr/>
      </w:pPr>
      <w:bookmarkStart w:id="166" w:name="__RefHeading___Toc12020061_1280447820"/>
      <w:bookmarkStart w:id="167" w:name="_Toc62"/>
      <w:bookmarkEnd w:id="165"/>
      <w:bookmarkEnd w:id="166"/>
      <w:r>
        <w:rPr>
          <w:rtl w:val="true"/>
        </w:rPr>
        <w:t>خاتمة المقام</w:t>
      </w:r>
      <w:bookmarkEnd w:id="167"/>
    </w:p>
    <w:p>
      <w:pPr>
        <w:pStyle w:val="Heading2"/>
        <w:numPr>
          <w:ilvl w:val="1"/>
          <w:numId w:val="1"/>
        </w:numPr>
        <w:rPr/>
      </w:pPr>
      <w:bookmarkStart w:id="168" w:name="__RefHeading___Toc12020063_1280447820"/>
      <w:bookmarkStart w:id="169" w:name="_Toc63"/>
      <w:bookmarkEnd w:id="168"/>
      <w:r>
        <w:rPr>
          <w:rtl w:val="true"/>
        </w:rPr>
        <w:t>فی موجبات تعدیة الحکم من موضوع إلی موضوع آخر أو تضییقه</w:t>
      </w:r>
      <w:r>
        <w:rPr>
          <w:rtl w:val="true"/>
        </w:rPr>
        <w:t>.</w:t>
      </w:r>
      <w:bookmarkEnd w:id="169"/>
    </w:p>
    <w:p>
      <w:pPr>
        <w:pStyle w:val="BookText"/>
        <w:rPr/>
      </w:pPr>
      <w:r>
        <w:rPr>
          <w:rFonts w:ascii="IRNazanin" w:hAnsi="IRNazanin" w:eastAsia="IRNazanin"/>
          <w:color w:val="111111"/>
          <w:sz w:val="28"/>
          <w:sz w:val="28"/>
          <w:szCs w:val="28"/>
          <w:rtl w:val="true"/>
          <w:lang w:bidi="fa-IR"/>
        </w:rPr>
        <w:t>کثیراً ما یواجه المستنبط فی مختلف أبواب الفقه عناوین تقع موضوعاً للحکم الشرعی و یکون مقتضی ظاهر البدوی و الجمود علیه، إختصاص الحکم بتلک العناوین إلّا أنّ هنا أسباباً توجب تعدیة الحکم إلی غیر تلک العناوین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الأسباب ستّة</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12020065_1280447820"/>
      <w:bookmarkStart w:id="171" w:name="_Toc64"/>
      <w:bookmarkEnd w:id="170"/>
      <w:r>
        <w:rPr>
          <w:rtl w:val="true"/>
        </w:rPr>
        <w:t>الأوّل</w:t>
      </w:r>
      <w:r>
        <w:rPr>
          <w:rtl w:val="true"/>
        </w:rPr>
        <w:t xml:space="preserve">: </w:t>
      </w:r>
      <w:r>
        <w:rPr>
          <w:rtl w:val="true"/>
        </w:rPr>
        <w:t>إلغاء الخصوصیّة</w:t>
      </w:r>
      <w:bookmarkEnd w:id="171"/>
    </w:p>
    <w:p>
      <w:pPr>
        <w:pStyle w:val="BookText"/>
        <w:rPr/>
      </w:pPr>
      <w:r>
        <w:rPr>
          <w:rFonts w:ascii="IRNazanin" w:hAnsi="IRNazanin" w:eastAsia="IRNazanin"/>
          <w:color w:val="111111"/>
          <w:sz w:val="28"/>
          <w:sz w:val="28"/>
          <w:szCs w:val="28"/>
          <w:rtl w:val="true"/>
          <w:lang w:bidi="fa-IR"/>
        </w:rPr>
        <w:t>هو عبارة عن نفی احتمال دخل الخصوصیّة الموجودة فی الأصل المفقودة فی الفرع فی الحکم مع نفی احتمال مانعیّة الخصوصیّة الموجودة فی الفرع عن الحکم شریطة أن یکون النفی فیهما بالإستظهار أو الإستنباط لا بالتنصیص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ضوء هذا التعریف تتکوّن عملیّة إلغاء الخصوصیّة عن نفیین؛ نفیٌ راجعٌ إلی الأصل و نفی راجعٌ إلی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الخوئی فی مسألة الرکوع أو السجود قبل الإمام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فرض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مشروعيّة العود و جواز المتابعة و إن استلزمت الزيادة العمديّة، فإنّها مغتفرة في المقام، لموثّق ابن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كان خلف إمام يأتمّ به فيركع قبل أن يركع الإمام، و هو يظنّ أنّ الإمام قد ركع، فلمّا رآه لم يركع رفع رأسه ثمّ أعاد الركوع مع الإمام، أ يفسد ذلك عليه صلاته أم تجوز تلك الركعة؟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صلاته و لا تفسد صلاته بما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مورده و إن كان هو الظنّ أعني الاعتقاد أو الاطمئنان كما لا يخفى لكن لا ينبغي الشكّ في التحاق السهو به، إذ لا يحتمل أن تكون للظنّ خصوصية </w:t>
      </w:r>
      <w:bookmarkStart w:id="172" w:name="pg16646_227753"/>
    </w:p>
    <w:p>
      <w:pPr>
        <w:pStyle w:val="BookText"/>
        <w:rPr/>
      </w:pPr>
      <w:bookmarkEnd w:id="172"/>
      <w:r>
        <w:rPr>
          <w:rFonts w:ascii="Amiri" w:hAnsi="Amiri" w:eastAsia="Amiri" w:cs="Amiri"/>
          <w:color w:val="111111"/>
          <w:sz w:val="28"/>
          <w:sz w:val="28"/>
          <w:szCs w:val="28"/>
          <w:rtl w:val="true"/>
          <w:lang w:bidi="ar-SA"/>
        </w:rPr>
        <w:t>منقدحة في ذهن السائل، و إنّما ذكره بياناً للعذر في مقابل العمد</w:t>
      </w:r>
      <w:r>
        <w:rPr>
          <w:rFonts w:eastAsia="Amiri" w:cs="Amiri" w:ascii="Amiri" w:hAnsi="Amiri"/>
          <w:color w:val="111111"/>
          <w:sz w:val="28"/>
          <w:szCs w:val="28"/>
          <w:rtl w:val="true"/>
          <w:lang w:bidi="ar-SA"/>
        </w:rPr>
        <w:t>.</w:t>
      </w:r>
      <w:r>
        <w:rPr>
          <w:rStyle w:val="FootnoteAnchor"/>
          <w:rtl w:val="true"/>
        </w:rPr>
        <w:footnoteReference w:id="84"/>
      </w:r>
    </w:p>
    <w:p>
      <w:pPr>
        <w:pStyle w:val="Heading2"/>
        <w:numPr>
          <w:ilvl w:val="1"/>
          <w:numId w:val="1"/>
        </w:numPr>
        <w:rPr/>
      </w:pPr>
      <w:bookmarkStart w:id="173" w:name="__RefHeading___Toc12020067_1280447820"/>
      <w:bookmarkStart w:id="174" w:name="_Toc65"/>
      <w:bookmarkEnd w:id="173"/>
      <w:r>
        <w:rPr>
          <w:rtl w:val="true"/>
        </w:rPr>
        <w:t>الثانی</w:t>
      </w:r>
      <w:r>
        <w:rPr>
          <w:rtl w:val="true"/>
        </w:rPr>
        <w:t xml:space="preserve">: </w:t>
      </w:r>
      <w:r>
        <w:rPr>
          <w:rtl w:val="true"/>
        </w:rPr>
        <w:t>تنقیح المناط</w:t>
      </w:r>
      <w:bookmarkEnd w:id="174"/>
    </w:p>
    <w:p>
      <w:pPr>
        <w:pStyle w:val="BookText"/>
        <w:rPr/>
      </w:pPr>
      <w:r>
        <w:rPr>
          <w:rFonts w:ascii="IRNazanin" w:hAnsi="IRNazanin" w:eastAsia="IRNazanin"/>
          <w:color w:val="111111"/>
          <w:sz w:val="28"/>
          <w:sz w:val="28"/>
          <w:szCs w:val="28"/>
          <w:rtl w:val="true"/>
          <w:lang w:bidi="fa-IR"/>
        </w:rPr>
        <w:t>هو عبارة عن کشف ما أنیط به الحکم فی الأصل ما لم ینطق به الشارع و إحراز وجوده فی الفرع و نفی وجود مانع أو مزاحم أقوی له فی الفرع و قبح امتناع الشارع الحکیم حینئذ عن جعل هذا الحکم فی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بما أنیط به الحکم، أعم من المصالح و المفاسد و غیرهما ممّا یکشف آنّ الشارع جعله علّة و مستنداً لحکمه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قیدنا کشف ما أنیط به الحکم فی الأصل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ینطق به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نطق به نصّاً أو ظهوراً فهو داخلٌ فی منصوص العلّة و خارجٌ عن مصطلح 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الخوئی فی حکم الناسی لسجدة التلاوة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استفادة الحكم من صحيحة محمّد بن مسلم المتقدِّمة آنفاً و إن كان موردها النسيان، فانّ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إذا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مستند إلى نفس الأمر السابق، و أنّه باق بحاله ما لم يمتثل، لا أنّه تكليف جديد، فإنّه خلاف الظاهر جدّاً كما لا يخفى، فيشترك فيه الناسي و العاصي لوحدة المناط</w:t>
      </w:r>
      <w:r>
        <w:rPr>
          <w:rFonts w:eastAsia="Amiri" w:cs="Amiri" w:ascii="Amiri" w:hAnsi="Amiri"/>
          <w:color w:val="111111"/>
          <w:sz w:val="28"/>
          <w:szCs w:val="28"/>
          <w:rtl w:val="true"/>
          <w:lang w:bidi="ar-SA"/>
        </w:rPr>
        <w:t>.</w:t>
      </w:r>
      <w:r>
        <w:rPr>
          <w:rStyle w:val="FootnoteAnchor"/>
          <w:rtl w:val="true"/>
        </w:rPr>
        <w:footnoteReference w:id="85"/>
      </w:r>
    </w:p>
    <w:p>
      <w:pPr>
        <w:pStyle w:val="Heading2"/>
        <w:numPr>
          <w:ilvl w:val="1"/>
          <w:numId w:val="1"/>
        </w:numPr>
        <w:rPr/>
      </w:pPr>
      <w:bookmarkStart w:id="175" w:name="__RefHeading___Toc12020069_1280447820"/>
      <w:bookmarkStart w:id="176" w:name="_Toc66"/>
      <w:bookmarkEnd w:id="175"/>
      <w:r>
        <w:rPr>
          <w:rtl w:val="true"/>
        </w:rPr>
        <w:t>الثالث</w:t>
      </w:r>
      <w:r>
        <w:rPr>
          <w:rtl w:val="true"/>
        </w:rPr>
        <w:t xml:space="preserve">: </w:t>
      </w:r>
      <w:r>
        <w:rPr>
          <w:rtl w:val="true"/>
        </w:rPr>
        <w:t>الألویّة</w:t>
      </w:r>
      <w:r>
        <w:rPr>
          <w:rtl w:val="true"/>
        </w:rPr>
        <w:t>:</w:t>
      </w:r>
      <w:bookmarkEnd w:id="17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کون الفرع أولی بالحکم من الأصل لأقوائیّة علّة الحکم فیه من الأصل سواءٌ کان الدلیل علی الأصل لفظیّاً أو لبیّاً و قد یعبّر عن العلّة بالجامع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علی بن الحسین بإسناده عن عبید الله بن </w:t>
      </w:r>
      <w:bookmarkStart w:id="177" w:name="pg16646_227754"/>
    </w:p>
    <w:p>
      <w:pPr>
        <w:pStyle w:val="BookText"/>
        <w:rPr/>
      </w:pPr>
      <w:bookmarkEnd w:id="177"/>
      <w:r>
        <w:rPr>
          <w:rFonts w:ascii="IRNazanin" w:hAnsi="IRNazanin" w:eastAsia="IRNazanin"/>
          <w:color w:val="111111"/>
          <w:sz w:val="28"/>
          <w:sz w:val="28"/>
          <w:szCs w:val="28"/>
          <w:rtl w:val="true"/>
          <w:lang w:bidi="fa-IR"/>
        </w:rPr>
        <w:t>علی الحلبی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الرجل یصیب المرأة فلا ینزل أ علیه غسلٌ قال کان علی علیه السلام یقول إذا مسّ الختانُ الختانَ فقد وجب الغسل قال و کان علی علیه السلام یقول کیف لا یوجب الغسلَ و الحدُّ یجب فیه و قال یجب علیه المهر و الغسل</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فالإمام علیه السلام استدلّ علی وجوب الغسل بطریق الأولویّة؛ حیث جعل الحکم فی الفرع و هو وجوب الغسل أولی منه فی الأصل و هو وجوب الحدّ</w:t>
      </w:r>
      <w:r>
        <w:rPr>
          <w:rFonts w:eastAsia="IRNazanin" w:cs="IRNazanin"/>
          <w:color w:val="111111"/>
          <w:sz w:val="28"/>
          <w:szCs w:val="28"/>
          <w:rtl w:val="true"/>
          <w:lang w:bidi="fa-IR"/>
        </w:rPr>
        <w:t>.</w:t>
      </w:r>
    </w:p>
    <w:p>
      <w:pPr>
        <w:pStyle w:val="Heading2"/>
        <w:numPr>
          <w:ilvl w:val="1"/>
          <w:numId w:val="1"/>
        </w:numPr>
        <w:rPr/>
      </w:pPr>
      <w:bookmarkStart w:id="178" w:name="__RefHeading___Toc12020071_1280447820"/>
      <w:bookmarkStart w:id="179" w:name="_Toc67"/>
      <w:bookmarkEnd w:id="178"/>
      <w:r>
        <w:rPr>
          <w:rtl w:val="true"/>
        </w:rPr>
        <w:t>الرابع</w:t>
      </w:r>
      <w:r>
        <w:rPr>
          <w:rtl w:val="true"/>
        </w:rPr>
        <w:t xml:space="preserve">: </w:t>
      </w:r>
      <w:r>
        <w:rPr>
          <w:rtl w:val="true"/>
        </w:rPr>
        <w:t>مناسبة الحکم و الموضوع</w:t>
      </w:r>
      <w:bookmarkEnd w:id="179"/>
    </w:p>
    <w:p>
      <w:pPr>
        <w:pStyle w:val="BookText"/>
        <w:rPr/>
      </w:pPr>
      <w:r>
        <w:rPr>
          <w:rFonts w:ascii="IRNazanin" w:hAnsi="IRNazanin" w:eastAsia="IRNazanin"/>
          <w:color w:val="111111"/>
          <w:sz w:val="28"/>
          <w:sz w:val="28"/>
          <w:szCs w:val="28"/>
          <w:rtl w:val="true"/>
          <w:lang w:bidi="fa-IR"/>
        </w:rPr>
        <w:t>هی ملائمة عرفیّة أو عقلیّة واضحة بین الحکم و الموضوع یتضح بها خصوصیّة الموضوع الواقعی أو الحکم أو حیثیة أخری مربوطة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بالموضوع هنا، أعمّ ممّا یحمل علیه الحکم و یشمل الشرائط بل و حتّی الموانع و القواطع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الخوئی فی تحدید موضوع الحکم بجواز الإقتصار علی تسبیحة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أدنى ما يجزي المريض من التسبيح في الركوع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واحدة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لوضوح أنّ المريض المأخوذ في النص لا خصوصية فيه كي يكون ملحوظاً على وجه الصفتية و الموضوعية، فيسأل عن حكمه بما هو كذلك، و إن كان قادراً على الثلاث الصغريات، فان ذلك أظهر من أن يحتاج إلى السؤال سيّما من مثل معاوية بن عمار، بل مناسبة </w:t>
      </w:r>
      <w:bookmarkStart w:id="180" w:name="pg16646_227755"/>
    </w:p>
    <w:p>
      <w:pPr>
        <w:pStyle w:val="BookText"/>
        <w:rPr/>
      </w:pPr>
      <w:bookmarkEnd w:id="180"/>
      <w:r>
        <w:rPr>
          <w:rFonts w:ascii="Amiri" w:hAnsi="Amiri" w:eastAsia="Amiri" w:cs="Amiri"/>
          <w:color w:val="111111"/>
          <w:sz w:val="28"/>
          <w:sz w:val="28"/>
          <w:szCs w:val="28"/>
          <w:rtl w:val="true"/>
          <w:lang w:bidi="ar-SA"/>
        </w:rPr>
        <w:t>الحكم و الموضوع تقضي بأنّ ذكره من باب المثال، و أنّ موضوع السؤال مطلق من يشق عليه الثلاث إمّا لمرض أو لغيره من سائر الضرورات كما هو الحال في قوله تعالى فَمَنْ كٰانَ مِنْكُمْ مَرِيضاً أَوْ عَلىٰ سَفَرٍ فَعِدَّةٌ مِنْ أَيّٰامٍ أُخَرَ إذ لا يحتمل سقوط الصوم عن مطلق المريض و لو كان علاجه الإمساك طول النهار، أو فرض امتناعه عن استعمالالمفطرات خلال اليوم بطبعه صام أم لم يصم فكما أنّ المراد من المريض هناك بمناسبة الحكم و الموضوع من يشق عليه الصوم لا بما هو كذلك فكذا في المقام</w:t>
      </w:r>
      <w:r>
        <w:rPr>
          <w:rFonts w:eastAsia="Amiri" w:cs="Amiri" w:ascii="Amiri" w:hAnsi="Amiri"/>
          <w:color w:val="111111"/>
          <w:sz w:val="28"/>
          <w:szCs w:val="28"/>
          <w:rtl w:val="true"/>
          <w:lang w:bidi="ar-SA"/>
        </w:rPr>
        <w:t>.</w:t>
      </w:r>
      <w:r>
        <w:rPr>
          <w:rStyle w:val="FootnoteAnchor"/>
          <w:rtl w:val="true"/>
        </w:rPr>
        <w:footnoteReference w:id="87"/>
      </w:r>
    </w:p>
    <w:p>
      <w:pPr>
        <w:pStyle w:val="Heading2"/>
        <w:numPr>
          <w:ilvl w:val="1"/>
          <w:numId w:val="1"/>
        </w:numPr>
        <w:rPr/>
      </w:pPr>
      <w:bookmarkStart w:id="181" w:name="__RefHeading___Toc12020073_1280447820"/>
      <w:bookmarkStart w:id="182" w:name="_Toc68"/>
      <w:bookmarkEnd w:id="181"/>
      <w:r>
        <w:rPr>
          <w:rtl w:val="true"/>
        </w:rPr>
        <w:t>الخامس</w:t>
      </w:r>
      <w:r>
        <w:rPr>
          <w:rtl w:val="true"/>
        </w:rPr>
        <w:t xml:space="preserve">: </w:t>
      </w:r>
      <w:r>
        <w:rPr>
          <w:rtl w:val="true"/>
        </w:rPr>
        <w:t>مذاق الشرع</w:t>
      </w:r>
      <w:bookmarkEnd w:id="182"/>
    </w:p>
    <w:p>
      <w:pPr>
        <w:pStyle w:val="BookText"/>
        <w:rPr/>
      </w:pPr>
      <w:r>
        <w:rPr>
          <w:rFonts w:ascii="IRNazanin" w:hAnsi="IRNazanin" w:eastAsia="IRNazanin"/>
          <w:color w:val="111111"/>
          <w:sz w:val="28"/>
          <w:sz w:val="28"/>
          <w:szCs w:val="28"/>
          <w:rtl w:val="true"/>
          <w:lang w:bidi="fa-IR"/>
        </w:rPr>
        <w:t>المقصود بالمذاق هو المنهج الفکری أو السلیقة التی تعلم من مجموع أفکار الشخص و أحکامه العملیّة و مواقفه تجاه الوقائع المختلفة أو من مجموعة منها؛ بحیث قد نتمکّن أن نحدّد به موقف هذا الشخص و لو فی بعض الوقائع قبل أن یخبرنا به؛ فالمراد بمذاق الشرع أو ذوق الشرع منهج الشارع و مشربه و طریقته التی تستکشف من مجموع أحکامه و مبانیها و مواقفه أو مجموعة منها؛ بحیث یمکن لنا تحدید موقف الشارع المقدس تجاه ما لم یخبرنا بموقفه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الإمام الخمینی فی جواز نقل المصحف إلی الکافر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حفظ القرآن وسائر المقدّسات عن الوصول إليهم، خلاف مذاق الشارع الأقدس؛ من لزوم تبليغ الإسلام، وبسط أحكامه، ولزوم هداية الناس مع الإمكان بأيّة وسيلة ممكنة، واحتمال مسّ الكتاب أحياناً لا يزاحم تلك المصلحة الغالبة</w:t>
      </w:r>
      <w:r>
        <w:rPr>
          <w:rFonts w:eastAsia="Amiri" w:cs="Amiri" w:ascii="Amiri" w:hAnsi="Amiri"/>
          <w:color w:val="111111"/>
          <w:sz w:val="28"/>
          <w:szCs w:val="28"/>
          <w:rtl w:val="true"/>
          <w:lang w:bidi="ar-SA"/>
        </w:rPr>
        <w:t>.</w:t>
      </w:r>
      <w:r>
        <w:rPr>
          <w:rStyle w:val="FootnoteAnchor"/>
          <w:rtl w:val="true"/>
        </w:rPr>
        <w:footnoteReference w:id="88"/>
      </w:r>
      <w:bookmarkStart w:id="183" w:name="pg16646_227756"/>
    </w:p>
    <w:p>
      <w:pPr>
        <w:pStyle w:val="Heading2"/>
        <w:numPr>
          <w:ilvl w:val="1"/>
          <w:numId w:val="1"/>
        </w:numPr>
        <w:rPr/>
      </w:pPr>
      <w:bookmarkStart w:id="184" w:name="__RefHeading___Toc12020075_1280447820"/>
      <w:bookmarkStart w:id="185" w:name="_Toc69"/>
      <w:bookmarkEnd w:id="183"/>
      <w:bookmarkEnd w:id="184"/>
      <w:r>
        <w:rPr>
          <w:rtl w:val="true"/>
        </w:rPr>
        <w:t>السادس</w:t>
      </w:r>
      <w:r>
        <w:rPr>
          <w:rtl w:val="true"/>
        </w:rPr>
        <w:t xml:space="preserve">: </w:t>
      </w:r>
      <w:r>
        <w:rPr>
          <w:rtl w:val="true"/>
        </w:rPr>
        <w:t>مقاصد الشریعة</w:t>
      </w:r>
      <w:bookmarkEnd w:id="185"/>
    </w:p>
    <w:p>
      <w:pPr>
        <w:pStyle w:val="BookText"/>
        <w:rPr/>
      </w:pPr>
      <w:r>
        <w:rPr>
          <w:rFonts w:ascii="IRNazanin" w:hAnsi="IRNazanin" w:eastAsia="IRNazanin"/>
          <w:color w:val="111111"/>
          <w:sz w:val="28"/>
          <w:sz w:val="28"/>
          <w:szCs w:val="28"/>
          <w:rtl w:val="true"/>
          <w:lang w:bidi="fa-IR"/>
        </w:rPr>
        <w:t>هی الأمور التی یستهدفها الشارع من تشریع مجموع الشریعة بتمامها أو جلّها أو مجموعة من الأحکام المتعلقة بأبواب مختلفة أو مجموعة من الأحکام المتعلّقة ببابٍ واحد؛ سواء کانت تلک الأمور من الأهداف المتعلّقة بالمجتمع الإنسانی أم الإسلامی أم أفراد الأمّة أم الأعمّ من الأفراد و المجتمع و سواءٌ کانت متعلقة بأمور معاشهم أم معادهم أم أخلاقهم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ذکره السید الصدر فی مقام تشخیص وظائف الحاکم فی منطقة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إحدی موارد الحاجة إلی مقاصد الشریعة هو الإستناد إلیها کشواخص و إتجاهات کلیة لتحدید وظائف أو صلاحیات الحاکم فی منطقة الفراغ حیث إنّ المقاصد من العناصر الثابتة للشریعة و من خلالها یستطیع الحاکم التعامل مع العناصر المتغیّرة فی منطقة الفراغ بما یقتضیه الزمان و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قوله تعالی فی محکم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 وَمَا آتَاكُمُ الرَّسُولُ فَخُذُوهُ وَمَا نَهَاكُمْ عَنْهُ فَانْتَهُوا ۚ وَاتَّقُوا اللَّهَ ۖ إِنَّ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فی أنّ من الأهداف السامیة للتشریع الإسلامی إیجاد التوازن من الجهة الإقتصادیّة و تقسیم المال بما یلبی الإحتیاجات المشروعة للمجتمع و کذلک منع تکدس الأموال بید عدة معدودة من أفراده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هذا الأساس فالحکومة الإسلامیّة بإمکانها تسنین القوانین و إعمالها فی منطقة الفراغ لتثبیت التوازن الإجتماعی من ناحیة توزیع </w:t>
      </w:r>
    </w:p>
    <w:p>
      <w:pPr>
        <w:pStyle w:val="BookText"/>
        <w:rPr/>
      </w:pPr>
      <w:r>
        <w:rPr>
          <w:rFonts w:ascii="IRNazanin" w:hAnsi="IRNazanin" w:eastAsia="IRNazanin"/>
          <w:color w:val="111111"/>
          <w:sz w:val="28"/>
          <w:sz w:val="28"/>
          <w:szCs w:val="28"/>
          <w:rtl w:val="true"/>
          <w:lang w:bidi="fa-IR"/>
        </w:rPr>
        <w:t>الثروة و منع تکدس الأموال بید جماعة خاصة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هذا، و الکلام فی حجیّة هذه الأسباب و وجهها، موکول إلی محلّه فی الکتب الأصولیّة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بقیّة الکلام فی ما یتعلّق بالتّنافی بین الدّلیلین، تأتی فی المقدّمة الآتیة إن شاء الله تعالی</w:t>
      </w:r>
      <w:r>
        <w:rPr>
          <w:rFonts w:eastAsia="IRNazanin" w:cs="IRNazanin"/>
          <w:color w:val="111111"/>
          <w:sz w:val="28"/>
          <w:szCs w:val="28"/>
          <w:rtl w:val="true"/>
          <w:lang w:bidi="fa-IR"/>
        </w:rPr>
        <w:t xml:space="preserve">. </w:t>
      </w:r>
      <w:bookmarkStart w:id="186" w:name="pg16646_22775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7" w:name="__RefHeading___Toc12020077_1280447820"/>
      <w:bookmarkStart w:id="188" w:name="_Toc70"/>
      <w:bookmarkEnd w:id="186"/>
      <w:bookmarkEnd w:id="187"/>
      <w:r>
        <w:rPr>
          <w:rtl w:val="true"/>
        </w:rPr>
        <w:t>المقدّمة الثالثة فی تنافی الدّلیلین</w:t>
      </w:r>
      <w:bookmarkEnd w:id="1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قبل الخوض فی المسألة، ینبغی أن یعلم عدم التعارض فی القطعیین و لا فی الظنّیین الفعلیّین؛ لأنّ القطع بالمتنافیین أو بأحدهما مع الظنّ بالآخر أو إجتماع الظنّین بالمتنافیین،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وجه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الأدلّة القطعيّة؛ لأنّ حجّيّتها إنّما هي من حيث صفة القطع، و القطع بالمتنافيين أو بأحدهما مع الظنّ بالآخر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التعارض بين دليلين يكون حجّيّتهما باعتبار صفة الظنّ الفعليّ؛ لأنّ اجتماع الظنّين بالمتنافيين محال، فإذا تعارض سببان للظنّ الفعليّ، فإن بقي الظنّ في أحدهما فهو المعتبر، و إلّا 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التعارض لا يكون إلّا في الظنّين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يريدون به الدليلين المعتبرين من حيث إفادة نوعهما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أطلقوا القول في ذلك؛ لأنّ أغلب الأمارات بل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جلّ العلماء، بل ما عدا جمع ممّن قارب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من هذه الحيثيّة، لا لإفادة الظنّ الفعليّ بحيث يناط الاعتبار به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في القطعيّات غير موجود؛ إذ ليس هنا ما يكون اعتباره من باب إفادة نوعه القطع؛ لأنّ هذا يحتاج إلى جعل الشارع، فيدخل </w:t>
      </w:r>
      <w:bookmarkStart w:id="189" w:name="pg16646_227761"/>
    </w:p>
    <w:p>
      <w:pPr>
        <w:pStyle w:val="BookText"/>
        <w:rPr/>
      </w:pPr>
      <w:bookmarkEnd w:id="189"/>
      <w:r>
        <w:rPr>
          <w:rFonts w:ascii="Amiri" w:hAnsi="Amiri" w:eastAsia="Amiri" w:cs="Amiri"/>
          <w:color w:val="111111"/>
          <w:sz w:val="28"/>
          <w:sz w:val="28"/>
          <w:szCs w:val="28"/>
          <w:rtl w:val="true"/>
          <w:lang w:bidi="ar-SA"/>
        </w:rPr>
        <w:t>حينئذ في الأدلّة الغير القطعيّة؛ لأنّ الاعتبار في الأدلّة القطعيّة من حيث صفة القطع، و هي في المقام منتفية، فيدخل في الأدلّة الغير القطعيّة</w:t>
      </w:r>
      <w:r>
        <w:rPr>
          <w:rFonts w:eastAsia="Amiri" w:cs="Amiri" w:ascii="Amiri" w:hAnsi="Amiri"/>
          <w:color w:val="111111"/>
          <w:sz w:val="28"/>
          <w:szCs w:val="28"/>
          <w:rtl w:val="true"/>
          <w:lang w:bidi="ar-SA"/>
        </w:rPr>
        <w:t>.</w:t>
      </w:r>
      <w:r>
        <w:rPr>
          <w:rStyle w:val="FootnoteAnchor"/>
          <w:rtl w:val="true"/>
        </w:rPr>
        <w:footnoteReference w:id="90"/>
      </w:r>
    </w:p>
    <w:p>
      <w:pPr>
        <w:pStyle w:val="Heading2"/>
        <w:numPr>
          <w:ilvl w:val="1"/>
          <w:numId w:val="1"/>
        </w:numPr>
        <w:rPr/>
      </w:pPr>
      <w:bookmarkStart w:id="190" w:name="__RefHeading___Toc12020079_1280447820"/>
      <w:bookmarkStart w:id="191" w:name="_Toc71"/>
      <w:bookmarkEnd w:id="190"/>
      <w:r>
        <w:rPr>
          <w:rtl w:val="true"/>
        </w:rPr>
        <w:t>الکلام فی أقسام التنافی بین الدّلیلین</w:t>
      </w:r>
      <w:bookmarkEnd w:id="191"/>
    </w:p>
    <w:p>
      <w:pPr>
        <w:pStyle w:val="BookText"/>
        <w:rPr/>
      </w:pPr>
      <w:r>
        <w:rPr>
          <w:rFonts w:ascii="IRNazanin" w:hAnsi="IRNazanin" w:eastAsia="IRNazanin"/>
          <w:color w:val="111111"/>
          <w:sz w:val="28"/>
          <w:sz w:val="28"/>
          <w:szCs w:val="28"/>
          <w:rtl w:val="true"/>
          <w:lang w:bidi="fa-IR"/>
        </w:rPr>
        <w:t>هناک ثلاثة صور للتّنافی بین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التّنافی بین الدّلیلین الإجتهادیین، کالروایات المانعة و المجوّزة لبیع المیتة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وَبِإِسْنَادِهِ عَنْ حَمَّادِ بْنِ عَمْرٍو وَأَنَسِ بْنِ مُحَمَّدٍ عَنْ أَبِيهِ جَمِيعاً 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السُّحْتِ ثَمَنُ الْمَيْتَةِ وَثَمَنُ الْكَلْبِ وَثَمَنُ الْخَمْرِ وَمَهْرُ الزَّانِيَةِ وَالرِّشْوَةُ فِي الْحُكْمِ وَأَجْرُ الْكَاهِنِ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وَبِإِسْنَادِهِ عَنْ مُحَمَّدِ بْنِ الْحَسَنِ الصَّفَّارِ عَنْ مُحَمَّدِ بْنِ عِيسَى بْنِ عُبَيْدٍ عَنْ أَبِي الْقَاسِمِ الصَّيْقَلِ وَوَلَدِهِ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إِلَى الرَّجُلِ عليه السلام جَعَلَنَا اللّٰهُ فِدَاكَ إِنّا قَوْمٌ نَعْمَلُ السُّيُوفَ لَيْسَتْ لَنَا مَعِيشَةٌ وَلَا تِجَارَةٌ غَيْرُهَا وَنَحْنُ مُضْطَرُّونَ إِلَيْهَا وَإِنَّمَا عِلَاجُنَا جُلُودُ الْمَيْتَةِ وَالْبِغَالِ وَالْحَمِيرِ الْأَهْلِيَّةِ لَايَجُوزُ فِي أَعْمَالِنَا غَيْرُهَا فَيَحِلُّ لَنَا عَمَلُهَا وَشِرَاؤُهَا وَبَيْعُهَا وَمَسُّهَا بِأَيْدِينَا وَثِيَابِنَا وَنَحْنُ نُصَلِّي فِي ثِيَابِنَا وَنَحْنُ مُحْتَاجُونَ إِلَى جَوَابِكَ فِي هَذِهِ الْمَسْأَلَةِ يَا سَيِّدَنَا لِضَرُورَتِنَا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ثَوْباً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وَقَوَائِمُ السُّيُوفِ الَّتِي تُسَمَّى السَّفَنَ نَتَّخِذُهَا مِنْ جُلُودِ السَّمَكِ فَهَلْ يَجُوزُ لِيَ الْعَمَلُ بِهَا وَلَسْنَا نَأْكُلُ لُحُومَهَا؟ </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والحکم هنا الترجیح ثمّ التخییر، لا التساقط؛ کما قال به بعض الأساطین کالمحقّق الإیروانی</w:t>
      </w:r>
      <w:r>
        <w:rPr>
          <w:rStyle w:val="FootnoteAnchor"/>
          <w:rtl w:val="true"/>
        </w:rPr>
        <w:footnoteReference w:id="93"/>
      </w:r>
      <w:r>
        <w:rPr>
          <w:rFonts w:ascii="IRNazanin" w:hAnsi="IRNazanin" w:eastAsia="IRNazanin"/>
          <w:color w:val="111111"/>
          <w:sz w:val="28"/>
          <w:sz w:val="28"/>
          <w:szCs w:val="28"/>
          <w:rtl w:val="true"/>
          <w:lang w:bidi="fa-IR"/>
        </w:rPr>
        <w:t>و المحقّق الخراسانی</w:t>
      </w:r>
      <w:r>
        <w:rPr>
          <w:rStyle w:val="FootnoteAnchor"/>
          <w:rtl w:val="true"/>
        </w:rPr>
        <w:footnoteReference w:id="94"/>
      </w:r>
      <w:r>
        <w:rPr>
          <w:rFonts w:ascii="IRNazanin" w:hAnsi="IRNazanin" w:eastAsia="IRNazanin"/>
          <w:color w:val="111111"/>
          <w:sz w:val="28"/>
          <w:sz w:val="28"/>
          <w:szCs w:val="28"/>
          <w:rtl w:val="true"/>
          <w:lang w:bidi="fa-IR"/>
        </w:rPr>
        <w:t>و المحقّق المظفر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الأنصاری فی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امتثال التکلیف بالعمل بکلّ منهما کسائر التکالیف الشرعیّة و العرفیّة مشروطاً بالقدرة، و المفروض أنّ کلّاً منهما مقدورٌ فی حال ترک الآخر و غیر مقدور مع إیجاد الآخر، فکلّ منهما مع ترک الآخر مقدورٌ یحرم ترکه و یتعیّن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إیجاد الآخر یجوز ترکه و لا یعاقب علیه، فوجوب الأخذ بأحدهما نتیجة أدلّة وجوب الإمتثال و العمل بکلّ منهما، بعد تقیید وجوب الإمتثال بالقدرة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التنافی بین الدّلیل الإجتهادی و الأصل العملیّ؛ کالتنافی بین الإستصحاب الّذی مقتضاه وجوب الجمعة فی عصر الغیبة و الروایة الظاهرة فی حرمتها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الْحُكْمُ وَ لَا الْحُدُودُ وَ لَا الْجُمُعَةُ إِلَّا بِإِمَامٍ</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التنافی بین البرائة 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إضرار علی المومن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فی شرب التتن؛ فمقتضی الأوّل، حلّیته و مقتضی الأخری، حرمته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هنا، تقدیم الدّلیل الأجتهادی علی نحو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وجه </w:t>
      </w:r>
      <w:bookmarkStart w:id="192" w:name="pg16646_227763"/>
    </w:p>
    <w:p>
      <w:pPr>
        <w:pStyle w:val="BookText"/>
        <w:rPr/>
      </w:pPr>
      <w:bookmarkEnd w:id="192"/>
      <w:r>
        <w:rPr>
          <w:rFonts w:ascii="IRNazanin" w:hAnsi="IRNazanin" w:eastAsia="IRNazanin"/>
          <w:color w:val="111111"/>
          <w:sz w:val="28"/>
          <w:sz w:val="28"/>
          <w:szCs w:val="28"/>
          <w:rtl w:val="true"/>
          <w:lang w:bidi="fa-IR"/>
        </w:rPr>
        <w:t>تقدیم الدّلیل علی الأصل، فی 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التنافی بین الدّلیلین الفقاهیین؛ و لابدّ من التکلّم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التنافی بین الإستصحاب و سائر الأصول العملیّة؛ و له ثلاثة صور</w:t>
      </w:r>
      <w:r>
        <w:rPr>
          <w:rFonts w:eastAsia="IRNazanin" w:cs="IRNazanin"/>
          <w:color w:val="111111"/>
          <w:sz w:val="28"/>
          <w:szCs w:val="28"/>
          <w:rtl w:val="true"/>
          <w:lang w:bidi="fa-IR"/>
        </w:rPr>
        <w:t>:</w:t>
      </w:r>
    </w:p>
    <w:p>
      <w:pPr>
        <w:pStyle w:val="Heading2"/>
        <w:numPr>
          <w:ilvl w:val="1"/>
          <w:numId w:val="1"/>
        </w:numPr>
        <w:rPr/>
      </w:pPr>
      <w:bookmarkStart w:id="193" w:name="__RefHeading___Toc12020081_1280447820"/>
      <w:bookmarkStart w:id="194" w:name="_Toc72"/>
      <w:bookmarkEnd w:id="193"/>
      <w:r>
        <w:rPr>
          <w:rtl w:val="true"/>
        </w:rPr>
        <w:t>الصورة الأولی</w:t>
      </w:r>
      <w:r>
        <w:rPr>
          <w:rtl w:val="true"/>
        </w:rPr>
        <w:t xml:space="preserve">: </w:t>
      </w:r>
      <w:r>
        <w:rPr>
          <w:rtl w:val="true"/>
        </w:rPr>
        <w:t>التنافی بین الإستصحاب و البرائة</w:t>
      </w:r>
      <w:r>
        <w:rPr>
          <w:rtl w:val="true"/>
        </w:rPr>
        <w:t>.</w:t>
      </w:r>
      <w:bookmarkEnd w:id="194"/>
    </w:p>
    <w:p>
      <w:pPr>
        <w:pStyle w:val="BookText"/>
        <w:rPr/>
      </w:pPr>
      <w:r>
        <w:rPr>
          <w:rFonts w:ascii="IRNazanin" w:hAnsi="IRNazanin" w:eastAsia="IRNazanin"/>
          <w:color w:val="111111"/>
          <w:sz w:val="28"/>
          <w:sz w:val="28"/>
          <w:szCs w:val="28"/>
          <w:rtl w:val="true"/>
          <w:lang w:bidi="fa-IR"/>
        </w:rPr>
        <w:t>و الحکم هنا، حکومة دلیل الإستصحاب علی البرائة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دلیل الإستصحاب بمنزلة معمّم للنهی السابق بالنسبة إلی الزمان اللاحق،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النهی الوارد لابدّ من إبقائه و فرض عمومه للزمان اللاحق و فرض الشیء فی الزمان اللاحق ممّا ورد فیه النهی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فمجموع الرّوایة المذکورة و دلیل الإستصحاب بمنزلة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 و کلّ نهی ورد فی شیءٍ فلا بدّ من تعمیمه لجمیع أزمنة إحتماله، فیکون الرّخصة فی الشیء و إطلاقه مغیّاً بورود النهی، و المحکوم علیه بالدّوام و عموم الأزمان، فکان مفاد الإستصحاب نفی ما یقتضیه الأصل الآخر فی مورد الشکّ لو لا النهی، و هذا معنی الحکومة</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195" w:name="__RefHeading___Toc12020083_1280447820"/>
      <w:bookmarkStart w:id="196" w:name="_Toc73"/>
      <w:bookmarkEnd w:id="195"/>
      <w:r>
        <w:rPr>
          <w:rtl w:val="true"/>
        </w:rPr>
        <w:t>الصورة الثانیة</w:t>
      </w:r>
      <w:r>
        <w:rPr>
          <w:rtl w:val="true"/>
        </w:rPr>
        <w:t xml:space="preserve">: </w:t>
      </w:r>
      <w:r>
        <w:rPr>
          <w:rtl w:val="true"/>
        </w:rPr>
        <w:t>التنافی بین الإستصحاب و الإحتیاط</w:t>
      </w:r>
      <w:r>
        <w:rPr>
          <w:rtl w:val="true"/>
        </w:rPr>
        <w:t>.</w:t>
      </w:r>
      <w:bookmarkEnd w:id="196"/>
    </w:p>
    <w:p>
      <w:pPr>
        <w:pStyle w:val="BookText"/>
        <w:rPr/>
      </w:pPr>
      <w:r>
        <w:rPr>
          <w:rFonts w:ascii="IRNazanin" w:hAnsi="IRNazanin" w:eastAsia="IRNazanin"/>
          <w:color w:val="111111"/>
          <w:sz w:val="28"/>
          <w:sz w:val="28"/>
          <w:szCs w:val="28"/>
          <w:rtl w:val="true"/>
          <w:lang w:bidi="fa-IR"/>
        </w:rPr>
        <w:t>و الحکم هنا، ورود الإستصحاب علی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وجه ذلک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التأمّل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ورود الإستصحاب علیها؛ لأنّ المأخوذ فی </w:t>
      </w:r>
      <w:bookmarkStart w:id="197" w:name="pg16646_227764"/>
    </w:p>
    <w:p>
      <w:pPr>
        <w:pStyle w:val="BookText"/>
        <w:rPr/>
      </w:pPr>
      <w:bookmarkEnd w:id="197"/>
      <w:r>
        <w:rPr>
          <w:rFonts w:ascii="IRNazanin" w:hAnsi="IRNazanin" w:eastAsia="IRNazanin"/>
          <w:color w:val="111111"/>
          <w:sz w:val="28"/>
          <w:sz w:val="28"/>
          <w:szCs w:val="28"/>
          <w:rtl w:val="true"/>
          <w:lang w:bidi="fa-IR"/>
        </w:rPr>
        <w:t>موردها بحکم العقل الشکّ فی برائة الذمّة بدون الإحتیاط، فإذا قطع بها بحکم الإستصحاب فلا مورد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أجرینا استصحاب وجوب التمام أو القصر فی بعض الموارد التی یقتضی الإحتیاط الجمع فیها بین القصر و التمام، فإنّ استصحاب وجوب أحدهما و عدم وجوب الآخر مبریءٌ قطعیٌّ لذمّة المکلّف عند الإقتصار علی مستصحب الوجوب</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198" w:name="__RefHeading___Toc12020085_1280447820"/>
      <w:bookmarkStart w:id="199" w:name="_Toc74"/>
      <w:bookmarkEnd w:id="198"/>
      <w:r>
        <w:rPr>
          <w:rtl w:val="true"/>
        </w:rPr>
        <w:t>الصورة الثالثة</w:t>
      </w:r>
      <w:r>
        <w:rPr>
          <w:rtl w:val="true"/>
        </w:rPr>
        <w:t xml:space="preserve">: </w:t>
      </w:r>
      <w:r>
        <w:rPr>
          <w:rtl w:val="true"/>
        </w:rPr>
        <w:t>التنافی بین الإستصحاب و التخییر</w:t>
      </w:r>
      <w:r>
        <w:rPr>
          <w:rtl w:val="true"/>
        </w:rPr>
        <w:t>.</w:t>
      </w:r>
      <w:bookmarkEnd w:id="199"/>
    </w:p>
    <w:p>
      <w:pPr>
        <w:pStyle w:val="BookText"/>
        <w:rPr/>
      </w:pPr>
      <w:r>
        <w:rPr>
          <w:rFonts w:ascii="IRNazanin" w:hAnsi="IRNazanin" w:eastAsia="IRNazanin"/>
          <w:color w:val="111111"/>
          <w:sz w:val="28"/>
          <w:sz w:val="28"/>
          <w:szCs w:val="28"/>
          <w:rtl w:val="true"/>
          <w:lang w:bidi="fa-IR"/>
        </w:rPr>
        <w:t>و الحکم هنا، ورود الإستصحاب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وجه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ورود الإستصحاب علیه؛ إذ لا یبقی معه التحیّر الموجب للتخییر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بالتخییر بین الصوم و الإفطار فی الیوم المحتمل کونه من شوّال مع استصحاب عدم الهلال، و لذا فرّع الإمام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للرویة و أفطر للرویة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التنافی بین الإستصحابین؛ و له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أحدهما مسبّباً عن الشکّ فی الآخر؛ کاستصحاب</w:t>
      </w:r>
    </w:p>
    <w:p>
      <w:pPr>
        <w:pStyle w:val="BookText"/>
        <w:rPr/>
      </w:pPr>
      <w:r>
        <w:rPr>
          <w:rFonts w:ascii="IRNazanin" w:hAnsi="IRNazanin" w:eastAsia="IRNazanin"/>
          <w:color w:val="111111"/>
          <w:sz w:val="28"/>
          <w:sz w:val="28"/>
          <w:szCs w:val="28"/>
          <w:rtl w:val="true"/>
          <w:lang w:bidi="fa-IR"/>
        </w:rPr>
        <w:t>طهارة الماء المغسول به ثوبٌ نجسٌ، فإنّ الشکّ فی بقاء نجاسة الثوب و ارتفاعها مسبّبٌ عن الشکّ فی بقاء طهارة الماء و ارتفاعها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تقدیم الشکّ السببیّ و إجراء الإستصحاب فیه، و رفع الید عن الحالة السابقة للمستصحب الآخر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الأنصاری فی وجه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دلالته علی جریان الإستصحاب فی الشکّ السببیّ، مانعٌ عن قابلیّة شموله لجریان الإستصحاب فیالشکّ المسببیّ،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نقض الیقین بهیصیر نقضاً بالدلیل لا بالشکّ، فلا یشمله النهی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من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للشکّ المسببیّ نقض الیقین فی مورد الشکّ السببیّ لا لدلیل شرعیّ یدلّ علی ارتفاع الحالة السابقة فیه، فیلزم من إهمال الإستصحاب فی الشکّ السببیّ طرح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مخصّصٍ، 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من إهماله فی الشکّ المسببیّ عدم قابلیّة العموم لشمول المورد، و هو غیر منکر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کلیهما مسبّباً عن أمرٍ ثالثٍ؛ فمورده ما إذا علم ارتفاع أحد الحادثین لا بعینه و شکّ فی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بالإستصحابین مستلزمٌ لمخالفة قطعیّة عملیّة لذلک العلم الإجمالی؛ کما لو علم إجمالاً بنجاسة أحد الطاهرین؛ فالعلم الإجمالیّ یوجب الشکّ فی هذین الإنائین؛ فالعمل باستصحاب الطهارة فی کلیهما، مخالفة قطعیّة عملیّة 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تساقط کلا الإستصحابین و الرّجوع إلی القواعد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وجه 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العلم الإجماليّ هنا بانتقاض أحد اليقينين يوجب خروجهما عن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و لكن تنقضه بيقين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حرمة النقض بالشكّ و وجوب النقض باليقين، فإذا فرض اليقين بارتفاع الحالة السابقة في أحد المستصحبين، فلا يجوز إبقاء كلّ منهما تحت عموم حرمة النقض بالشكّ؛ لأنّه مستلزم لطرح </w:t>
      </w:r>
    </w:p>
    <w:p>
      <w:pPr>
        <w:pStyle w:val="BookText"/>
        <w:rPr/>
      </w:pPr>
      <w:r>
        <w:rPr>
          <w:rFonts w:ascii="Amiri" w:hAnsi="Amiri" w:eastAsia="Amiri" w:cs="Amiri"/>
          <w:color w:val="111111"/>
          <w:sz w:val="28"/>
          <w:sz w:val="28"/>
          <w:szCs w:val="28"/>
          <w:rtl w:val="true"/>
          <w:lang w:bidi="ar-SA"/>
        </w:rPr>
        <w:t>الحكم بنقض اليقين بمثله، و لا إبقاء أحدهما المعيّن؛ لاشتراك الآخر معه في مناط الدخول من غير مرجّح، و أمّا أحدهما المخيّر فليس من أفراد العامّ؛ إذ ليس فردا ثالثا غير الفردين المتشخّصين فيالخارج، فإذا خرجا لم يبق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نظير ذلك في الشبهة المحصورة ، و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شيئا من المشتبهين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بإستصحابین، لا یکون مستلزماً للمخالفة القطعیّة العملیّة للعلم الإجمالی؛ و لکن قام دلیلٌ من الخارج علی عدم جواز الجمع بین الإستصحابین؛ کما فی الماء النجس المتمّم کرّاً بماء طاهر؛ حیث قام الإجماع علی اتّحاد حکم الماءین؛ فلا یجوز الحکم بطهارة بعض الماء و نجاسة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فالإجماع مانعٌ عنجریان الإستصحابین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تساقط کلا الإستصحابین والرّجوع إلی القواعد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بإستصحابین لا یکون مستلزماً للمخالفة القطعیّة العملیّة للعلم الإجمالیّ؛ و لیس هناک دلیل خارجیّ علی عدم جواز الجمع بین الإستصحابین؛ و لکن یترتّب أثرٌ شرعیّ علی کلّ من المستصحبین فی الزمان اللاحق؛ کما فی استصحاب بقاء الحدث و طهارة البدن فی من توضّأ غافلاً بمائعٍ مردّدٍ بین الماء و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جریان الإستصحابین و حمل الآثار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توضیح هذا المثال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یحکم ببقاء الحدث و طهارة الأعضاء استصحاباً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العلم الإجمالی بزوال أحدهما مانعاً من ذلک؛ إذ الواحد المردّد بین الحدث و طهارة الید لا یترتّب علیه حکم شرعیّ حتی یکون ترتیبه </w:t>
      </w:r>
    </w:p>
    <w:p>
      <w:pPr>
        <w:pStyle w:val="BookText"/>
        <w:rPr/>
      </w:pPr>
      <w:r>
        <w:rPr>
          <w:rFonts w:ascii="IRNazanin" w:hAnsi="IRNazanin" w:eastAsia="IRNazanin"/>
          <w:color w:val="111111"/>
          <w:sz w:val="28"/>
          <w:sz w:val="28"/>
          <w:szCs w:val="28"/>
          <w:rtl w:val="true"/>
          <w:lang w:bidi="fa-IR"/>
        </w:rPr>
        <w:t>مانعاً عن العمل بالاستصحابین، ولا یلزم من الحکم بوجوب الوضوء و عدم غسل الأعضاء مخالفة عملیّة لحکم شرعیّ أیضاً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بإستصحابین لا یکون مستلزماً للمخالفة القطعیّة العملیّة للعلم الإجمالیّ؛ و لیس هناک دلیل خارجیّ علی عدم جواز الجمع بین الإستصحابین؛ و لکن یترتّب أثرٌ شرعیّ علی أحد المستصحبین فی الزمان اللاحق دون الآخر؛ کما فی دعوی الموکّل التوکیل فی شراء العبد و دعوی الوکیل التوکیل فی شراء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جریان أحد الإستصحابین المترتّب علیه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توضیح ذلک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الرابعة، و هی ما یعمل فیه بأحد الإستصحابین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کان أحد المستصحبین المعلوم ارتفاع أحدهما ممّا یکون مورداً لابتلاء المکلّف دون الآخر، بحیث لا یتوجّه علی المکلّف تکلیف منجّز یترتّب أثر 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هذا خارج عن تعارض الإستصحابین؛ إذ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الیقین الذی لا یترتّب علیه فی حق المکلّف أثر شرعیّ بحیث لا تعلّق له به أصلاً، کما إذا علم إجمالاً بطروء الجنابة علیه أو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تداعیا فی کون النکاح دائماً أو منقطعاً، فإنّ الأصل عدم النکاح الدائم من حیث إنّه سببٌ للإرث و وجوب النفقة و القسْم</w:t>
      </w:r>
      <w:r>
        <w:rPr>
          <w:rFonts w:eastAsia="IRNazanin" w:cs="IRNazanin"/>
          <w:color w:val="111111"/>
          <w:sz w:val="28"/>
          <w:szCs w:val="28"/>
          <w:rtl w:val="true"/>
          <w:lang w:bidi="fa-IR"/>
        </w:rPr>
        <w:t>.</w:t>
      </w:r>
      <w:r>
        <w:rPr>
          <w:rStyle w:val="FootnoteAnchor"/>
          <w:rtl w:val="true"/>
        </w:rPr>
        <w:footnoteReference w:id="105"/>
      </w:r>
      <w:bookmarkStart w:id="200" w:name="pg16646_2277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1" w:name="__RefHeading___Toc12020087_1280447820"/>
      <w:bookmarkStart w:id="202" w:name="_Toc75"/>
      <w:bookmarkEnd w:id="200"/>
      <w:bookmarkEnd w:id="201"/>
      <w:r>
        <w:rPr>
          <w:rtl w:val="true"/>
        </w:rPr>
        <w:t>ذی المقدّمة فی طریق الإستنباط</w:t>
      </w:r>
      <w:bookmarkEnd w:id="20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6646_227770"/>
      <w:bookmarkStart w:id="204" w:name="pg16646_227770"/>
      <w:bookmarkEnd w:id="204"/>
    </w:p>
    <w:p>
      <w:pPr>
        <w:pStyle w:val="BookText"/>
        <w:rPr/>
      </w:pPr>
      <w:bookmarkStart w:id="205" w:name="pg16646_227770"/>
      <w:bookmarkEnd w:id="205"/>
      <w:r>
        <w:rPr>
          <w:rFonts w:ascii="IRNazanin" w:hAnsi="IRNazanin" w:eastAsia="IRNazanin"/>
          <w:color w:val="111111"/>
          <w:sz w:val="28"/>
          <w:sz w:val="28"/>
          <w:szCs w:val="28"/>
          <w:rtl w:val="true"/>
          <w:lang w:bidi="fa-IR"/>
        </w:rPr>
        <w:t>ومن الممکن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الرابعةو بعد الفراغ عن ذکر المقدّمات الثّلاثة، نذکر المراحل الّتی یجب إکمالها علی الفقیه فی مقام استنباط الأحکام الشرعیّة الأعمّ من التکلیفیّة و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مستعیناً بالله تعالی</w:t>
      </w:r>
      <w:r>
        <w:rPr>
          <w:rFonts w:eastAsia="IRNazanin" w:cs="IRNazanin"/>
          <w:color w:val="111111"/>
          <w:sz w:val="28"/>
          <w:szCs w:val="28"/>
          <w:rtl w:val="true"/>
          <w:lang w:bidi="fa-IR"/>
        </w:rPr>
        <w:t>:</w:t>
      </w:r>
    </w:p>
    <w:p>
      <w:pPr>
        <w:pStyle w:val="Heading2"/>
        <w:numPr>
          <w:ilvl w:val="1"/>
          <w:numId w:val="1"/>
        </w:numPr>
        <w:rPr/>
      </w:pPr>
      <w:bookmarkStart w:id="206" w:name="__RefHeading___Toc12020089_1280447820"/>
      <w:bookmarkStart w:id="207" w:name="_Toc76"/>
      <w:bookmarkEnd w:id="206"/>
      <w:r>
        <w:rPr>
          <w:rtl w:val="true"/>
        </w:rPr>
        <w:t>المرحلة الأولی</w:t>
      </w:r>
      <w:r>
        <w:rPr>
          <w:rtl w:val="true"/>
        </w:rPr>
        <w:t xml:space="preserve">: </w:t>
      </w:r>
      <w:r>
        <w:rPr>
          <w:rtl w:val="true"/>
        </w:rPr>
        <w:t>معرفة الموضوع</w:t>
      </w:r>
      <w:bookmarkEnd w:id="207"/>
    </w:p>
    <w:p>
      <w:pPr>
        <w:pStyle w:val="BookText"/>
        <w:rPr/>
      </w:pPr>
      <w:r>
        <w:rPr>
          <w:rFonts w:ascii="IRNazanin" w:hAnsi="IRNazanin" w:eastAsia="IRNazanin"/>
          <w:color w:val="111111"/>
          <w:sz w:val="28"/>
          <w:sz w:val="28"/>
          <w:szCs w:val="28"/>
          <w:rtl w:val="true"/>
          <w:lang w:bidi="fa-IR"/>
        </w:rPr>
        <w:t>الأحکام الشرعیّة تدور مدار صدق الموضوع الّذی یتعلّق به الحکم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الموضوع، بقی الحکم،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اشتهر أنّ نسبة الموضوع إلی الحکم، کنسبة العلّة إلی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فعلیّة الحکم إنّما یکون بوجود موضوعه، کما أوضحناه فی محلّه، فنسبة الموضوع إلی الحکم نسبة العلّة إلی المعلول، و لا یعقل تقدّم الحکم علی موضوعه، و إلّا یلزم عدم موضوعیّة ما فرض کونه موضوعاً، و ذلک واضح</w:t>
      </w:r>
      <w:r>
        <w:rPr>
          <w:rFonts w:eastAsia="IRNazanin" w:cs="IRNazanin"/>
          <w:color w:val="111111"/>
          <w:sz w:val="28"/>
          <w:szCs w:val="28"/>
          <w:rtl w:val="true"/>
          <w:lang w:bidi="fa-IR"/>
        </w:rPr>
        <w:t>.</w:t>
      </w:r>
      <w:r>
        <w:rPr>
          <w:rStyle w:val="FootnoteAnchor"/>
          <w:rtl w:val="true"/>
        </w:rPr>
        <w:footnoteReference w:id="10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إذا قام دلیلٌ علی أنّ حدوث العنوان، علّة تامّة للحکم؛ فحینئذٍ لا یتوقّف بقاء الحکم علی بقاء الموضوع؛ لأنّ حدوث عنوان الموضوع، کافٍ فی </w:t>
      </w:r>
      <w:bookmarkStart w:id="208" w:name="pg16646_227771"/>
    </w:p>
    <w:p>
      <w:pPr>
        <w:pStyle w:val="BookText"/>
        <w:rPr/>
      </w:pPr>
      <w:bookmarkEnd w:id="208"/>
      <w:r>
        <w:rPr>
          <w:rFonts w:ascii="IRNazanin" w:hAnsi="IRNazanin" w:eastAsia="IRNazanin"/>
          <w:color w:val="111111"/>
          <w:sz w:val="28"/>
          <w:sz w:val="28"/>
          <w:szCs w:val="28"/>
          <w:rtl w:val="true"/>
          <w:lang w:bidi="fa-IR"/>
        </w:rPr>
        <w:t>تعلّق الحکم به؛ کمسألة المشتق المبحوث عنها فی علم الأصول؛ کما فی امرأة مات زوجها و لم یغسل، فهل یمکن لها غسل الزوج بعد عدّة الوفات و التزویج أم لا؟ یحکم القائل بالأعمّ فی مسألة المشتق، بجواز الغسل، لأنّها کان زوجة؛ فالعنوان مرتفعٌ بالتزویج الثانی و لکنّ الحکم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هناک، إختیار القول بالأعمّ فی مسألة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الحلّية و الحرمة في هذه التراكيب كسائر الأحكام المتعلّقة بموضوعاتها تدور مدار صدق ذلك العنوان الذي تعلّق به الحكم على وجه لو زال العنوان زال الحكم، إلّا أن يعلم من دليل خارج عن نفس القضيّة الحمليّة ثبوت الحكم بعد زوال العنوان أيضا، فيكشف ذلك الدليل عن كون العلّة التامّة للحكم هو حدوث العنوان في أحد الأوقات</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الأصلیّ من تدوین بعض مسائل علم الأصول کمسألة المشتق و العرف و الحقیقة الشرعیّة و القول اللغوی و الإستصحاب القهقری، هو الوصول إلی معرفة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أهمیّة معرفة الموضوع و یبقی الکلام فی مقامین</w:t>
      </w:r>
      <w:r>
        <w:rPr>
          <w:rFonts w:eastAsia="IRNazanin" w:cs="IRNazanin"/>
          <w:color w:val="111111"/>
          <w:sz w:val="28"/>
          <w:szCs w:val="28"/>
          <w:rtl w:val="true"/>
          <w:lang w:bidi="fa-IR"/>
        </w:rPr>
        <w:t>:</w:t>
      </w:r>
    </w:p>
    <w:p>
      <w:pPr>
        <w:pStyle w:val="Heading2"/>
        <w:numPr>
          <w:ilvl w:val="1"/>
          <w:numId w:val="1"/>
        </w:numPr>
        <w:rPr/>
      </w:pPr>
      <w:bookmarkStart w:id="209" w:name="__RefHeading___Toc12020091_1280447820"/>
      <w:bookmarkStart w:id="210" w:name="_Toc77"/>
      <w:bookmarkEnd w:id="209"/>
      <w:r>
        <w:rPr>
          <w:rtl w:val="true"/>
        </w:rPr>
        <w:t>المقام الأوّل</w:t>
      </w:r>
      <w:r>
        <w:rPr>
          <w:rtl w:val="true"/>
        </w:rPr>
        <w:t xml:space="preserve">: </w:t>
      </w:r>
      <w:r>
        <w:rPr>
          <w:rtl w:val="true"/>
        </w:rPr>
        <w:t>تعریف الموضوع</w:t>
      </w:r>
      <w:bookmarkEnd w:id="21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إشتهر بین الأصولیین، إطلاق الموضوع بالعین الخارجیّ کالخمر و العصیر و المتعلّق بالفعل المکلّف کالصلّاة و البیع ؛ ففی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غلی العصیر فلا یحل بیعه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العصیر موضوعٌ و البیع متعلّقٌ و الغلیان خصوصیّةٌ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آیة </w:t>
      </w:r>
      <w:bookmarkStart w:id="211" w:name="pg16646_227772"/>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تیمّموا صعیداً طیّباً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الصعید موضوعٌ و التیمّم متعلّقٌ و الطیّب خصوصیّةٌ للموضوع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المراد من الموضوع فی هذه المرحلة، الأعمّ من الموضوع و المتعلّق و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فالیعرف المجتهد الموضوع بالمعنی الأعمّ فی مقام الإستنباط؛ لأنّ الجهل بالموضوعات، لا یوجب صدور الأحکام الواقعیّة و الوصول إلی مطلوبات الشارع المقدّس</w:t>
      </w:r>
      <w:r>
        <w:rPr>
          <w:rFonts w:eastAsia="IRNazanin" w:cs="IRNazanin"/>
          <w:color w:val="111111"/>
          <w:sz w:val="28"/>
          <w:szCs w:val="28"/>
          <w:rtl w:val="true"/>
          <w:lang w:bidi="fa-IR"/>
        </w:rPr>
        <w:t>.</w:t>
      </w:r>
    </w:p>
    <w:p>
      <w:pPr>
        <w:pStyle w:val="Heading2"/>
        <w:numPr>
          <w:ilvl w:val="1"/>
          <w:numId w:val="1"/>
        </w:numPr>
        <w:rPr/>
      </w:pPr>
      <w:bookmarkStart w:id="212" w:name="__RefHeading___Toc12020093_1280447820"/>
      <w:bookmarkStart w:id="213" w:name="_Toc78"/>
      <w:bookmarkEnd w:id="212"/>
      <w:r>
        <w:rPr>
          <w:rtl w:val="true"/>
        </w:rPr>
        <w:t>المقام الثانی</w:t>
      </w:r>
      <w:r>
        <w:rPr>
          <w:rtl w:val="true"/>
        </w:rPr>
        <w:t xml:space="preserve">: </w:t>
      </w:r>
      <w:r>
        <w:rPr>
          <w:rtl w:val="true"/>
        </w:rPr>
        <w:t>أقسام الموضوع بالمعنی الأعمّ</w:t>
      </w:r>
      <w:bookmarkEnd w:id="2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الدّاخلی اللفظی؛ و المراد به، الموضوع الذی یوجد لفظه فی الأدلّة اللفظیّة؛ کلفظ الصوم و الإفطار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لرؤیة الهلال و أفطر لرؤیته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بعض مسائل علم الأصول، کالمشتق و الحقیقة الشرعیّة و الظهور و القول اللغوی، نافعٌ فی معرفة هذا القسم من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الداخلی اللبی؛ و المراد به، الأمر الذی هو الموضوع للحکم فی الأدلّة اللّبیة غیر اللفظیة؛ أعنی الإجماع و العقل و السیرة و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هذه الموضوعات فی أبواب المعاملات کثیراً؛ لأنّ العمدة فیها، السیرة و الشهرة، لا الروایة و الآیة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یصحّ التمسکّ بالإطلاق عند الشکّ فی الموضوع فی الأدلّة اللبیة، لفقدان اللفظ؛ فلذا یأخذ بالقدر المتیقّن عند الشکّ فی هذه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الخارجی؛ و المراد به، الموضوع الذی لا یوجد بعنوانه الخاص فی الأدلّة، و یسمّی بالموضوعات المستحدثة؛ کالتلقیح الإصتناعی و العقد التأمین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یرجع فی معرفة هذا القسم من الموضوعات إلی البیّنة و أهل الخبرة؛ فالفقیه یرجع إلی أساتذة العلوم الإقتصادیة لمعرفة موضوع التأمین فیحکم علیه بالجواز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هناک تعارض بین البیّنتین، تجری قواعد التعادل و التراجیح؛ لأنّها لیست مختصّة بتعارض الروایتین بل تجری فی تعارض البیّنتین و الآیتین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فیتبیّن بما تقدّم أنّ الفقیه هو بمنزلة المقلّد فی الموضوعات غیر الشرعیّة و یرجع إلی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الأردبیلی فی تفسیر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لفظ ورد في الشّرع تحريم معناه و ليس بظاهر له معنى شرعي مأخوذٌ من الشّرع، فيحال على العرف</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قال فی تفسیر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 فی ذلک العرف لما تقرر فی الشرع أنّ ما لم یثبت له الوضع الشرعی یحال إلی العرف، جریاً علی العادة المعهودة من ردّ الناس إلی عرفهم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قال فی تفسیر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النظر رجوع أمثاله إلی العرف إذ لا شرع هنا علی ما تصرف و حینئذ لا فرق بین المنقول و غیره و المکیل و غیره فی کون المرجع فیها إلی العرف إلّا أنّ العرف فیها یکون مختلفاً و غیر ظاهر</w:t>
      </w:r>
      <w:r>
        <w:rPr>
          <w:rFonts w:eastAsia="IRNazanin" w:cs="IRNazanin"/>
          <w:color w:val="111111"/>
          <w:sz w:val="28"/>
          <w:szCs w:val="28"/>
          <w:rtl w:val="true"/>
          <w:lang w:bidi="fa-IR"/>
        </w:rPr>
        <w:t>.</w:t>
      </w:r>
      <w:r>
        <w:rPr>
          <w:rStyle w:val="FootnoteAnchor"/>
          <w:rtl w:val="true"/>
        </w:rPr>
        <w:footnoteReference w:id="113"/>
      </w:r>
      <w:bookmarkStart w:id="214" w:name="pg16646_227774"/>
    </w:p>
    <w:p>
      <w:pPr>
        <w:pStyle w:val="BookText"/>
        <w:rPr/>
      </w:pPr>
      <w:bookmarkEnd w:id="214"/>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الملاک فی الرجوع إلی العرف، هو العرف فی زمن الرجوع لا فی زمن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الأردبیلی فی تفسیر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الإعتبار لو کان بالقسمیه لکان المعتبر فیه العرف العام أو الخاص لو وجده، لا عرف زمانهم علیهم السلام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هذا، و نذکر عملیّات بعض الفقهاء فی بعض الأبواب لمعرفة الموضوعات لحمل الأحکام الشرعیّة علیها</w:t>
      </w:r>
      <w:r>
        <w:rPr>
          <w:rFonts w:eastAsia="IRNazanin" w:cs="IRNazanin"/>
          <w:color w:val="111111"/>
          <w:sz w:val="28"/>
          <w:szCs w:val="28"/>
          <w:rtl w:val="true"/>
          <w:lang w:bidi="fa-IR"/>
        </w:rPr>
        <w:t>.</w:t>
      </w:r>
    </w:p>
    <w:p>
      <w:pPr>
        <w:pStyle w:val="Heading2"/>
        <w:numPr>
          <w:ilvl w:val="1"/>
          <w:numId w:val="1"/>
        </w:numPr>
        <w:rPr/>
      </w:pPr>
      <w:bookmarkStart w:id="215" w:name="__RefHeading___Toc12020095_1280447820"/>
      <w:bookmarkStart w:id="216" w:name="_Toc79"/>
      <w:bookmarkEnd w:id="215"/>
      <w:r>
        <w:rPr>
          <w:rtl w:val="true"/>
        </w:rPr>
        <w:t>تطبیقاتٌ</w:t>
      </w:r>
      <w:r>
        <w:rPr>
          <w:rtl w:val="true"/>
        </w:rPr>
        <w:t>:</w:t>
      </w:r>
      <w:bookmarkEnd w:id="21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البروجردی فی تفسیر بعض مفردات الروایة التی رواها محمد بن إسماعيل بن بزيع عن أبي الحسن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يقصّر في ضيعته؟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ينو مقام عشرة أيّام إلاّ أن يكون فيها منزل يستوطنه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الإستيطان؟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له فيها منزل يقيم فيه ستة أشهر، فإذا كان كذلك يتم فيها متى دخلها</w:t>
      </w:r>
      <w:r>
        <w:rPr>
          <w:rFonts w:eastAsia="IRNazanin" w:cs="IRNazanin"/>
          <w:color w:val="111111"/>
          <w:sz w:val="28"/>
          <w:szCs w:val="28"/>
          <w:rtl w:val="true"/>
          <w:lang w:bidi="fa-IR"/>
        </w:rPr>
        <w:t>.»:</w:t>
      </w:r>
      <w:r>
        <w:rPr>
          <w:rStyle w:val="FootnoteAnchor"/>
          <w:rtl w:val="true"/>
        </w:rPr>
        <w:footnoteReference w:id="11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الوطن العرفى أمرٌ معلوم عند العرف حقيقة، فلا مجال لأنّ يسأل عن حقيقته، و أمّا الوطن الشرعيّ فحقيقته غير معلوم عند السائل، فسئل عن حقيقة الوطن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في إرتكازه الوطن غير وطن العرفي حتى يسأل عنه و عن حقيقته، فيكون سؤاله عن محقّق الوطن العرفي بعد معلومية حقيقته عند السائل فاجاب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فيها منزل يقيم فيه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الإستيطان يكون له في الضيعة منزل يقيم فيه ستة أشهر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هو أن يكون له إقامة فعلية ستة أشهر، حتى يجب عليه الإتمام بأن يكون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منه الإستقبال، فعلى هذا يكون محقّق الإستيطان هو أن يقيم في المستقبل ستة أشهر، فيكون المراد وجوب الإتمام فعلاً لاجل انّه يقيم بعداً في هذا الموضع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إقامة الماضية سابقاً، و يكون المراد من المضارع الماضي فيكون إقامة ستة شهر في السابق موجبا للإتمام إذا مرّ بهذا الموضع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المضارع منسلخ في المقام عن الزمان،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اعتبرت الإقامة مجرّدة عن الزمان، فلا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المضارعو لا الماضي، بل يستفاد منه صرف لزوم حصول ذلك منسلخاً عن الزمان و في وعاء الدهر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الأستاذ السیفی المازندرانی فی تعیین المراد من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 و لا سهو فی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فيستفاد من كلام الشهيد الثاني إستعمال كلٍّ من لفظي السهو و الشك في معنى الآخر في نصوص المقام على وجه المجاز بعلاقة السبب و المسبب؛ نظراً إلى كون السهو سبب عروض الشك؛ لأنّ من سهى حالته السابقة يشك في حالته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كل واحد من السهو و الشك قد يستعمل في معنى الآخر على وجه المجاز؛ لتقارب مفهوميهما و لكون السهو سبباً في الشك غالباً </w:t>
      </w:r>
    </w:p>
    <w:p>
      <w:pPr>
        <w:pStyle w:val="BookText"/>
        <w:rPr/>
      </w:pPr>
      <w:r>
        <w:rPr>
          <w:rFonts w:ascii="Amiri" w:hAnsi="Amiri" w:eastAsia="Amiri" w:cs="Amiri"/>
          <w:color w:val="111111"/>
          <w:sz w:val="28"/>
          <w:sz w:val="28"/>
          <w:szCs w:val="28"/>
          <w:rtl w:val="true"/>
          <w:lang w:bidi="ar-SA"/>
        </w:rPr>
        <w:t>فيطلق لذلك اسم السبب على المسبّب، و بالعكس</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هذا البيان منه متينٌ جدّاً، فلا حاجة إلى التجشّم و التكلّف في تأويل لفظ الشك بما يعم السهو و إثبات التسوية بينهما للفرار من المجاز</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الموسوی السبزواری فی تعیین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يجوز التيمم على مطلق وجه الأرض على الأقوى، سواءٌ كان لإطلاق الكتاب و السنّة المشتمل على لفظ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مطلق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 المقام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اللغويين، و أخرى، بحسب الإستظهار عن الأدلة،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الفقهاء،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أنّ الصعيد مطلق وجه الأرض إلى أئمة اللغة تارةً، و إلى فضلاء أهل اللغة أخرى، و 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خلافا بين أهل اللغة في أنّ الصعيد مطلق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عورض ذلك بما نقل عن كثير من أهل اللغة أنّه خصوص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بل المقطوع به أنّ التفسير بخصوص التراب، لكونه أظهر أفراد الصعيد و أشيعها مرادا منه عند الاستعمال لا أنّه معناه الحقيقي فقط، و يشهد له أنّهم لم يختلفوا في أنّ معنى الصعيد في سائر موارد استعمالاته مطلق وجه الأرض، كقوله تعالى فَتُصْبِحَ صَعِيداً زَلَقاً ، و قوله تعالى وَ إِنّٰا لَجٰاعِلُونَ مٰا عَلَيْهٰا صَعِيداً جُرُزاً و قوله 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جمع اللّه عزّ و جلّ الناس في صعيد واحد و وضعت الموازين فتوزن دماء الشهداء مع مداد العلماء فيرجح مداد </w:t>
      </w:r>
    </w:p>
    <w:p>
      <w:pPr>
        <w:pStyle w:val="BookText"/>
        <w:rPr/>
      </w:pPr>
      <w:r>
        <w:rPr>
          <w:rFonts w:ascii="IRNazanin" w:hAnsi="IRNazanin" w:eastAsia="IRNazanin"/>
          <w:color w:val="111111"/>
          <w:sz w:val="28"/>
          <w:sz w:val="28"/>
          <w:szCs w:val="28"/>
          <w:rtl w:val="true"/>
          <w:lang w:bidi="fa-IR"/>
        </w:rPr>
        <w:t>العلماء على دماء الشهداء</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الأستاذ السیفی المازندرانی فی معرفة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القطع بكون المراد من لفظ الصدقة الوقف بقرينة سؤال الراوي؛ حيث صرّح في سؤاله بلفظ الوقف فأجاب عنه الإمام بلفظ الصدقة كما في خبر علي بن سليمان ، أو بقرينة كون المتصدّق به عيناً غير منقولة كعقار أو أرض أو ضيعة أو بستان أو ينبوع، ونحو ذلك ممّا لا ينتقل وإنّما يُنتفع بثماره ومنافعه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الأنصاری فی معرفة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القائف كما عن الصحاح و القاموس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يعرف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 و مجمع البحرين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يعرف شَبَه الرجل بأخيه و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و المسالك كما عن إيضاح النافع و الميسيّة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إلحاق الناس 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قيّد في الدروس و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التنقيح حرمتها بما إذا ترتب عليها محرّم ، و الظاهر أنّه مراد الكلّ، و إلّا فمجرّد حصول الاعتقاد العلمي أو الظنّي بنسب شخص لا دليل على تحريمه؛ و لذا نهي في بعض الأخبار عن إتيان القائف و الأخذ بقوله</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الأنصاری فی معرفة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الکهانة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كَهَنَ يَكْهُنُ ككتب يكتب كتابة كما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كهُن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كهانة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كاهناً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القاموس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كَهَنَ يَكْهُنُ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كهانة 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الكاهن من يتعاطى الخبر عن الكائنات في مستقبل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 العرب كهنة،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يزعم أنّ له تابعاً من الجنّ يُلقي إليه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يزعم أنّه يعرف الأُمور بمقدّمات و أسباب يستدلّ بها على مواقعها من كلام من سأله، أو فِعلِه، أو حاله، و هذا يخصّونه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عن الأكثر في تعريف الكاهن ما في القواعد،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رَئيٌّ من الجنّ يأتيه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 و نسبه في التحرير إلى القيل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رَئيّ على فعيل من رأى،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رَئِيّ القوم، أي صاحب رأيهم،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يكسر راؤه إتباعاً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الرَّئيّ كغنيّ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 يرى فَيُحَب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للتابع من الجن رَئِيّ بوزن كَمِيّ</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الإمام الخمینی فی معرفة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اختلف الكلمات في ماهيته وحكمه، ففسِّر بالسّماع، وبالصوت، وبالصوت المطرب، وبالصوت المشتمل على الترجيع؛ أو هو مع الإطراب، وبالترجيع، وبالتطريب؛ وبه مع الترجيع، وبرفع الصوت مع الترجيع، وبمدّه،وبمدّه مع الترجيع و التطريب؛ أو أحدهما، وبتحسين الصوت، وبحسنه ذاتاً، وبمدّه وموالاته، وبالصوت الموزون المفهم المحرّك للقلب، وبمدّ الصوت المشتمل على الترجيع المطرب، أو ما يسمّى في </w:t>
      </w:r>
    </w:p>
    <w:p>
      <w:pPr>
        <w:pStyle w:val="BookText"/>
        <w:rPr/>
      </w:pPr>
      <w:r>
        <w:rPr>
          <w:rFonts w:ascii="Amiri" w:hAnsi="Amiri" w:eastAsia="Amiri" w:cs="Amiri"/>
          <w:color w:val="111111"/>
          <w:sz w:val="28"/>
          <w:sz w:val="28"/>
          <w:szCs w:val="28"/>
          <w:rtl w:val="true"/>
          <w:lang w:bidi="ar-SA"/>
        </w:rPr>
        <w:t>العرف غناءً و إن لم يطرب، وبالصوت اللهوي، وبألحان أهل المعاصي و الكبائر، وبما كان مناسباً لبعض آلات اللهو والرقص، وبالصوت المعدّ لمجالس اللهو، وبالصوت المثير لشهوة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المشهور أنّه مدّ الصوت المشتمل على الترجيع المطرب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تعريف الغناء بأ نّه صوت الإنسان الذي له رقّة وحسن ذاتي ولو في الجملة، وله شأنية إيجاد الطرب بتناسبه لمتعارف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بقيد الرقّة و الحسن صوت الأبحّ الرديّ الصوت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الأنصاری فی معرفة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في الأصل كما عن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اختصاص المعوّض بالعين، فلا يعمّ إبدال المنافع بغيرها، و عليه استقرّ اصطلاح الفقهاء في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حقيقة شرعية و لا متشرّعية، بل هو باقٍ على معناه العرفي، إلّا أنّ الفقهاء قد اختلفوا في تعريفه، ففي المبسوط و السرائر و التذكرة و 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انتقال عينٍ من شخصٍ إلى غيره بعوض مقدّر على وجه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في هذا التعريف مسامحة واضحة، عدل آخرون إلى تعريفه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الإيجاب و القبول الدالّين على 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إنّ البيع من مقولة المعنى دون اللفظ مجرّداً أو بشرط قصد المعنى، و إلّا لم يعقل إنشاؤه باللفظ عدل جامع المقاصد إلى تعريفه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العين بالصيغة المخصوصة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مع أنّ النقل ليس مرادفاً للبيع؛ و لذا صرّح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إيجاب البيع لا يقع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 من الكنايات ، و أنّ المعاطاة عنده بيع مع خلوّها عن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النقل بالصيغة أيضاً </w:t>
      </w:r>
    </w:p>
    <w:p>
      <w:pPr>
        <w:pStyle w:val="BookText"/>
        <w:rPr/>
      </w:pPr>
      <w:r>
        <w:rPr>
          <w:rFonts w:ascii="Amiri" w:hAnsi="Amiri" w:eastAsia="Amiri" w:cs="Amiri"/>
          <w:color w:val="111111"/>
          <w:sz w:val="28"/>
          <w:sz w:val="28"/>
          <w:szCs w:val="28"/>
          <w:rtl w:val="true"/>
          <w:lang w:bidi="ar-SA"/>
        </w:rPr>
        <w:t>لا يعقل إنشاؤه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يندفع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أنّ البيع نفس النقل الذي هو مدلول الصيغة، فجعله مدلول الصيغة إشارة إلى تعيين ذلك الفرد من النقل، لا أنّه مأخوذ فيمفهومه حتى يكون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بالصيغة؛ لأنّه إن أُريد بالصيغة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الدور؛ لأنّ المقصود معرفة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أُريد بها ما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الاقتصار على مجرّد التمليك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عليه شيء ممّا تقدّم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الإمام الخمینی فی معرفة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اختلفوا في ماهية الصدق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 الأوّل مطابقة الخبر للواقع، والثاني مخالفته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مطابقة الحكم للواقع، والثاني مخالفته له، و أنّ رجوع الصدق و الكذب إلى الحكم أوّلاً وبالذات، وإلى الخبر ثانياًوبالواسطة، قال به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بوجه نظير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الألفاظ موضوعة للمعاني المرادة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 التفتازاني بالحكم الإدراك الذهني و الحكم النفسي، وسيجيء الاحتمالات في كلامه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الكلام بنفسه مع قطع النظر عن صدوره من متكلّم مريد دالّ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نقشت بواسطة الحوادث الكونية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فوقنا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نفهم منهما شيئاً أصلاً، أو هما لا يحكيان عن مدلولهما،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المدلول منهما شيء واحد، أو إنّ مدلولهما ليس موافقاً ولا مخالفاً </w:t>
      </w:r>
    </w:p>
    <w:p>
      <w:pPr>
        <w:pStyle w:val="BookText"/>
        <w:rPr/>
      </w:pPr>
      <w:r>
        <w:rPr>
          <w:rFonts w:ascii="Amiri" w:hAnsi="Amiri" w:eastAsia="Amiri" w:cs="Amiri"/>
          <w:color w:val="111111"/>
          <w:sz w:val="28"/>
          <w:sz w:val="28"/>
          <w:szCs w:val="28"/>
          <w:rtl w:val="true"/>
          <w:lang w:bidi="ar-SA"/>
        </w:rPr>
        <w:t>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تكون الجملة الاُولى صادقة، والثانية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 ما يحكيان عنه ليس بنحو الدلالة، بل بنحو الخطور لاُنس الذهن،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أصدق شاهد على عدم الفرق في الدلالة بين الكلام الصادر من متكلّم شاعر وبين الصادر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 القول بأنّ الألفاظ موضوعة للمعاني المرادة، أو الوضع عبارة عن التعهّد بإرادة المعنى من اللفظ، أو أنّ الدلالة عبارة عن إبراز ما في الضمير، وما فيه حاكٍ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الكلام الصادر من المتكلّم لا يحكي إلّاعن الواقع ونفس الأمر مستقيماً، من غير دلالة علىالمعاني الذهنية وصورها، و هو وجداني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الصدق و الكذب من صفات الخبر أوّلاً وبالذات، و إنّما يتّصف المتكلّم بكونه صادقاً أو كاذباً لأجل إخباره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تكون سعة اتّصافه بالصادق والكاذب تابعة لإخباره؛ لعدم إمكان أن يكون الخبر صادقاً و قد أخبر به المتكلّم ومع ذلك لا يكون صادقاً، وكذا في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نرى في العرف و العادة عدم إطلاق الكاذب على الخاطئ و المشتبه، فلا يقال لمن صنّف كتاباً مشتملاً على أحكام اجتهادية مخالفة للواقع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لمن أخبر بإعطاء شيء لزيد غداً فمنعه مانع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كذب و إن كان معذوراً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يطلقون على مثله الخطأ والاشتباه أو نحوهما، ولا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 يكون أمثال ذلك خارجة عن الصدق و الكذب بالمعنى المصدري، و إن لم تخرج عن أحدهما بمعنى حاصل المصدر؛ أي‌نفس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دخالة الاعتقاد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ضدّ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الشيء </w:t>
      </w:r>
    </w:p>
    <w:p>
      <w:pPr>
        <w:pStyle w:val="BookText"/>
        <w:rPr/>
      </w:pPr>
      <w:r>
        <w:rPr>
          <w:rFonts w:ascii="IRNazanin" w:hAnsi="IRNazanin" w:eastAsia="IRNazanin"/>
          <w:color w:val="111111"/>
          <w:sz w:val="28"/>
          <w:sz w:val="28"/>
          <w:szCs w:val="28"/>
          <w:rtl w:val="true"/>
          <w:lang w:bidi="fa-IR"/>
        </w:rPr>
        <w:t>بخلاف ما هو، مع العلم به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المشکینی فی معرفة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تذكية الإبل في أعلى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المنتحر، كأنّه ينحر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للّفظ مصطلح شرعي أو 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إيجابي، و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فعل ما يجب تركه ممّا يورث القتل، كالضرب بالسيف و الرمح و السكّين و البندقة، و الاتّصال بالكهرباء، و أكل السمّ و شربه،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ترك ما يجب فعله، كالامتناع عن الغذاء و الأكل و الشرب و سائر ما هو سبب لبقاء الحياة حتّى يؤدّي إلى الموت، و منه ترك معالجة الأمراض و القروح و الجروح حتّى يموت، و لعلّ من ذلك أيضاً ما لو اضطرّ إلى أكل الميتة و شرب المسكر و نحوهما، فامتنع منها حتّى مات؛ لوجوب ارتكاب ما يضطرّ إليه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الإنتحار قد ذكر في الفقه تحت عنوان قتل النفس، فحكموا بحرمة ذلك في الشريعة، نظير قتل الشخص غيره من المسلمين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المشکینی فی معرفة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أو الشخص في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الأمان، أو عدّه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فالتأمين في مصطلح الفقه الحادث في العُصور الأخيرة عبارة عن عقد خاصّ واقع بين شخصين أو أكثر، فيلتزم أحدهما جبر كلّ نقص أو </w:t>
      </w:r>
    </w:p>
    <w:p>
      <w:pPr>
        <w:pStyle w:val="BookText"/>
        <w:rPr/>
      </w:pPr>
      <w:r>
        <w:rPr>
          <w:rFonts w:ascii="Amiri" w:hAnsi="Amiri" w:eastAsia="Amiri" w:cs="Amiri"/>
          <w:color w:val="111111"/>
          <w:sz w:val="28"/>
          <w:sz w:val="28"/>
          <w:szCs w:val="28"/>
          <w:rtl w:val="true"/>
          <w:lang w:bidi="ar-SA"/>
        </w:rPr>
        <w:t>عيب، أو علاج كلّ مرض يرد على بدن الآخر، أو جبر كلّ نقص أو تلفٍ يرد على ماله من بيت أو بستان أو مركوب، أو على جميع ما يملكه من الأموال، في مقابل بَذل الآخر مالاً من قبله، و يُسمّى الأوّل الملتزم المتعهّد مؤمِّناً بالكسر، و الثاني المتعهّد له مستأمناً أو مؤمَّناً له، و المالُ الذي يعطيه المستأمن مؤمَّناً به أو وجه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العقود العقلائيّة التي يحتاج إلى إيجاب و قبول، و يصحّ أن يكون إيجابه من المؤمّن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أمَّنتُك، أو التزمتُ و تعهّدت جبرانَ ما يرد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ديناراً، فيقبل المستأمن، و أن يكون من المستأمن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أداء كذا مبلغاً بجبرك الخسارات الواردة على النحو الخاصّ فيقبل المؤمِّن، و يسمّى العقد عقد التأمين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المشکینی فی معرفة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جمعه؛ بنوك، لغة غير عربيّة قد استُعْملت في أغلب الألسنة، فصارت دخيلة فيها، و هي عبارة عن المحلّ الذي توضع فيه الأموال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أعيانها و أوراقها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لأعمال خاصّة و معاملات و مبادلات و أقراض و هبات و جوائز و نحوها، تحتَ نظام عامّ عالميّ و تدابير إداريّة خاصّة أو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البُنوك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داخليّة، و خارجيّة؛ حكوميّة و غير حكوميّة؛ شخصيّة، و 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أعمالها قبول الأموال النقديّة قرضاً و استيداعاً و مضاربةً و شركةً تجاريّةً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أعمالها أيضاً إعطاء القروض النقديّة و الأموال و النقود بنحو المضاربة و الشركة التجاريّة و ما أشبه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البنك موضوع جديد الحدوث في القرون الأخيرة، و قد وقع البحث </w:t>
      </w:r>
    </w:p>
    <w:p>
      <w:pPr>
        <w:pStyle w:val="BookText"/>
        <w:rPr/>
      </w:pPr>
      <w:r>
        <w:rPr>
          <w:rFonts w:ascii="Amiri" w:hAnsi="Amiri" w:eastAsia="Amiri" w:cs="Amiri"/>
          <w:color w:val="111111"/>
          <w:sz w:val="28"/>
          <w:sz w:val="28"/>
          <w:szCs w:val="28"/>
          <w:rtl w:val="true"/>
          <w:lang w:bidi="ar-SA"/>
        </w:rPr>
        <w:t>عنه بهذا العنوان في بعض الكتب الفقهيّة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الإمام الخمینی فی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المعاطاة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صحّتها السيرة المستمرّة العقلائية، من لدن تحقّق التمدّن والاحتياج إلى المبادلات إلى زماننا، بل الظاهر أنّ البيع معاطاة أقدم زماناً وأوسع نطاقاً من البيع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تنبغي الشبهة في أنّ البشر في أوّل تمدّنه واحتياجه إلى التبادلات، كان يبادل الأجناس بالأجناس، من غير إنشاء المعاملات باللفظ أو الالتزام بإيقاعها به، وكان الأمر كذلك في جميع الأعصار، سواء كانت المعاملة بين الأجناس، أو بينها وبين الأثمان في زمان تعارفها ورواجها، وكانت الأسواق في كلّ امّة جارية على المعاطاة، وقلّما يتّفق الإنشاء اللفظي في إيقاع نفس المعاملة، و إن كان التقاول قبل إيقاعها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متعارفة في عصر النبوّة وبعده بلا شبهة، فلو كانت غير صحيحة لدى الشارع، أو غير مفيدة للملكية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بناء العقلاء عليها، ومعاملة الملكية مع المأخوذ بها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عليهم البيان القابل للردع، ومعه كان اشتهاره كالشمس في رائعة النهار؛ لأنّ ردعها موجب لتغيير أسواق المسلمين في المعاملات كما هو واضح</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الخوئی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لیحکم علیه بالکاشفیّة عن رضی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الحال، بأن تكون هناك قرائن و شواهد تدل على رضا المالك و طيب نفسه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يصدر عن المالك فعل يبرز عن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رضاه الباطني بتصرف خاص بحيث يكون طريقاً مجعولاً و أمارة نوعية و حكاية عملية، و هذا كفتح الحمامي باب الحمام، فإنه بمثابة الإذن العام لكل من يريد الاستحمام، و لا شك حينئذ في صحة الاعتماد على ذاك المبرز من دون حاجة إلى تحصيل العلم بالرضا، لاستقرار بناء العقلاء بمقتضى التعهد الوضعي على كشف ما في الضمير بمطلق المبرز فعلاً كان أم لفظاً، و من هنا قلنا بصحة المعاطاة لعدم الفرق في إبراز الإنشاء بين الفعل و القول</w:t>
      </w:r>
      <w:r>
        <w:rPr>
          <w:rFonts w:eastAsia="Amiri" w:cs="Amiri" w:ascii="Amiri" w:hAnsi="Amiri"/>
          <w:color w:val="111111"/>
          <w:sz w:val="28"/>
          <w:szCs w:val="28"/>
          <w:rtl w:val="true"/>
          <w:lang w:bidi="ar-SA"/>
        </w:rPr>
        <w:t>.</w:t>
      </w:r>
      <w:r>
        <w:rPr>
          <w:rStyle w:val="FootnoteAnchor"/>
          <w:rtl w:val="true"/>
        </w:rPr>
        <w:footnoteReference w:id="130"/>
      </w:r>
      <w:bookmarkStart w:id="217" w:name="pg16646_227786"/>
    </w:p>
    <w:p>
      <w:pPr>
        <w:pStyle w:val="Heading2"/>
        <w:numPr>
          <w:ilvl w:val="1"/>
          <w:numId w:val="1"/>
        </w:numPr>
        <w:rPr/>
      </w:pPr>
      <w:bookmarkStart w:id="218" w:name="__RefHeading___Toc12020097_1280447820"/>
      <w:bookmarkStart w:id="219" w:name="_Toc80"/>
      <w:bookmarkEnd w:id="217"/>
      <w:bookmarkEnd w:id="218"/>
      <w:r>
        <w:rPr>
          <w:rtl w:val="true"/>
        </w:rPr>
        <w:t>المرحلة الثانیة</w:t>
      </w:r>
      <w:r>
        <w:rPr>
          <w:rtl w:val="true"/>
        </w:rPr>
        <w:t xml:space="preserve">: </w:t>
      </w:r>
      <w:r>
        <w:rPr>
          <w:rtl w:val="true"/>
        </w:rPr>
        <w:t>الرجوع إلی آیات الأحکام</w:t>
      </w:r>
      <w:bookmarkEnd w:id="219"/>
    </w:p>
    <w:p>
      <w:pPr>
        <w:pStyle w:val="BookText"/>
        <w:rPr/>
      </w:pPr>
      <w:r>
        <w:rPr>
          <w:rFonts w:ascii="IRNazanin" w:hAnsi="IRNazanin" w:eastAsia="IRNazanin"/>
          <w:color w:val="111111"/>
          <w:sz w:val="28"/>
          <w:sz w:val="28"/>
          <w:szCs w:val="28"/>
          <w:rtl w:val="true"/>
          <w:lang w:bidi="fa-IR"/>
        </w:rPr>
        <w:t>المسألة التی یرید المستنبط إثبات حکمها، لها ثلاثة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المسألة توجد فی الآیة منحصراً لا فی سائر الأدلّة؛ و فی هذه الصورة یستنبط الحکم عن الآیة بالعلوم المختلفة التی تقدّم ذکرها فی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للوصول إلی عدم تعرّض سائر الأدلّة لحکم المسألة، یجب التفحص فی الأدلّة</w:t>
      </w:r>
      <w:r>
        <w:rPr>
          <w:rFonts w:eastAsia="IRNazanin" w:cs="IRNazanin"/>
          <w:color w:val="111111"/>
          <w:sz w:val="28"/>
          <w:szCs w:val="28"/>
          <w:rtl w:val="true"/>
          <w:lang w:bidi="fa-IR"/>
        </w:rPr>
        <w:t>.</w:t>
      </w:r>
    </w:p>
    <w:p>
      <w:pPr>
        <w:pStyle w:val="Heading2"/>
        <w:numPr>
          <w:ilvl w:val="1"/>
          <w:numId w:val="1"/>
        </w:numPr>
        <w:rPr/>
      </w:pPr>
      <w:bookmarkStart w:id="220" w:name="__RefHeading___Toc12020099_1280447820"/>
      <w:bookmarkStart w:id="221" w:name="_Toc81"/>
      <w:bookmarkEnd w:id="220"/>
      <w:r>
        <w:rPr>
          <w:rtl w:val="true"/>
        </w:rPr>
        <w:t>تنبیه فی مقدار وجوب التفحص</w:t>
      </w:r>
      <w:r>
        <w:rPr>
          <w:rtl w:val="true"/>
        </w:rPr>
        <w:t>:</w:t>
      </w:r>
      <w:bookmarkEnd w:id="221"/>
    </w:p>
    <w:p>
      <w:pPr>
        <w:pStyle w:val="BookText"/>
        <w:rPr/>
      </w:pPr>
      <w:r>
        <w:rPr>
          <w:rFonts w:ascii="IRNazanin" w:hAnsi="IRNazanin" w:eastAsia="IRNazanin"/>
          <w:color w:val="111111"/>
          <w:sz w:val="28"/>
          <w:sz w:val="28"/>
          <w:szCs w:val="28"/>
          <w:rtl w:val="true"/>
          <w:lang w:bidi="fa-IR"/>
        </w:rPr>
        <w:t>یکفی فی التفحص، حصول الإطمینان و العلم العرفی بعدم تعرّض سائر الأدلِة لحکم المسألة؛ لا العلم الوجدانی؛ لأنه لا یحصل العلم الوجدانی بعدم وجود الحکم فی سائر الأدلّة خصوصاً فی الإجماعات و السیر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الظن؛ لأنّ فی حجیّتها فی خصوص المقام، خدشةٌ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المحقّق المظفر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بيان مقدار الفحص الواجب أ هو الّذي يوجب اليأس على نحو القطع بعدم القرينة، أو على نحو الظنّ الغالب و الاطمئنان بعدمها؟ فذلك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كفاية الاطمئنان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قال الإمام الخمینی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المناط فيه هو اليأس عن الظفر بالدليل و الحجّة على الحكم، و هو أمرٌ سهلٌ لا سيّما في مثل زماننا هذا؛ حيث إنّ المسائل فيه مبوّبة؛ و جعل لكلٍّ من مسائل الطهارة و الصلاة و غيرهما بابٌ مستقلٌّ، و ذكروا في كلّ بابٍ الأخبار المربوطة بمسائله، و بذل الفقهاء جهدهم و </w:t>
      </w:r>
    </w:p>
    <w:p>
      <w:pPr>
        <w:pStyle w:val="BookText"/>
        <w:rPr/>
      </w:pPr>
      <w:r>
        <w:rPr>
          <w:rFonts w:ascii="Amiri" w:hAnsi="Amiri" w:eastAsia="Amiri" w:cs="Amiri"/>
          <w:color w:val="111111"/>
          <w:sz w:val="28"/>
          <w:sz w:val="28"/>
          <w:szCs w:val="28"/>
          <w:rtl w:val="true"/>
          <w:lang w:bidi="ar-SA"/>
        </w:rPr>
        <w:t>وسعهم في جمع الأخبار و الآيات المربوطة بكلّ بابٍ فيه؛ بحيث يكون احتمال وجود دليل آخر فيه لم يظفروا به بعيداً جدّاً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المسألة توجد فی الآیة و غیر الآیة؛ و لها ثلاثة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الآیة موافقةٌ للآیة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الوجه یحکم علی طبق الآیات أو غیر الآیات لأنّ حکمهما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الآیة مخالفةٌ للآیة؛ و لها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بالمخالفة، لیس بالنحو التباین الکلّی؛ لأنّ فی هذه الحالة، یطرد غیر الآیات قطعاً؛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بالنحو العموم و الخصوص أو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و التأخّر فی غیر الآیة، معلومٌ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یقیس الدلیل المتقدّم مع الآیة؛ فیقیس الحاصل و النتیجة، مع الدلیل المتأخّر؛ فإن کان النسبة بین المجموع و الدلیل المتاخر یبقی علی نسبة العموم و الخصوص المطلق، فالحکم هو التخصیص فیخصّص الآیة بغیر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بین الآیة و غیر الآیة المتقدّم هی العموم و الخصوص المطلق 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المهمّ هنا عدم کون النسبة علی وجه 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بین الآیة و غیر الآیة المتاخّر هی العموم و الخصوص المطلق أو نحو ذلک أیضاً؛ وإن نخصّص الآیة بغیر الآیة المتقدّم، یبقی النسبة بین العام المخصّص و غیر الآیة المتاخر علی العموم و الخصوص المطلق؛ فنخصّص الآیة بغیر الآیة الأوّل و الثانی و نستنبط الحکم الشرعی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إکرام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المتأخّر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یستحب إکرام زید العالم </w:t>
      </w:r>
    </w:p>
    <w:p>
      <w:pPr>
        <w:pStyle w:val="BookText"/>
        <w:rPr/>
      </w:pP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النسبة بین الدلیل الأوّل و الثانی و بین الدلیل الأوّل و الثالث، هی العموم و الخصوص المطلق، فبعد تخصیص العامّ بالخاص الأوّل، النسبة بین العام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الخاص الثانی، هی العموم و 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بعد تخصیص العامّ بالخاصّ الثانی، النسبة بین العام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الذی هو غیر زید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الخاص الأوّل، هی العموم و 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هنا، تخصیص العامّ بالخاص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یبقی علی نسبة العموم و الخصوص المطلق و یتبدّل علی نسبة العموم و الخصوص من وجه، یرجع إلی قواعد باب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بین الآیة و غیر الآیة المتقدّم هی العموم و الخصوص المطلق أو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هنا عدم کون النسبة علی وجه 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النسبة بین الآیة و غیر الآیة المتاخّر هی العموم و الخصوص المطلق أو نحو ذلک أیضاً؛ وإن نخصّص الآیة بغیر الآیة المتقدّم، کان النسبة بین العامّ المخصّص و غیر الآیة المتأخر، العموم و الخصوص من وجه و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إنقلاب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فحینئذٍ توجد مادة إجتماعٍ و مادة إفتراقٍ فی المسألة و ترجع فی مادة الإجتماع إلی قواعد باب 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مادة الإفتراق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إکرام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المتأخر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إکرام النحاة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فالنسبة بین الدلیل الأوّل و الثانی، و بین الدلیل الأوّل و الثالث، هی العموم و الخصوص المطلق، و بعد تخصیص العامّ بالخاصّ المتقدّم، کان النسبة بین العامّ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الخاص المتأخر، هی العموم و الخصوص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الإجتماع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النحوی غیر الفاسق و مادة الإفتراق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p>
    <w:p>
      <w:pPr>
        <w:pStyle w:val="BookText"/>
        <w:rPr/>
      </w:pPr>
      <w:r>
        <w:rPr>
          <w:rFonts w:ascii="IRNazanin" w:hAnsi="IRNazanin" w:eastAsia="IRNazanin"/>
          <w:color w:val="111111"/>
          <w:sz w:val="28"/>
          <w:sz w:val="28"/>
          <w:szCs w:val="28"/>
          <w:rtl w:val="true"/>
          <w:lang w:bidi="fa-IR"/>
        </w:rPr>
        <w:t>غیر الفاسق و غیر النحوی و مادة الإفتراق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النحوی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فترجع إلی قواعد باب التعادل و التراجیح فی مادة الإجتماع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و التأخر فی غیر الآیة، مجهولٌ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الوجه، یخصّص العامّ بأحد الخاصّین، فیقیس بین العامّ المخصّص و الخاص الآخر، فیخصّص العامّ بالخاصّ الآخر، فیقیس بین العامّ المخصّص و أحد الخاصّین؛ و فی النهایة، نترکّب نتیجة القیاسین و نرجع إلی القواعد المربوطة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النحاة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الکوفیین من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فرضنا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زماناً فی الواقع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لکان النسبة بعد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العامّ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التباین؛ و نتیجة نسبة التباین هنا، هی وجوب إکرام العالم غیر النحوی و حرمة إکرام النحوی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 زماناً فی الواقع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لکان النسبة بعد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العامّ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النحوی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العام و الخاص من وجه؛ و نتیجة النسبة العام و الخاص من وجه، إیجاد ثلاثة مادة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مادة الإجتماع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فرضنا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یجب إکرام مادّة الإجتماع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فرضنا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مقتضی العامّ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النحوی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إکرام مادّة الإجتماع 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حرمة إکرام مادّة </w:t>
      </w:r>
    </w:p>
    <w:p>
      <w:pPr>
        <w:pStyle w:val="BookText"/>
        <w:rPr/>
      </w:pPr>
      <w:r>
        <w:rPr>
          <w:rFonts w:ascii="IRNazanin" w:hAnsi="IRNazanin" w:eastAsia="IRNazanin"/>
          <w:color w:val="111111"/>
          <w:sz w:val="28"/>
          <w:sz w:val="28"/>
          <w:szCs w:val="28"/>
          <w:rtl w:val="true"/>
          <w:lang w:bidi="fa-IR"/>
        </w:rPr>
        <w:t>الإجتماع؛ فحینئذٍ یدخل مادّة الإجتماع تحت باب التعارض الأدلّة و تجری قواعد هذا الباب فی مادّة الإجتماع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الإفتراق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إکرام العالم الصرفی مطلقاً؛ سواءٌ کان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الإفتراق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فرضنا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مقتضی العامّ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وجوب إکرام النحوی الکوفی 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حرمةإکرام النحوی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فرضنا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مقتضی العامّ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النحوی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وجوب إکرام النحوی الکوفی 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حرمة إکرام النحوی الکوفی؛ ففی هذه المادة الإفتراق، لا تنافی بین العامّ المخصّص و الخاصّ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المرحلة الأولی، نخصّص العامّ بأحد الخاصّین فنقیس العامّ المخصّص بالخاصّ الآخر؛ لکی نعلم النسبة بین العامّ المخصّص و الخاصّ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نخصّص العامّ بالخاصّ الآخر فنقیس العامّ المخصّص بالخاصّ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المرحلة الثانیة، نستنبط حکم الأفراد علی طبق القواعد؛ و المراد بالأفراد، العالم النحوی و العالم الصرفی و العالم الکوفی و العالم البصری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إتّحاد حکم 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الأوّل و الخاصّ الثانی و العامّ المخصّص بالخاص الأوّل و العام المخصّص بالخاصّ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فردٍ فکان استنباط حکم الفرد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تنافی الدلیلین أو الأدلّة فی فردٍ، فیرجع إلی قواعد باب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فی بیان إنقلاب النسبة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ذكرنا من حكم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النصّ يحكّم على الظاهر، و الأظهر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تحصيله في المتعارضين، و أمّا إذا </w:t>
      </w:r>
    </w:p>
    <w:p>
      <w:pPr>
        <w:pStyle w:val="BookText"/>
        <w:rPr/>
      </w:pPr>
      <w:r>
        <w:rPr>
          <w:rFonts w:ascii="Amiri" w:hAnsi="Amiri" w:eastAsia="Amiri" w:cs="Amiri"/>
          <w:color w:val="111111"/>
          <w:sz w:val="28"/>
          <w:sz w:val="28"/>
          <w:szCs w:val="28"/>
          <w:rtl w:val="true"/>
          <w:lang w:bidi="ar-SA"/>
        </w:rPr>
        <w:t>كان التعارض بين أزيد من دليلين، فقد يصعب تحصيل ذلك؛ إذ قد يختلف حال التعارض بين اثنين منها بملاحظة أحدهما مع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النسبة بين الاثنين العموم و الخصوص من وجه، و ينقلب بعد تلك الملاحظة إلى العموم المطلق أو بالعكس أو إلى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التوهّم في بعض المقامات، فنقول توضيحا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النسبة بين المتعارضات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نسبة واحدة فحكمها حكم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النسبة العموم من وجه وجب الرجوع إلى المرجّحات،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الكلّ في 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النسبة عموما مطلقا، فإن لم يلزم محذور من تخصيص العامّ بهما خصّص بهما، مثل المثال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لزم محذور،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إكرام عدول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اللازم من تخصيص العامّ بهما بقاؤه بلا مورد، فحكم ذلك كالمتباينين، لأنّ مجموع الخاصّين مباين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النسبة بين المتعارضات مختلفة، فإن كان فيها ما يقدّم على بعض آخر منها، إمّا لأجل الدلالة كما في النصّ و الظاهر أو الظاهر و الأظهر، و إمّا لأجل مرجّح آخر، قدّم ما حقّه التقديم، ثمّ لوحظ النسبة مع باقي المعارضات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تنقلب النسبة و قد يحدث الترجيح،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خصّ العلماء بعدولهم يصير أخصّ مطلقا من العدول، فيخصّص العدول بغير علمائهم، و السرّ في ذلك واضح؛ إذ لو لا الترتيب في العلاج لزم إلغاء </w:t>
      </w:r>
    </w:p>
    <w:p>
      <w:pPr>
        <w:pStyle w:val="BookText"/>
        <w:rPr/>
      </w:pPr>
      <w:r>
        <w:rPr>
          <w:rFonts w:ascii="Amiri" w:hAnsi="Amiri" w:eastAsia="Amiri" w:cs="Amiri"/>
          <w:color w:val="111111"/>
          <w:sz w:val="28"/>
          <w:sz w:val="28"/>
          <w:szCs w:val="28"/>
          <w:rtl w:val="true"/>
          <w:lang w:bidi="ar-SA"/>
        </w:rPr>
        <w:t>النصّ أو طرح الظاهر المنافي له رأسا، و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تنقلب النسبة فيحدث الترجيح في المتعارضات بنسبة واحدة ، كما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أنّ الفسّاق أكثر فردا من العلماء خصّ بغير العلماء، فيخرج العالم الفاسق عن الحرمة، و يبقى الفرد الشاعر من العلماء الفسّاق مردّدا بين الوجوب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فرض أنّ الفسّاق بعد إخراج العلماء أقلّ فردا من الشعراء خصّ الشعراء به ، فالفاسق الشاعر غير مستحبّ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صيرورة الشعراء بعد التخصيص بالفسّاق أقلّ موردا من العلماء خصّ دليل العلماء بدليله، فيحكم بأنّ مادّة الاجتماع بين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العالم الشاعر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ما ذكرنا صورة وجود المرجّح من غير جهة الدلالة لبعضها على بعض</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المسألة لاتخلو عن التأمّل و الدقّة و الجمع بین الأدلّة لیس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الغرض من إطالة الكلام في ذلك التنبيه على وجوب التأمّل في علاج الدلالة عند التعارض؛ لأنّا قد عثرنا في كتب الاستدلال على بعض الزلّات، و اللّه مقيل العثرات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الآیة بعضها موافقةٌ و بعضها مخالفةٌ للآیة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یتصوّر لهذه الحالة وجوهٌ کثیرة و یشیر إلی وجهین منها</w:t>
      </w:r>
      <w:r>
        <w:rPr>
          <w:rFonts w:eastAsia="IRNazanin" w:cs="IRNazanin"/>
          <w:color w:val="111111"/>
          <w:sz w:val="28"/>
          <w:szCs w:val="28"/>
          <w:rtl w:val="true"/>
          <w:lang w:bidi="fa-IR"/>
        </w:rPr>
        <w:t xml:space="preserve">: </w:t>
      </w:r>
      <w:bookmarkStart w:id="222" w:name="pg16646_227793"/>
    </w:p>
    <w:p>
      <w:pPr>
        <w:pStyle w:val="BookText"/>
        <w:rPr/>
      </w:pPr>
      <w:bookmarkEnd w:id="222"/>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غیر الآیة، هی التباین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الوجه، نأخذ الدلیل الموافق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غیر الآیة، هی العموم و الخصوص المطلق و الآیة موافقة للعامّ المطلق و العامّ مقدّمٌ زماناً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الوجه، نأخذ الدلیل المخالف للآیة،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نعمل بعموم الآیة و نخصّص الآیة بالخاص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المسآلة توجد فی غیر الآیة منحصراً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حکم هذه الصورة فی المراحل الآتیة إن شاء الله تعالی</w:t>
      </w:r>
      <w:r>
        <w:rPr>
          <w:rFonts w:eastAsia="IRNazanin" w:cs="IRNazanin"/>
          <w:color w:val="111111"/>
          <w:sz w:val="28"/>
          <w:szCs w:val="28"/>
          <w:rtl w:val="true"/>
          <w:lang w:bidi="fa-IR"/>
        </w:rPr>
        <w:t>.</w:t>
      </w:r>
    </w:p>
    <w:p>
      <w:pPr>
        <w:pStyle w:val="Heading2"/>
        <w:numPr>
          <w:ilvl w:val="1"/>
          <w:numId w:val="1"/>
        </w:numPr>
        <w:rPr/>
      </w:pPr>
      <w:bookmarkStart w:id="223" w:name="__RefHeading___Toc12020101_1280447820"/>
      <w:bookmarkStart w:id="224" w:name="_Toc82"/>
      <w:bookmarkEnd w:id="223"/>
      <w:r>
        <w:rPr>
          <w:rtl w:val="true"/>
        </w:rPr>
        <w:t>تطبیقاتٌ</w:t>
      </w:r>
      <w:r>
        <w:rPr>
          <w:rtl w:val="true"/>
        </w:rPr>
        <w:t>:</w:t>
      </w:r>
      <w:bookmarkEnd w:id="2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الإمام الخمینی فی حرمة 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حرام بالأدلّة الأربعة، والظاهر أنّها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كونها كبيرة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ذيل الآية الكريمة تنبيه على تجسّم عمل المغتاب في الآخرة بصورة أكل لحم ميتة أخيه، و هو إيعاد بالعذاب</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الإمام الخمینی فی حرمة غیبة الصبی الممیّز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دخول الصبيّ المميّز المدرك للحسن و القبح المتأثّر عن ذكر معايبه فيها؛ لإطلاق بعض الأدلّة وصدق الأخ عليه وكذا المؤمن و المسلم بعد كونه معتقداً بما اعتقد به المسلمون كما هو الغالب في المميّز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اندراجه في الموضوع لو شكّ في الصدق بالآية الكريمة،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الْيَتٰامىٰ قُلْ إِصْلاٰحٌ لَهُمْ خَيْرٌ وَ إِنْ تُخٰالِطُوهُمْ فَإِخْوٰانُكُمْ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الأنصاری فی حرمة النمیمة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من الكبائر،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و النمّام قاطع لما أمر اللّه بصلته و 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المرادة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الأنصاری فی جواز الولایة من قبل الجائر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يسوّغ الولاية المذكورة أمران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بمصالح العباد، بلا خلاف، على الظاهر المصرّح به في المحكي عن بعض،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تقلّد الأمر من قبل الجائر جائز إذا تمكّن معه من إيصال الحقّ لمستحقه، بالإجماع و السنّة الصحيحة،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الروحانی فی حرمة سبّ المومن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يدل على حرمته من الكتاب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السب من اوضح مصاديق قول الزور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الروحانی فی حرمة معونة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و لا كلام في حرمة معونة الظالمين في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تشهد لحرمتها الادلة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الركون هو الميل فتدل الآية على حرمة المعونة بالأولوية، أو المراد به الدخول معهم في ظلمهم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الخوئی فی أدلّة إثبات أصالة اللزوم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المراد منها وجوب العمل والوفاء بالعقد أو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 به العقد في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هو المعاقدة الاعتبارية كالعقد الحقيقي في مثل عقد حبل بحبل آخر، فمقتضى الآية أنّ الوفاء والعمل على طبق العقد لازم وأنّ نقض ذلك حرام على نحو الاطلاق، بمعنى أنّ نقضه حرام قبل الفسخ وبعده وفي هذا الزمان وذاك الزمان، لأن الاطلاق يشمل جميع الأزمان فتدلّ الآية على حرمة التصرف في المال بعد الفسخ وقبله، وبالدلالة الالتزامية تدلّ على أنّ البيع لازم ولايرتفع بالفسخ، إذ لو جاز فسخه لما كان لحرمة نقضه على نحو الاطلاق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ملكه حينئذٍ والتصرف في ملك نفسه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الكريمة دالّة على الحكم التكليفي والوضعي معاً، أو أنّها تدلّ على الحكم التكليفي فقط وينتزع منه الحكم الوضعي على </w:t>
      </w:r>
    </w:p>
    <w:p>
      <w:pPr>
        <w:pStyle w:val="BookText"/>
        <w:rPr/>
      </w:pPr>
      <w:r>
        <w:rPr>
          <w:rFonts w:ascii="Amiri" w:hAnsi="Amiri" w:eastAsia="Amiri" w:cs="Amiri"/>
          <w:color w:val="111111"/>
          <w:sz w:val="28"/>
          <w:sz w:val="28"/>
          <w:szCs w:val="28"/>
          <w:rtl w:val="true"/>
          <w:lang w:bidi="ar-SA"/>
        </w:rPr>
        <w:t xml:space="preserve">مسلكه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الخوئی فی أدلّة خیار الغبن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استدلّ عليه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بتقريب أنّ المشتري إنما رضي بالمعاملة والمبادلة على تقدير عدم زيادة القيمة عن القيمة السوقية، فكأنه قيّد المعاملة بتساوي القيمتين، إلّاأنّ هذا القيد والشرط لمّا لم يكن من أركان المعاملة فلا جرم لم يوجب انتفاؤه انتفاء المعاملة رأساً، وإنما أوجب تخلّفه الخيار نظير تخلّف سائر الأوصاف غير المقوّمة للمعاملة هذا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قال أیضاً فی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استدل لثبوت هذا الخيار بوجوه اخر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بهذه الآية المباركة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للبيع مع الخدعة صور ثلاث،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قبل انكشاف الغبن وقبل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بعد انكشاف الغبن وبعد عدم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بعد انكشاف الغبن مع 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البيع فيما إذا انكشف الغبن ولكن المغبون رضي بغبنه، فلا إشكال في صحته وعدم كون ذلك من الأكل بالباطل لغرض رضاه بالغبن فهي صحيحة ولو بالأولوية المستفادة مما دل على صحة بيع المكره فيما إذا رضي به بعد الاكراه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أكل المال بالباطل، إذ المفروض عدم </w:t>
      </w:r>
    </w:p>
    <w:p>
      <w:pPr>
        <w:pStyle w:val="BookText"/>
        <w:rPr/>
      </w:pPr>
      <w:r>
        <w:rPr>
          <w:rFonts w:ascii="Amiri" w:hAnsi="Amiri" w:eastAsia="Amiri" w:cs="Amiri"/>
          <w:color w:val="111111"/>
          <w:sz w:val="28"/>
          <w:sz w:val="28"/>
          <w:szCs w:val="28"/>
          <w:rtl w:val="true"/>
          <w:lang w:bidi="ar-SA"/>
        </w:rPr>
        <w:t>رضا المغبون بالغبن، فتكون المعاملة حينئذ مصداقاً للأكل بالباطل وهو حرام وفاسد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 ما ذكرناه في الصورة الثانية وإن كان هو بطلانها أيضاً، لأنّ مقتضى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جواز أكل أموال الناس بغير رضى منهم، والمفروض في الصورة الاُولى عدم رضا المغبون لعدم علمه بالحال، ومع عدم الرضا لا تكون المعاملة صحيحة ومن التجارة عن تراضٍ فلا محالة تقع فاسدة، إلّاأنّا خرجنا عن مقتضى الآية المباركة في الصورة الاُولى بالاجماع القائم على صحة المعاملة قبل انكشاف الغبن وقبل رضا المغبون هذا ما أفاده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بالآية المباركة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العلامه الحلیّ فی تخصیص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الكتاب بالكتاب، و هو جائز، خلافا للظاهرية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بالسنة المتواترة جائز، خلافا لبعض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لا يرث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تخصيص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كتخصيص آية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برجم المحصن كما في قول الصادق 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و الحرة إذا زنيا جلد كلّ واحد منهما مائة جلدة، فأما المحصن و المحصنة فعليها الرجم</w:t>
      </w:r>
      <w:r>
        <w:rPr>
          <w:rFonts w:eastAsia="Amiri" w:cs="Amiri" w:ascii="Amiri" w:hAnsi="Amiri"/>
          <w:color w:val="111111"/>
          <w:sz w:val="28"/>
          <w:szCs w:val="28"/>
          <w:rtl w:val="true"/>
          <w:lang w:bidi="ar-SA"/>
        </w:rPr>
        <w:t>»</w:t>
      </w:r>
      <w:r>
        <w:rPr>
          <w:rStyle w:val="FootnoteAnchor"/>
          <w:rtl w:val="true"/>
        </w:rPr>
        <w:footnoteReference w:id="144"/>
      </w:r>
      <w:bookmarkStart w:id="225" w:name="pg16646_227803"/>
    </w:p>
    <w:p>
      <w:pPr>
        <w:pStyle w:val="Heading2"/>
        <w:numPr>
          <w:ilvl w:val="1"/>
          <w:numId w:val="1"/>
        </w:numPr>
        <w:rPr/>
      </w:pPr>
      <w:bookmarkStart w:id="226" w:name="__RefHeading___Toc12020103_1280447820"/>
      <w:bookmarkStart w:id="227" w:name="_Toc83"/>
      <w:bookmarkEnd w:id="225"/>
      <w:bookmarkEnd w:id="226"/>
      <w:r>
        <w:rPr>
          <w:rtl w:val="true"/>
        </w:rPr>
        <w:t>المرحلة الثالثة</w:t>
      </w:r>
      <w:r>
        <w:rPr>
          <w:rtl w:val="true"/>
        </w:rPr>
        <w:t xml:space="preserve">: </w:t>
      </w:r>
      <w:r>
        <w:rPr>
          <w:rtl w:val="true"/>
        </w:rPr>
        <w:t>الرجوع إلی الروایات</w:t>
      </w:r>
      <w:bookmarkEnd w:id="227"/>
    </w:p>
    <w:p>
      <w:pPr>
        <w:pStyle w:val="BookText"/>
        <w:rPr/>
      </w:pPr>
      <w:r>
        <w:rPr>
          <w:rFonts w:ascii="IRNazanin" w:hAnsi="IRNazanin" w:eastAsia="IRNazanin"/>
          <w:color w:val="111111"/>
          <w:sz w:val="28"/>
          <w:sz w:val="28"/>
          <w:szCs w:val="28"/>
          <w:rtl w:val="true"/>
          <w:lang w:bidi="fa-IR"/>
        </w:rPr>
        <w:t>المسألة التی یرید المستنبط إثبات حکمها، لها ثلاثة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المسألة توجد فی الروایة منحصراً؛ و هذه الصورة أکثر مورداً من الصور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یستنبط الحکم عن الروایة بالعلوم المختلفة التی تقدّم ذکرها فی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للوصول إلی عدم تعرّض سائر الأدلّة لحکم المسألة، یجب التفحص فی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مقدار وجوب الفحص فی 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المسألة توجد فی الروایة و غیر الروایة؛ و لها ثلاثة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الروایة، موافقةٌ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الحالة یحکم علی مؤدّی الروایة و غیر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الروایة مخالفةٌ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الحالة، إن کان فی ضمن مخالفة الآیة للروایة، تقدّم حکمها فی المرحلة الثانیة؛ و إن کان فی ضمن مخالفة غیر الآیة کالإجماع و العقل للروایة، نقدّم الإجماع علی الروایة و الروایة علی العقل فی المسائل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الروایة بعضها مخالفة و بعضها موافقة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هذه الحالة، هو الحکم المتقدّم فی الحالة الثالثة من المرحلة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المسألة توجد فی غیر الروایة منحصراً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حکم هذه الصورة من المرحلة الثانیة و المراحل الآتیة</w:t>
      </w:r>
      <w:r>
        <w:rPr>
          <w:rFonts w:eastAsia="IRNazanin" w:cs="IRNazanin"/>
          <w:color w:val="111111"/>
          <w:sz w:val="28"/>
          <w:szCs w:val="28"/>
          <w:rtl w:val="true"/>
          <w:lang w:bidi="fa-IR"/>
        </w:rPr>
        <w:t xml:space="preserve">. </w:t>
      </w:r>
      <w:bookmarkStart w:id="228" w:name="pg16646_227805"/>
    </w:p>
    <w:p>
      <w:pPr>
        <w:pStyle w:val="Heading2"/>
        <w:numPr>
          <w:ilvl w:val="1"/>
          <w:numId w:val="1"/>
        </w:numPr>
        <w:rPr/>
      </w:pPr>
      <w:bookmarkStart w:id="229" w:name="__RefHeading___Toc12020105_1280447820"/>
      <w:bookmarkStart w:id="230" w:name="_Toc84"/>
      <w:bookmarkEnd w:id="228"/>
      <w:bookmarkEnd w:id="229"/>
      <w:r>
        <w:rPr>
          <w:rtl w:val="true"/>
        </w:rPr>
        <w:t>تطبیقاتٌ</w:t>
      </w:r>
      <w:r>
        <w:rPr>
          <w:rtl w:val="true"/>
        </w:rPr>
        <w:t>:</w:t>
      </w:r>
      <w:bookmarkEnd w:id="23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کاشف الغطاء فی وجوب غسل البشرة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لا يجب غسل الشعر في الغسل مطلقاً إلا إذا توقف عليه غسل البشرة لظاهر الاتفاق و للأصل و لعدم شمول أوامر غسل البدن له و لقوله عليه السلام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تنفض الامرأة شعرها إذا اغتسلت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إيصال الماء إلى أصوله بحيث يستدير الماء حول كل شعرة شعر لقيام الشعرة مقام منبتها و ذهب بعض إلى وجوب غسل الشعر مع البشرة استناداً إلى ظاهر روايات دالة على ذلك كقوله عليه السلام 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شعره من الجنابة متعمداً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كل شعرة جنابة فبلوا الشعر و انقوا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ما بلغ بلل الماء في شعرها أجزأها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غسل الجنابة أنه في كل عرق و شعرة جنابة و إلى غير ذلك من الروايات المشعرة بذلك</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الحلی فی حرمة لبس الحریر للرجال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يحرم لبس الحرير المحض للرجال بإجماع علماء الإسلام، و لا تصح الصلاة فيه عند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رواية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يدل على الفساد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لباس الحرير و الذهب على ذكور أمتي، و أحلّ لأناثهم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 ما رواه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هل يصلّى في قلنسوة حرير أو ديباج؟ فكتب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في حرير محض</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الشهید الصدر فی وجه نجاسة النبیذ المسکر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الروايات الدالّة على نجاسة الخمر بعنوانه، فتلك لا يلزم منها نجاسة النبيذ المسكر، لا عرفاً، ولا متشرّعيّاً،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الاقتصار على الروايات التي تدلّ على نجاسة النبيذ المسكر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من هذه الروايات ما هو تامّ سنداً ودلالةً إلَّا روايات أربع ورد فيها عنوان النبيذ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بن موسى عن أبي عبد الله عليه السلام، في الإناء يُشرب فيه النبيذ؟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ادّعي أنَّها حاكمة على أخبار الطهارة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زرارة عن أبي جعفر وأبي عبد الله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الخمر يصيب ثوب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يصلّي فيه،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غير زرارة،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إن عرفت موضعه، وإن لم تعرف موضعه فاغسله كلّه، وإن صلّيت فيه فأعد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الروايتان بالإمكان أن يدّعى أنَّهما من قبيل الصريح في الدلالة على النجاسة، بحيث لا يحسن فيهما الجمع العرفيّ بالحمل على الاستحباب، فتتشكّل منهما المرتبة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عمّار، عن أبي عبد الله عليه السلام،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بيتٍ فيه خمر ولا مسكر؛ لأنَّ الملائكة لا تدخله، ولا تصلّ في ثوبٍ قد أصابه خمر أو مسكر حتّى تغسله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الحکیم فی 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اختلفت الأخبار الدالّة على وقت الفضيلة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إنتهائه بالقدمين و الأربعة أقدام، كصحيح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الظهر بعد الزوال قدمان، و وقت العصر بعد ذلك 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رواية عبيد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وقت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الشتاء و الصيف سواء؟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مكاتبة محمد بن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فصل سبحتك و أحب أن يكون فراغك من الفريضة و الشمس على قدمين، ثمَّ صل سبحتك و أحب أن يكون فراغك من العصر و الشمس على أربعة أقدام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دخوله بعد القدمين و الأربعة، كصحيح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وقت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العصر ذراع من وقت الظهر فذلك أربعة أقدام من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حائط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قامة و كان إذا مضى منه ذراع صلى الظهر و إذا مضى منه ذراعان صلى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تدري لم جعل الذراع و الذراعين؟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النافلة، لك أن تتنفل من زوال الشمس إلى أن يمضي ذراع، فاذا بلغ فيؤك ذراعاً بدأت بالفريضة و تركت النافلة، و إذا بلغ فيؤك ذراعين بدأت بالفريضة و تركت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الصدر و إن كان ظاهراً في كونه من القسم الأول لكن الذيل يوجب حمله على القسم الثاني</w:t>
      </w:r>
      <w:r>
        <w:rPr>
          <w:rFonts w:eastAsia="IRNazanin" w:cs="IRNazanin"/>
          <w:color w:val="111111"/>
          <w:sz w:val="28"/>
          <w:szCs w:val="28"/>
          <w:rtl w:val="true"/>
          <w:lang w:bidi="fa-IR"/>
        </w:rPr>
        <w:t>.</w:t>
      </w:r>
      <w:r>
        <w:rPr>
          <w:rStyle w:val="FootnoteAnchor"/>
          <w:rtl w:val="true"/>
        </w:rPr>
        <w:footnoteReference w:id="14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الصافی فی وجوب الحجّ مرّة واحدة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يجب الحج بأصل الشرع إلا مرة واحدة إجماعاً من المسلمين، و للنصوص الكثيرة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صحيح البرقي في المحاسن عن علي بن الحكم، عن هشام 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كلف اللّٰه العباد إلا ما يطيقون، إنما كلفهم في اليوم و الليلة خمس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كلفهم حجة واحدة و هم يطيقون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فضل بن شاذان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امروا بحجة واحدة لا أكثر من ذلك، لأن اللّٰه فرض الفرائض على أدنى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منتعليل الإمام عليه السلام أن 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الحج مرة واحدة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روايات باب التسويف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و قد ترك الحج فقد ترك شريعة من شرايع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الإمام الخمینی فی صحّة المعاطاة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استدلّ أيضاً بالمرسلة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المعاطاة و نقل الأموال بها من أنواع السلطنة على المال، و المنع عنها تضييق لها، فالرواية ترفعه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به ما ورد من قوله عليه السلام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الأنصاری فی جواز بیع بول الإبل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بول الإبل يجوز بيعه إجماعاً على ما في جامع المقاصد و عن إيضاح النافع أمّا لجواز شربه اختياراً، كما يدلّ عليه قوله عليه السلام في رواية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 الإبل خيرٌ من ألبانها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لأجل الإجماع المنقول، لو قلنا بعدم جواز شربها إلّا لضرورة الاستشفاء، كما يدلّ عليه رواية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بول الإبل و البقر و الغنم ينتفع به من الوجع، هل يجوز أن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موثّقة عمّار، عن بول البقر يشربه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محتاجاً إليه يتداوى بشربه فلا بأس، و كذلك بول الإبل و الغنم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الأنصاری فی وجه إتلاف بعض الدراهم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الخارجة المعمولة لأجل غشّ الناس</w:t>
      </w:r>
    </w:p>
    <w:p>
      <w:pPr>
        <w:pStyle w:val="BookText"/>
        <w:rPr/>
      </w:pPr>
      <w:r>
        <w:rPr>
          <w:rFonts w:ascii="Amiri" w:hAnsi="Amiri" w:eastAsia="Amiri" w:cs="Amiri"/>
          <w:color w:val="111111"/>
          <w:sz w:val="28"/>
          <w:sz w:val="28"/>
          <w:szCs w:val="28"/>
          <w:rtl w:val="true"/>
          <w:lang w:bidi="ar-SA"/>
        </w:rPr>
        <w:t xml:space="preserve">إذا لم يفرض على هيئتها الخاصّة منفعة محلّلة معتدّ بها، مثل التزيّن، أو الدفع إلى الظالم الذي يريد مقداراً من المال كالعَشّار و نحوه بناءً على جواز ذلك و عدم وجوب إتلاف مثل هذه الدراهم و لو بكسرها من باب دفع مادّة الفساد، كما يدلّ عليه قوله عليه السلام في رواية الجعفي مشيراً إلى درهمٍ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اكسر هذا؛ فإنّه لا يَحِلُّ بيعه و لا إنفاقه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موسى بن بكير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نصفين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r>
        <w:rPr>
          <w:rStyle w:val="FootnoteAnchor"/>
          <w:rtl w:val="true"/>
        </w:rPr>
        <w:footnoteReference w:id="152"/>
      </w:r>
      <w:bookmarkStart w:id="231" w:name="pg16646_227816"/>
    </w:p>
    <w:p>
      <w:pPr>
        <w:pStyle w:val="Heading2"/>
        <w:numPr>
          <w:ilvl w:val="1"/>
          <w:numId w:val="1"/>
        </w:numPr>
        <w:rPr/>
      </w:pPr>
      <w:bookmarkStart w:id="232" w:name="__RefHeading___Toc12020107_1280447820"/>
      <w:bookmarkStart w:id="233" w:name="_Toc85"/>
      <w:bookmarkEnd w:id="231"/>
      <w:bookmarkEnd w:id="232"/>
      <w:r>
        <w:rPr>
          <w:rtl w:val="true"/>
        </w:rPr>
        <w:t>المرحلة الرابعة</w:t>
      </w:r>
      <w:r>
        <w:rPr>
          <w:rtl w:val="true"/>
        </w:rPr>
        <w:t xml:space="preserve">: </w:t>
      </w:r>
      <w:r>
        <w:rPr>
          <w:rtl w:val="true"/>
        </w:rPr>
        <w:t>الرجوع إلی الإجماعات</w:t>
      </w:r>
      <w:bookmarkEnd w:id="233"/>
    </w:p>
    <w:p>
      <w:pPr>
        <w:pStyle w:val="BookText"/>
        <w:rPr/>
      </w:pPr>
      <w:r>
        <w:rPr>
          <w:rFonts w:ascii="IRNazanin" w:hAnsi="IRNazanin" w:eastAsia="IRNazanin"/>
          <w:color w:val="111111"/>
          <w:sz w:val="28"/>
          <w:sz w:val="28"/>
          <w:szCs w:val="28"/>
          <w:rtl w:val="true"/>
          <w:lang w:bidi="fa-IR"/>
        </w:rPr>
        <w:t>المسألة التی یرید المستنبط إثبات حکمها، لها ثلاثة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المسألة توجد فی الإجماع منحصراً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یستنبط الحکم عن الإجماع بالعلوم المختلفة التی تقدّم ذکرها فی المدخل و عند الشک فی مقدار دلالة الإجماع، نأخذ بالقدر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للوصول إلی عدم تعرّض سائر الأدلّة لحکم المسألة، یجب التفحص فی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مقدار وجوب الفحص فی 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المسألة یوجد فی الإجماع و غیر الإجماع؛ و لها ثلاثة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الإجماع موافقٌ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الحالة، یحکم علی مؤدّی غیر الإجماع و لا إعتبار بالإجماع؛ لأنّ الإجماع فی هذه الحالة، مدرکیّ أو محتمل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الإجماع مخالفٌ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الحالة یقدّم الإجماع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الإجماع بعضها موافقٌ و بعضها مخالفٌ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هذه الحالة، هو الحکم المتقدّم فی الحالة الثالثة من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المسألة توجد فی غیر الإجماع منحصراً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حکم هذه الصورة من المراحل المتقدّمة و الآتیة</w:t>
      </w:r>
      <w:r>
        <w:rPr>
          <w:rFonts w:eastAsia="IRNazanin" w:cs="IRNazanin"/>
          <w:color w:val="111111"/>
          <w:sz w:val="28"/>
          <w:szCs w:val="28"/>
          <w:rtl w:val="true"/>
          <w:lang w:bidi="fa-IR"/>
        </w:rPr>
        <w:t>.</w:t>
      </w:r>
    </w:p>
    <w:p>
      <w:pPr>
        <w:pStyle w:val="Heading2"/>
        <w:numPr>
          <w:ilvl w:val="1"/>
          <w:numId w:val="1"/>
        </w:numPr>
        <w:rPr/>
      </w:pPr>
      <w:bookmarkStart w:id="234" w:name="__RefHeading___Toc12020109_1280447820"/>
      <w:bookmarkStart w:id="235" w:name="_Toc86"/>
      <w:bookmarkEnd w:id="234"/>
      <w:r>
        <w:rPr>
          <w:rtl w:val="true"/>
        </w:rPr>
        <w:t>تطبیقاتٌ</w:t>
      </w:r>
      <w:r>
        <w:rPr>
          <w:rtl w:val="true"/>
        </w:rPr>
        <w:t>:</w:t>
      </w:r>
      <w:bookmarkEnd w:id="23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الجواهر فی عدم تنجّس الماء لو تغیّر بأحد أوصاف </w:t>
      </w:r>
    </w:p>
    <w:p>
      <w:pPr>
        <w:pStyle w:val="BookText"/>
        <w:rPr/>
      </w:pPr>
      <w:r>
        <w:rPr>
          <w:rFonts w:ascii="Amiri" w:hAnsi="Amiri" w:eastAsia="Amiri" w:cs="Amiri"/>
          <w:color w:val="111111"/>
          <w:sz w:val="28"/>
          <w:sz w:val="28"/>
          <w:szCs w:val="28"/>
          <w:rtl w:val="true"/>
          <w:lang w:bidi="ar-SA"/>
        </w:rPr>
        <w:t>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 الجمل لابن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نجاسة الجاري، مع التصريح فيه بعدم الفرق بين القليل و الكثير ، و مثله عن الغنية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ظهر من عبارة الخلاف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فيه على مخالف ممّن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ممّن تقدّم على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رأي العلّامة بنجاسة الجاري القليل بالملاقاة في جامع المقاصد إلى مخالفة مذهب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حواشي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على عدم اشتراط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ظهر من المصابيح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للمتأمّل المتروّي في كلمات الأصحاب 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اشتراط الكرّية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الخوئی فی وجه بطلان أعمال الجاهل المقصّر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المقصّر غير الملتفت فقد ادعوا الإجماع على بطلان عمله و انّه كالعالم و المتعمد في ترك الواجب و معه لا يفرق بين قسمي الجاهل المقصّر أعني الملتفت و غير الملتفت في بطلان عملهما و عدم كونهما مشمولين للحديث، هذا إذا تمّ الإجماع كما ادعي</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الحلیّ فی حکم بول الصبیّ الذی لم یتغذّ بالطّعام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الصبي الذي لم يغتذ بالطعام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بإجماع العلماء</w:t>
      </w:r>
      <w:r>
        <w:rPr>
          <w:rFonts w:eastAsia="IRNazanin" w:cs="IRNazanin"/>
          <w:color w:val="111111"/>
          <w:sz w:val="28"/>
          <w:szCs w:val="28"/>
          <w:rtl w:val="true"/>
          <w:lang w:bidi="fa-IR"/>
        </w:rPr>
        <w:t>».</w:t>
      </w:r>
      <w:r>
        <w:rPr>
          <w:rStyle w:val="FootnoteAnchor"/>
          <w:rtl w:val="true"/>
        </w:rPr>
        <w:footnoteReference w:id="15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الإمام الخمینی فی حرمة الإنتفاع بالمیتة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ما يمنعنا عن الجرأة إلى الذهاب إلى الجواز، هو دعاوي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الخلاف، وعدم وجدانه، والشهرة في المسألة؛ أهمّها ما حكي عن الحلّي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صحيحة البزنطي المتقدّمة الدالّة على جواز الانتفاع بأليات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يلتفت إلى هذا الحديث، فإنّه من نوادر الأخبار، والإجماع منعقد على تحريم الميتة و التصرّف فيها بكلّ حال إلّاأكلها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عدم جواز الانتفاع بأليات الميتة، والمبانة من الحيّ، موضع وفاق</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الأنصاری فی البحث عن لزوم المعاطاة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باللزوم في مطلق الملك و في خصوص البيع ممّا لا ينكر، إلّا أنّ الظاهر فيما نحن فيه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لزوم المعاطاة، بل ادّعاه صريحاً بعض الأساطين في شرح القواعد ، و يعضده الشهرة المحقّقة، بل لم يوجد به قائل إلى زمان بعض متأخّري المتأخّرين</w:t>
      </w:r>
      <w:r>
        <w:rPr>
          <w:rFonts w:eastAsia="Amiri" w:cs="Amiri" w:ascii="Amiri" w:hAnsi="Amiri"/>
          <w:color w:val="111111"/>
          <w:sz w:val="28"/>
          <w:szCs w:val="28"/>
          <w:rtl w:val="true"/>
          <w:lang w:bidi="ar-SA"/>
        </w:rPr>
        <w:t>.</w:t>
      </w:r>
      <w:r>
        <w:rPr>
          <w:rStyle w:val="FootnoteAnchor"/>
          <w:rtl w:val="true"/>
        </w:rPr>
        <w:footnoteReference w:id="157"/>
      </w:r>
      <w:bookmarkStart w:id="236" w:name="pg16646_227822"/>
    </w:p>
    <w:p>
      <w:pPr>
        <w:pStyle w:val="Heading2"/>
        <w:numPr>
          <w:ilvl w:val="1"/>
          <w:numId w:val="1"/>
        </w:numPr>
        <w:rPr/>
      </w:pPr>
      <w:bookmarkStart w:id="237" w:name="__RefHeading___Toc12020111_1280447820"/>
      <w:bookmarkStart w:id="238" w:name="_Toc87"/>
      <w:bookmarkEnd w:id="236"/>
      <w:bookmarkEnd w:id="237"/>
      <w:r>
        <w:rPr>
          <w:rtl w:val="true"/>
        </w:rPr>
        <w:t>المرحلة الخامسة</w:t>
      </w:r>
      <w:r>
        <w:rPr>
          <w:rtl w:val="true"/>
        </w:rPr>
        <w:t xml:space="preserve">: </w:t>
      </w:r>
      <w:r>
        <w:rPr>
          <w:rtl w:val="true"/>
        </w:rPr>
        <w:t>الرجوع إلی العقل</w:t>
      </w:r>
      <w:bookmarkEnd w:id="238"/>
    </w:p>
    <w:p>
      <w:pPr>
        <w:pStyle w:val="BookText"/>
        <w:rPr/>
      </w:pPr>
      <w:r>
        <w:rPr>
          <w:rFonts w:ascii="IRNazanin" w:hAnsi="IRNazanin" w:eastAsia="IRNazanin"/>
          <w:color w:val="111111"/>
          <w:sz w:val="28"/>
          <w:sz w:val="28"/>
          <w:szCs w:val="28"/>
          <w:rtl w:val="true"/>
          <w:lang w:bidi="fa-IR"/>
        </w:rPr>
        <w:t>المسألة التی یرید المستنبط إثبات حکمها، لها ثلاثة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المسألة توجد فی العقل منحصراً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یستنبط الحکم عن الإجماع بالعلوم المختلفة التی تقدّم ذکرها فی المدخل و عند الشک فی مقدار دلالة الإجماع، نأخذ بالقدر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للوصول إلی عدم تعرّض سائر الأدلّة لحکم المسألة، یجب التفحص فی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مقدار وجوب الفحص فی المرحلة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المسألة توجد فی العقل و غیر العقل؛ و لها ثلاثة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العقل موافقٌ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الحالة یحکم علی مؤدّی العقل و سائر الأدلّة 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العقل مخالفٌ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الحالة یحکم علی مؤدّی غیر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العقل بعضها موافقٌ و بعضها مخالفٌ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هذه الحالة، هو الحکم المتقدّم فی الحالة الثالثة من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المسألة توجد فی غیر العقل منحصراً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حکم هذه الصورة من المراحل المتقدّمة و المرحلة الآتیة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حکم العقل تدور مدار الحسن و القبح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فی الموضوع حسنٌ، حکم العقل بالوجوب أو الإستحباب؛ و کلّما کان فیه قبحٌ، حکم العقل بالحرمة أو الکراهة</w:t>
      </w:r>
      <w:r>
        <w:rPr>
          <w:rFonts w:eastAsia="IRNazanin" w:cs="IRNazanin"/>
          <w:color w:val="111111"/>
          <w:sz w:val="28"/>
          <w:szCs w:val="28"/>
          <w:rtl w:val="true"/>
          <w:lang w:bidi="fa-IR"/>
        </w:rPr>
        <w:t xml:space="preserve">. </w:t>
      </w:r>
      <w:bookmarkStart w:id="239" w:name="pg16646_227824"/>
    </w:p>
    <w:p>
      <w:pPr>
        <w:pStyle w:val="Heading2"/>
        <w:numPr>
          <w:ilvl w:val="1"/>
          <w:numId w:val="1"/>
        </w:numPr>
        <w:rPr/>
      </w:pPr>
      <w:bookmarkStart w:id="240" w:name="__RefHeading___Toc12020113_1280447820"/>
      <w:bookmarkStart w:id="241" w:name="_Toc88"/>
      <w:bookmarkEnd w:id="239"/>
      <w:bookmarkEnd w:id="240"/>
      <w:r>
        <w:rPr>
          <w:rtl w:val="true"/>
        </w:rPr>
        <w:t>تطبیقاتٌ</w:t>
      </w:r>
      <w:r>
        <w:rPr>
          <w:rtl w:val="true"/>
        </w:rPr>
        <w:t>:</w:t>
      </w:r>
      <w:bookmarkEnd w:id="24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الأنصاری فی ثبوت الولایة للمعصومین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مقتضى الأصل عدم ثبوت الولاية لأحد بشيء من الوجوه المذكورة، خرجنا عن هذا الأصل في خصوص النبيّ و الأئمة صلوات اللّٰه عليهم أجمعين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فالمستقلّ منه حكمه بوجوب شكر المنعم بعد معرفة أنّهم أولياء النعم، و الغير المستقلّ حكمه بأنّ الأُبوّة إذا اقتضت وجوب طاعة الأب على الابن في الجملة، كانت الإمامة مقتضية لوجوب طاعة الإمام على الرعيّة بطريق أولى؛ لأنّ الحقّ هنا أعظم بمراتب، فتأمّل</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الخوئی فی وجوب تقلید الأعلم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المقدمات قد استقل أن الشارع نصب طريقاً للعامّي لا محالة، و ليس ذلك هو الاحتياط لأنه غير ميسور في حقه، و لا أنه الظن لأنه لا ظن للمقلد أو لا أثر له، فيتعيّن أن يكون الطريق فتوى عالم ما، و القدر المتيقن فتوى الأعلم فيحتاج حجية فتوى غير الأعلم إلى دليل</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الأستاذ السبحانی فی وجه إشتراط الذکوریّة للقاضی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قوام القضاء بالاحتجاج والجدال وتحقيق الحقّ وهو رهن منطق قوي وعقل واع، والمرأة فاقدة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المتوسطين من الرجال أعقل من متوسطات النساء وأبين حجّة وأوضح بياناً، فلا </w:t>
      </w:r>
    </w:p>
    <w:p>
      <w:pPr>
        <w:pStyle w:val="BookText"/>
        <w:rPr/>
      </w:pPr>
      <w:r>
        <w:rPr>
          <w:rFonts w:ascii="Amiri" w:hAnsi="Amiri" w:eastAsia="Amiri" w:cs="Amiri"/>
          <w:color w:val="111111"/>
          <w:sz w:val="28"/>
          <w:sz w:val="28"/>
          <w:szCs w:val="28"/>
          <w:rtl w:val="true"/>
          <w:lang w:bidi="ar-SA"/>
        </w:rPr>
        <w:t>تصلح الثانية لها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محمد الصدر فی بطلان الفضولی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بالنقل يستهجن التصرّف في مال الغير إلَّا بإذنه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الأنصاری فی حرمة حفظ کتب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في الجملة بلا خلاف، كما في التذكرة و عن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مضافاً إلى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قطع مادة الفساد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الأنصاری فی حرمة سبّ المومنین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حرام في الجملة بالأدلّة الأربعة؛ لأنّه ظلم و إيذاء و إذلال</w:t>
      </w:r>
      <w:r>
        <w:rPr>
          <w:rFonts w:eastAsia="Amiri" w:cs="Amiri" w:ascii="Amiri" w:hAnsi="Amiri"/>
          <w:color w:val="111111"/>
          <w:sz w:val="28"/>
          <w:szCs w:val="28"/>
          <w:rtl w:val="true"/>
          <w:lang w:bidi="ar-SA"/>
        </w:rPr>
        <w:t>.</w:t>
      </w:r>
      <w:r>
        <w:rPr>
          <w:rStyle w:val="FootnoteAnchor"/>
          <w:rtl w:val="true"/>
        </w:rPr>
        <w:footnoteReference w:id="163"/>
      </w:r>
      <w:bookmarkStart w:id="242" w:name="pg16646_227827"/>
    </w:p>
    <w:p>
      <w:pPr>
        <w:pStyle w:val="Heading2"/>
        <w:numPr>
          <w:ilvl w:val="1"/>
          <w:numId w:val="1"/>
        </w:numPr>
        <w:rPr/>
      </w:pPr>
      <w:bookmarkStart w:id="243" w:name="__RefHeading___Toc12020115_1280447820"/>
      <w:bookmarkStart w:id="244" w:name="_Toc89"/>
      <w:bookmarkEnd w:id="242"/>
      <w:bookmarkEnd w:id="243"/>
      <w:r>
        <w:rPr>
          <w:rtl w:val="true"/>
        </w:rPr>
        <w:t>المرحلة السادسة</w:t>
      </w:r>
      <w:r>
        <w:rPr>
          <w:rtl w:val="true"/>
        </w:rPr>
        <w:t xml:space="preserve">: </w:t>
      </w:r>
      <w:r>
        <w:rPr>
          <w:rtl w:val="true"/>
        </w:rPr>
        <w:t>الرجوع إلی الأصول العملیّة</w:t>
      </w:r>
      <w:bookmarkEnd w:id="244"/>
    </w:p>
    <w:p>
      <w:pPr>
        <w:pStyle w:val="BookText"/>
        <w:rPr/>
      </w:pPr>
      <w:r>
        <w:rPr>
          <w:rFonts w:ascii="IRNazanin" w:hAnsi="IRNazanin" w:eastAsia="IRNazanin"/>
          <w:color w:val="111111"/>
          <w:sz w:val="28"/>
          <w:sz w:val="28"/>
          <w:szCs w:val="28"/>
          <w:rtl w:val="true"/>
          <w:lang w:bidi="fa-IR"/>
        </w:rPr>
        <w:t>المسألة التی یرید المستنبط إثبات حکمها، إن لم توجد حکمها فی المراحل السابقة، یستنبط بالأصول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وجه تقدیم سائر الأدلّة علی الأصول العملیّة فی المقدّمة الثانیة</w:t>
      </w:r>
      <w:r>
        <w:rPr>
          <w:rFonts w:eastAsia="IRNazanin" w:cs="IRNazanin"/>
          <w:color w:val="111111"/>
          <w:sz w:val="28"/>
          <w:szCs w:val="28"/>
          <w:rtl w:val="true"/>
          <w:lang w:bidi="fa-IR"/>
        </w:rPr>
        <w:t>.</w:t>
      </w:r>
    </w:p>
    <w:p>
      <w:pPr>
        <w:pStyle w:val="Heading2"/>
        <w:numPr>
          <w:ilvl w:val="1"/>
          <w:numId w:val="1"/>
        </w:numPr>
        <w:rPr/>
      </w:pPr>
      <w:bookmarkStart w:id="245" w:name="__RefHeading___Toc12020117_1280447820"/>
      <w:bookmarkStart w:id="246" w:name="_Toc90"/>
      <w:bookmarkEnd w:id="245"/>
      <w:r>
        <w:rPr>
          <w:rtl w:val="true"/>
        </w:rPr>
        <w:t>تطبیقاتٌ</w:t>
      </w:r>
      <w:r>
        <w:rPr>
          <w:rtl w:val="true"/>
        </w:rPr>
        <w:t>:</w:t>
      </w:r>
      <w:bookmarkEnd w:id="2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الحلیّ فی إباحة نکاح المتعة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بالنقل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أباح النكاح المذكور و لم يثبت النسخ فوجب الحكم باستمرار الإباحة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الحلیّ فی نفقة الزوجات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فتسقط نفقة البواقي لأنهن في حكم الزوجات و كذا لو أسلمن أو بعضهن و هو على كفره و لو لم يدفع النفقة كان لهن المطالبة بها عن الحاضر و الماضي سواء أسلم أو بقي على الكفر و لا يلزمه النفقة لو أسلم دونهن لتحقق منع الاستمتاع منهن و لو اختلف الزوجان في السابق إلى الإسلام ف القول قول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للبراءة الأصلية و لو مات ورثه أربع منهن لكن لما لم يتعين وجب إيقاف الحصة عليهن حتى يصطلحن و الوجه القرعة أو التشريك و لو مات قبل إسلامهن لم يوقف شيء لأن الكافر لا يرث المسلم و يمكن أن يقال ترث من أسلمت قبل القسمة</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العلامة الحلیّ فی الطلاق المعلّق علی الشرط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شك في أن عصمة النكاح مستفادة من الشرع فلا يمكن زوالها بغير وجه شرعي، و لم يثبت في الطلاق المعلق صلاحية لإزالة تلك العصمة و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لأن المؤثر في 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اللفظ و هو باطل و الا انتفتفائدة الشرط أو وقوع المشروط و هو باطل بالإجماع و المجموع و هو باطل لعدم تحققه و ثبوته، فيكون المعدوم مؤثرا في الموجود و هو محال</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فخر المحقّقین فی طهارة ماء الغسل من الحدث الأکبر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المستعمل في الغسل هو الماء المنفصل عن الأعضاء المستعمل في طهارة مبيحة للصلاة من الحدث الأكبر و اجمع أصحابنا على طهارته و كونه مطهرا من الخبث، و هل يطهر من الحدث الأصغر أو الأكبر بمعنى انه يبيح الصلاة من أحدهما اختلف أصحابنا فيه، و ما اختاره هنا هو اختيار المرتضى و ابن إدريس لرفعه الخبث و هو أقوى، و للاستصحاب</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العلامة الحلی فی مسألة نسيان ترتيب الصلوات الفائتة و كيفية إتيانها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مع كل صلاة تماما و قصرا، و ليس بعيدا من الصواب سقوط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المشقة المنفية بالأصل</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العلامة الحلی فی عدم وجوب القضاء و الکفارة بتعمّد الکذب علی الله تعالی أو المعصومین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أوجب الشيخان القضاء و الكفّارة بتعمّد الكذب على اللّٰه تعالى، أو على رسوله، أو على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السيد المرتضى رحمه اللّٰه، و ابن أبي عقيل، و الجمهور كافّة، و هو المعتمد،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لا یخفی أنّ الوقوف علی تطبیقات المراحل واضحٌ لمن کان له أدنی تتبّع فی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المقدّمة الرابعة و به تمّ الکتاب، و الحمد لله علی ما تیسّر لنا من تحریر هذا الکتاب بالفهم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نرجو التوفیق من الحسنات علی ما مضی من السیّئات، بجاه محمّد و آله سیّد السادات، علیهم أفضل الصلوات و أکمل التحیّات، و علی أعدائهم أشدّ اللعنات و أسوء العقوبات،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الکلام إلی هنا یوم الجمعة سابع عشر شوّال المکرّم من شهور عام </w:t>
      </w:r>
      <w:r>
        <w:rPr>
          <w:rFonts w:eastAsia="IRNazanin" w:cs="IRNazanin"/>
          <w:color w:val="111111"/>
          <w:sz w:val="28"/>
          <w:szCs w:val="28"/>
          <w:lang w:bidi="fa-IR"/>
        </w:rPr>
        <w:t>1445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المشرّفة</w:t>
      </w:r>
    </w:p>
    <w:p>
      <w:pPr>
        <w:pStyle w:val="BookText"/>
        <w:rPr/>
      </w:pPr>
      <w:r>
        <w:rPr>
          <w:rFonts w:ascii="IRNazanin" w:hAnsi="IRNazanin" w:eastAsia="IRNazanin"/>
          <w:color w:val="111111"/>
          <w:sz w:val="28"/>
          <w:sz w:val="28"/>
          <w:szCs w:val="28"/>
          <w:rtl w:val="true"/>
          <w:lang w:bidi="fa-IR"/>
        </w:rPr>
        <w:t>مدرسة الفیضیّة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6646_227836"/>
      <w:bookmarkStart w:id="248" w:name="pg16646_227836"/>
      <w:bookmarkEnd w:id="2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9" w:name="pg16646_227836"/>
      <w:bookmarkStart w:id="250" w:name="__RefHeading___Toc12020119_1280447820"/>
      <w:bookmarkStart w:id="251" w:name="_Toc91"/>
      <w:bookmarkEnd w:id="249"/>
      <w:bookmarkEnd w:id="250"/>
      <w:r>
        <w:rPr>
          <w:rtl w:val="true"/>
        </w:rPr>
        <w:t>مصادر التحقیق</w:t>
      </w:r>
      <w:r>
        <w:rPr>
          <w:rtl w:val="true"/>
        </w:rPr>
        <w:t>:</w:t>
      </w:r>
      <w:bookmarkEnd w:id="25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آلاء الرحمن فی تفسیر القرآن، بلاغی، محمّد جواد، موسسة البعثت،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فی علوم القرآن، سیوطی، عبد الرحمن بن أبی بکر، دار الفکر،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أجوبة المسائل المهنائیّة، علّامة حلیّ، حسن بن یوسف، مطبعة الخیّام، الطبعة الأولی،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الطبرسی، أبو منصور، مطابع النعمان النجف الأشرف حسن الشيخ إبراهيم الكتبي، الطبعة الأولی،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الفقه، مظفّر، محمّد رضا، منشورات ذوی القربی، الطبعة الأولی،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فی علم الأصول، إیروانی، علی، موسسة النشر الإسلامی،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الفقاهة، کاشف‌الغطاء، حسن، مؤسسة کاشف الغطاء العامة،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أنوار الهدایة فی التعلیقة علی الکفایة، الإمام الخمینی، روح الله، موسسة تنظیم و نشر آثار الإمام الخمینی، الطبعة الثانیة،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تبیان الصلاة، بروجردی، حسین، گنج عرفان، الطبعة الأولی،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علّامة حلی، حسن بن یوسف، موسسة آل البیت علیهم السلام لإحیاء التراث،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 الشیعة إلی تحصیل مسائل الشریعة، حرّ عاملی، محمّد بن حسن، موسسة آل البیت علیهم السلام لإحیاء التراث، الطبعة الثالثة،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طوسی، محمّد بن حسن، دار الکتب الإسلامیّة، الطبعة الرابعة،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صاحب جواهر، محمّد حسن بن باقر، موسسة دائرة المعارف الفقه الإسلامی علی مذهب أهل البیت علیهم السلام،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فی أحکام العترة الطاهرة، بحرانی، یوسف بن أحمد، جماعة المدرِسین فی حوزة العلمیّة بقم موسسة النشر الإسلامی، الطبعة الأولی،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تحریر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سیفی، علی أکبر، موسسة تنظیم و نشر آثار الإمام الخمینی، الطبعة الأولی،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الإمام الخمینی، روح الله، إسماعیلیان،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الأصولیّة، وحید بهبهانی، محمد باقر بن محمّد أکمل، موسسة العلامة المجدّد الوحید البهبهانی،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التسع، محقّق حلی، جعفر بن حسن، مکتبة آیة الله المرعشی النجفی،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فقهیّة، سبحانی تبریزی، جعفر، موسسة الإمام الصادق علیه السلام، الطبعة الأولی،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شرائع الإسلام فی مسائل الحلال و الحرام، محقّق حلی، جعفر بن حسن، إسماعیلیان، الطبعة الثانیة،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الأصول، شیخ أنصاری، مرتضی بن محمّد أمین، مجمع الفکر الإسلامی، الطبعة الثلاثون،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الغرویّة فی الأصول الفقهیّة، حائری إصفهانی، محمّد حسین بن عبد الرحیم، دار الإحیاء العلوم الإسلامیّة،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الحجّ، صافی، لطف الله، موسسة نشر السیّدة المعصومة سلام الله علیها، الطبعة الأولی،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الأصول، نائینی، محمّد حسین، جماعة المدرِسین فی حوزة العلمیّة بقم، الطبعة الأولی،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الحائریّة، وحید بهبهانی، محمّد باقر بن أکمل، مجمع الفکر الإسلامی،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القوانین المحکمة فی الأصول، میرزا القمی، أبو القاسم بن محمّد حسن، إحیاء الکتب الإسلامیّة، الطبعة الأولی،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البیع، الإمام الخمینی، روح الله، موسسة تنظیم و نشر آثار الإمام الخمینی، الطبعة الرابعة،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الطهارة، صدر، محمّد باقر، مدین، الطبعة الأولی،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المکاسب، شیخ الأنصاری، مرتضی بن محمّد أمین، مجمع الفکر الإسلامی، الطبعة الحادیة و ثلاثون،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الأسرار، الإمام الخمینی، روح الله، موسسة تنظیم و نشر آثار الإمام الخمینی، الطبعة الأولی،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المراد فی شرح تجرید الإعتقاد، علامة حلی، حسن بن یوسف، موسسة النشر الإسلامی، الطبعة التاسعة عشر،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الأصول، آخوند خراسانی، محمّد کاظم بن حسین، موسسة النشر الإسلامی، الطبعة الثانی عشر،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فی علم الرجال، سبحانی تبریزی، جعفر، موسسة الإمام الصادق علیه السلام، الطبعة العاشرة،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مبادی الوصول إلی علم الأصول، علامة حلی، حسن بن یوسف، المطبعة العلمیّة،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الفقه الفعّال فی القواعد الفقهیّة الأساسیّة، سیفی، علی أکبر، جماعة المدرّسین فی حوزة العلمیّة بقم، الطبعة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فی أصول الفقه، سبحانی تبریزی، جعفر، موسسة الإمام الصادق، الطبعة الرابعة،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 فی شرح إرشاد الأذهان، مقدّی أردبیلی، أحمد بن محمّد، موسسة النشر الإسلامی، الطبعة الأولی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المحصول فی علم أصول الفقه، الرازی، فخر الدین، موسسة الرسالة، الطبعة الثالثة،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نوری، حسین بن محمّد تقی، موسسة آل البیت علیهم السلاملإحیاءالتراث،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مستمسک العروة الوثقی، حکیم، محسن، دار التفسیر، الطبعة الأولی،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مصطلحات الفقه، مشکینی الأردبیلی، علی، موسسة دار الحدیث، الطبعة الأولی،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مطارح الأنظار، شیخ الأنصاری، مرتضی بن محمّد أمین، مجمع الفکر الإسلامی، الطبعة الثانیة،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فی شرح المختصر، محقّق حلی، جعفر بن حسن، موسسة سیّد الشهداء علیه السلام، الطبعة الأولی،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معترك الأقران في إعجاز القرآن، سیوطی، عبد الرحمن بن أبی بکر، دار الکتب العلمیّة،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الأصول، طباطبائی المجاهد، محمّد بن علی، موسسة آل البیت علیهم السلام، الطبعة الأولی،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المکاسب المحرّمة، الإمام الخمینی، روح الله، موسسة تنظیم و نشر آثار الإمام الخمینی، الطبعة الرابعة،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 طباطبائی، محمّد بن علی، موسسة آل البیت علیهم السلام لإحیاء التراث، الطبعة الأولی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الفقاهة، روحانی، محمّد صادق، أنوار الهدی، الطبعة الخامسة،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الخوئی، خوئی، سیّد أبو القاسم، موسسة إحیاء آثار الإمام الخوئی،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الشهید السیّد محمّد باقر الصدر، صدر، محمّد باقر، دار الصدر، الطبعة الثانیة،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الفقه الإسلامی المقارن، مکارم شیرازی، ناصر، دار النشر الإمام علی بن أبی طالب، الطبعة الأولی،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مهذّب الأحکام فی بیان الحلال و الحرام، موسوی سبزواری، عبد الأعلی، السیّد عبد الأعلی السبزواری، الطبعة الرابعة،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مجموعة مقالات مؤتمر الفاضلين النراقيين، ص </w:t>
      </w:r>
      <w:r>
        <w:rPr>
          <w:rFonts w:eastAsia="IRNazanin" w:cs="IRNazanin"/>
          <w:b w:val="false"/>
          <w:bCs w:val="false"/>
          <w:i w:val="false"/>
          <w:iCs w:val="false"/>
          <w:color w:val="333333"/>
          <w:sz w:val="20"/>
          <w:szCs w:val="20"/>
        </w:rPr>
        <w:t>78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المحکمة فی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الإسلامی المقارن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سیاتی الفرق بین هذه الصناعة و خارج الأصول فی الأمر الرابع إن شاء الله تعالی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 الزیادة، نحو نقصان أیضا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إلی الأدلّة راجع الکتب الأصولیّة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الممکن أن تکون الأدلة عند فقیه أکثر أو أقل من ذلک ولکن لا یقدح فی المقام، لأنّ الطریق واحدٌ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یسمی الدلیل الدال علی الحکم الظاهری، دلیلاً فقاهیّاً و الدلیل الدالّ علی الحکم الواقعی، دلیلاً اجتهادیّاً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الشیخ محمد جواد الفروغی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إثنی عشر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خمسة و ثلاثون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معترک الاقران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البدو الی الختم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الذی فیه المعارف الرفیعة المحکمة، جاء به إنسان لایعرف القرائة و الکتابة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كُنْتَ تَتْلُوا مِنْ قَبْلِهِ مِنْ كِتابٍ وَ لاتَخُطُّهُ بِيَمِينِكَ إِذاً لَارْتابَ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خلوه من العيوب والتناقضات والإختلافات، ومن خصائص الظواهر البشرية النقص والعيب والإختلاف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طریقة نطق القرآن کثیراً عمّا سمعه البشر و قالوه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توجد کلمة تضاهی حلاوة کلام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یفسّره أهل الأدب بالبلاغة و الفصاحة، موجودةٌ فی أعلی المراتب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المسائل الکونیّة و الطبیّة و الاحیاء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العاملی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حسین الکرکی فی هدایة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تفصیل ذلک فی مفاتیح الأصول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فی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281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الکسوف،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الحدیث الأوّل</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الأقوال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1497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الشهید السید محمد باقر الصدر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فی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439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في شرح إرشاد الأذهان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فی شرح إرشاد الأذهان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فی شرح إرشاد الأذهان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فی شرح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الروایة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الفقه الفعال فی القواعد الفقهیة الأساسیة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فی بیان الحلال و الحرام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w:t>
      </w:r>
      <w:r>
        <w:rPr>
          <w:rFonts w:eastAsia="IRNazanin" w:cs="IRNazanin"/>
          <w:b w:val="false"/>
          <w:bCs w:val="false"/>
          <w:i w:val="false"/>
          <w:iCs w:val="false"/>
          <w:color w:val="333333"/>
          <w:sz w:val="20"/>
          <w:szCs w:val="20"/>
        </w:rPr>
        <w:t>99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w:t>
      </w:r>
      <w:r>
        <w:rPr>
          <w:rFonts w:eastAsia="IRNazanin" w:cs="IRNazanin"/>
          <w:b w:val="false"/>
          <w:bCs w:val="false"/>
          <w:i w:val="false"/>
          <w:iCs w:val="false"/>
          <w:color w:val="333333"/>
          <w:sz w:val="20"/>
          <w:szCs w:val="20"/>
        </w:rPr>
        <w:t>130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w:t>
      </w:r>
      <w:r>
        <w:rPr>
          <w:rFonts w:eastAsia="IRNazanin" w:cs="IRNazanin"/>
          <w:b w:val="false"/>
          <w:bCs w:val="false"/>
          <w:i w:val="false"/>
          <w:iCs w:val="false"/>
          <w:color w:val="333333"/>
          <w:sz w:val="20"/>
          <w:szCs w:val="20"/>
        </w:rPr>
        <w:t>117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الوصول إلی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مسائل الحلال و الحرام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في شرح إشکالات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44.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24219</Words>
  <Characters>108431</Characters>
  <CharactersWithSpaces>131652</CharactersWithSpaces>
  <Paragraphs>1377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2026-08-25T16:35:09Z</dcterms:created>
  <dc:creator>ghaemiyeh.com</dc:creator>
  <dc:description/>
  <dc:language>en-US</dc:language>
  <cp:lastModifiedBy/>
  <dcterms:modified xsi:type="dcterms:W3CDTF">2026-08-25T20:08:22Z</dcterms:modified>
  <cp:revision>1</cp:revision>
  <dc:subject/>
  <dc:title>مصباح المستنبط فی طریق الاستنباط</dc:title>
</cp:coreProperties>
</file>

<file path=docProps/custom.xml><?xml version="1.0" encoding="utf-8"?>
<Properties xmlns="http://schemas.openxmlformats.org/officeDocument/2006/custom-properties" xmlns:vt="http://schemas.openxmlformats.org/officeDocument/2006/docPropsVTypes"/>
</file>