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7.xml" ContentType="application/vnd.openxmlformats-officedocument.wordprocessingml.footer+xml"/>
  <Override PartName="/word/footer10.xml" ContentType="application/vnd.openxmlformats-officedocument.wordprocessingml.footer+xml"/>
  <Override PartName="/word/footer13.xml" ContentType="application/vnd.openxmlformats-officedocument.wordprocessingml.footer+xml"/>
  <Override PartName="/word/footer16.xml" ContentType="application/vnd.openxmlformats-officedocument.wordprocessingml.footer+xml"/>
  <Override PartName="/word/footer19.xml" ContentType="application/vnd.openxmlformats-officedocument.wordprocessingml.footer+xml"/>
  <Override PartName="/word/footer22.xml" ContentType="application/vnd.openxmlformats-officedocument.wordprocessingml.footer+xml"/>
  <Override PartName="/word/footer25.xml" ContentType="application/vnd.openxmlformats-officedocument.wordprocessingml.footer+xml"/>
  <Override PartName="/word/footer28.xml" ContentType="application/vnd.openxmlformats-officedocument.wordprocessingml.footer+xml"/>
  <Override PartName="/word/footer3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/>
    <w:p>
      <w:pPr>
        <w:jc w:val="center"/>
      </w:pPr>
      <w:r>
        <w:pict>
          <v:shape type="#_x0000_t75" stroked="f" style="width:240pt; height:32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>
      <w:pPr>
        <w:pStyle w:val="Title"/>
      </w:pPr>
      <w:r>
        <w:t>دانشنامه امام خمینی ره جلد 3</w:t>
      </w:r>
    </w:p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p>
      <w:r>
        <w:br w:type="page"/>
      </w:r>
    </w:p>
    <w:p>
      <w:pPr>
        <w:jc w:val="start"/>
        <w:bidi/>
      </w:pPr>
      <w:r>
        <w:rPr>
          <w:rFonts w:ascii="IRNazanin" w:hAnsi="IRNazanin" w:eastAsia="IRNazanin" w:cs="IRNazanin"/>
          <w:color w:val="111111"/>
          <w:sz w:val="28"/>
          <w:szCs w:val="28"/>
          <w:b w:val="1"/>
          <w:bCs w:val="1"/>
          <w:i w:val="0"/>
          <w:iCs w:val="0"/>
          <w:rtl/>
        </w:rPr>
        <w:t xml:space="preserve">فهرست مطالب</w:t>
      </w:r>
    </w:p>
    <w:p>
      <w:pPr>
        <w:tabs>
          <w:tab w:val="right" w:leader="dot" w:pos="9062"/>
        </w:tabs>
        <w:ind w:left="220"/>
      </w:pPr>
      <w:r>
        <w:fldChar w:fldCharType="begin"/>
      </w:r>
      <w:r>
        <w:instrText xml:space="preserve">TOC \o 2-6 \h \z \u</w:instrText>
      </w:r>
      <w:r>
        <w:fldChar w:fldCharType="separate"/>
      </w:r>
      <w:hyperlink w:anchor="_Toc1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مشخصات کتاب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2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پایان نامه ها</w:t>
        </w:r>
        <w:r>
          <w:tab/>
        </w:r>
        <w:r>
          <w:fldChar w:fldCharType="begin"/>
        </w:r>
        <w:r>
          <w:instrText xml:space="preserve">PAGEREF 2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3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استخفاف واستهزاء ازدیدگاه قرآن و سنت</w:t>
        </w:r>
        <w:r>
          <w:tab/>
        </w:r>
        <w:r>
          <w:fldChar w:fldCharType="begin"/>
        </w:r>
        <w:r>
          <w:instrText xml:space="preserve">PAGEREF 3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4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اهمیت و شیوه های ترویج قرآن در میان کودکان و نوجوانان</w:t>
        </w:r>
        <w:r>
          <w:tab/>
        </w:r>
        <w:r>
          <w:fldChar w:fldCharType="begin"/>
        </w:r>
        <w:r>
          <w:instrText xml:space="preserve">PAGEREF 4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5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آرای علوم قرآنی امام خمینی(ره)</w:t>
        </w:r>
        <w:r>
          <w:tab/>
        </w:r>
        <w:r>
          <w:fldChar w:fldCharType="begin"/>
        </w:r>
        <w:r>
          <w:instrText xml:space="preserve">PAGEREF 5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6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بررسی سیمای قرآن در اندیشه حضرت امام خمینی (ره)</w:t>
        </w:r>
        <w:r>
          <w:tab/>
        </w:r>
        <w:r>
          <w:fldChar w:fldCharType="begin"/>
        </w:r>
        <w:r>
          <w:instrText xml:space="preserve">PAGEREF 6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7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روشهای تبلیغ از دیدگاه قرآن</w:t>
        </w:r>
        <w:r>
          <w:tab/>
        </w:r>
        <w:r>
          <w:fldChar w:fldCharType="begin"/>
        </w:r>
        <w:r>
          <w:instrText xml:space="preserve">PAGEREF 7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8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قرآن کریم و هدفهای تربیت</w:t>
        </w:r>
        <w:r>
          <w:tab/>
        </w:r>
        <w:r>
          <w:fldChar w:fldCharType="begin"/>
        </w:r>
        <w:r>
          <w:instrText xml:space="preserve">PAGEREF 8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9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مبانی قرآنی اندیشه های اصلاح گرایانه امام خمینی در مقایسه با سید جمال</w:t>
        </w:r>
        <w:r>
          <w:tab/>
        </w:r>
        <w:r>
          <w:fldChar w:fldCharType="begin"/>
        </w:r>
        <w:r>
          <w:instrText xml:space="preserve">PAGEREF 9 \h</w:instrText>
        </w:r>
        <w:r>
          <w:fldChar w:fldCharType="end"/>
        </w:r>
      </w:hyperlink>
    </w:p>
    <w:p>
      <w:pPr>
        <w:tabs>
          <w:tab w:val="right" w:leader="dot" w:pos="9062"/>
        </w:tabs>
        <w:ind w:left="220"/>
      </w:pPr>
      <w:hyperlink w:anchor="_Toc10" w:history="1">
        <w:r>
          <w:rPr>
            <w:rFonts w:ascii="IRNazanin" w:hAnsi="IRNazanin" w:eastAsia="IRNazanin" w:cs="IRNazanin"/>
            <w:color w:val="111111"/>
            <w:sz w:val="22"/>
            <w:szCs w:val="22"/>
            <w:b w:val="0"/>
            <w:bCs w:val="0"/>
            <w:i w:val="0"/>
            <w:iCs w:val="0"/>
          </w:rPr>
          <w:t>ویژگی های اجتماعی سیاسی جامعه مطلوب از دیدگاه قرآن</w:t>
        </w:r>
        <w:r>
          <w:tab/>
        </w:r>
        <w:r>
          <w:fldChar w:fldCharType="begin"/>
        </w:r>
        <w:r>
          <w:instrText xml:space="preserve">PAGEREF 10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0" w:name="pg16032_152654"/>
    <w:bookmarkEnd w:id="0"/>
    <w:p>
      <w:pPr>
        <w:pStyle w:val="Heading2"/>
      </w:pPr>
      <w:bookmarkStart w:id="8" w:name="_Toc1"/>
      <w:r>
        <w:t>مشخصات کتاب</w:t>
      </w:r>
      <w:bookmarkEnd w:id="8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سرشناسه : م‍رت‍ض‍وی‌، سیدض‍ی‍اء، ‏‫۱۳۳۷ - ‏، گردآورنده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‏عنوان و نام پدیدآور : دانشنامه امام خمینی/ به کوشش سیدضیاء مرتضوی.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‏مشخصات نشر : تهران: موسسه تنظیم و نشر آثار امام خمینی(س)‏‫، ۱۴۰۰.‬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‏مشخصات ظاهری : ‏‫۱۰ ج.‬ : مصور، عکس‏‫ ؛ ۲۲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×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۲۹ س‌م.‬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‏شابک : ‏‫۴۹۵۰۰۰۰۰ ریال‬‏‫: ‏‫دوره‬‬‏‫‭978-964-212-573-9 :‬‬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‏وضعیت فهرست نویسی : فاپا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‏مندرجات : ج.۱. آداب‌الصلاه - اسلام ناب محمدی.--ج.۲. اسم اعظم- بهشت و جهنم.--ج.۳. بهشتی، سیدمحمد - ثقفی، خدیجه.--ج.۴. ثواب و عقاب - حمله به مدرسه فیضیه.--ج.۵. حوزه علمیه قم - روشنفکری.--ج.۶. رهبری - صدور انقلاب.--ج.۷. صدوقی، محمد - فلسطین.--ج.۸. فلسفه - مالکیت.--ج.۹. ماهیت - نامه‌ها.-- ج.۱۰. نبوت - یقین.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‏موضوع : خمینی ، روح‌الله، رهبر انقلاب و بنیانگذار جمهوری اسلامی ایران ، ۱۲۷۹ - ۱۳۶۸. -- دایره‌المعارف‌ها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‏موضوع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Khomeyni, Ruhollah, Leader and Founder of IRI -- Encyclopedias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‏شناسه افزوده : موسسه تنظیم و نشر آثار امام خمینی (س)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‏شناسه افزوده 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Institute for Compilation and Publication of Imam Khomeini's Works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‏رده بندی کنگره : ‏‫‬‭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DSR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۱۵۷۶‭/ض۹د۲ ۱۴۰۰‬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‏رده بندی دیویی : ‏‫‬‭‬‭۹۵۵/۰۸۴۲۰۹۲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‏شماره کتابشناسی ملی : ۷۸۹۴۴۴۱</w:t>
      </w: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‏اطلاعات رکورد کتابشناسی : فاپا</w:t>
      </w:r>
    </w:p>
    <w:p>
      <w:pPr>
        <w:pStyle w:val="Heading2"/>
      </w:pPr>
      <w:bookmarkStart w:id="9" w:name="_Toc2"/>
      <w:r>
        <w:t>پایان نامه ها</w:t>
      </w:r>
      <w:bookmarkEnd w:id="9"/>
    </w:p>
    <w:p>
      <w:pPr>
        <w:pStyle w:val="Heading2"/>
      </w:pPr>
      <w:bookmarkStart w:id="10" w:name="_Toc3"/>
      <w:r>
        <w:t>استخفاف واستهزاء ازدیدگاه قرآن و سنت</w:t>
      </w:r>
      <w:bookmarkEnd w:id="10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عربی:الاستخفاف و الاستهزاء فی نظر القرآن و السنة جمال، عبدالکریم مقطع:کارشناسی ارشد رشته ی گرایش:الهیات و معارف اسلامی، گرایش علوم قرآن و حدیث دانشگاه:دانشگاه تربیت مدرس واحد: استاد راهنما:همتی خراسانی، حسن تاریخ دفاع:1372 چکیده:(نگرشی بر زمینه های تفسیری، روایی، فقهی،تاریخی، فتوای امام خمینی درباره نویسنده مرتد کتاب آیه های شیطانی.)در این تحقیق ثابت شد است که اولا، موضوع استخفاف و استهزاء مقدسات حربه ای در دست همه منکران و معاندان در برابر دعوت روشنگر ورهایی بخش پیامبران آسمانی بوده است. آنها هرگاه پوچی و بطلان باورهای خود را در برابر انوار وحی ملاحظه کرده اند و به ناتوانی در مقابله منطقی با وحی واقف گردیده اند به خرده گیری و سبک انگاری مقدسات دین روی آورده اند. ثانیا، سیره عملی پیامبر گرامی اسلام صلی الله علیه وآله و مسلمانان راستین صدر اسلام، دفاع ازمبانی و مقدسات مذهبی بوده است و با غیرت و حمیت با اهانتها و هتک حرمتها برخورد کرده اند. ثالثا، بابررسی دقیق منابع تفسیری، روایی، فقهی، و تاریخی اسلام، نزدیکی دیدگاههای فریقین شیعه و سنی وحمیت های دینی آنان جلوه گر می شود و می توان استنباط و استدلال نمود که کافه مسلمین یک آرمان وبرنامه عملی مشترک در مقابله با این اهانتها دارند.فتوای مشهور امام خمینی درباره نویسنده کتاب آیه های شیطانی همسویی و هماهنگی کامل با سنت پیامبر صلی الله علیه وآله و سیره همه مسلمانان راستین تاریخ اسلام دارد.</w:t>
      </w:r>
    </w:p>
    <w:p>
      <w:pPr>
        <w:sectPr>
          <w:footerReference w:type="default" r:id="rId9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1" w:name="pg16032_152655"/>
    <w:bookmarkEnd w:id="1"/>
    <w:p>
      <w:pPr>
        <w:pStyle w:val="Heading2"/>
      </w:pPr>
      <w:bookmarkStart w:id="11" w:name="_Toc4"/>
      <w:r>
        <w:t>اهمیت و شیوه های ترویج قرآن در میان کودکان و نوجوانان</w:t>
      </w:r>
      <w:bookmarkEnd w:id="11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انگلیسی: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gnuoy eht dna nerdlihc eht gnoma noitagaporP naruQ eht fo sdohteM eht dna tnacifingiS ehT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عربی:اهمیة و اسالیب ترویج القرآن فی الاطفال و الغلمان قاقازانی، لونا مقطع:کارشناسی ارشد رشته ی گرایش:علوم قرآن و حدیث دانشگاه:دانشگاه آزاد اسلامی کرج واحد: استاد راهنما:حجتی، سیدمحمدباقر تاریخ دفاع:1379 چکیده:مباحث این پژوهش در شش فصل با این عنوان ها به نگارش درآمده است: فصل اول، اهمیت ترویج قرآن در آیات قرآن: فضیلت قرآن، استماع قرآن، دعوت به تدبر، قصص قرآن؛ فصل دوم، اهمیت ترویج قرآن در احادیث معصومین(ع): شفاعت قرآن، استماع قرآن، ادب استماع، فضیلت قرآن، درمان با قرآن؛ فصل سوم، اهمیت ترویج قرآن در گفتار امام خمینی: قرآن مرکز همه ی عرفان ها، رفع حجاب ها، حجاب معاصی، حجاب حبّ دنیا؛ فصل چهارم، شیوه های ترویج قرآن: فضیلت ترویج قرآن، روش تقلیدی، روش داستان گویی؛ فصل پنجم، شیوه های ترویج قرآن در سیره ی ائمه ی معصومین(ع)؛ فصل ششم، ترویج قرآن در میان کودکان و نوجوانان.</w:t>
      </w:r>
    </w:p>
    <w:p>
      <w:pPr>
        <w:sectPr>
          <w:footerReference w:type="default" r:id="rId10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2" w:name="pg16032_152656"/>
    <w:bookmarkEnd w:id="2"/>
    <w:p>
      <w:pPr>
        <w:pStyle w:val="Heading2"/>
      </w:pPr>
      <w:bookmarkStart w:id="12" w:name="_Toc5"/>
      <w:r>
        <w:t>بررسی آرای علوم قرآنی امام خمینی(ره)</w:t>
      </w:r>
      <w:bookmarkEnd w:id="12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انگلیسی: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iniemohK mamI fo ydutS A ' sweiV secneicS cinaruQ s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عربی:دراسة آراء الامام الخمینی فی علوم القرآن عرب زاده، محمدرضا مقطع:کارشناسی ارشد رشته ی گرایش:پیوسته الهیات و معارف اسلامی دانشگاه:مؤسسه ی آموزشی و پژوهشی امام خمینی(ره) واحد: استاد راهنما:معرفت، محمدهادی تاریخ دفاع:1380 چکیده:پایان نامه ی حاضر از یک مقدمه و نُه فصل تشکیل شده است: مقدمه (ضرورت تحقیق، تبیین موضوع، حیات علمی امام خمینی(ره)، پیشینه ی تحقیق، قلمرو تحقیق، روش تحقیق، تنگناها و مشکلات)؛ فصل یکم، هویت قرآن: حقیقت قرآن، مقاصد قرآن (هدایت به سبل اسلام، نجات انسان از زندان طبیعت، تهذیب نفس و انسان سازی، احیای قلوب، معرفت خداوند، هدف محوری و نهایی قرآن)، مطالب قرآن (دعوت به تهذیب نفس، احتجاج و استدلال بر معارف حق، بیان قوانین ظاهر شریعت، احوال معاد و براهین آن، بیان احوال کفّار و معاندین، کیفیت جهاد و پیامبر و اصحاب، قصص انبیا و اولیا)؛ فصل دوم، پدیده ی وحی از نگاه امام خمینی(ره): وحی در لغت و اصطلاح، وحی در یک نگاه کلّی، نظریه ی نبوغ شخصی، تلقی عقلانی از وحی، تلقی عرفانی از وحی، کلام امام در بیان عدم امکان درک حقیقت وحی، قرآیند وحی در نگاه امام خمینی(ره)؛ فصل سوم، نزول قرآن: معنای نزول قرآن، مراحل نزول، نظر امام درباره ی مراحل نزول، انحای نزول، نظر امام درباره ی انحای نزول،</w:t>
      </w:r>
    </w:p>
    <w:p>
      <w:pPr>
        <w:sectPr>
          <w:footerReference w:type="default" r:id="rId11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نزول قرآن بر هفت حرف، نظر امام درباره ی نزول قرآن بر هفت حرف، واسطه ی وحی؛ فصل چهارم، اعجاز قرآن: دیدگاه امام درباره ی تحدّی قرآن، وجوه اعجاز قرآن، دیدگاه امام درباره ی وجوه اعجاز قرآن، تأکید امام بر اعجاز عرفانی؛ فصل پنجم، مصونیت قرآن از تحریف: اقسام تحریف، دیدگاه امام درباره ی تحریف معنوی، تحریف در قرائت از نگاه امام، تحریف کلمات و جملات قرآن، نظر امام درباره ی تحریف آیات قرآن، منشأ قول به تحریف از نگاه امام، بیان دیگران درباره ی ضعف روایات تحریف، قرائن تاریخی بر عدم صحت روایات تحریف، جواب امام از ادلّه ی قائلین به تحریف، بیانی متفاوت از امام؛ فصل ششم، قرائات: تواتر قرائات، دیدگاه امام درباره ی تواتر قرائات، حجّیت قرائات، دیدگاه امام درباره ی حجّیت قرائات، بیان امام درباره ی قرائت «مالک یوم الدین» و «کفوا احد»؛ فصل هفتم، آداب تلاوت قرآن: اهمیت قرائت قرآن، آداب قرائت قرآن، ترتیل در قرائت، حزن در قرائت، استعاذه، نشاط، طمأنینه، تعظیم، اخلاص، حضور قلب، رفع حُجب، تفهیم، تفکر و تدبّر، تطبیق؛ فصل هشتم، تفسیر: معنای لغوی تفسیر، معنای اصطلاحی تفسیر، تعریف تفسیر از نگاه امام، زمینه های نیاز به تفسیر، دیدگاه امام درباره ی نیاز به تفسیر، جواز و امکان تفسیر، شروط مفسّر، دیدگاه امام درباره ی شروط مفسّر، شیوه ی تفسیر، دیدگاه</w:t>
      </w:r>
    </w:p>
    <w:p>
      <w:pPr>
        <w:sectPr>
          <w:footerReference w:type="default" r:id="rId12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3" w:name="pg16032_152658"/>
    <w:bookmarkEnd w:id="3"/>
    <w:p>
      <w:pPr>
        <w:pStyle w:val="Heading2"/>
      </w:pPr>
      <w:bookmarkStart w:id="13" w:name="_Toc6"/>
      <w:r>
        <w:t>بررسی سیمای قرآن در اندیشه حضرت امام خمینی (ره)</w:t>
      </w:r>
      <w:bookmarkEnd w:id="13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عربی:بحث سیماء القرآن فی فکر الإمام الخمینی (ره) ریعان، معصومه مقطع:کارشناسی ارشد رشته ی گرایش:الهیات و معارف اسلامی، گرایش علوم قرآن و حدیث دانشگاه:دانشگاه تربیت مدرس واحد: استاد راهنما:مهدوی راد، محمدعلی تاریخ دفاع:1372 چکیده:پژوهش حاضر سیمای قرآن را در اندیشه امام خمینی بررسی کرده و به این نتایج رسیده است . قرآن کریم در تمامی جنبه های زندگی پربرکت حضرت امام ازابعاد فقهی، فلسفی، عرفانی و اخلاقی گرفته تاعرصه های سیاسی اجتماعی و مبارزاتی ایشان نقش تعیین کننده داشته است . آن رهبر فقید عمیق تر از اغلب مفسران آیات قرآن را تفسیر کرده است. حضرت امام در تفسیر، اتکاء بر سنت معصومین و نگرش محققانه به ادعیه؛ تعقل و اجتهاد و عرفان را با هم درآمیخته است واسلام ناب محمدی را بعد از چهارده قرن با طرواتی نو،به صحنه اجتماعی کشانده است . ایشان طرح بازگشت به قرآن و درک عمیق آیات الهی و ظهور و بروز آن درصحنه ذهن و عمل را که از جمله نظریه های نهضت های معاصر است در جریان مبارزات خود به اثبات رساند.</w:t>
      </w:r>
    </w:p>
    <w:p>
      <w:pPr>
        <w:sectPr>
          <w:footerReference w:type="default" r:id="rId13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4" w:name="pg16032_152659"/>
    <w:bookmarkEnd w:id="4"/>
    <w:p>
      <w:pPr>
        <w:pStyle w:val="Heading2"/>
      </w:pPr>
      <w:bookmarkStart w:id="14" w:name="_Toc7"/>
      <w:r>
        <w:t>روشهای تبلیغ از دیدگاه قرآن</w:t>
      </w:r>
      <w:bookmarkEnd w:id="14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عربی:اسالیب التبلیغ من وجهة نظر القرآن کریمی، علی اکبر مقطع:کارشناسی ارشد رشته ی گرایش:علوم قرآن و حدیث دانشگاه:دانشگاه آزاد اسلامی اراک واحد: استاد راهنما:امامی،محمدجعفر تاریخ دفاع:1375 چکیده:در این پایان نامه با استفاده از تفاسیر معتبر شیعه وسنی و آثار مربوط به روشهای تبلیغ و نیز بیانات حضرت امام خمینی سعی شده روشهای تبلیغ از دیدگاه قرآن و تأثیرات آن در انقلاب اسلامی ایران تبیین گردد.</w:t>
      </w:r>
    </w:p>
    <w:p>
      <w:pPr>
        <w:sectPr>
          <w:footerReference w:type="default" r:id="rId14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5" w:name="pg16032_152660"/>
    <w:bookmarkEnd w:id="5"/>
    <w:p>
      <w:pPr>
        <w:pStyle w:val="Heading2"/>
      </w:pPr>
      <w:bookmarkStart w:id="15" w:name="_Toc8"/>
      <w:r>
        <w:t>قرآن کریم و هدفهای تربیت</w:t>
      </w:r>
      <w:bookmarkEnd w:id="15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عربی:القرآن الکریم و اهداف التربیة آموزگار، محمدحسن مقطع:کارشناسی ارشد رشته ی گرایش:فلسفه تعلیم وتربیت دانشگاه:دانشگاه تهران واحد: استاد راهنما:حجتی،سیدمحمدباقر تاریخ دفاع:1374 چکیده:نویسنده در این پایان نامه، نخست اهداف تربیت رااز دیدگاههای دانشمندان اسلامی چون ابن سینا، خواجه نصیر، ابن خلدون، سهروردی و امام خمینی بررسی کرده، سپس با استفاده از مضامین قرآنی دو دسته ازاهداف تربیتی را تحت عناوین هدفهای تربیتی فردی وهدفهای تربیتی اجتماعی را بررسی و معرفی کرده است.</w:t>
      </w:r>
    </w:p>
    <w:p>
      <w:pPr>
        <w:sectPr>
          <w:footerReference w:type="default" r:id="rId15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6" w:name="pg16032_152661"/>
    <w:bookmarkEnd w:id="6"/>
    <w:p>
      <w:pPr>
        <w:pStyle w:val="Heading2"/>
      </w:pPr>
      <w:bookmarkStart w:id="16" w:name="_Toc9"/>
      <w:r>
        <w:t>مبانی قرآنی اندیشه های اصلاح گرایانه امام خمینی در مقایسه با سید جمال</w:t>
      </w:r>
      <w:bookmarkEnd w:id="16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انگلیسی: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iniemohK mIamI fo sesaB cinaruQ ehT ' lIamaJ deyyaS htiw nosirapmoC ni noitatideM evitamrofeR s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عربی:المبادیء القرآنیة للآراء الاصلاحیة للامام الخمینی و المقارنة بینه و بین السید جمال گودرزی ، فاطمه مقطع:کارشناسی ارشد دانشگاه:تهران واحد: استاد راهنما:حبیبی ، نجفقلی تاریخ دفاع:1378 چکیده:در پایان نامه حاضر مبانی قرآنی افکار اصلاح گرایانه امام خمینی و سید جمال الدین اسدآبادی به طور تطبیقی بررسی شده و شامل این موضوعات است: شرح زندگی امام خمینی و سید جمال، رابطه دین و اصلاح، مقاصد دعوت در قرآن، دین و قرائت های دینی از دیدگاه امام خمینی و سید جمال، مبانی قرآنی اندیشه امام خمینی و اندیشه های اصلاح گرایانه سید جمال.</w:t>
      </w:r>
    </w:p>
    <w:p>
      <w:pPr>
        <w:sectPr>
          <w:footerReference w:type="default" r:id="rId16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bookmarkStart w:id="7" w:name="pg16032_152662"/>
    <w:bookmarkEnd w:id="7"/>
    <w:p>
      <w:pPr>
        <w:pStyle w:val="Heading2"/>
      </w:pPr>
      <w:bookmarkStart w:id="17" w:name="_Toc10"/>
      <w:r>
        <w:t>ویژگی های اجتماعی سیاسی جامعه مطلوب از دیدگاه قرآن</w:t>
      </w:r>
      <w:bookmarkEnd w:id="17"/>
    </w:p>
    <w:p>
      <w:pPr>
        <w:pStyle w:val="BookText"/>
      </w:pP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انگلیسی: </w:t>
      </w:r>
      <w:r>
        <w:rPr>
          <w:rFonts w:ascii="Times New Roman" w:hAnsi="Times New Roman" w:eastAsia="Times New Roman" w:cs="Times New Roman"/>
          <w:lang w:val="en-US" w:bidi="en-US"/>
          <w:color w:val="111111"/>
          <w:sz w:val="28"/>
          <w:szCs w:val="28"/>
          <w:rtl/>
        </w:rPr>
        <w:t xml:space="preserve">laicoS ehT _ naruQ eht yb deweiV sa yteicoS elbariseD a fo seitilauQ lacitiloP </w:t>
      </w:r>
      <w:r>
        <w:rPr>
          <w:rFonts w:ascii="IRNazanin" w:hAnsi="IRNazanin" w:eastAsia="IRNazanin" w:cs="IRNazanin"/>
          <w:lang w:bidi="fa-IR"/>
          <w:color w:val="111111"/>
          <w:sz w:val="28"/>
          <w:szCs w:val="28"/>
          <w:rtl/>
        </w:rPr>
        <w:t xml:space="preserve">عنوان عربی:الخصائص الاجتماعیة السیاسیة للمجتمع السوی من منظار القرآن قربان زاده ، محمد باقر مقطع:کارشناسی ارشد دانشگاه:تربیت مدرس واحد: استاد راهنما:مهدوی راد ، محمد علی تاریخ دفاع:1379 چکیده:در این تحقیق با هدف بررسی ویژگی های اجتماعی و سیاسی جامعه آرمانی قرآن به این بحث از این موضوعات پرداخته شده است: جامعه آرمانی، تعریف جامعه، دیدگاه قرآن و علمای اسلامی درباره جامعه آرمانی، جامعه آرمانی از دید افلاطون، ابن سینا، اخوان صفا، غزالی و امام خمینی، طرح جامعه آرمانی در تفاسیر، وعده قرآن در تحقق جامعه آرمانی، اصالت فرد و جامعه از نظر قرآن، اسلام و مفهوم اصالت آزادی، مقایسه آزادی در قرآن و غرب، نظارت همگانی و امر به معروف و نهی از منکر، عدالت و رابطه آن با مساوات. به نظر نویسنده، مدینه فاضله قرآن دارای این ویژگی هاست: اخوت، علم آموزی، آزادی بیان، استقلال، اجرای قسط و عدل، شورا و نظارت همگانی.</w:t>
      </w:r>
    </w:p>
    <w:p>
      <w:pPr>
        <w:sectPr>
          <w:footerReference w:type="default" r:id="rId17"/>
          <w:footnotePr>
            <w:numStart w:val="1"/>
            <w:numRestart w:val="eachPage"/>
          </w:footnotePr>
          <w:pgSz w:orient="portrait" w:w="11905.511811023622" w:h="16837.79527559055"/>
          <w:pgMar w:top="1440" w:right="1440" w:bottom="1440" w:left="1440" w:header="720" w:footer="720" w:gutter="0"/>
          <w:cols w:num="1" w:space="720"/>
        </w:sectPr>
      </w:pPr>
    </w:p>
    <w:p/>
    <w:p/>
    <w:p/>
    <w:p/>
    <w:p/>
    <w:p/>
    <w:p/>
    <w:p/>
    <w:p/>
    <w:p/>
    <w:p/>
    <w:p/>
    <w:p>
      <w:pPr>
        <w:jc w:val="center"/>
      </w:pPr>
      <w:r>
        <w:pict>
          <v:shape type="#_x0000_t75" stroked="f" style="width:90pt; height:90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jc w:val="center"/>
      </w:pPr>
      <w:r>
        <w:rPr>
          <w:color w:val="333333"/>
          <w:sz w:val="20"/>
          <w:szCs w:val="20"/>
        </w:rPr>
        <w:t xml:space="preserve">ghaemiyeh.com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1</w:t>
    </w: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2</w:t>
    </w: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3</w:t>
    </w: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4</w:t>
    </w: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5</w:t>
    </w: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6</w:t>
    </w:r>
  </w:p>
</w:ftr>
</file>

<file path=word/footer2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7</w:t>
    </w:r>
  </w:p>
</w:ftr>
</file>

<file path=word/footer2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8</w:t>
    </w:r>
  </w:p>
</w:ftr>
</file>

<file path=word/footer3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666666"/>
        <w:sz w:val="18"/>
        <w:szCs w:val="18"/>
      </w:rPr>
      <w:t xml:space="preserve">9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BD0414A9"/>
    <w:multiLevelType w:val="multilevel"/>
    <w:lvl w:ilvl="0">
      <w:start w:val="1"/>
      <w:numFmt w:val="none"/>
      <w:pStyle w:val="Heading1"/>
      <w:suff w:val="nothing"/>
      <w:pPr>
        <w:tabs>
          <w:tab w:val="num"/>
        </w:tabs>
        <w:ind/>
      </w:pPr>
      <w:rPr>
        <w:rFonts/>
      </w:rPr>
    </w:lvl>
    <w:lvl w:ilvl="1">
      <w:start w:val="1"/>
      <w:numFmt w:val="none"/>
      <w:pStyle w:val="Heading2"/>
      <w:suff w:val="nothing"/>
      <w:pPr>
        <w:tabs>
          <w:tab w:val="num"/>
        </w:tabs>
        <w:ind/>
      </w:pPr>
      <w:rPr>
        <w:rFonts/>
      </w:rPr>
    </w:lvl>
    <w:lvl w:ilvl="2">
      <w:start w:val="1"/>
      <w:numFmt w:val="none"/>
      <w:pStyle w:val="Heading3"/>
      <w:suff w:val="nothing"/>
      <w:pPr>
        <w:tabs>
          <w:tab w:val="num"/>
        </w:tabs>
        <w:ind/>
      </w:pPr>
      <w:rPr>
        <w:rFonts/>
      </w:rPr>
    </w:lvl>
    <w:lvl w:ilvl="3">
      <w:start w:val="1"/>
      <w:numFmt w:val="none"/>
      <w:pStyle w:val="Heading4"/>
      <w:suff w:val="nothing"/>
      <w:pPr>
        <w:tabs>
          <w:tab w:val="num"/>
        </w:tabs>
        <w:ind/>
      </w:pPr>
      <w:rPr>
        <w:rFonts/>
      </w:rPr>
    </w:lvl>
    <w:lvl w:ilvl="4">
      <w:start w:val="1"/>
      <w:numFmt w:val="none"/>
      <w:pStyle w:val="Heading5"/>
      <w:suff w:val="nothing"/>
      <w:pPr>
        <w:tabs>
          <w:tab w:val="num"/>
        </w:tabs>
        <w:ind/>
      </w:pPr>
      <w:rPr>
        <w:rFonts/>
      </w:rPr>
    </w:lvl>
    <w:lvl w:ilvl="5">
      <w:start w:val="1"/>
      <w:numFmt w:val="none"/>
      <w:pStyle w:val="Heading6"/>
      <w:suff w:val="nothing"/>
      <w:pPr>
        <w:tabs>
          <w:tab w:val="num"/>
        </w:tabs>
        <w:ind/>
      </w:pPr>
      <w:rPr>
        <w:rFonts/>
      </w:rPr>
    </w:lvl>
  </w:abstract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IRNazanin" w:hAnsi="IRNazanin" w:eastAsia="Arial" w:cs="IRNazanin"/>
        <w:color w:val="000000"/>
        <w:sz w:val="28"/>
        <w:szCs w:val="28"/>
        <w:lang w:val="en-US"/>
      </w:rPr>
    </w:rPrDefault>
  </w:docDefaults>
  <w:style w:type="paragraph" w:default="1" w:styleId="Normal">
    <w:name w:val="Normal"/>
    <w:pPr>
      <w:jc w:val="both"/>
      <w:bidi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Title">
    <w:link w:val="titleChar"/>
    <w:name w:val="title"/>
    <w:basedOn w:val="Normal"/>
    <w:pPr>
      <w:jc w:val="center"/>
      <w:bidi/>
      <w:spacing w:line="288" w:lineRule="auto"/>
    </w:pPr>
    <w:rPr>
      <w:rFonts w:ascii="IRNazanin" w:hAnsi="IRNazanin" w:eastAsia="IRNazanin" w:cs="IRNazanin"/>
      <w:color w:val="111827"/>
      <w:sz w:val="48"/>
      <w:szCs w:val="48"/>
      <w:b w:val="1"/>
      <w:bCs w:val="1"/>
      <w:i w:val="0"/>
      <w:iCs w:val="0"/>
    </w:rPr>
  </w:style>
  <w:style w:type="paragraph" w:styleId="Heading1">
    <w:link w:val="Heading1Char"/>
    <w:name w:val="heading 1"/>
    <w:basedOn w:val="Normal"/>
    <w:pPr>
      <w:jc w:val="start"/>
      <w:bidi/>
      <w:spacing w:line="288" w:lineRule="auto"/>
      <w:numPr>
        <w:numId w:val="3"/>
        <w:ilvl w:val="0"/>
      </w:numPr>
      <w:outlineLvl w:val="0"/>
    </w:pPr>
    <w:rPr>
      <w:rFonts w:ascii="IRTitr" w:hAnsi="IRTitr" w:eastAsia="IRTitr" w:cs="IRTitr"/>
      <w:color w:val="111827"/>
      <w:sz w:val="40"/>
      <w:szCs w:val="40"/>
      <w:b w:val="0"/>
      <w:bCs w:val="0"/>
      <w:i w:val="0"/>
      <w:iCs w:val="0"/>
    </w:rPr>
  </w:style>
  <w:style w:type="paragraph" w:styleId="Heading2">
    <w:link w:val="Heading2Char"/>
    <w:name w:val="heading 2"/>
    <w:basedOn w:val="Normal"/>
    <w:pPr>
      <w:jc w:val="start"/>
      <w:bidi/>
      <w:spacing w:line="288" w:lineRule="auto"/>
      <w:numPr>
        <w:numId w:val="3"/>
        <w:ilvl w:val="1"/>
      </w:numPr>
      <w:outlineLvl w:val="1"/>
    </w:pPr>
    <w:rPr>
      <w:rFonts w:ascii="IRNazanin" w:hAnsi="IRNazanin" w:eastAsia="IRNazanin" w:cs="IRNazanin"/>
      <w:color w:val="1F2937"/>
      <w:sz w:val="36"/>
      <w:szCs w:val="36"/>
      <w:b w:val="1"/>
      <w:bCs w:val="1"/>
      <w:i w:val="0"/>
      <w:iCs w:val="0"/>
    </w:rPr>
  </w:style>
  <w:style w:type="paragraph" w:styleId="Heading3">
    <w:link w:val="Heading3Char"/>
    <w:name w:val="heading 3"/>
    <w:basedOn w:val="Normal"/>
    <w:pPr>
      <w:jc w:val="start"/>
      <w:bidi/>
      <w:spacing w:line="288" w:lineRule="auto"/>
      <w:numPr>
        <w:numId w:val="3"/>
        <w:ilvl w:val="2"/>
      </w:numPr>
      <w:outlineLvl w:val="2"/>
    </w:pPr>
    <w:rPr>
      <w:rFonts w:ascii="IRNazanin" w:hAnsi="IRNazanin" w:eastAsia="IRNazanin" w:cs="IRNazanin"/>
      <w:color w:val="374151"/>
      <w:sz w:val="32"/>
      <w:szCs w:val="32"/>
      <w:b w:val="1"/>
      <w:bCs w:val="1"/>
      <w:i w:val="0"/>
      <w:iCs w:val="0"/>
    </w:rPr>
  </w:style>
  <w:style w:type="paragraph" w:styleId="Heading4">
    <w:link w:val="Heading4Char"/>
    <w:name w:val="heading 4"/>
    <w:basedOn w:val="Normal"/>
    <w:pPr>
      <w:jc w:val="start"/>
      <w:bidi/>
      <w:spacing w:line="288" w:lineRule="auto"/>
      <w:numPr>
        <w:numId w:val="3"/>
        <w:ilvl w:val="3"/>
      </w:numPr>
      <w:outlineLvl w:val="3"/>
    </w:pPr>
    <w:rPr>
      <w:rFonts w:ascii="IRNazanin" w:hAnsi="IRNazanin" w:eastAsia="IRNazanin" w:cs="IRNazanin"/>
      <w:color w:val="4B5563"/>
      <w:sz w:val="30"/>
      <w:szCs w:val="30"/>
      <w:b w:val="1"/>
      <w:bCs w:val="1"/>
      <w:i w:val="0"/>
      <w:iCs w:val="0"/>
    </w:rPr>
  </w:style>
  <w:style w:type="paragraph" w:styleId="Heading5">
    <w:link w:val="Heading5Char"/>
    <w:name w:val="heading 5"/>
    <w:basedOn w:val="Normal"/>
    <w:pPr>
      <w:jc w:val="start"/>
      <w:bidi/>
      <w:spacing w:line="288" w:lineRule="auto"/>
      <w:numPr>
        <w:numId w:val="3"/>
        <w:ilvl w:val="4"/>
      </w:numPr>
      <w:outlineLvl w:val="4"/>
    </w:pPr>
    <w:rPr>
      <w:rFonts w:ascii="IRNazanin" w:hAnsi="IRNazanin" w:eastAsia="IRNazanin" w:cs="IRNazanin"/>
      <w:color w:val="4B5563"/>
      <w:sz w:val="28"/>
      <w:szCs w:val="28"/>
      <w:b w:val="1"/>
      <w:bCs w:val="1"/>
      <w:i w:val="0"/>
      <w:iCs w:val="0"/>
    </w:rPr>
  </w:style>
  <w:style w:type="paragraph" w:styleId="Heading6">
    <w:link w:val="Heading6Char"/>
    <w:name w:val="heading 6"/>
    <w:basedOn w:val="Normal"/>
    <w:pPr>
      <w:jc w:val="start"/>
      <w:bidi/>
      <w:spacing w:line="288" w:lineRule="auto"/>
      <w:numPr>
        <w:numId w:val="3"/>
        <w:ilvl w:val="5"/>
      </w:numPr>
      <w:outlineLvl w:val="5"/>
    </w:pPr>
    <w:rPr>
      <w:rFonts w:ascii="IRNazanin" w:hAnsi="IRNazanin" w:eastAsia="IRNazanin" w:cs="IRNazanin"/>
      <w:color w:val="4B5563"/>
      <w:sz w:val="26"/>
      <w:szCs w:val="26"/>
      <w:b w:val="1"/>
      <w:bCs w:val="1"/>
      <w:i w:val="0"/>
      <w:iCs w:val="0"/>
    </w:rPr>
  </w:style>
  <w:style w:type="paragraph" w:customStyle="1" w:styleId="BookText">
    <w:name w:val="BookText"/>
    <w:basedOn w:val="Normal"/>
    <w:pPr>
      <w:jc w:val="both"/>
      <w:bidi/>
    </w:pPr>
  </w:style>
  <w:style w:type="paragraph" w:customStyle="1" w:styleId="Quote">
    <w:name w:val="Quote"/>
    <w:basedOn w:val="Normal"/>
    <w:pPr>
      <w:jc w:val="both"/>
      <w:bidi/>
    </w:pPr>
  </w:style>
  <w:style w:type="paragraph" w:customStyle="1" w:styleId="Caption">
    <w:name w:val="Caption"/>
    <w:basedOn w:val="Normal"/>
    <w:pPr>
      <w:jc w:val="center"/>
      <w:bidi/>
    </w:pPr>
  </w:style>
  <w:style w:type="paragraph" w:customStyle="1" w:styleId="Code">
    <w:name w:val="Code"/>
    <w:basedOn w:val="Normal"/>
    <w:pPr>
      <w:jc w:val="star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jpg"/><Relationship Id="rId9" Type="http://schemas.openxmlformats.org/officeDocument/2006/relationships/footer" Target="footer7.xml"/><Relationship Id="rId10" Type="http://schemas.openxmlformats.org/officeDocument/2006/relationships/footer" Target="footer10.xml"/><Relationship Id="rId11" Type="http://schemas.openxmlformats.org/officeDocument/2006/relationships/footer" Target="footer13.xml"/><Relationship Id="rId12" Type="http://schemas.openxmlformats.org/officeDocument/2006/relationships/footer" Target="footer16.xml"/><Relationship Id="rId13" Type="http://schemas.openxmlformats.org/officeDocument/2006/relationships/footer" Target="footer19.xml"/><Relationship Id="rId14" Type="http://schemas.openxmlformats.org/officeDocument/2006/relationships/footer" Target="footer22.xml"/><Relationship Id="rId15" Type="http://schemas.openxmlformats.org/officeDocument/2006/relationships/footer" Target="footer25.xml"/><Relationship Id="rId16" Type="http://schemas.openxmlformats.org/officeDocument/2006/relationships/footer" Target="footer28.xml"/><Relationship Id="rId17" Type="http://schemas.openxmlformats.org/officeDocument/2006/relationships/footer" Target="footer3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ghaemiyeh.com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ghaemiyeh.com</dc:creator>
  <dc:title>دانشنامه امام خمینی ره جلد 3</dc:title>
  <dc:description/>
  <dc:subject/>
  <cp:keywords/>
  <cp:category/>
  <cp:lastModifiedBy/>
  <dcterms:created xsi:type="dcterms:W3CDTF">2026-08-25T11:32:28+03:30</dcterms:created>
  <dcterms:modified xsi:type="dcterms:W3CDTF">2026-08-25T11:32:28+03:30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