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15028_2142443653">
            <w:r>
              <w:rPr>
                <w:webHidden/>
                <w:rStyle w:val="IndexLink"/>
                <w:rtl w:val="true"/>
              </w:rPr>
              <w:t>هوية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11915030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1915032_2142443653">
            <w:r>
              <w:rPr>
                <w:webHidden/>
                <w:rStyle w:val="IndexLink"/>
                <w:rtl w:val="true"/>
              </w:rPr>
              <w:t>النزح بالماطور</w:t>
            </w:r>
            <w:r>
              <w:rPr>
                <w:rStyle w:val="IndexLink"/>
                <w:rtl w:val="true"/>
              </w:rPr>
              <w:tab/>
            </w:r>
            <w:r>
              <w:rPr>
                <w:rStyle w:val="IndexLink"/>
              </w:rPr>
              <w:t>16</w:t>
            </w:r>
          </w:hyperlink>
        </w:p>
        <w:p>
          <w:pPr>
            <w:pStyle w:val="Contents2"/>
            <w:tabs>
              <w:tab w:val="clear" w:pos="8743"/>
              <w:tab w:val="right" w:pos="9026" w:leader="dot"/>
            </w:tabs>
            <w:rPr/>
          </w:pPr>
          <w:hyperlink w:anchor="__RefHeading___Toc11915034_2142443653">
            <w:r>
              <w:rPr>
                <w:webHidden/>
                <w:rStyle w:val="IndexLink"/>
                <w:rtl w:val="true"/>
              </w:rPr>
              <w:t>الإدخال بغلاف</w:t>
            </w:r>
            <w:r>
              <w:rPr>
                <w:rStyle w:val="IndexLink"/>
                <w:rtl w:val="true"/>
              </w:rPr>
              <w:tab/>
            </w:r>
            <w:r>
              <w:rPr>
                <w:rStyle w:val="IndexLink"/>
              </w:rPr>
              <w:t>20</w:t>
            </w:r>
          </w:hyperlink>
        </w:p>
        <w:p>
          <w:pPr>
            <w:pStyle w:val="Contents2"/>
            <w:tabs>
              <w:tab w:val="clear" w:pos="8743"/>
              <w:tab w:val="right" w:pos="9026" w:leader="dot"/>
            </w:tabs>
            <w:rPr/>
          </w:pPr>
          <w:hyperlink w:anchor="__RefHeading___Toc11915036_2142443653">
            <w:r>
              <w:rPr>
                <w:webHidden/>
                <w:rStyle w:val="IndexLink"/>
                <w:rtl w:val="true"/>
              </w:rPr>
              <w:t>الإنسان الآلي</w:t>
            </w:r>
            <w:r>
              <w:rPr>
                <w:rStyle w:val="IndexLink"/>
                <w:rtl w:val="true"/>
              </w:rPr>
              <w:tab/>
            </w:r>
            <w:r>
              <w:rPr>
                <w:rStyle w:val="IndexLink"/>
              </w:rPr>
              <w:t>21</w:t>
            </w:r>
          </w:hyperlink>
        </w:p>
        <w:p>
          <w:pPr>
            <w:pStyle w:val="Contents2"/>
            <w:tabs>
              <w:tab w:val="clear" w:pos="8743"/>
              <w:tab w:val="right" w:pos="9026" w:leader="dot"/>
            </w:tabs>
            <w:rPr/>
          </w:pPr>
          <w:hyperlink w:anchor="__RefHeading___Toc11915038_2142443653">
            <w:r>
              <w:rPr>
                <w:webHidden/>
                <w:rStyle w:val="IndexLink"/>
                <w:rtl w:val="true"/>
              </w:rPr>
              <w:t>طلوع الشمس ثانياً</w:t>
            </w:r>
            <w:r>
              <w:rPr>
                <w:rStyle w:val="IndexLink"/>
                <w:rtl w:val="true"/>
              </w:rPr>
              <w:tab/>
            </w:r>
            <w:r>
              <w:rPr>
                <w:rStyle w:val="IndexLink"/>
              </w:rPr>
              <w:t>22</w:t>
            </w:r>
          </w:hyperlink>
        </w:p>
        <w:p>
          <w:pPr>
            <w:pStyle w:val="Contents2"/>
            <w:tabs>
              <w:tab w:val="clear" w:pos="8743"/>
              <w:tab w:val="right" w:pos="9026" w:leader="dot"/>
            </w:tabs>
            <w:rPr/>
          </w:pPr>
          <w:hyperlink w:anchor="__RefHeading___Toc11915040_2142443653">
            <w:r>
              <w:rPr>
                <w:webHidden/>
                <w:rStyle w:val="IndexLink"/>
                <w:rtl w:val="true"/>
              </w:rPr>
              <w:t>مجيء الليل ثانياً</w:t>
            </w:r>
            <w:r>
              <w:rPr>
                <w:rStyle w:val="IndexLink"/>
                <w:rtl w:val="true"/>
              </w:rPr>
              <w:tab/>
            </w:r>
            <w:r>
              <w:rPr>
                <w:rStyle w:val="IndexLink"/>
              </w:rPr>
              <w:t>24</w:t>
            </w:r>
          </w:hyperlink>
        </w:p>
        <w:p>
          <w:pPr>
            <w:pStyle w:val="Contents2"/>
            <w:tabs>
              <w:tab w:val="clear" w:pos="8743"/>
              <w:tab w:val="right" w:pos="9026" w:leader="dot"/>
            </w:tabs>
            <w:rPr/>
          </w:pPr>
          <w:hyperlink w:anchor="__RefHeading___Toc11915042_2142443653">
            <w:r>
              <w:rPr>
                <w:webHidden/>
                <w:rStyle w:val="IndexLink"/>
                <w:rtl w:val="true"/>
              </w:rPr>
              <w:t>الانتفاع بالقمر</w:t>
            </w:r>
            <w:r>
              <w:rPr>
                <w:rStyle w:val="IndexLink"/>
                <w:rtl w:val="true"/>
              </w:rPr>
              <w:tab/>
            </w:r>
            <w:r>
              <w:rPr>
                <w:rStyle w:val="IndexLink"/>
              </w:rPr>
              <w:t>24</w:t>
            </w:r>
          </w:hyperlink>
        </w:p>
        <w:p>
          <w:pPr>
            <w:pStyle w:val="Contents2"/>
            <w:tabs>
              <w:tab w:val="clear" w:pos="8743"/>
              <w:tab w:val="right" w:pos="9026" w:leader="dot"/>
            </w:tabs>
            <w:rPr/>
          </w:pPr>
          <w:hyperlink w:anchor="__RefHeading___Toc11915044_2142443653">
            <w:r>
              <w:rPr>
                <w:webHidden/>
                <w:rStyle w:val="IndexLink"/>
                <w:rtl w:val="true"/>
              </w:rPr>
              <w:t>الاعتراف بالمسجلة</w:t>
            </w:r>
            <w:r>
              <w:rPr>
                <w:rStyle w:val="IndexLink"/>
                <w:rtl w:val="true"/>
              </w:rPr>
              <w:tab/>
            </w:r>
            <w:r>
              <w:rPr>
                <w:rStyle w:val="IndexLink"/>
              </w:rPr>
              <w:t>26</w:t>
            </w:r>
          </w:hyperlink>
        </w:p>
        <w:p>
          <w:pPr>
            <w:pStyle w:val="Contents2"/>
            <w:tabs>
              <w:tab w:val="clear" w:pos="8743"/>
              <w:tab w:val="right" w:pos="9026" w:leader="dot"/>
            </w:tabs>
            <w:rPr/>
          </w:pPr>
          <w:hyperlink w:anchor="__RefHeading___Toc11915046_2142443653">
            <w:r>
              <w:rPr>
                <w:webHidden/>
                <w:rStyle w:val="IndexLink"/>
                <w:rtl w:val="true"/>
              </w:rPr>
              <w:t>أذان المسجلة</w:t>
            </w:r>
            <w:r>
              <w:rPr>
                <w:rStyle w:val="IndexLink"/>
                <w:rtl w:val="true"/>
              </w:rPr>
              <w:tab/>
            </w:r>
            <w:r>
              <w:rPr>
                <w:rStyle w:val="IndexLink"/>
              </w:rPr>
              <w:t>28</w:t>
            </w:r>
          </w:hyperlink>
        </w:p>
        <w:p>
          <w:pPr>
            <w:pStyle w:val="Contents2"/>
            <w:tabs>
              <w:tab w:val="clear" w:pos="8743"/>
              <w:tab w:val="right" w:pos="9026" w:leader="dot"/>
            </w:tabs>
            <w:rPr/>
          </w:pPr>
          <w:hyperlink w:anchor="__RefHeading___Toc11915048_2142443653">
            <w:r>
              <w:rPr>
                <w:webHidden/>
                <w:rStyle w:val="IndexLink"/>
                <w:rtl w:val="true"/>
              </w:rPr>
              <w:t>قراءة القرآن بالمسجلة</w:t>
            </w:r>
            <w:r>
              <w:rPr>
                <w:rStyle w:val="IndexLink"/>
                <w:rtl w:val="true"/>
              </w:rPr>
              <w:tab/>
            </w:r>
            <w:r>
              <w:rPr>
                <w:rStyle w:val="IndexLink"/>
              </w:rPr>
              <w:t>29</w:t>
            </w:r>
          </w:hyperlink>
        </w:p>
        <w:p>
          <w:pPr>
            <w:pStyle w:val="Contents2"/>
            <w:tabs>
              <w:tab w:val="clear" w:pos="8743"/>
              <w:tab w:val="right" w:pos="9026" w:leader="dot"/>
            </w:tabs>
            <w:rPr/>
          </w:pPr>
          <w:hyperlink w:anchor="__RefHeading___Toc11915050_2142443653">
            <w:r>
              <w:rPr>
                <w:webHidden/>
                <w:rStyle w:val="IndexLink"/>
                <w:rtl w:val="true"/>
              </w:rPr>
              <w:t>الألعاب الأولمبية</w:t>
            </w:r>
            <w:r>
              <w:rPr>
                <w:rStyle w:val="IndexLink"/>
                <w:rtl w:val="true"/>
              </w:rPr>
              <w:tab/>
            </w:r>
            <w:r>
              <w:rPr>
                <w:rStyle w:val="IndexLink"/>
              </w:rPr>
              <w:t>30</w:t>
            </w:r>
          </w:hyperlink>
        </w:p>
        <w:p>
          <w:pPr>
            <w:pStyle w:val="Contents2"/>
            <w:tabs>
              <w:tab w:val="clear" w:pos="8743"/>
              <w:tab w:val="right" w:pos="9026" w:leader="dot"/>
            </w:tabs>
            <w:rPr/>
          </w:pPr>
          <w:hyperlink w:anchor="__RefHeading___Toc11915052_2142443653">
            <w:r>
              <w:rPr>
                <w:webHidden/>
                <w:rStyle w:val="IndexLink"/>
                <w:rtl w:val="true"/>
              </w:rPr>
              <w:t>العقود والإيقاعات عبر الهاتف</w:t>
            </w:r>
            <w:r>
              <w:rPr>
                <w:rStyle w:val="IndexLink"/>
                <w:rtl w:val="true"/>
              </w:rPr>
              <w:tab/>
            </w:r>
            <w:r>
              <w:rPr>
                <w:rStyle w:val="IndexLink"/>
              </w:rPr>
              <w:t>31</w:t>
            </w:r>
          </w:hyperlink>
        </w:p>
        <w:p>
          <w:pPr>
            <w:pStyle w:val="Contents2"/>
            <w:tabs>
              <w:tab w:val="clear" w:pos="8743"/>
              <w:tab w:val="right" w:pos="9026" w:leader="dot"/>
            </w:tabs>
            <w:rPr/>
          </w:pPr>
          <w:hyperlink w:anchor="__RefHeading___Toc11915054_2142443653">
            <w:r>
              <w:rPr>
                <w:webHidden/>
                <w:rStyle w:val="IndexLink"/>
                <w:rtl w:val="true"/>
              </w:rPr>
              <w:t>شهادة التصوير</w:t>
            </w:r>
            <w:r>
              <w:rPr>
                <w:rStyle w:val="IndexLink"/>
                <w:rtl w:val="true"/>
              </w:rPr>
              <w:tab/>
            </w:r>
            <w:r>
              <w:rPr>
                <w:rStyle w:val="IndexLink"/>
              </w:rPr>
              <w:t>32</w:t>
            </w:r>
          </w:hyperlink>
        </w:p>
        <w:p>
          <w:pPr>
            <w:pStyle w:val="Contents2"/>
            <w:tabs>
              <w:tab w:val="clear" w:pos="8743"/>
              <w:tab w:val="right" w:pos="9026" w:leader="dot"/>
            </w:tabs>
            <w:rPr/>
          </w:pPr>
          <w:hyperlink w:anchor="__RefHeading___Toc11915056_2142443653">
            <w:r>
              <w:rPr>
                <w:webHidden/>
                <w:rStyle w:val="IndexLink"/>
                <w:rtl w:val="true"/>
              </w:rPr>
              <w:t>المصلي في القمر</w:t>
            </w:r>
            <w:r>
              <w:rPr>
                <w:rStyle w:val="IndexLink"/>
                <w:rtl w:val="true"/>
              </w:rPr>
              <w:tab/>
            </w:r>
            <w:r>
              <w:rPr>
                <w:rStyle w:val="IndexLink"/>
              </w:rPr>
              <w:t>33</w:t>
            </w:r>
          </w:hyperlink>
        </w:p>
        <w:p>
          <w:pPr>
            <w:pStyle w:val="Contents2"/>
            <w:tabs>
              <w:tab w:val="clear" w:pos="8743"/>
              <w:tab w:val="right" w:pos="9026" w:leader="dot"/>
            </w:tabs>
            <w:rPr/>
          </w:pPr>
          <w:hyperlink w:anchor="__RefHeading___Toc11915058_2142443653">
            <w:r>
              <w:rPr>
                <w:webHidden/>
                <w:rStyle w:val="IndexLink"/>
                <w:rtl w:val="true"/>
              </w:rPr>
              <w:t>قلع الرحم</w:t>
            </w:r>
            <w:r>
              <w:rPr>
                <w:rStyle w:val="IndexLink"/>
                <w:rtl w:val="true"/>
              </w:rPr>
              <w:tab/>
            </w:r>
            <w:r>
              <w:rPr>
                <w:rStyle w:val="IndexLink"/>
              </w:rPr>
              <w:t>34</w:t>
            </w:r>
          </w:hyperlink>
        </w:p>
        <w:p>
          <w:pPr>
            <w:pStyle w:val="Contents2"/>
            <w:tabs>
              <w:tab w:val="clear" w:pos="8743"/>
              <w:tab w:val="right" w:pos="9026" w:leader="dot"/>
            </w:tabs>
            <w:rPr/>
          </w:pPr>
          <w:hyperlink w:anchor="__RefHeading___Toc11915060_2142443653">
            <w:r>
              <w:rPr>
                <w:webHidden/>
                <w:rStyle w:val="IndexLink"/>
                <w:rtl w:val="true"/>
              </w:rPr>
              <w:t>ولادة غير الإنسان من الإنسان</w:t>
            </w:r>
            <w:r>
              <w:rPr>
                <w:rStyle w:val="IndexLink"/>
                <w:rtl w:val="true"/>
              </w:rPr>
              <w:tab/>
            </w:r>
            <w:r>
              <w:rPr>
                <w:rStyle w:val="IndexLink"/>
              </w:rPr>
              <w:t>35</w:t>
            </w:r>
          </w:hyperlink>
        </w:p>
        <w:p>
          <w:pPr>
            <w:pStyle w:val="Contents2"/>
            <w:tabs>
              <w:tab w:val="clear" w:pos="8743"/>
              <w:tab w:val="right" w:pos="9026" w:leader="dot"/>
            </w:tabs>
            <w:rPr/>
          </w:pPr>
          <w:hyperlink w:anchor="__RefHeading___Toc11915062_2142443653">
            <w:r>
              <w:rPr>
                <w:webHidden/>
                <w:rStyle w:val="IndexLink"/>
                <w:rtl w:val="true"/>
              </w:rPr>
              <w:t>ترفيع السلالات</w:t>
            </w:r>
            <w:r>
              <w:rPr>
                <w:rStyle w:val="IndexLink"/>
                <w:rtl w:val="true"/>
              </w:rPr>
              <w:tab/>
            </w:r>
            <w:r>
              <w:rPr>
                <w:rStyle w:val="IndexLink"/>
              </w:rPr>
              <w:t>37</w:t>
            </w:r>
          </w:hyperlink>
        </w:p>
        <w:p>
          <w:pPr>
            <w:pStyle w:val="Contents2"/>
            <w:tabs>
              <w:tab w:val="clear" w:pos="8743"/>
              <w:tab w:val="right" w:pos="9026" w:leader="dot"/>
            </w:tabs>
            <w:rPr/>
          </w:pPr>
          <w:hyperlink w:anchor="__RefHeading___Toc11915064_2142443653">
            <w:r>
              <w:rPr>
                <w:webHidden/>
                <w:rStyle w:val="IndexLink"/>
                <w:rtl w:val="true"/>
              </w:rPr>
              <w:t>منع المريض عن الزواج</w:t>
            </w:r>
            <w:r>
              <w:rPr>
                <w:rStyle w:val="IndexLink"/>
                <w:rtl w:val="true"/>
              </w:rPr>
              <w:tab/>
            </w:r>
            <w:r>
              <w:rPr>
                <w:rStyle w:val="IndexLink"/>
              </w:rPr>
              <w:t>38</w:t>
            </w:r>
          </w:hyperlink>
        </w:p>
        <w:p>
          <w:pPr>
            <w:pStyle w:val="Contents2"/>
            <w:tabs>
              <w:tab w:val="clear" w:pos="8743"/>
              <w:tab w:val="right" w:pos="9026" w:leader="dot"/>
            </w:tabs>
            <w:rPr/>
          </w:pPr>
          <w:hyperlink w:anchor="__RefHeading___Toc11915066_2142443653">
            <w:r>
              <w:rPr>
                <w:webHidden/>
                <w:rStyle w:val="IndexLink"/>
                <w:rtl w:val="true"/>
              </w:rPr>
              <w:t>الأحكام في قالب القانون</w:t>
            </w:r>
            <w:r>
              <w:rPr>
                <w:rStyle w:val="IndexLink"/>
                <w:rtl w:val="true"/>
              </w:rPr>
              <w:tab/>
            </w:r>
            <w:r>
              <w:rPr>
                <w:rStyle w:val="IndexLink"/>
              </w:rPr>
              <w:t>39</w:t>
            </w:r>
          </w:hyperlink>
        </w:p>
        <w:p>
          <w:pPr>
            <w:pStyle w:val="Contents2"/>
            <w:tabs>
              <w:tab w:val="clear" w:pos="8743"/>
              <w:tab w:val="right" w:pos="9026" w:leader="dot"/>
            </w:tabs>
            <w:rPr/>
          </w:pPr>
          <w:hyperlink w:anchor="__RefHeading___Toc11915068_2142443653">
            <w:r>
              <w:rPr>
                <w:webHidden/>
                <w:rStyle w:val="IndexLink"/>
                <w:rtl w:val="true"/>
              </w:rPr>
              <w:t>تصوير الأموات</w:t>
            </w:r>
            <w:r>
              <w:rPr>
                <w:rStyle w:val="IndexLink"/>
                <w:rtl w:val="true"/>
              </w:rPr>
              <w:tab/>
            </w:r>
            <w:r>
              <w:rPr>
                <w:rStyle w:val="IndexLink"/>
              </w:rPr>
              <w:t>40</w:t>
            </w:r>
          </w:hyperlink>
        </w:p>
        <w:p>
          <w:pPr>
            <w:pStyle w:val="Contents2"/>
            <w:tabs>
              <w:tab w:val="clear" w:pos="8743"/>
              <w:tab w:val="right" w:pos="9026" w:leader="dot"/>
            </w:tabs>
            <w:rPr/>
          </w:pPr>
          <w:hyperlink w:anchor="__RefHeading___Toc11915070_2142443653">
            <w:r>
              <w:rPr>
                <w:webHidden/>
                <w:rStyle w:val="IndexLink"/>
                <w:rtl w:val="true"/>
              </w:rPr>
              <w:t>المعلبات المستوردة</w:t>
            </w:r>
            <w:r>
              <w:rPr>
                <w:rStyle w:val="IndexLink"/>
                <w:rtl w:val="true"/>
              </w:rPr>
              <w:tab/>
            </w:r>
            <w:r>
              <w:rPr>
                <w:rStyle w:val="IndexLink"/>
              </w:rPr>
              <w:t>42</w:t>
            </w:r>
          </w:hyperlink>
        </w:p>
        <w:p>
          <w:pPr>
            <w:pStyle w:val="Contents2"/>
            <w:tabs>
              <w:tab w:val="clear" w:pos="8743"/>
              <w:tab w:val="right" w:pos="9026" w:leader="dot"/>
            </w:tabs>
            <w:rPr/>
          </w:pPr>
          <w:hyperlink w:anchor="__RefHeading___Toc11915072_2142443653">
            <w:r>
              <w:rPr>
                <w:webHidden/>
                <w:rStyle w:val="IndexLink"/>
                <w:rtl w:val="true"/>
              </w:rPr>
              <w:t>الألعاب السويدية</w:t>
            </w:r>
            <w:r>
              <w:rPr>
                <w:rStyle w:val="IndexLink"/>
                <w:rtl w:val="true"/>
              </w:rPr>
              <w:tab/>
            </w:r>
            <w:r>
              <w:rPr>
                <w:rStyle w:val="IndexLink"/>
              </w:rPr>
              <w:t>44</w:t>
            </w:r>
          </w:hyperlink>
        </w:p>
        <w:p>
          <w:pPr>
            <w:pStyle w:val="Contents2"/>
            <w:tabs>
              <w:tab w:val="clear" w:pos="8743"/>
              <w:tab w:val="right" w:pos="9026" w:leader="dot"/>
            </w:tabs>
            <w:rPr/>
          </w:pPr>
          <w:hyperlink w:anchor="__RefHeading___Toc11915074_2142443653">
            <w:r>
              <w:rPr>
                <w:webHidden/>
                <w:rStyle w:val="IndexLink"/>
                <w:rtl w:val="true"/>
              </w:rPr>
              <w:t>أول الشهر في القمر</w:t>
            </w:r>
            <w:r>
              <w:rPr>
                <w:rStyle w:val="IndexLink"/>
                <w:rtl w:val="true"/>
              </w:rPr>
              <w:tab/>
            </w:r>
            <w:r>
              <w:rPr>
                <w:rStyle w:val="IndexLink"/>
              </w:rPr>
              <w:t>44</w:t>
            </w:r>
          </w:hyperlink>
        </w:p>
        <w:p>
          <w:pPr>
            <w:pStyle w:val="Contents2"/>
            <w:tabs>
              <w:tab w:val="clear" w:pos="8743"/>
              <w:tab w:val="right" w:pos="9026" w:leader="dot"/>
            </w:tabs>
            <w:rPr/>
          </w:pPr>
          <w:hyperlink w:anchor="__RefHeading___Toc11915076_2142443653">
            <w:r>
              <w:rPr>
                <w:webHidden/>
                <w:rStyle w:val="IndexLink"/>
                <w:rtl w:val="true"/>
              </w:rPr>
              <w:t>السفر إلى القمر</w:t>
            </w:r>
            <w:r>
              <w:rPr>
                <w:rStyle w:val="IndexLink"/>
                <w:rtl w:val="true"/>
              </w:rPr>
              <w:tab/>
            </w:r>
            <w:r>
              <w:rPr>
                <w:rStyle w:val="IndexLink"/>
              </w:rPr>
              <w:t>46</w:t>
            </w:r>
          </w:hyperlink>
        </w:p>
        <w:p>
          <w:pPr>
            <w:pStyle w:val="Contents2"/>
            <w:tabs>
              <w:tab w:val="clear" w:pos="8743"/>
              <w:tab w:val="right" w:pos="9026" w:leader="dot"/>
            </w:tabs>
            <w:rPr/>
          </w:pPr>
          <w:hyperlink w:anchor="__RefHeading___Toc11915078_2142443653">
            <w:r>
              <w:rPr>
                <w:webHidden/>
                <w:rStyle w:val="IndexLink"/>
                <w:rtl w:val="true"/>
              </w:rPr>
              <w:t>الأحكام الشرعية في الكواكب</w:t>
            </w:r>
            <w:r>
              <w:rPr>
                <w:rStyle w:val="IndexLink"/>
                <w:rtl w:val="true"/>
              </w:rPr>
              <w:tab/>
            </w:r>
            <w:r>
              <w:rPr>
                <w:rStyle w:val="IndexLink"/>
              </w:rPr>
              <w:t>47</w:t>
            </w:r>
          </w:hyperlink>
        </w:p>
        <w:p>
          <w:pPr>
            <w:pStyle w:val="Contents2"/>
            <w:tabs>
              <w:tab w:val="clear" w:pos="8743"/>
              <w:tab w:val="right" w:pos="9026" w:leader="dot"/>
            </w:tabs>
            <w:rPr/>
          </w:pPr>
          <w:hyperlink w:anchor="__RefHeading___Toc11915080_2142443653">
            <w:r>
              <w:rPr>
                <w:webHidden/>
                <w:rStyle w:val="IndexLink"/>
                <w:rtl w:val="true"/>
              </w:rPr>
              <w:t>بيع الأعضاء</w:t>
            </w:r>
            <w:r>
              <w:rPr>
                <w:rStyle w:val="IndexLink"/>
              </w:rPr>
              <w:t>1</w:t>
            </w:r>
            <w:r>
              <w:rPr>
                <w:rStyle w:val="IndexLink"/>
                <w:rtl w:val="true"/>
              </w:rPr>
              <w:tab/>
            </w:r>
            <w:r>
              <w:rPr>
                <w:rStyle w:val="IndexLink"/>
              </w:rPr>
              <w:t>48</w:t>
            </w:r>
          </w:hyperlink>
        </w:p>
        <w:p>
          <w:pPr>
            <w:pStyle w:val="Contents2"/>
            <w:tabs>
              <w:tab w:val="clear" w:pos="8743"/>
              <w:tab w:val="right" w:pos="9026" w:leader="dot"/>
            </w:tabs>
            <w:rPr/>
          </w:pPr>
          <w:hyperlink w:anchor="__RefHeading___Toc11915082_2142443653">
            <w:r>
              <w:rPr>
                <w:webHidden/>
                <w:rStyle w:val="IndexLink"/>
                <w:rtl w:val="true"/>
              </w:rPr>
              <w:t>بيع غير الأعضاء</w:t>
            </w:r>
            <w:r>
              <w:rPr>
                <w:rStyle w:val="IndexLink"/>
                <w:rtl w:val="true"/>
              </w:rPr>
              <w:tab/>
            </w:r>
            <w:r>
              <w:rPr>
                <w:rStyle w:val="IndexLink"/>
              </w:rPr>
              <w:t>50</w:t>
            </w:r>
          </w:hyperlink>
        </w:p>
        <w:p>
          <w:pPr>
            <w:pStyle w:val="Contents2"/>
            <w:tabs>
              <w:tab w:val="clear" w:pos="8743"/>
              <w:tab w:val="right" w:pos="9026" w:leader="dot"/>
            </w:tabs>
            <w:rPr/>
          </w:pPr>
          <w:hyperlink w:anchor="__RefHeading___Toc11915084_2142443653">
            <w:r>
              <w:rPr>
                <w:webHidden/>
                <w:rStyle w:val="IndexLink"/>
                <w:rtl w:val="true"/>
              </w:rPr>
              <w:t>أخبار الأرواح</w:t>
            </w:r>
            <w:r>
              <w:rPr>
                <w:rStyle w:val="IndexLink"/>
              </w:rPr>
              <w:t>1</w:t>
            </w:r>
            <w:r>
              <w:rPr>
                <w:rStyle w:val="IndexLink"/>
                <w:rtl w:val="true"/>
              </w:rPr>
              <w:tab/>
            </w:r>
            <w:r>
              <w:rPr>
                <w:rStyle w:val="IndexLink"/>
              </w:rPr>
              <w:t>51</w:t>
            </w:r>
          </w:hyperlink>
        </w:p>
        <w:p>
          <w:pPr>
            <w:pStyle w:val="Contents2"/>
            <w:tabs>
              <w:tab w:val="clear" w:pos="8743"/>
              <w:tab w:val="right" w:pos="9026" w:leader="dot"/>
            </w:tabs>
            <w:rPr/>
          </w:pPr>
          <w:hyperlink w:anchor="__RefHeading___Toc11915086_2142443653">
            <w:r>
              <w:rPr>
                <w:webHidden/>
                <w:rStyle w:val="IndexLink"/>
                <w:rtl w:val="true"/>
              </w:rPr>
              <w:t>كلب الإجرام</w:t>
            </w:r>
            <w:r>
              <w:rPr>
                <w:rStyle w:val="IndexLink"/>
                <w:rtl w:val="true"/>
              </w:rPr>
              <w:tab/>
            </w:r>
            <w:r>
              <w:rPr>
                <w:rStyle w:val="IndexLink"/>
              </w:rPr>
              <w:t>52</w:t>
            </w:r>
          </w:hyperlink>
        </w:p>
        <w:p>
          <w:pPr>
            <w:pStyle w:val="Contents2"/>
            <w:tabs>
              <w:tab w:val="clear" w:pos="8743"/>
              <w:tab w:val="right" w:pos="9026" w:leader="dot"/>
            </w:tabs>
            <w:rPr/>
          </w:pPr>
          <w:hyperlink w:anchor="__RefHeading___Toc11915088_2142443653">
            <w:r>
              <w:rPr>
                <w:webHidden/>
                <w:rStyle w:val="IndexLink"/>
                <w:rtl w:val="true"/>
              </w:rPr>
              <w:t>تعليم الحيوان</w:t>
            </w:r>
            <w:r>
              <w:rPr>
                <w:rStyle w:val="IndexLink"/>
                <w:rtl w:val="true"/>
              </w:rPr>
              <w:tab/>
            </w:r>
            <w:r>
              <w:rPr>
                <w:rStyle w:val="IndexLink"/>
              </w:rPr>
              <w:t>53</w:t>
            </w:r>
          </w:hyperlink>
        </w:p>
        <w:p>
          <w:pPr>
            <w:pStyle w:val="Contents2"/>
            <w:tabs>
              <w:tab w:val="clear" w:pos="8743"/>
              <w:tab w:val="right" w:pos="9026" w:leader="dot"/>
            </w:tabs>
            <w:rPr/>
          </w:pPr>
          <w:hyperlink w:anchor="__RefHeading___Toc11915090_2142443653">
            <w:r>
              <w:rPr>
                <w:webHidden/>
                <w:rStyle w:val="IndexLink"/>
                <w:rtl w:val="true"/>
              </w:rPr>
              <w:t>مصادرة الحريات</w:t>
            </w:r>
            <w:r>
              <w:rPr>
                <w:rStyle w:val="IndexLink"/>
                <w:rtl w:val="true"/>
              </w:rPr>
              <w:tab/>
            </w:r>
            <w:r>
              <w:rPr>
                <w:rStyle w:val="IndexLink"/>
              </w:rPr>
              <w:t>54</w:t>
            </w:r>
          </w:hyperlink>
        </w:p>
        <w:p>
          <w:pPr>
            <w:pStyle w:val="Contents2"/>
            <w:tabs>
              <w:tab w:val="clear" w:pos="8743"/>
              <w:tab w:val="right" w:pos="9026" w:leader="dot"/>
            </w:tabs>
            <w:rPr/>
          </w:pPr>
          <w:hyperlink w:anchor="__RefHeading___Toc11915092_2142443653">
            <w:r>
              <w:rPr>
                <w:webHidden/>
                <w:rStyle w:val="IndexLink"/>
                <w:rtl w:val="true"/>
              </w:rPr>
              <w:t>التعذيب لأخذ الاعتراف</w:t>
            </w:r>
            <w:r>
              <w:rPr>
                <w:rStyle w:val="IndexLink"/>
                <w:rtl w:val="true"/>
              </w:rPr>
              <w:tab/>
            </w:r>
            <w:r>
              <w:rPr>
                <w:rStyle w:val="IndexLink"/>
              </w:rPr>
              <w:t>56</w:t>
            </w:r>
          </w:hyperlink>
        </w:p>
        <w:p>
          <w:pPr>
            <w:pStyle w:val="Contents2"/>
            <w:tabs>
              <w:tab w:val="clear" w:pos="8743"/>
              <w:tab w:val="right" w:pos="9026" w:leader="dot"/>
            </w:tabs>
            <w:rPr/>
          </w:pPr>
          <w:hyperlink w:anchor="__RefHeading___Toc11915094_2142443653">
            <w:r>
              <w:rPr>
                <w:webHidden/>
                <w:rStyle w:val="IndexLink"/>
                <w:rtl w:val="true"/>
              </w:rPr>
              <w:t>القتل بالكهرباء</w:t>
            </w:r>
            <w:r>
              <w:rPr>
                <w:rStyle w:val="IndexLink"/>
                <w:rtl w:val="true"/>
              </w:rPr>
              <w:tab/>
            </w:r>
            <w:r>
              <w:rPr>
                <w:rStyle w:val="IndexLink"/>
              </w:rPr>
              <w:t>57</w:t>
            </w:r>
          </w:hyperlink>
        </w:p>
        <w:p>
          <w:pPr>
            <w:pStyle w:val="Contents2"/>
            <w:tabs>
              <w:tab w:val="clear" w:pos="8743"/>
              <w:tab w:val="right" w:pos="9026" w:leader="dot"/>
            </w:tabs>
            <w:rPr/>
          </w:pPr>
          <w:hyperlink w:anchor="__RefHeading___Toc11915096_2142443653">
            <w:r>
              <w:rPr>
                <w:webHidden/>
                <w:rStyle w:val="IndexLink"/>
                <w:rtl w:val="true"/>
              </w:rPr>
              <w:t>الانتحار</w:t>
            </w:r>
            <w:r>
              <w:rPr>
                <w:rStyle w:val="IndexLink"/>
                <w:rtl w:val="true"/>
              </w:rPr>
              <w:tab/>
            </w:r>
            <w:r>
              <w:rPr>
                <w:rStyle w:val="IndexLink"/>
              </w:rPr>
              <w:t>58</w:t>
            </w:r>
          </w:hyperlink>
        </w:p>
        <w:p>
          <w:pPr>
            <w:pStyle w:val="Contents2"/>
            <w:tabs>
              <w:tab w:val="clear" w:pos="8743"/>
              <w:tab w:val="right" w:pos="9026" w:leader="dot"/>
            </w:tabs>
            <w:rPr/>
          </w:pPr>
          <w:hyperlink w:anchor="__RefHeading___Toc11915098_2142443653">
            <w:r>
              <w:rPr>
                <w:webHidden/>
                <w:rStyle w:val="IndexLink"/>
                <w:rtl w:val="true"/>
              </w:rPr>
              <w:t>رصاصة الرحمة</w:t>
            </w:r>
            <w:r>
              <w:rPr>
                <w:rStyle w:val="IndexLink"/>
                <w:rtl w:val="true"/>
              </w:rPr>
              <w:tab/>
            </w:r>
            <w:r>
              <w:rPr>
                <w:rStyle w:val="IndexLink"/>
              </w:rPr>
              <w:t>59</w:t>
            </w:r>
          </w:hyperlink>
        </w:p>
        <w:p>
          <w:pPr>
            <w:pStyle w:val="Contents2"/>
            <w:tabs>
              <w:tab w:val="clear" w:pos="8743"/>
              <w:tab w:val="right" w:pos="9026" w:leader="dot"/>
            </w:tabs>
            <w:rPr/>
          </w:pPr>
          <w:hyperlink w:anchor="__RefHeading___Toc11915100_2142443653">
            <w:r>
              <w:rPr>
                <w:webHidden/>
                <w:rStyle w:val="IndexLink"/>
                <w:rtl w:val="true"/>
              </w:rPr>
              <w:t>استكشاف السرائر والمحارم</w:t>
            </w:r>
            <w:r>
              <w:rPr>
                <w:rStyle w:val="IndexLink"/>
                <w:rtl w:val="true"/>
              </w:rPr>
              <w:tab/>
            </w:r>
            <w:r>
              <w:rPr>
                <w:rStyle w:val="IndexLink"/>
              </w:rPr>
              <w:t>60</w:t>
            </w:r>
          </w:hyperlink>
        </w:p>
        <w:p>
          <w:pPr>
            <w:pStyle w:val="Contents2"/>
            <w:tabs>
              <w:tab w:val="clear" w:pos="8743"/>
              <w:tab w:val="right" w:pos="9026" w:leader="dot"/>
            </w:tabs>
            <w:rPr/>
          </w:pPr>
          <w:hyperlink w:anchor="__RefHeading___Toc11915102_2142443653">
            <w:r>
              <w:rPr>
                <w:webHidden/>
                <w:rStyle w:val="IndexLink"/>
                <w:rtl w:val="true"/>
              </w:rPr>
              <w:t>الاستعلام من الأرواح</w:t>
            </w:r>
            <w:r>
              <w:rPr>
                <w:rStyle w:val="IndexLink"/>
                <w:rtl w:val="true"/>
              </w:rPr>
              <w:tab/>
            </w:r>
            <w:r>
              <w:rPr>
                <w:rStyle w:val="IndexLink"/>
              </w:rPr>
              <w:t>62</w:t>
            </w:r>
          </w:hyperlink>
        </w:p>
        <w:p>
          <w:pPr>
            <w:pStyle w:val="Contents2"/>
            <w:tabs>
              <w:tab w:val="clear" w:pos="8743"/>
              <w:tab w:val="right" w:pos="9026" w:leader="dot"/>
            </w:tabs>
            <w:rPr/>
          </w:pPr>
          <w:hyperlink w:anchor="__RefHeading___Toc11915104_2142443653">
            <w:r>
              <w:rPr>
                <w:webHidden/>
                <w:rStyle w:val="IndexLink"/>
                <w:rtl w:val="true"/>
              </w:rPr>
              <w:t>أصوات الأموات</w:t>
            </w:r>
            <w:r>
              <w:rPr>
                <w:rStyle w:val="IndexLink"/>
                <w:rtl w:val="true"/>
              </w:rPr>
              <w:tab/>
            </w:r>
            <w:r>
              <w:rPr>
                <w:rStyle w:val="IndexLink"/>
              </w:rPr>
              <w:t>62</w:t>
            </w:r>
          </w:hyperlink>
        </w:p>
        <w:p>
          <w:pPr>
            <w:pStyle w:val="Contents2"/>
            <w:tabs>
              <w:tab w:val="clear" w:pos="8743"/>
              <w:tab w:val="right" w:pos="9026" w:leader="dot"/>
            </w:tabs>
            <w:rPr/>
          </w:pPr>
          <w:hyperlink w:anchor="__RefHeading___Toc11915106_2142443653">
            <w:r>
              <w:rPr>
                <w:webHidden/>
                <w:rStyle w:val="IndexLink"/>
                <w:rtl w:val="true"/>
              </w:rPr>
              <w:t>الجرائم والموازين العلمية</w:t>
            </w:r>
            <w:r>
              <w:rPr>
                <w:rStyle w:val="IndexLink"/>
                <w:rtl w:val="true"/>
              </w:rPr>
              <w:tab/>
            </w:r>
            <w:r>
              <w:rPr>
                <w:rStyle w:val="IndexLink"/>
              </w:rPr>
              <w:t>63</w:t>
            </w:r>
          </w:hyperlink>
        </w:p>
        <w:p>
          <w:pPr>
            <w:pStyle w:val="Contents2"/>
            <w:tabs>
              <w:tab w:val="clear" w:pos="8743"/>
              <w:tab w:val="right" w:pos="9026" w:leader="dot"/>
            </w:tabs>
            <w:rPr/>
          </w:pPr>
          <w:hyperlink w:anchor="__RefHeading___Toc11915108_2142443653">
            <w:r>
              <w:rPr>
                <w:webHidden/>
                <w:rStyle w:val="IndexLink"/>
                <w:rtl w:val="true"/>
              </w:rPr>
              <w:t>المصارعة والملاكمة</w:t>
            </w:r>
            <w:r>
              <w:rPr>
                <w:rStyle w:val="IndexLink"/>
                <w:rtl w:val="true"/>
              </w:rPr>
              <w:tab/>
            </w:r>
            <w:r>
              <w:rPr>
                <w:rStyle w:val="IndexLink"/>
              </w:rPr>
              <w:t>64</w:t>
            </w:r>
          </w:hyperlink>
        </w:p>
        <w:p>
          <w:pPr>
            <w:pStyle w:val="Contents2"/>
            <w:tabs>
              <w:tab w:val="clear" w:pos="8743"/>
              <w:tab w:val="right" w:pos="9026" w:leader="dot"/>
            </w:tabs>
            <w:rPr/>
          </w:pPr>
          <w:hyperlink w:anchor="__RefHeading___Toc11915110_2142443653">
            <w:r>
              <w:rPr>
                <w:webHidden/>
                <w:rStyle w:val="IndexLink"/>
                <w:rtl w:val="true"/>
              </w:rPr>
              <w:t>الاسبرتو</w:t>
            </w:r>
            <w:r>
              <w:rPr>
                <w:rStyle w:val="IndexLink"/>
                <w:rtl w:val="true"/>
              </w:rPr>
              <w:tab/>
            </w:r>
            <w:r>
              <w:rPr>
                <w:rStyle w:val="IndexLink"/>
              </w:rPr>
              <w:t>65</w:t>
            </w:r>
          </w:hyperlink>
        </w:p>
        <w:p>
          <w:pPr>
            <w:pStyle w:val="Contents2"/>
            <w:tabs>
              <w:tab w:val="clear" w:pos="8743"/>
              <w:tab w:val="right" w:pos="9026" w:leader="dot"/>
            </w:tabs>
            <w:rPr/>
          </w:pPr>
          <w:hyperlink w:anchor="__RefHeading___Toc11915112_2142443653">
            <w:r>
              <w:rPr>
                <w:webHidden/>
                <w:rStyle w:val="IndexLink"/>
                <w:rtl w:val="true"/>
              </w:rPr>
              <w:t>المعدة الاصطناعية</w:t>
            </w:r>
            <w:r>
              <w:rPr>
                <w:rStyle w:val="IndexLink"/>
                <w:rtl w:val="true"/>
              </w:rPr>
              <w:tab/>
            </w:r>
            <w:r>
              <w:rPr>
                <w:rStyle w:val="IndexLink"/>
              </w:rPr>
              <w:t>66</w:t>
            </w:r>
          </w:hyperlink>
        </w:p>
        <w:p>
          <w:pPr>
            <w:pStyle w:val="Contents2"/>
            <w:tabs>
              <w:tab w:val="clear" w:pos="8743"/>
              <w:tab w:val="right" w:pos="9026" w:leader="dot"/>
            </w:tabs>
            <w:rPr/>
          </w:pPr>
          <w:hyperlink w:anchor="__RefHeading___Toc11915114_2142443653">
            <w:r>
              <w:rPr>
                <w:webHidden/>
                <w:rStyle w:val="IndexLink"/>
                <w:rtl w:val="true"/>
              </w:rPr>
              <w:t>القحف المطاطي</w:t>
            </w:r>
            <w:r>
              <w:rPr>
                <w:rStyle w:val="IndexLink"/>
                <w:rtl w:val="true"/>
              </w:rPr>
              <w:tab/>
            </w:r>
            <w:r>
              <w:rPr>
                <w:rStyle w:val="IndexLink"/>
              </w:rPr>
              <w:t>67</w:t>
            </w:r>
          </w:hyperlink>
        </w:p>
        <w:p>
          <w:pPr>
            <w:pStyle w:val="Contents2"/>
            <w:tabs>
              <w:tab w:val="clear" w:pos="8743"/>
              <w:tab w:val="right" w:pos="9026" w:leader="dot"/>
            </w:tabs>
            <w:rPr/>
          </w:pPr>
          <w:hyperlink w:anchor="__RefHeading___Toc11915116_2142443653">
            <w:r>
              <w:rPr>
                <w:webHidden/>
                <w:rStyle w:val="IndexLink"/>
                <w:rtl w:val="true"/>
              </w:rPr>
              <w:t>وصل الشعر</w:t>
            </w:r>
            <w:r>
              <w:rPr>
                <w:rStyle w:val="IndexLink"/>
                <w:rtl w:val="true"/>
              </w:rPr>
              <w:tab/>
            </w:r>
            <w:r>
              <w:rPr>
                <w:rStyle w:val="IndexLink"/>
              </w:rPr>
              <w:t>68</w:t>
            </w:r>
          </w:hyperlink>
        </w:p>
        <w:p>
          <w:pPr>
            <w:pStyle w:val="Contents2"/>
            <w:tabs>
              <w:tab w:val="clear" w:pos="8743"/>
              <w:tab w:val="right" w:pos="9026" w:leader="dot"/>
            </w:tabs>
            <w:rPr/>
          </w:pPr>
          <w:hyperlink w:anchor="__RefHeading___Toc11915118_2142443653">
            <w:r>
              <w:rPr>
                <w:webHidden/>
                <w:rStyle w:val="IndexLink"/>
                <w:rtl w:val="true"/>
              </w:rPr>
              <w:t>ولادة الرجل</w:t>
            </w:r>
            <w:r>
              <w:rPr>
                <w:rStyle w:val="IndexLink"/>
                <w:rtl w:val="true"/>
              </w:rPr>
              <w:tab/>
            </w:r>
            <w:r>
              <w:rPr>
                <w:rStyle w:val="IndexLink"/>
              </w:rPr>
              <w:t>70</w:t>
            </w:r>
          </w:hyperlink>
        </w:p>
        <w:p>
          <w:pPr>
            <w:pStyle w:val="Contents2"/>
            <w:tabs>
              <w:tab w:val="clear" w:pos="8743"/>
              <w:tab w:val="right" w:pos="9026" w:leader="dot"/>
            </w:tabs>
            <w:rPr/>
          </w:pPr>
          <w:hyperlink w:anchor="__RefHeading___Toc11915120_2142443653">
            <w:r>
              <w:rPr>
                <w:webHidden/>
                <w:rStyle w:val="IndexLink"/>
                <w:rtl w:val="true"/>
              </w:rPr>
              <w:t>تبديل الرحم</w:t>
            </w:r>
            <w:r>
              <w:rPr>
                <w:rStyle w:val="IndexLink"/>
                <w:rtl w:val="true"/>
              </w:rPr>
              <w:tab/>
            </w:r>
            <w:r>
              <w:rPr>
                <w:rStyle w:val="IndexLink"/>
              </w:rPr>
              <w:t>71</w:t>
            </w:r>
          </w:hyperlink>
        </w:p>
        <w:p>
          <w:pPr>
            <w:pStyle w:val="Contents2"/>
            <w:tabs>
              <w:tab w:val="clear" w:pos="8743"/>
              <w:tab w:val="right" w:pos="9026" w:leader="dot"/>
            </w:tabs>
            <w:rPr/>
          </w:pPr>
          <w:hyperlink w:anchor="__RefHeading___Toc11915122_2142443653">
            <w:r>
              <w:rPr>
                <w:webHidden/>
                <w:rStyle w:val="IndexLink"/>
                <w:rtl w:val="true"/>
              </w:rPr>
              <w:t>قلع الرحم</w:t>
            </w:r>
            <w:r>
              <w:rPr>
                <w:rStyle w:val="IndexLink"/>
                <w:rtl w:val="true"/>
              </w:rPr>
              <w:tab/>
            </w:r>
            <w:r>
              <w:rPr>
                <w:rStyle w:val="IndexLink"/>
              </w:rPr>
              <w:t>72</w:t>
            </w:r>
          </w:hyperlink>
        </w:p>
        <w:p>
          <w:pPr>
            <w:pStyle w:val="Contents2"/>
            <w:tabs>
              <w:tab w:val="clear" w:pos="8743"/>
              <w:tab w:val="right" w:pos="9026" w:leader="dot"/>
            </w:tabs>
            <w:rPr/>
          </w:pPr>
          <w:hyperlink w:anchor="__RefHeading___Toc11915124_2142443653">
            <w:r>
              <w:rPr>
                <w:webHidden/>
                <w:rStyle w:val="IndexLink"/>
                <w:rtl w:val="true"/>
              </w:rPr>
              <w:t>إنسان وحيوان</w:t>
            </w:r>
            <w:r>
              <w:rPr>
                <w:rStyle w:val="IndexLink"/>
                <w:rtl w:val="true"/>
              </w:rPr>
              <w:tab/>
            </w:r>
            <w:r>
              <w:rPr>
                <w:rStyle w:val="IndexLink"/>
              </w:rPr>
              <w:t>72</w:t>
            </w:r>
          </w:hyperlink>
        </w:p>
        <w:p>
          <w:pPr>
            <w:pStyle w:val="Contents2"/>
            <w:tabs>
              <w:tab w:val="clear" w:pos="8743"/>
              <w:tab w:val="right" w:pos="9026" w:leader="dot"/>
            </w:tabs>
            <w:rPr/>
          </w:pPr>
          <w:hyperlink w:anchor="__RefHeading___Toc11915126_2142443653">
            <w:r>
              <w:rPr>
                <w:webHidden/>
                <w:rStyle w:val="IndexLink"/>
                <w:rtl w:val="true"/>
              </w:rPr>
              <w:t>حيوان وإنسان</w:t>
            </w:r>
            <w:r>
              <w:rPr>
                <w:rStyle w:val="IndexLink"/>
                <w:rtl w:val="true"/>
              </w:rPr>
              <w:tab/>
            </w:r>
            <w:r>
              <w:rPr>
                <w:rStyle w:val="IndexLink"/>
              </w:rPr>
              <w:t>73</w:t>
            </w:r>
          </w:hyperlink>
        </w:p>
        <w:p>
          <w:pPr>
            <w:pStyle w:val="Contents2"/>
            <w:tabs>
              <w:tab w:val="clear" w:pos="8743"/>
              <w:tab w:val="right" w:pos="9026" w:leader="dot"/>
            </w:tabs>
            <w:rPr/>
          </w:pPr>
          <w:hyperlink w:anchor="__RefHeading___Toc11915128_2142443653">
            <w:r>
              <w:rPr>
                <w:webHidden/>
                <w:rStyle w:val="IndexLink"/>
                <w:rtl w:val="true"/>
              </w:rPr>
              <w:t>تركيب الإنسان بالحيوان</w:t>
            </w:r>
            <w:r>
              <w:rPr>
                <w:rStyle w:val="IndexLink"/>
                <w:rtl w:val="true"/>
              </w:rPr>
              <w:tab/>
            </w:r>
            <w:r>
              <w:rPr>
                <w:rStyle w:val="IndexLink"/>
              </w:rPr>
              <w:t>73</w:t>
            </w:r>
          </w:hyperlink>
        </w:p>
        <w:p>
          <w:pPr>
            <w:pStyle w:val="Contents2"/>
            <w:tabs>
              <w:tab w:val="clear" w:pos="8743"/>
              <w:tab w:val="right" w:pos="9026" w:leader="dot"/>
            </w:tabs>
            <w:rPr/>
          </w:pPr>
          <w:hyperlink w:anchor="__RefHeading___Toc11915130_2142443653">
            <w:r>
              <w:rPr>
                <w:webHidden/>
                <w:rStyle w:val="IndexLink"/>
                <w:rtl w:val="true"/>
              </w:rPr>
              <w:t>تكبير الجسم وتصغيره</w:t>
            </w:r>
            <w:r>
              <w:rPr>
                <w:rStyle w:val="IndexLink"/>
                <w:rtl w:val="true"/>
              </w:rPr>
              <w:tab/>
            </w:r>
            <w:r>
              <w:rPr>
                <w:rStyle w:val="IndexLink"/>
              </w:rPr>
              <w:t>73</w:t>
            </w:r>
          </w:hyperlink>
        </w:p>
        <w:p>
          <w:pPr>
            <w:pStyle w:val="Contents2"/>
            <w:tabs>
              <w:tab w:val="clear" w:pos="8743"/>
              <w:tab w:val="right" w:pos="9026" w:leader="dot"/>
            </w:tabs>
            <w:rPr/>
          </w:pPr>
          <w:hyperlink w:anchor="__RefHeading___Toc11915132_2142443653">
            <w:r>
              <w:rPr>
                <w:webHidden/>
                <w:rStyle w:val="IndexLink"/>
                <w:rtl w:val="true"/>
              </w:rPr>
              <w:t>الطبيب وعملية الولادة</w:t>
            </w:r>
            <w:r>
              <w:rPr>
                <w:rStyle w:val="IndexLink"/>
                <w:rtl w:val="true"/>
              </w:rPr>
              <w:tab/>
            </w:r>
            <w:r>
              <w:rPr>
                <w:rStyle w:val="IndexLink"/>
              </w:rPr>
              <w:t>74</w:t>
            </w:r>
          </w:hyperlink>
        </w:p>
        <w:p>
          <w:pPr>
            <w:pStyle w:val="Contents2"/>
            <w:tabs>
              <w:tab w:val="clear" w:pos="8743"/>
              <w:tab w:val="right" w:pos="9026" w:leader="dot"/>
            </w:tabs>
            <w:rPr/>
          </w:pPr>
          <w:hyperlink w:anchor="__RefHeading___Toc11915134_2142443653">
            <w:r>
              <w:rPr>
                <w:webHidden/>
                <w:rStyle w:val="IndexLink"/>
                <w:rtl w:val="true"/>
              </w:rPr>
              <w:t>اليد الزائدة</w:t>
            </w:r>
            <w:r>
              <w:rPr>
                <w:rStyle w:val="IndexLink"/>
                <w:rtl w:val="true"/>
              </w:rPr>
              <w:tab/>
            </w:r>
            <w:r>
              <w:rPr>
                <w:rStyle w:val="IndexLink"/>
              </w:rPr>
              <w:t>75</w:t>
            </w:r>
          </w:hyperlink>
        </w:p>
        <w:p>
          <w:pPr>
            <w:pStyle w:val="Contents2"/>
            <w:tabs>
              <w:tab w:val="clear" w:pos="8743"/>
              <w:tab w:val="right" w:pos="9026" w:leader="dot"/>
            </w:tabs>
            <w:rPr/>
          </w:pPr>
          <w:hyperlink w:anchor="__RefHeading___Toc11915136_2142443653">
            <w:r>
              <w:rPr>
                <w:webHidden/>
                <w:rStyle w:val="IndexLink"/>
                <w:rtl w:val="true"/>
              </w:rPr>
              <w:t>قراءة الصحف</w:t>
            </w:r>
            <w:r>
              <w:rPr>
                <w:rStyle w:val="IndexLink"/>
                <w:rtl w:val="true"/>
              </w:rPr>
              <w:tab/>
            </w:r>
            <w:r>
              <w:rPr>
                <w:rStyle w:val="IndexLink"/>
              </w:rPr>
              <w:t>75</w:t>
            </w:r>
          </w:hyperlink>
        </w:p>
        <w:p>
          <w:pPr>
            <w:pStyle w:val="Contents2"/>
            <w:tabs>
              <w:tab w:val="clear" w:pos="8743"/>
              <w:tab w:val="right" w:pos="9026" w:leader="dot"/>
            </w:tabs>
            <w:rPr/>
          </w:pPr>
          <w:hyperlink w:anchor="__RefHeading___Toc11915138_2142443653">
            <w:r>
              <w:rPr>
                <w:webHidden/>
                <w:rStyle w:val="IndexLink"/>
                <w:rtl w:val="true"/>
              </w:rPr>
              <w:t>الصلاة في الطائرة</w:t>
            </w:r>
            <w:r>
              <w:rPr>
                <w:rStyle w:val="IndexLink"/>
                <w:rtl w:val="true"/>
              </w:rPr>
              <w:tab/>
            </w:r>
            <w:r>
              <w:rPr>
                <w:rStyle w:val="IndexLink"/>
              </w:rPr>
              <w:t>76</w:t>
            </w:r>
          </w:hyperlink>
        </w:p>
        <w:p>
          <w:pPr>
            <w:pStyle w:val="Contents2"/>
            <w:tabs>
              <w:tab w:val="clear" w:pos="8743"/>
              <w:tab w:val="right" w:pos="9026" w:leader="dot"/>
            </w:tabs>
            <w:rPr/>
          </w:pPr>
          <w:hyperlink w:anchor="__RefHeading___Toc11915140_2142443653">
            <w:r>
              <w:rPr>
                <w:webHidden/>
                <w:rStyle w:val="IndexLink"/>
                <w:rtl w:val="true"/>
              </w:rPr>
              <w:t>موت السمك في الغواصة</w:t>
            </w:r>
            <w:r>
              <w:rPr>
                <w:rStyle w:val="IndexLink"/>
                <w:rtl w:val="true"/>
              </w:rPr>
              <w:tab/>
            </w:r>
            <w:r>
              <w:rPr>
                <w:rStyle w:val="IndexLink"/>
              </w:rPr>
              <w:t>76</w:t>
            </w:r>
          </w:hyperlink>
        </w:p>
        <w:p>
          <w:pPr>
            <w:pStyle w:val="Contents2"/>
            <w:tabs>
              <w:tab w:val="clear" w:pos="8743"/>
              <w:tab w:val="right" w:pos="9026" w:leader="dot"/>
            </w:tabs>
            <w:rPr/>
          </w:pPr>
          <w:hyperlink w:anchor="__RefHeading___Toc11915142_2142443653">
            <w:r>
              <w:rPr>
                <w:webHidden/>
                <w:rStyle w:val="IndexLink"/>
                <w:rtl w:val="true"/>
              </w:rPr>
              <w:t>المكياج</w:t>
            </w:r>
            <w:r>
              <w:rPr>
                <w:rStyle w:val="IndexLink"/>
                <w:rtl w:val="true"/>
              </w:rPr>
              <w:tab/>
            </w:r>
            <w:r>
              <w:rPr>
                <w:rStyle w:val="IndexLink"/>
              </w:rPr>
              <w:t>77</w:t>
            </w:r>
          </w:hyperlink>
        </w:p>
        <w:p>
          <w:pPr>
            <w:pStyle w:val="Contents2"/>
            <w:tabs>
              <w:tab w:val="clear" w:pos="8743"/>
              <w:tab w:val="right" w:pos="9026" w:leader="dot"/>
            </w:tabs>
            <w:rPr/>
          </w:pPr>
          <w:hyperlink w:anchor="__RefHeading___Toc11915144_2142443653">
            <w:r>
              <w:rPr>
                <w:webHidden/>
                <w:rStyle w:val="IndexLink"/>
                <w:rtl w:val="true"/>
              </w:rPr>
              <w:t>علاج الحيض</w:t>
            </w:r>
            <w:r>
              <w:rPr>
                <w:rStyle w:val="IndexLink"/>
                <w:rtl w:val="true"/>
              </w:rPr>
              <w:tab/>
            </w:r>
            <w:r>
              <w:rPr>
                <w:rStyle w:val="IndexLink"/>
              </w:rPr>
              <w:t>77</w:t>
            </w:r>
          </w:hyperlink>
        </w:p>
        <w:p>
          <w:pPr>
            <w:pStyle w:val="Contents2"/>
            <w:tabs>
              <w:tab w:val="clear" w:pos="8743"/>
              <w:tab w:val="right" w:pos="9026" w:leader="dot"/>
            </w:tabs>
            <w:rPr/>
          </w:pPr>
          <w:hyperlink w:anchor="__RefHeading___Toc11915146_2142443653">
            <w:r>
              <w:rPr>
                <w:webHidden/>
                <w:rStyle w:val="IndexLink"/>
                <w:rtl w:val="true"/>
              </w:rPr>
              <w:t>النظر في القبر</w:t>
            </w:r>
            <w:r>
              <w:rPr>
                <w:rStyle w:val="IndexLink"/>
                <w:rtl w:val="true"/>
              </w:rPr>
              <w:tab/>
            </w:r>
            <w:r>
              <w:rPr>
                <w:rStyle w:val="IndexLink"/>
              </w:rPr>
              <w:t>78</w:t>
            </w:r>
          </w:hyperlink>
        </w:p>
        <w:p>
          <w:pPr>
            <w:pStyle w:val="Contents2"/>
            <w:tabs>
              <w:tab w:val="clear" w:pos="8743"/>
              <w:tab w:val="right" w:pos="9026" w:leader="dot"/>
            </w:tabs>
            <w:rPr/>
          </w:pPr>
          <w:hyperlink w:anchor="__RefHeading___Toc11915148_2142443653">
            <w:r>
              <w:rPr>
                <w:webHidden/>
                <w:rStyle w:val="IndexLink"/>
                <w:rtl w:val="true"/>
              </w:rPr>
              <w:t>النظر إلى روح الميت</w:t>
            </w:r>
            <w:r>
              <w:rPr>
                <w:rStyle w:val="IndexLink"/>
                <w:rtl w:val="true"/>
              </w:rPr>
              <w:tab/>
            </w:r>
            <w:r>
              <w:rPr>
                <w:rStyle w:val="IndexLink"/>
              </w:rPr>
              <w:t>78</w:t>
            </w:r>
          </w:hyperlink>
        </w:p>
        <w:p>
          <w:pPr>
            <w:pStyle w:val="Contents2"/>
            <w:tabs>
              <w:tab w:val="clear" w:pos="8743"/>
              <w:tab w:val="right" w:pos="9026" w:leader="dot"/>
            </w:tabs>
            <w:rPr/>
          </w:pPr>
          <w:hyperlink w:anchor="__RefHeading___Toc11915150_2142443653">
            <w:r>
              <w:rPr>
                <w:webHidden/>
                <w:rStyle w:val="IndexLink"/>
                <w:rtl w:val="true"/>
              </w:rPr>
              <w:t>إيجاد السكر</w:t>
            </w:r>
            <w:r>
              <w:rPr>
                <w:rStyle w:val="IndexLink"/>
                <w:rtl w:val="true"/>
              </w:rPr>
              <w:tab/>
            </w:r>
            <w:r>
              <w:rPr>
                <w:rStyle w:val="IndexLink"/>
              </w:rPr>
              <w:t>79</w:t>
            </w:r>
          </w:hyperlink>
        </w:p>
        <w:p>
          <w:pPr>
            <w:pStyle w:val="Contents2"/>
            <w:tabs>
              <w:tab w:val="clear" w:pos="8743"/>
              <w:tab w:val="right" w:pos="9026" w:leader="dot"/>
            </w:tabs>
            <w:rPr/>
          </w:pPr>
          <w:hyperlink w:anchor="__RefHeading___Toc11915152_2142443653">
            <w:r>
              <w:rPr>
                <w:webHidden/>
                <w:rStyle w:val="IndexLink"/>
                <w:rtl w:val="true"/>
              </w:rPr>
              <w:t>الأشعة المؤذية</w:t>
            </w:r>
            <w:r>
              <w:rPr>
                <w:rStyle w:val="IndexLink"/>
                <w:rtl w:val="true"/>
              </w:rPr>
              <w:tab/>
            </w:r>
            <w:r>
              <w:rPr>
                <w:rStyle w:val="IndexLink"/>
              </w:rPr>
              <w:t>79</w:t>
            </w:r>
          </w:hyperlink>
        </w:p>
        <w:p>
          <w:pPr>
            <w:pStyle w:val="Contents2"/>
            <w:tabs>
              <w:tab w:val="clear" w:pos="8743"/>
              <w:tab w:val="right" w:pos="9026" w:leader="dot"/>
            </w:tabs>
            <w:rPr/>
          </w:pPr>
          <w:hyperlink w:anchor="__RefHeading___Toc11915154_2142443653">
            <w:r>
              <w:rPr>
                <w:webHidden/>
                <w:rStyle w:val="IndexLink"/>
                <w:rtl w:val="true"/>
              </w:rPr>
              <w:t>تحول الرجل إلى امرأة</w:t>
            </w:r>
            <w:r>
              <w:rPr>
                <w:rStyle w:val="IndexLink"/>
                <w:rtl w:val="true"/>
              </w:rPr>
              <w:tab/>
            </w:r>
            <w:r>
              <w:rPr>
                <w:rStyle w:val="IndexLink"/>
              </w:rPr>
              <w:t>80</w:t>
            </w:r>
          </w:hyperlink>
        </w:p>
        <w:p>
          <w:pPr>
            <w:pStyle w:val="Contents2"/>
            <w:tabs>
              <w:tab w:val="clear" w:pos="8743"/>
              <w:tab w:val="right" w:pos="9026" w:leader="dot"/>
            </w:tabs>
            <w:rPr/>
          </w:pPr>
          <w:hyperlink w:anchor="__RefHeading___Toc11915156_2142443653">
            <w:r>
              <w:rPr>
                <w:webHidden/>
                <w:rStyle w:val="IndexLink"/>
                <w:rtl w:val="true"/>
              </w:rPr>
              <w:t>آية السجدة</w:t>
            </w:r>
            <w:r>
              <w:rPr>
                <w:rStyle w:val="IndexLink"/>
                <w:rtl w:val="true"/>
              </w:rPr>
              <w:tab/>
            </w:r>
            <w:r>
              <w:rPr>
                <w:rStyle w:val="IndexLink"/>
              </w:rPr>
              <w:t>81</w:t>
            </w:r>
          </w:hyperlink>
        </w:p>
        <w:p>
          <w:pPr>
            <w:pStyle w:val="Contents2"/>
            <w:tabs>
              <w:tab w:val="clear" w:pos="8743"/>
              <w:tab w:val="right" w:pos="9026" w:leader="dot"/>
            </w:tabs>
            <w:rPr/>
          </w:pPr>
          <w:hyperlink w:anchor="__RefHeading___Toc11915158_2142443653">
            <w:r>
              <w:rPr>
                <w:webHidden/>
                <w:rStyle w:val="IndexLink"/>
                <w:rtl w:val="true"/>
              </w:rPr>
              <w:t>الذهب والحرير الاصطناعي</w:t>
            </w:r>
            <w:r>
              <w:rPr>
                <w:rStyle w:val="IndexLink"/>
                <w:rtl w:val="true"/>
              </w:rPr>
              <w:tab/>
            </w:r>
            <w:r>
              <w:rPr>
                <w:rStyle w:val="IndexLink"/>
              </w:rPr>
              <w:t>81</w:t>
            </w:r>
          </w:hyperlink>
        </w:p>
        <w:p>
          <w:pPr>
            <w:pStyle w:val="Contents2"/>
            <w:tabs>
              <w:tab w:val="clear" w:pos="8743"/>
              <w:tab w:val="right" w:pos="9026" w:leader="dot"/>
            </w:tabs>
            <w:rPr/>
          </w:pPr>
          <w:hyperlink w:anchor="__RefHeading___Toc11915160_2142443653">
            <w:r>
              <w:rPr>
                <w:webHidden/>
                <w:rStyle w:val="IndexLink"/>
                <w:rtl w:val="true"/>
              </w:rPr>
              <w:t>إعادة البكارة</w:t>
            </w:r>
            <w:r>
              <w:rPr>
                <w:rStyle w:val="IndexLink"/>
                <w:rtl w:val="true"/>
              </w:rPr>
              <w:tab/>
            </w:r>
            <w:r>
              <w:rPr>
                <w:rStyle w:val="IndexLink"/>
              </w:rPr>
              <w:t>82</w:t>
            </w:r>
          </w:hyperlink>
        </w:p>
        <w:p>
          <w:pPr>
            <w:pStyle w:val="Contents2"/>
            <w:tabs>
              <w:tab w:val="clear" w:pos="8743"/>
              <w:tab w:val="right" w:pos="9026" w:leader="dot"/>
            </w:tabs>
            <w:rPr/>
          </w:pPr>
          <w:hyperlink w:anchor="__RefHeading___Toc11915162_2142443653">
            <w:r>
              <w:rPr>
                <w:webHidden/>
                <w:rStyle w:val="IndexLink"/>
                <w:rtl w:val="true"/>
              </w:rPr>
              <w:t>تقليل مدة الحمل</w:t>
            </w:r>
            <w:r>
              <w:rPr>
                <w:rStyle w:val="IndexLink"/>
                <w:rtl w:val="true"/>
              </w:rPr>
              <w:tab/>
            </w:r>
            <w:r>
              <w:rPr>
                <w:rStyle w:val="IndexLink"/>
              </w:rPr>
              <w:t>82</w:t>
            </w:r>
          </w:hyperlink>
        </w:p>
        <w:p>
          <w:pPr>
            <w:pStyle w:val="Contents2"/>
            <w:tabs>
              <w:tab w:val="clear" w:pos="8743"/>
              <w:tab w:val="right" w:pos="9026" w:leader="dot"/>
            </w:tabs>
            <w:rPr/>
          </w:pPr>
          <w:hyperlink w:anchor="__RefHeading___Toc11915164_2142443653">
            <w:r>
              <w:rPr>
                <w:webHidden/>
                <w:rStyle w:val="IndexLink"/>
                <w:rtl w:val="true"/>
              </w:rPr>
              <w:t>تطويل العمر</w:t>
            </w:r>
            <w:r>
              <w:rPr>
                <w:rStyle w:val="IndexLink"/>
                <w:rtl w:val="true"/>
              </w:rPr>
              <w:tab/>
            </w:r>
            <w:r>
              <w:rPr>
                <w:rStyle w:val="IndexLink"/>
              </w:rPr>
              <w:t>83</w:t>
            </w:r>
          </w:hyperlink>
        </w:p>
        <w:p>
          <w:pPr>
            <w:pStyle w:val="Contents2"/>
            <w:tabs>
              <w:tab w:val="clear" w:pos="8743"/>
              <w:tab w:val="right" w:pos="9026" w:leader="dot"/>
            </w:tabs>
            <w:rPr/>
          </w:pPr>
          <w:hyperlink w:anchor="__RefHeading___Toc11915166_2142443653">
            <w:r>
              <w:rPr>
                <w:webHidden/>
                <w:rStyle w:val="IndexLink"/>
                <w:rtl w:val="true"/>
              </w:rPr>
              <w:t>المعيار وزن الأرض</w:t>
            </w:r>
            <w:r>
              <w:rPr>
                <w:rStyle w:val="IndexLink"/>
                <w:rtl w:val="true"/>
              </w:rPr>
              <w:tab/>
            </w:r>
            <w:r>
              <w:rPr>
                <w:rStyle w:val="IndexLink"/>
              </w:rPr>
              <w:t>84</w:t>
            </w:r>
          </w:hyperlink>
        </w:p>
        <w:p>
          <w:pPr>
            <w:pStyle w:val="Contents2"/>
            <w:tabs>
              <w:tab w:val="clear" w:pos="8743"/>
              <w:tab w:val="right" w:pos="9026" w:leader="dot"/>
            </w:tabs>
            <w:rPr/>
          </w:pPr>
          <w:hyperlink w:anchor="__RefHeading___Toc11915168_2142443653">
            <w:r>
              <w:rPr>
                <w:webHidden/>
                <w:rStyle w:val="IndexLink"/>
                <w:rtl w:val="true"/>
              </w:rPr>
              <w:t>القبر المكشوف</w:t>
            </w:r>
            <w:r>
              <w:rPr>
                <w:rStyle w:val="IndexLink"/>
                <w:rtl w:val="true"/>
              </w:rPr>
              <w:tab/>
            </w:r>
            <w:r>
              <w:rPr>
                <w:rStyle w:val="IndexLink"/>
              </w:rPr>
              <w:t>84</w:t>
            </w:r>
          </w:hyperlink>
        </w:p>
        <w:p>
          <w:pPr>
            <w:pStyle w:val="Contents2"/>
            <w:tabs>
              <w:tab w:val="clear" w:pos="8743"/>
              <w:tab w:val="right" w:pos="9026" w:leader="dot"/>
            </w:tabs>
            <w:rPr/>
          </w:pPr>
          <w:hyperlink w:anchor="__RefHeading___Toc11915170_2142443653">
            <w:r>
              <w:rPr>
                <w:webHidden/>
                <w:rStyle w:val="IndexLink"/>
                <w:rtl w:val="true"/>
              </w:rPr>
              <w:t>تحنيط الميت</w:t>
            </w:r>
            <w:r>
              <w:rPr>
                <w:rStyle w:val="IndexLink"/>
                <w:rtl w:val="true"/>
              </w:rPr>
              <w:tab/>
            </w:r>
            <w:r>
              <w:rPr>
                <w:rStyle w:val="IndexLink"/>
              </w:rPr>
              <w:t>85</w:t>
            </w:r>
          </w:hyperlink>
        </w:p>
        <w:p>
          <w:pPr>
            <w:pStyle w:val="Contents2"/>
            <w:tabs>
              <w:tab w:val="clear" w:pos="8743"/>
              <w:tab w:val="right" w:pos="9026" w:leader="dot"/>
            </w:tabs>
            <w:rPr/>
          </w:pPr>
          <w:hyperlink w:anchor="__RefHeading___Toc11915172_2142443653">
            <w:r>
              <w:rPr>
                <w:webHidden/>
                <w:rStyle w:val="IndexLink"/>
                <w:rtl w:val="true"/>
              </w:rPr>
              <w:t>اضمحلال الميت بالدواء</w:t>
            </w:r>
            <w:r>
              <w:rPr>
                <w:rStyle w:val="IndexLink"/>
                <w:rtl w:val="true"/>
              </w:rPr>
              <w:tab/>
            </w:r>
            <w:r>
              <w:rPr>
                <w:rStyle w:val="IndexLink"/>
              </w:rPr>
              <w:t>86</w:t>
            </w:r>
          </w:hyperlink>
        </w:p>
        <w:p>
          <w:pPr>
            <w:pStyle w:val="Contents2"/>
            <w:tabs>
              <w:tab w:val="clear" w:pos="8743"/>
              <w:tab w:val="right" w:pos="9026" w:leader="dot"/>
            </w:tabs>
            <w:rPr/>
          </w:pPr>
          <w:hyperlink w:anchor="__RefHeading___Toc11915174_2142443653">
            <w:r>
              <w:rPr>
                <w:webHidden/>
                <w:rStyle w:val="IndexLink"/>
                <w:rtl w:val="true"/>
              </w:rPr>
              <w:t>إحراق الميتة وقاية</w:t>
            </w:r>
            <w:r>
              <w:rPr>
                <w:rStyle w:val="IndexLink"/>
                <w:rtl w:val="true"/>
              </w:rPr>
              <w:tab/>
            </w:r>
            <w:r>
              <w:rPr>
                <w:rStyle w:val="IndexLink"/>
              </w:rPr>
              <w:t>86</w:t>
            </w:r>
          </w:hyperlink>
        </w:p>
        <w:p>
          <w:pPr>
            <w:pStyle w:val="Contents2"/>
            <w:tabs>
              <w:tab w:val="clear" w:pos="8743"/>
              <w:tab w:val="right" w:pos="9026" w:leader="dot"/>
            </w:tabs>
            <w:rPr/>
          </w:pPr>
          <w:hyperlink w:anchor="__RefHeading___Toc11915176_2142443653">
            <w:r>
              <w:rPr>
                <w:webHidden/>
                <w:rStyle w:val="IndexLink"/>
                <w:rtl w:val="true"/>
              </w:rPr>
              <w:t>الإتلاف في الوباء</w:t>
            </w:r>
            <w:r>
              <w:rPr>
                <w:rStyle w:val="IndexLink"/>
                <w:rtl w:val="true"/>
              </w:rPr>
              <w:tab/>
            </w:r>
            <w:r>
              <w:rPr>
                <w:rStyle w:val="IndexLink"/>
              </w:rPr>
              <w:t>87</w:t>
            </w:r>
          </w:hyperlink>
        </w:p>
        <w:p>
          <w:pPr>
            <w:pStyle w:val="Contents2"/>
            <w:tabs>
              <w:tab w:val="clear" w:pos="8743"/>
              <w:tab w:val="right" w:pos="9026" w:leader="dot"/>
            </w:tabs>
            <w:rPr/>
          </w:pPr>
          <w:hyperlink w:anchor="__RefHeading___Toc11915178_2142443653">
            <w:r>
              <w:rPr>
                <w:webHidden/>
                <w:rStyle w:val="IndexLink"/>
                <w:rtl w:val="true"/>
              </w:rPr>
              <w:t>العمال العاطلون</w:t>
            </w:r>
            <w:r>
              <w:rPr>
                <w:rStyle w:val="IndexLink"/>
                <w:rtl w:val="true"/>
              </w:rPr>
              <w:tab/>
            </w:r>
            <w:r>
              <w:rPr>
                <w:rStyle w:val="IndexLink"/>
              </w:rPr>
              <w:t>90</w:t>
            </w:r>
          </w:hyperlink>
        </w:p>
        <w:p>
          <w:pPr>
            <w:pStyle w:val="Contents2"/>
            <w:tabs>
              <w:tab w:val="clear" w:pos="8743"/>
              <w:tab w:val="right" w:pos="9026" w:leader="dot"/>
            </w:tabs>
            <w:rPr/>
          </w:pPr>
          <w:hyperlink w:anchor="__RefHeading___Toc11915180_2142443653">
            <w:r>
              <w:rPr>
                <w:webHidden/>
                <w:rStyle w:val="IndexLink"/>
                <w:rtl w:val="true"/>
              </w:rPr>
              <w:t>التكتّل والتحزب</w:t>
            </w:r>
            <w:r>
              <w:rPr>
                <w:rStyle w:val="IndexLink"/>
                <w:rtl w:val="true"/>
              </w:rPr>
              <w:tab/>
            </w:r>
            <w:r>
              <w:rPr>
                <w:rStyle w:val="IndexLink"/>
              </w:rPr>
              <w:t>91</w:t>
            </w:r>
          </w:hyperlink>
        </w:p>
        <w:p>
          <w:pPr>
            <w:pStyle w:val="Contents2"/>
            <w:tabs>
              <w:tab w:val="clear" w:pos="8743"/>
              <w:tab w:val="right" w:pos="9026" w:leader="dot"/>
            </w:tabs>
            <w:rPr/>
          </w:pPr>
          <w:hyperlink w:anchor="__RefHeading___Toc11915182_2142443653">
            <w:r>
              <w:rPr>
                <w:webHidden/>
                <w:rStyle w:val="IndexLink"/>
                <w:rtl w:val="true"/>
              </w:rPr>
              <w:t>المهاترات الإعلامية</w:t>
            </w:r>
            <w:r>
              <w:rPr>
                <w:rStyle w:val="IndexLink"/>
                <w:rtl w:val="true"/>
              </w:rPr>
              <w:tab/>
            </w:r>
            <w:r>
              <w:rPr>
                <w:rStyle w:val="IndexLink"/>
              </w:rPr>
              <w:t>93</w:t>
            </w:r>
          </w:hyperlink>
        </w:p>
        <w:p>
          <w:pPr>
            <w:pStyle w:val="Contents2"/>
            <w:tabs>
              <w:tab w:val="clear" w:pos="8743"/>
              <w:tab w:val="right" w:pos="9026" w:leader="dot"/>
            </w:tabs>
            <w:rPr/>
          </w:pPr>
          <w:hyperlink w:anchor="__RefHeading___Toc11915184_2142443653">
            <w:r>
              <w:rPr>
                <w:webHidden/>
                <w:rStyle w:val="IndexLink"/>
                <w:rtl w:val="true"/>
              </w:rPr>
              <w:t>الخنافس</w:t>
            </w:r>
            <w:r>
              <w:rPr>
                <w:rStyle w:val="IndexLink"/>
                <w:rtl w:val="true"/>
              </w:rPr>
              <w:tab/>
            </w:r>
            <w:r>
              <w:rPr>
                <w:rStyle w:val="IndexLink"/>
              </w:rPr>
              <w:t>94</w:t>
            </w:r>
          </w:hyperlink>
        </w:p>
        <w:p>
          <w:pPr>
            <w:pStyle w:val="Contents2"/>
            <w:tabs>
              <w:tab w:val="clear" w:pos="8743"/>
              <w:tab w:val="right" w:pos="9026" w:leader="dot"/>
            </w:tabs>
            <w:rPr/>
          </w:pPr>
          <w:hyperlink w:anchor="__RefHeading___Toc11915186_2142443653">
            <w:r>
              <w:rPr>
                <w:webHidden/>
                <w:rStyle w:val="IndexLink"/>
                <w:rtl w:val="true"/>
              </w:rPr>
              <w:t>تقصير المرأة شعرها</w:t>
            </w:r>
            <w:r>
              <w:rPr>
                <w:rStyle w:val="IndexLink"/>
                <w:rtl w:val="true"/>
              </w:rPr>
              <w:tab/>
            </w:r>
            <w:r>
              <w:rPr>
                <w:rStyle w:val="IndexLink"/>
              </w:rPr>
              <w:t>96</w:t>
            </w:r>
          </w:hyperlink>
        </w:p>
        <w:p>
          <w:pPr>
            <w:pStyle w:val="Contents2"/>
            <w:tabs>
              <w:tab w:val="clear" w:pos="8743"/>
              <w:tab w:val="right" w:pos="9026" w:leader="dot"/>
            </w:tabs>
            <w:rPr/>
          </w:pPr>
          <w:hyperlink w:anchor="__RefHeading___Toc11915188_2142443653">
            <w:r>
              <w:rPr>
                <w:webHidden/>
                <w:rStyle w:val="IndexLink"/>
                <w:rtl w:val="true"/>
              </w:rPr>
              <w:t>تزويج الجن والروح</w:t>
            </w:r>
            <w:r>
              <w:rPr>
                <w:rStyle w:val="IndexLink"/>
                <w:rtl w:val="true"/>
              </w:rPr>
              <w:tab/>
            </w:r>
            <w:r>
              <w:rPr>
                <w:rStyle w:val="IndexLink"/>
              </w:rPr>
              <w:t>97</w:t>
            </w:r>
          </w:hyperlink>
        </w:p>
        <w:p>
          <w:pPr>
            <w:pStyle w:val="Contents2"/>
            <w:tabs>
              <w:tab w:val="clear" w:pos="8743"/>
              <w:tab w:val="right" w:pos="9026" w:leader="dot"/>
            </w:tabs>
            <w:rPr/>
          </w:pPr>
          <w:hyperlink w:anchor="__RefHeading___Toc11915190_2142443653">
            <w:r>
              <w:rPr>
                <w:webHidden/>
                <w:rStyle w:val="IndexLink"/>
                <w:rtl w:val="true"/>
              </w:rPr>
              <w:t>مزاوجة الحيوان</w:t>
            </w:r>
            <w:r>
              <w:rPr>
                <w:rStyle w:val="IndexLink"/>
                <w:rtl w:val="true"/>
              </w:rPr>
              <w:tab/>
            </w:r>
            <w:r>
              <w:rPr>
                <w:rStyle w:val="IndexLink"/>
              </w:rPr>
              <w:t>98</w:t>
            </w:r>
          </w:hyperlink>
        </w:p>
        <w:p>
          <w:pPr>
            <w:pStyle w:val="Contents2"/>
            <w:tabs>
              <w:tab w:val="clear" w:pos="8743"/>
              <w:tab w:val="right" w:pos="9026" w:leader="dot"/>
            </w:tabs>
            <w:rPr/>
          </w:pPr>
          <w:hyperlink w:anchor="__RefHeading___Toc11915192_2142443653">
            <w:r>
              <w:rPr>
                <w:webHidden/>
                <w:rStyle w:val="IndexLink"/>
                <w:rtl w:val="true"/>
              </w:rPr>
              <w:t>الأشعة القاتلة</w:t>
            </w:r>
            <w:r>
              <w:rPr>
                <w:rStyle w:val="IndexLink"/>
                <w:rtl w:val="true"/>
              </w:rPr>
              <w:tab/>
            </w:r>
            <w:r>
              <w:rPr>
                <w:rStyle w:val="IndexLink"/>
              </w:rPr>
              <w:t>99</w:t>
            </w:r>
          </w:hyperlink>
        </w:p>
        <w:p>
          <w:pPr>
            <w:pStyle w:val="Contents2"/>
            <w:tabs>
              <w:tab w:val="clear" w:pos="8743"/>
              <w:tab w:val="right" w:pos="9026" w:leader="dot"/>
            </w:tabs>
            <w:rPr/>
          </w:pPr>
          <w:hyperlink w:anchor="__RefHeading___Toc11915194_2142443653">
            <w:r>
              <w:rPr>
                <w:webHidden/>
                <w:rStyle w:val="IndexLink"/>
                <w:rtl w:val="true"/>
              </w:rPr>
              <w:t>ردّ الاعتداء</w:t>
            </w:r>
            <w:r>
              <w:rPr>
                <w:rStyle w:val="IndexLink"/>
                <w:rtl w:val="true"/>
              </w:rPr>
              <w:tab/>
            </w:r>
            <w:r>
              <w:rPr>
                <w:rStyle w:val="IndexLink"/>
              </w:rPr>
              <w:t>99</w:t>
            </w:r>
          </w:hyperlink>
        </w:p>
        <w:p>
          <w:pPr>
            <w:pStyle w:val="Contents2"/>
            <w:tabs>
              <w:tab w:val="clear" w:pos="8743"/>
              <w:tab w:val="right" w:pos="9026" w:leader="dot"/>
            </w:tabs>
            <w:rPr/>
          </w:pPr>
          <w:hyperlink w:anchor="__RefHeading___Toc11915196_2142443653">
            <w:r>
              <w:rPr>
                <w:webHidden/>
                <w:rStyle w:val="IndexLink"/>
                <w:rtl w:val="true"/>
              </w:rPr>
              <w:t>المعقمات لا تطهّر</w:t>
            </w:r>
            <w:r>
              <w:rPr>
                <w:rStyle w:val="IndexLink"/>
                <w:rtl w:val="true"/>
              </w:rPr>
              <w:tab/>
            </w:r>
            <w:r>
              <w:rPr>
                <w:rStyle w:val="IndexLink"/>
              </w:rPr>
              <w:t>101</w:t>
            </w:r>
          </w:hyperlink>
        </w:p>
        <w:p>
          <w:pPr>
            <w:pStyle w:val="Contents2"/>
            <w:tabs>
              <w:tab w:val="clear" w:pos="8743"/>
              <w:tab w:val="right" w:pos="9026" w:leader="dot"/>
            </w:tabs>
            <w:rPr/>
          </w:pPr>
          <w:hyperlink w:anchor="__RefHeading___Toc11915198_2142443653">
            <w:r>
              <w:rPr>
                <w:webHidden/>
                <w:rStyle w:val="IndexLink"/>
                <w:rtl w:val="true"/>
              </w:rPr>
              <w:t>إضرار الآخرين مادياً</w:t>
            </w:r>
            <w:r>
              <w:rPr>
                <w:rStyle w:val="IndexLink"/>
                <w:rtl w:val="true"/>
              </w:rPr>
              <w:tab/>
            </w:r>
            <w:r>
              <w:rPr>
                <w:rStyle w:val="IndexLink"/>
              </w:rPr>
              <w:t>102</w:t>
            </w:r>
          </w:hyperlink>
        </w:p>
        <w:p>
          <w:pPr>
            <w:pStyle w:val="Contents2"/>
            <w:tabs>
              <w:tab w:val="clear" w:pos="8743"/>
              <w:tab w:val="right" w:pos="9026" w:leader="dot"/>
            </w:tabs>
            <w:rPr/>
          </w:pPr>
          <w:hyperlink w:anchor="__RefHeading___Toc11915200_2142443653">
            <w:r>
              <w:rPr>
                <w:webHidden/>
                <w:rStyle w:val="IndexLink"/>
                <w:rtl w:val="true"/>
              </w:rPr>
              <w:t>النفس الاصطناعي</w:t>
            </w:r>
            <w:r>
              <w:rPr>
                <w:rStyle w:val="IndexLink"/>
                <w:rtl w:val="true"/>
              </w:rPr>
              <w:tab/>
            </w:r>
            <w:r>
              <w:rPr>
                <w:rStyle w:val="IndexLink"/>
              </w:rPr>
              <w:t>103</w:t>
            </w:r>
          </w:hyperlink>
        </w:p>
        <w:p>
          <w:pPr>
            <w:pStyle w:val="Contents2"/>
            <w:tabs>
              <w:tab w:val="clear" w:pos="8743"/>
              <w:tab w:val="right" w:pos="9026" w:leader="dot"/>
            </w:tabs>
            <w:rPr/>
          </w:pPr>
          <w:hyperlink w:anchor="__RefHeading___Toc11915202_2142443653">
            <w:r>
              <w:rPr>
                <w:webHidden/>
                <w:rStyle w:val="IndexLink"/>
                <w:rtl w:val="true"/>
              </w:rPr>
              <w:t>العملية الجراحية</w:t>
            </w:r>
            <w:r>
              <w:rPr>
                <w:rStyle w:val="IndexLink"/>
                <w:rtl w:val="true"/>
              </w:rPr>
              <w:tab/>
            </w:r>
            <w:r>
              <w:rPr>
                <w:rStyle w:val="IndexLink"/>
              </w:rPr>
              <w:t>104</w:t>
            </w:r>
          </w:hyperlink>
        </w:p>
        <w:p>
          <w:pPr>
            <w:pStyle w:val="Contents2"/>
            <w:tabs>
              <w:tab w:val="clear" w:pos="8743"/>
              <w:tab w:val="right" w:pos="9026" w:leader="dot"/>
            </w:tabs>
            <w:rPr/>
          </w:pPr>
          <w:hyperlink w:anchor="__RefHeading___Toc11915204_2142443653">
            <w:r>
              <w:rPr>
                <w:webHidden/>
                <w:rStyle w:val="IndexLink"/>
                <w:rtl w:val="true"/>
              </w:rPr>
              <w:t>حفظ الصحة بالعملية</w:t>
            </w:r>
            <w:r>
              <w:rPr>
                <w:rStyle w:val="IndexLink"/>
                <w:rtl w:val="true"/>
              </w:rPr>
              <w:tab/>
            </w:r>
            <w:r>
              <w:rPr>
                <w:rStyle w:val="IndexLink"/>
              </w:rPr>
              <w:t>105</w:t>
            </w:r>
          </w:hyperlink>
        </w:p>
        <w:p>
          <w:pPr>
            <w:pStyle w:val="Contents2"/>
            <w:tabs>
              <w:tab w:val="clear" w:pos="8743"/>
              <w:tab w:val="right" w:pos="9026" w:leader="dot"/>
            </w:tabs>
            <w:rPr/>
          </w:pPr>
          <w:hyperlink w:anchor="__RefHeading___Toc11915206_2142443653">
            <w:r>
              <w:rPr>
                <w:webHidden/>
                <w:rStyle w:val="IndexLink"/>
                <w:rtl w:val="true"/>
              </w:rPr>
              <w:t>إزالة البكارة</w:t>
            </w:r>
            <w:r>
              <w:rPr>
                <w:rStyle w:val="IndexLink"/>
                <w:rtl w:val="true"/>
              </w:rPr>
              <w:tab/>
            </w:r>
            <w:r>
              <w:rPr>
                <w:rStyle w:val="IndexLink"/>
              </w:rPr>
              <w:t>106</w:t>
            </w:r>
          </w:hyperlink>
        </w:p>
        <w:p>
          <w:pPr>
            <w:pStyle w:val="Contents2"/>
            <w:tabs>
              <w:tab w:val="clear" w:pos="8743"/>
              <w:tab w:val="right" w:pos="9026" w:leader="dot"/>
            </w:tabs>
            <w:rPr/>
          </w:pPr>
          <w:hyperlink w:anchor="__RefHeading___Toc11915208_2142443653">
            <w:r>
              <w:rPr>
                <w:webHidden/>
                <w:rStyle w:val="IndexLink"/>
                <w:rtl w:val="true"/>
              </w:rPr>
              <w:t>السينماءات المفزعة</w:t>
            </w:r>
            <w:r>
              <w:rPr>
                <w:rStyle w:val="IndexLink"/>
                <w:rtl w:val="true"/>
              </w:rPr>
              <w:tab/>
            </w:r>
            <w:r>
              <w:rPr>
                <w:rStyle w:val="IndexLink"/>
              </w:rPr>
              <w:t>107</w:t>
            </w:r>
          </w:hyperlink>
        </w:p>
        <w:p>
          <w:pPr>
            <w:pStyle w:val="Contents2"/>
            <w:tabs>
              <w:tab w:val="clear" w:pos="8743"/>
              <w:tab w:val="right" w:pos="9026" w:leader="dot"/>
            </w:tabs>
            <w:rPr/>
          </w:pPr>
          <w:hyperlink w:anchor="__RefHeading___Toc11915210_2142443653">
            <w:r>
              <w:rPr>
                <w:webHidden/>
                <w:rStyle w:val="IndexLink"/>
                <w:rtl w:val="true"/>
              </w:rPr>
              <w:t>الإنسان الجديد</w:t>
            </w:r>
            <w:r>
              <w:rPr>
                <w:rStyle w:val="IndexLink"/>
                <w:rtl w:val="true"/>
              </w:rPr>
              <w:tab/>
            </w:r>
            <w:r>
              <w:rPr>
                <w:rStyle w:val="IndexLink"/>
              </w:rPr>
              <w:t>109</w:t>
            </w:r>
          </w:hyperlink>
        </w:p>
        <w:p>
          <w:pPr>
            <w:pStyle w:val="Contents2"/>
            <w:tabs>
              <w:tab w:val="clear" w:pos="8743"/>
              <w:tab w:val="right" w:pos="9026" w:leader="dot"/>
            </w:tabs>
            <w:rPr/>
          </w:pPr>
          <w:hyperlink w:anchor="__RefHeading___Toc11915212_2142443653">
            <w:r>
              <w:rPr>
                <w:webHidden/>
                <w:rStyle w:val="IndexLink"/>
                <w:rtl w:val="true"/>
              </w:rPr>
              <w:t>تبديد القمر</w:t>
            </w:r>
            <w:r>
              <w:rPr>
                <w:rStyle w:val="IndexLink"/>
                <w:rtl w:val="true"/>
              </w:rPr>
              <w:tab/>
            </w:r>
            <w:r>
              <w:rPr>
                <w:rStyle w:val="IndexLink"/>
              </w:rPr>
              <w:t>111</w:t>
            </w:r>
          </w:hyperlink>
        </w:p>
        <w:p>
          <w:pPr>
            <w:pStyle w:val="Contents2"/>
            <w:tabs>
              <w:tab w:val="clear" w:pos="8743"/>
              <w:tab w:val="right" w:pos="9026" w:leader="dot"/>
            </w:tabs>
            <w:rPr/>
          </w:pPr>
          <w:hyperlink w:anchor="__RefHeading___Toc11915214_2142443653">
            <w:r>
              <w:rPr>
                <w:webHidden/>
                <w:rStyle w:val="IndexLink"/>
                <w:rtl w:val="true"/>
              </w:rPr>
              <w:t>الحيوانات القليلة الوجود</w:t>
            </w:r>
            <w:r>
              <w:rPr>
                <w:rStyle w:val="IndexLink"/>
                <w:rtl w:val="true"/>
              </w:rPr>
              <w:tab/>
            </w:r>
            <w:r>
              <w:rPr>
                <w:rStyle w:val="IndexLink"/>
              </w:rPr>
              <w:t>112</w:t>
            </w:r>
          </w:hyperlink>
        </w:p>
        <w:p>
          <w:pPr>
            <w:pStyle w:val="Contents2"/>
            <w:tabs>
              <w:tab w:val="clear" w:pos="8743"/>
              <w:tab w:val="right" w:pos="9026" w:leader="dot"/>
            </w:tabs>
            <w:rPr/>
          </w:pPr>
          <w:hyperlink w:anchor="__RefHeading___Toc11915216_2142443653">
            <w:r>
              <w:rPr>
                <w:webHidden/>
                <w:rStyle w:val="IndexLink"/>
                <w:rtl w:val="true"/>
              </w:rPr>
              <w:t>تلحيم العظام</w:t>
            </w:r>
            <w:r>
              <w:rPr>
                <w:rStyle w:val="IndexLink"/>
                <w:rtl w:val="true"/>
              </w:rPr>
              <w:tab/>
            </w:r>
            <w:r>
              <w:rPr>
                <w:rStyle w:val="IndexLink"/>
              </w:rPr>
              <w:t>113</w:t>
            </w:r>
          </w:hyperlink>
        </w:p>
        <w:p>
          <w:pPr>
            <w:pStyle w:val="Contents2"/>
            <w:tabs>
              <w:tab w:val="clear" w:pos="8743"/>
              <w:tab w:val="right" w:pos="9026" w:leader="dot"/>
            </w:tabs>
            <w:rPr/>
          </w:pPr>
          <w:hyperlink w:anchor="__RefHeading___Toc11915218_2142443653">
            <w:r>
              <w:rPr>
                <w:webHidden/>
                <w:rStyle w:val="IndexLink"/>
                <w:rtl w:val="true"/>
              </w:rPr>
              <w:t>الآثار القديمة</w:t>
            </w:r>
            <w:r>
              <w:rPr>
                <w:rStyle w:val="IndexLink"/>
                <w:rtl w:val="true"/>
              </w:rPr>
              <w:tab/>
            </w:r>
            <w:r>
              <w:rPr>
                <w:rStyle w:val="IndexLink"/>
              </w:rPr>
              <w:t>114</w:t>
            </w:r>
          </w:hyperlink>
        </w:p>
        <w:p>
          <w:pPr>
            <w:pStyle w:val="Contents2"/>
            <w:tabs>
              <w:tab w:val="clear" w:pos="8743"/>
              <w:tab w:val="right" w:pos="9026" w:leader="dot"/>
            </w:tabs>
            <w:rPr/>
          </w:pPr>
          <w:hyperlink w:anchor="__RefHeading___Toc11915220_2142443653">
            <w:r>
              <w:rPr>
                <w:webHidden/>
                <w:rStyle w:val="IndexLink"/>
                <w:rtl w:val="true"/>
              </w:rPr>
              <w:t>حضور متاحف الفراعنة</w:t>
            </w:r>
            <w:r>
              <w:rPr>
                <w:rStyle w:val="IndexLink"/>
                <w:rtl w:val="true"/>
              </w:rPr>
              <w:tab/>
            </w:r>
            <w:r>
              <w:rPr>
                <w:rStyle w:val="IndexLink"/>
              </w:rPr>
              <w:t>115</w:t>
            </w:r>
          </w:hyperlink>
        </w:p>
        <w:p>
          <w:pPr>
            <w:pStyle w:val="Contents2"/>
            <w:tabs>
              <w:tab w:val="clear" w:pos="8743"/>
              <w:tab w:val="right" w:pos="9026" w:leader="dot"/>
            </w:tabs>
            <w:rPr/>
          </w:pPr>
          <w:hyperlink w:anchor="__RefHeading___Toc11915222_2142443653">
            <w:r>
              <w:rPr>
                <w:webHidden/>
                <w:rStyle w:val="IndexLink"/>
                <w:rtl w:val="true"/>
              </w:rPr>
              <w:t>إيقاف الشمس</w:t>
            </w:r>
            <w:r>
              <w:rPr>
                <w:rStyle w:val="IndexLink"/>
                <w:rtl w:val="true"/>
              </w:rPr>
              <w:tab/>
            </w:r>
            <w:r>
              <w:rPr>
                <w:rStyle w:val="IndexLink"/>
              </w:rPr>
              <w:t>116</w:t>
            </w:r>
          </w:hyperlink>
        </w:p>
        <w:p>
          <w:pPr>
            <w:pStyle w:val="Contents2"/>
            <w:tabs>
              <w:tab w:val="clear" w:pos="8743"/>
              <w:tab w:val="right" w:pos="9026" w:leader="dot"/>
            </w:tabs>
            <w:rPr/>
          </w:pPr>
          <w:hyperlink w:anchor="__RefHeading___Toc11915224_2142443653">
            <w:r>
              <w:rPr>
                <w:webHidden/>
                <w:rStyle w:val="IndexLink"/>
                <w:rtl w:val="true"/>
              </w:rPr>
              <w:t>الأمراض المعدية</w:t>
            </w:r>
            <w:r>
              <w:rPr>
                <w:rStyle w:val="IndexLink"/>
                <w:rtl w:val="true"/>
              </w:rPr>
              <w:tab/>
            </w:r>
            <w:r>
              <w:rPr>
                <w:rStyle w:val="IndexLink"/>
              </w:rPr>
              <w:t>116</w:t>
            </w:r>
          </w:hyperlink>
        </w:p>
        <w:p>
          <w:pPr>
            <w:pStyle w:val="Contents2"/>
            <w:tabs>
              <w:tab w:val="clear" w:pos="8743"/>
              <w:tab w:val="right" w:pos="9026" w:leader="dot"/>
            </w:tabs>
            <w:rPr/>
          </w:pPr>
          <w:hyperlink w:anchor="__RefHeading___Toc11915226_2142443653">
            <w:r>
              <w:rPr>
                <w:webHidden/>
                <w:rStyle w:val="IndexLink"/>
                <w:rtl w:val="true"/>
              </w:rPr>
              <w:t>تلحيم الأعضاء</w:t>
            </w:r>
            <w:r>
              <w:rPr>
                <w:rStyle w:val="IndexLink"/>
                <w:rtl w:val="true"/>
              </w:rPr>
              <w:tab/>
            </w:r>
            <w:r>
              <w:rPr>
                <w:rStyle w:val="IndexLink"/>
              </w:rPr>
              <w:t>118</w:t>
            </w:r>
          </w:hyperlink>
        </w:p>
        <w:p>
          <w:pPr>
            <w:pStyle w:val="Contents2"/>
            <w:tabs>
              <w:tab w:val="clear" w:pos="8743"/>
              <w:tab w:val="right" w:pos="9026" w:leader="dot"/>
            </w:tabs>
            <w:rPr/>
          </w:pPr>
          <w:hyperlink w:anchor="__RefHeading___Toc11915228_2142443653">
            <w:r>
              <w:rPr>
                <w:webHidden/>
                <w:rStyle w:val="IndexLink"/>
                <w:rtl w:val="true"/>
              </w:rPr>
              <w:t>تشويه الإنسان</w:t>
            </w:r>
            <w:r>
              <w:rPr>
                <w:rStyle w:val="IndexLink"/>
                <w:rtl w:val="true"/>
              </w:rPr>
              <w:tab/>
            </w:r>
            <w:r>
              <w:rPr>
                <w:rStyle w:val="IndexLink"/>
              </w:rPr>
              <w:t>120</w:t>
            </w:r>
          </w:hyperlink>
        </w:p>
        <w:p>
          <w:pPr>
            <w:pStyle w:val="Contents2"/>
            <w:tabs>
              <w:tab w:val="clear" w:pos="8743"/>
              <w:tab w:val="right" w:pos="9026" w:leader="dot"/>
            </w:tabs>
            <w:rPr/>
          </w:pPr>
          <w:hyperlink w:anchor="__RefHeading___Toc11915230_2142443653">
            <w:r>
              <w:rPr>
                <w:webHidden/>
                <w:rStyle w:val="IndexLink"/>
                <w:rtl w:val="true"/>
              </w:rPr>
              <w:t>تركيب الحيوانات</w:t>
            </w:r>
            <w:r>
              <w:rPr>
                <w:rStyle w:val="IndexLink"/>
                <w:rtl w:val="true"/>
              </w:rPr>
              <w:tab/>
            </w:r>
            <w:r>
              <w:rPr>
                <w:rStyle w:val="IndexLink"/>
              </w:rPr>
              <w:t>120</w:t>
            </w:r>
          </w:hyperlink>
        </w:p>
        <w:p>
          <w:pPr>
            <w:pStyle w:val="Contents2"/>
            <w:tabs>
              <w:tab w:val="clear" w:pos="8743"/>
              <w:tab w:val="right" w:pos="9026" w:leader="dot"/>
            </w:tabs>
            <w:rPr/>
          </w:pPr>
          <w:hyperlink w:anchor="__RefHeading___Toc11915232_2142443653">
            <w:r>
              <w:rPr>
                <w:webHidden/>
                <w:rStyle w:val="IndexLink"/>
                <w:rtl w:val="true"/>
              </w:rPr>
              <w:t>ما يسبب الاحتلام</w:t>
            </w:r>
            <w:r>
              <w:rPr>
                <w:rStyle w:val="IndexLink"/>
                <w:rtl w:val="true"/>
              </w:rPr>
              <w:tab/>
            </w:r>
            <w:r>
              <w:rPr>
                <w:rStyle w:val="IndexLink"/>
              </w:rPr>
              <w:t>122</w:t>
            </w:r>
          </w:hyperlink>
        </w:p>
        <w:p>
          <w:pPr>
            <w:pStyle w:val="Contents2"/>
            <w:tabs>
              <w:tab w:val="clear" w:pos="8743"/>
              <w:tab w:val="right" w:pos="9026" w:leader="dot"/>
            </w:tabs>
            <w:rPr/>
          </w:pPr>
          <w:hyperlink w:anchor="__RefHeading___Toc11915234_2142443653">
            <w:r>
              <w:rPr>
                <w:webHidden/>
                <w:rStyle w:val="IndexLink"/>
                <w:rtl w:val="true"/>
              </w:rPr>
              <w:t>الزكاة في الأوراق</w:t>
            </w:r>
            <w:r>
              <w:rPr>
                <w:rStyle w:val="IndexLink"/>
                <w:rtl w:val="true"/>
              </w:rPr>
              <w:tab/>
            </w:r>
            <w:r>
              <w:rPr>
                <w:rStyle w:val="IndexLink"/>
              </w:rPr>
              <w:t>123</w:t>
            </w:r>
          </w:hyperlink>
        </w:p>
        <w:p>
          <w:pPr>
            <w:pStyle w:val="Contents2"/>
            <w:tabs>
              <w:tab w:val="clear" w:pos="8743"/>
              <w:tab w:val="right" w:pos="9026" w:leader="dot"/>
            </w:tabs>
            <w:rPr/>
          </w:pPr>
          <w:hyperlink w:anchor="__RefHeading___Toc11915236_2142443653">
            <w:r>
              <w:rPr>
                <w:webHidden/>
                <w:rStyle w:val="IndexLink"/>
                <w:rtl w:val="true"/>
              </w:rPr>
              <w:t>السباحة الطويلة</w:t>
            </w:r>
            <w:r>
              <w:rPr>
                <w:rStyle w:val="IndexLink"/>
                <w:rtl w:val="true"/>
              </w:rPr>
              <w:tab/>
            </w:r>
            <w:r>
              <w:rPr>
                <w:rStyle w:val="IndexLink"/>
              </w:rPr>
              <w:t>124</w:t>
            </w:r>
          </w:hyperlink>
        </w:p>
        <w:p>
          <w:pPr>
            <w:pStyle w:val="Contents2"/>
            <w:tabs>
              <w:tab w:val="clear" w:pos="8743"/>
              <w:tab w:val="right" w:pos="9026" w:leader="dot"/>
            </w:tabs>
            <w:rPr/>
          </w:pPr>
          <w:hyperlink w:anchor="__RefHeading___Toc11915238_2142443653">
            <w:r>
              <w:rPr>
                <w:webHidden/>
                <w:rStyle w:val="IndexLink"/>
                <w:rtl w:val="true"/>
              </w:rPr>
              <w:t>أقسام المسابقات</w:t>
            </w:r>
            <w:r>
              <w:rPr>
                <w:rStyle w:val="IndexLink"/>
                <w:rtl w:val="true"/>
              </w:rPr>
              <w:tab/>
            </w:r>
            <w:r>
              <w:rPr>
                <w:rStyle w:val="IndexLink"/>
              </w:rPr>
              <w:t>124</w:t>
            </w:r>
          </w:hyperlink>
        </w:p>
        <w:p>
          <w:pPr>
            <w:pStyle w:val="Contents2"/>
            <w:tabs>
              <w:tab w:val="clear" w:pos="8743"/>
              <w:tab w:val="right" w:pos="9026" w:leader="dot"/>
            </w:tabs>
            <w:rPr/>
          </w:pPr>
          <w:hyperlink w:anchor="__RefHeading___Toc11915240_2142443653">
            <w:r>
              <w:rPr>
                <w:webHidden/>
                <w:rStyle w:val="IndexLink"/>
                <w:rtl w:val="true"/>
              </w:rPr>
              <w:t>إثارة النعرات</w:t>
            </w:r>
            <w:r>
              <w:rPr>
                <w:rStyle w:val="IndexLink"/>
                <w:rtl w:val="true"/>
              </w:rPr>
              <w:tab/>
            </w:r>
            <w:r>
              <w:rPr>
                <w:rStyle w:val="IndexLink"/>
              </w:rPr>
              <w:t>125</w:t>
            </w:r>
          </w:hyperlink>
        </w:p>
        <w:p>
          <w:pPr>
            <w:pStyle w:val="Contents2"/>
            <w:tabs>
              <w:tab w:val="clear" w:pos="8743"/>
              <w:tab w:val="right" w:pos="9026" w:leader="dot"/>
            </w:tabs>
            <w:rPr/>
          </w:pPr>
          <w:hyperlink w:anchor="__RefHeading___Toc11915242_2142443653">
            <w:r>
              <w:rPr>
                <w:webHidden/>
                <w:rStyle w:val="IndexLink"/>
                <w:rtl w:val="true"/>
              </w:rPr>
              <w:t>حقن الإبر للصائم</w:t>
            </w:r>
            <w:r>
              <w:rPr>
                <w:rStyle w:val="IndexLink"/>
                <w:rtl w:val="true"/>
              </w:rPr>
              <w:tab/>
            </w:r>
            <w:r>
              <w:rPr>
                <w:rStyle w:val="IndexLink"/>
              </w:rPr>
              <w:t>127</w:t>
            </w:r>
          </w:hyperlink>
        </w:p>
        <w:p>
          <w:pPr>
            <w:pStyle w:val="Contents2"/>
            <w:tabs>
              <w:tab w:val="clear" w:pos="8743"/>
              <w:tab w:val="right" w:pos="9026" w:leader="dot"/>
            </w:tabs>
            <w:rPr/>
          </w:pPr>
          <w:hyperlink w:anchor="__RefHeading___Toc11915244_2142443653">
            <w:r>
              <w:rPr>
                <w:webHidden/>
                <w:rStyle w:val="IndexLink"/>
                <w:rtl w:val="true"/>
              </w:rPr>
              <w:t>حقن الإبر المنشطة</w:t>
            </w:r>
            <w:r>
              <w:rPr>
                <w:rStyle w:val="IndexLink"/>
                <w:rtl w:val="true"/>
              </w:rPr>
              <w:tab/>
            </w:r>
            <w:r>
              <w:rPr>
                <w:rStyle w:val="IndexLink"/>
              </w:rPr>
              <w:t>128</w:t>
            </w:r>
          </w:hyperlink>
        </w:p>
        <w:p>
          <w:pPr>
            <w:pStyle w:val="Contents2"/>
            <w:tabs>
              <w:tab w:val="clear" w:pos="8743"/>
              <w:tab w:val="right" w:pos="9026" w:leader="dot"/>
            </w:tabs>
            <w:rPr/>
          </w:pPr>
          <w:hyperlink w:anchor="__RefHeading___Toc11915246_2142443653">
            <w:r>
              <w:rPr>
                <w:webHidden/>
                <w:rStyle w:val="IndexLink"/>
                <w:rtl w:val="true"/>
              </w:rPr>
              <w:t>الامتيازات</w:t>
            </w:r>
            <w:r>
              <w:rPr>
                <w:rStyle w:val="IndexLink"/>
                <w:rtl w:val="true"/>
              </w:rPr>
              <w:tab/>
            </w:r>
            <w:r>
              <w:rPr>
                <w:rStyle w:val="IndexLink"/>
              </w:rPr>
              <w:t>129</w:t>
            </w:r>
          </w:hyperlink>
        </w:p>
        <w:p>
          <w:pPr>
            <w:pStyle w:val="Contents2"/>
            <w:tabs>
              <w:tab w:val="clear" w:pos="8743"/>
              <w:tab w:val="right" w:pos="9026" w:leader="dot"/>
            </w:tabs>
            <w:rPr/>
          </w:pPr>
          <w:hyperlink w:anchor="__RefHeading___Toc11915248_2142443653">
            <w:r>
              <w:rPr>
                <w:webHidden/>
                <w:rStyle w:val="IndexLink"/>
                <w:rtl w:val="true"/>
              </w:rPr>
              <w:t>الحيوان بين حيوانين</w:t>
            </w:r>
            <w:r>
              <w:rPr>
                <w:rStyle w:val="IndexLink"/>
                <w:rtl w:val="true"/>
              </w:rPr>
              <w:tab/>
            </w:r>
            <w:r>
              <w:rPr>
                <w:rStyle w:val="IndexLink"/>
              </w:rPr>
              <w:t>130</w:t>
            </w:r>
          </w:hyperlink>
        </w:p>
        <w:p>
          <w:pPr>
            <w:pStyle w:val="Contents2"/>
            <w:tabs>
              <w:tab w:val="clear" w:pos="8743"/>
              <w:tab w:val="right" w:pos="9026" w:leader="dot"/>
            </w:tabs>
            <w:rPr/>
          </w:pPr>
          <w:hyperlink w:anchor="__RefHeading___Toc11915250_2142443653">
            <w:r>
              <w:rPr>
                <w:webHidden/>
                <w:rStyle w:val="IndexLink"/>
                <w:rtl w:val="true"/>
              </w:rPr>
              <w:t>تحديد الأسعار</w:t>
            </w:r>
            <w:r>
              <w:rPr>
                <w:rStyle w:val="IndexLink"/>
                <w:rtl w:val="true"/>
              </w:rPr>
              <w:tab/>
            </w:r>
            <w:r>
              <w:rPr>
                <w:rStyle w:val="IndexLink"/>
              </w:rPr>
              <w:t>132</w:t>
            </w:r>
          </w:hyperlink>
        </w:p>
        <w:p>
          <w:pPr>
            <w:pStyle w:val="Contents2"/>
            <w:tabs>
              <w:tab w:val="clear" w:pos="8743"/>
              <w:tab w:val="right" w:pos="9026" w:leader="dot"/>
            </w:tabs>
            <w:rPr/>
          </w:pPr>
          <w:hyperlink w:anchor="__RefHeading___Toc11915252_2142443653">
            <w:r>
              <w:rPr>
                <w:webHidden/>
                <w:rStyle w:val="IndexLink"/>
                <w:rtl w:val="true"/>
              </w:rPr>
              <w:t>الانتصار على الأعداء</w:t>
            </w:r>
            <w:r>
              <w:rPr>
                <w:rStyle w:val="IndexLink"/>
                <w:rtl w:val="true"/>
              </w:rPr>
              <w:tab/>
            </w:r>
            <w:r>
              <w:rPr>
                <w:rStyle w:val="IndexLink"/>
              </w:rPr>
              <w:t>132</w:t>
            </w:r>
          </w:hyperlink>
        </w:p>
        <w:p>
          <w:pPr>
            <w:pStyle w:val="Contents2"/>
            <w:tabs>
              <w:tab w:val="clear" w:pos="8743"/>
              <w:tab w:val="right" w:pos="9026" w:leader="dot"/>
            </w:tabs>
            <w:rPr/>
          </w:pPr>
          <w:hyperlink w:anchor="__RefHeading___Toc11915254_2142443653">
            <w:r>
              <w:rPr>
                <w:webHidden/>
                <w:rStyle w:val="IndexLink"/>
                <w:rtl w:val="true"/>
              </w:rPr>
              <w:t>شهر العسل</w:t>
            </w:r>
            <w:r>
              <w:rPr>
                <w:rStyle w:val="IndexLink"/>
                <w:rtl w:val="true"/>
              </w:rPr>
              <w:tab/>
            </w:r>
            <w:r>
              <w:rPr>
                <w:rStyle w:val="IndexLink"/>
              </w:rPr>
              <w:t>134</w:t>
            </w:r>
          </w:hyperlink>
        </w:p>
        <w:p>
          <w:pPr>
            <w:pStyle w:val="Contents2"/>
            <w:tabs>
              <w:tab w:val="clear" w:pos="8743"/>
              <w:tab w:val="right" w:pos="9026" w:leader="dot"/>
            </w:tabs>
            <w:rPr/>
          </w:pPr>
          <w:hyperlink w:anchor="__RefHeading___Toc11915256_2142443653">
            <w:r>
              <w:rPr>
                <w:webHidden/>
                <w:rStyle w:val="IndexLink"/>
                <w:rtl w:val="true"/>
              </w:rPr>
              <w:t>المريض المضطر</w:t>
            </w:r>
            <w:r>
              <w:rPr>
                <w:rStyle w:val="IndexLink"/>
                <w:rtl w:val="true"/>
              </w:rPr>
              <w:tab/>
            </w:r>
            <w:r>
              <w:rPr>
                <w:rStyle w:val="IndexLink"/>
              </w:rPr>
              <w:t>135</w:t>
            </w:r>
          </w:hyperlink>
        </w:p>
        <w:p>
          <w:pPr>
            <w:pStyle w:val="Contents2"/>
            <w:tabs>
              <w:tab w:val="clear" w:pos="8743"/>
              <w:tab w:val="right" w:pos="9026" w:leader="dot"/>
            </w:tabs>
            <w:rPr/>
          </w:pPr>
          <w:hyperlink w:anchor="__RefHeading___Toc11915258_2142443653">
            <w:r>
              <w:rPr>
                <w:webHidden/>
                <w:rStyle w:val="IndexLink"/>
                <w:rtl w:val="true"/>
              </w:rPr>
              <w:t>الذبح في المحقنة</w:t>
            </w:r>
            <w:r>
              <w:rPr>
                <w:rStyle w:val="IndexLink"/>
                <w:rtl w:val="true"/>
              </w:rPr>
              <w:tab/>
            </w:r>
            <w:r>
              <w:rPr>
                <w:rStyle w:val="IndexLink"/>
              </w:rPr>
              <w:t>136</w:t>
            </w:r>
          </w:hyperlink>
        </w:p>
        <w:p>
          <w:pPr>
            <w:pStyle w:val="Contents2"/>
            <w:tabs>
              <w:tab w:val="clear" w:pos="8743"/>
              <w:tab w:val="right" w:pos="9026" w:leader="dot"/>
            </w:tabs>
            <w:rPr/>
          </w:pPr>
          <w:hyperlink w:anchor="__RefHeading___Toc11915260_2142443653">
            <w:r>
              <w:rPr>
                <w:webHidden/>
                <w:rStyle w:val="IndexLink"/>
                <w:rtl w:val="true"/>
              </w:rPr>
              <w:t>حلق ما عدا الذقن</w:t>
            </w:r>
            <w:r>
              <w:rPr>
                <w:rStyle w:val="IndexLink"/>
                <w:rtl w:val="true"/>
              </w:rPr>
              <w:tab/>
            </w:r>
            <w:r>
              <w:rPr>
                <w:rStyle w:val="IndexLink"/>
              </w:rPr>
              <w:t>137</w:t>
            </w:r>
          </w:hyperlink>
        </w:p>
        <w:p>
          <w:pPr>
            <w:pStyle w:val="Contents2"/>
            <w:tabs>
              <w:tab w:val="clear" w:pos="8743"/>
              <w:tab w:val="right" w:pos="9026" w:leader="dot"/>
            </w:tabs>
            <w:rPr/>
          </w:pPr>
          <w:hyperlink w:anchor="__RefHeading___Toc11915262_2142443653">
            <w:r>
              <w:rPr>
                <w:webHidden/>
                <w:rStyle w:val="IndexLink"/>
                <w:rtl w:val="true"/>
              </w:rPr>
              <w:t>أقسام الحلق</w:t>
            </w:r>
            <w:r>
              <w:rPr>
                <w:rStyle w:val="IndexLink"/>
                <w:rtl w:val="true"/>
              </w:rPr>
              <w:tab/>
            </w:r>
            <w:r>
              <w:rPr>
                <w:rStyle w:val="IndexLink"/>
              </w:rPr>
              <w:t>137</w:t>
            </w:r>
          </w:hyperlink>
        </w:p>
        <w:p>
          <w:pPr>
            <w:pStyle w:val="Contents2"/>
            <w:tabs>
              <w:tab w:val="clear" w:pos="8743"/>
              <w:tab w:val="right" w:pos="9026" w:leader="dot"/>
            </w:tabs>
            <w:rPr/>
          </w:pPr>
          <w:hyperlink w:anchor="__RefHeading___Toc11915264_2142443653">
            <w:r>
              <w:rPr>
                <w:webHidden/>
                <w:rStyle w:val="IndexLink"/>
                <w:rtl w:val="true"/>
              </w:rPr>
              <w:t>لحية الكوسج</w:t>
            </w:r>
            <w:r>
              <w:rPr>
                <w:rStyle w:val="IndexLink"/>
                <w:rtl w:val="true"/>
              </w:rPr>
              <w:tab/>
            </w:r>
            <w:r>
              <w:rPr>
                <w:rStyle w:val="IndexLink"/>
              </w:rPr>
              <w:t>138</w:t>
            </w:r>
          </w:hyperlink>
        </w:p>
        <w:p>
          <w:pPr>
            <w:pStyle w:val="Contents2"/>
            <w:tabs>
              <w:tab w:val="clear" w:pos="8743"/>
              <w:tab w:val="right" w:pos="9026" w:leader="dot"/>
            </w:tabs>
            <w:rPr/>
          </w:pPr>
          <w:hyperlink w:anchor="__RefHeading___Toc11915266_2142443653">
            <w:r>
              <w:rPr>
                <w:webHidden/>
                <w:rStyle w:val="IndexLink"/>
                <w:rtl w:val="true"/>
              </w:rPr>
              <w:t>لحية المرأة</w:t>
            </w:r>
            <w:r>
              <w:rPr>
                <w:rStyle w:val="IndexLink"/>
                <w:rtl w:val="true"/>
              </w:rPr>
              <w:tab/>
            </w:r>
            <w:r>
              <w:rPr>
                <w:rStyle w:val="IndexLink"/>
              </w:rPr>
              <w:t>139</w:t>
            </w:r>
          </w:hyperlink>
        </w:p>
        <w:p>
          <w:pPr>
            <w:pStyle w:val="Contents2"/>
            <w:tabs>
              <w:tab w:val="clear" w:pos="8743"/>
              <w:tab w:val="right" w:pos="9026" w:leader="dot"/>
            </w:tabs>
            <w:rPr/>
          </w:pPr>
          <w:hyperlink w:anchor="__RefHeading___Toc11915268_2142443653">
            <w:r>
              <w:rPr>
                <w:webHidden/>
                <w:rStyle w:val="IndexLink"/>
                <w:rtl w:val="true"/>
              </w:rPr>
              <w:t>تعليب الذبائح</w:t>
            </w:r>
            <w:r>
              <w:rPr>
                <w:rStyle w:val="IndexLink"/>
                <w:rtl w:val="true"/>
              </w:rPr>
              <w:tab/>
            </w:r>
            <w:r>
              <w:rPr>
                <w:rStyle w:val="IndexLink"/>
              </w:rPr>
              <w:t>140</w:t>
            </w:r>
          </w:hyperlink>
        </w:p>
        <w:p>
          <w:pPr>
            <w:pStyle w:val="Contents2"/>
            <w:tabs>
              <w:tab w:val="clear" w:pos="8743"/>
              <w:tab w:val="right" w:pos="9026" w:leader="dot"/>
            </w:tabs>
            <w:rPr/>
          </w:pPr>
          <w:hyperlink w:anchor="__RefHeading___Toc11915270_2142443653">
            <w:r>
              <w:rPr>
                <w:webHidden/>
                <w:rStyle w:val="IndexLink"/>
                <w:rtl w:val="true"/>
              </w:rPr>
              <w:t>وضع الميت في الثلاجة</w:t>
            </w:r>
            <w:r>
              <w:rPr>
                <w:rStyle w:val="IndexLink"/>
                <w:rtl w:val="true"/>
              </w:rPr>
              <w:tab/>
            </w:r>
            <w:r>
              <w:rPr>
                <w:rStyle w:val="IndexLink"/>
              </w:rPr>
              <w:t>141</w:t>
            </w:r>
          </w:hyperlink>
        </w:p>
        <w:p>
          <w:pPr>
            <w:pStyle w:val="Contents2"/>
            <w:tabs>
              <w:tab w:val="clear" w:pos="8743"/>
              <w:tab w:val="right" w:pos="9026" w:leader="dot"/>
            </w:tabs>
            <w:rPr/>
          </w:pPr>
          <w:hyperlink w:anchor="__RefHeading___Toc11915272_2142443653">
            <w:r>
              <w:rPr>
                <w:webHidden/>
                <w:rStyle w:val="IndexLink"/>
                <w:rtl w:val="true"/>
              </w:rPr>
              <w:t>حبوب الذكاء</w:t>
            </w:r>
            <w:r>
              <w:rPr>
                <w:rStyle w:val="IndexLink"/>
                <w:rtl w:val="true"/>
              </w:rPr>
              <w:tab/>
            </w:r>
            <w:r>
              <w:rPr>
                <w:rStyle w:val="IndexLink"/>
              </w:rPr>
              <w:t>142</w:t>
            </w:r>
          </w:hyperlink>
        </w:p>
        <w:p>
          <w:pPr>
            <w:pStyle w:val="Contents2"/>
            <w:tabs>
              <w:tab w:val="clear" w:pos="8743"/>
              <w:tab w:val="right" w:pos="9026" w:leader="dot"/>
            </w:tabs>
            <w:rPr/>
          </w:pPr>
          <w:hyperlink w:anchor="__RefHeading___Toc11915274_2142443653">
            <w:r>
              <w:rPr>
                <w:webHidden/>
                <w:rStyle w:val="IndexLink"/>
                <w:rtl w:val="true"/>
              </w:rPr>
              <w:t>الفائض من الحاج</w:t>
            </w:r>
            <w:r>
              <w:rPr>
                <w:rStyle w:val="IndexLink"/>
                <w:rtl w:val="true"/>
              </w:rPr>
              <w:tab/>
            </w:r>
            <w:r>
              <w:rPr>
                <w:rStyle w:val="IndexLink"/>
              </w:rPr>
              <w:t>142</w:t>
            </w:r>
          </w:hyperlink>
        </w:p>
        <w:p>
          <w:pPr>
            <w:pStyle w:val="Contents2"/>
            <w:tabs>
              <w:tab w:val="clear" w:pos="8743"/>
              <w:tab w:val="right" w:pos="9026" w:leader="dot"/>
            </w:tabs>
            <w:rPr/>
          </w:pPr>
          <w:hyperlink w:anchor="__RefHeading___Toc11915276_2142443653">
            <w:r>
              <w:rPr>
                <w:webHidden/>
                <w:rStyle w:val="IndexLink"/>
                <w:rtl w:val="true"/>
              </w:rPr>
              <w:t>تضرر الحاج</w:t>
            </w:r>
            <w:r>
              <w:rPr>
                <w:rStyle w:val="IndexLink"/>
                <w:rtl w:val="true"/>
              </w:rPr>
              <w:tab/>
            </w:r>
            <w:r>
              <w:rPr>
                <w:rStyle w:val="IndexLink"/>
              </w:rPr>
              <w:t>145</w:t>
            </w:r>
          </w:hyperlink>
        </w:p>
        <w:p>
          <w:pPr>
            <w:pStyle w:val="Contents2"/>
            <w:tabs>
              <w:tab w:val="clear" w:pos="8743"/>
              <w:tab w:val="right" w:pos="9026" w:leader="dot"/>
            </w:tabs>
            <w:rPr/>
          </w:pPr>
          <w:hyperlink w:anchor="__RefHeading___Toc11915278_2142443653">
            <w:r>
              <w:rPr>
                <w:webHidden/>
                <w:rStyle w:val="IndexLink"/>
                <w:rtl w:val="true"/>
              </w:rPr>
              <w:t>فقد الاستطاعة</w:t>
            </w:r>
            <w:r>
              <w:rPr>
                <w:rStyle w:val="IndexLink"/>
                <w:rtl w:val="true"/>
              </w:rPr>
              <w:tab/>
            </w:r>
            <w:r>
              <w:rPr>
                <w:rStyle w:val="IndexLink"/>
              </w:rPr>
              <w:t>146</w:t>
            </w:r>
          </w:hyperlink>
        </w:p>
        <w:p>
          <w:pPr>
            <w:pStyle w:val="Contents2"/>
            <w:tabs>
              <w:tab w:val="clear" w:pos="8743"/>
              <w:tab w:val="right" w:pos="9026" w:leader="dot"/>
            </w:tabs>
            <w:rPr/>
          </w:pPr>
          <w:hyperlink w:anchor="__RefHeading___Toc11915280_2142443653">
            <w:r>
              <w:rPr>
                <w:webHidden/>
                <w:rStyle w:val="IndexLink"/>
                <w:rtl w:val="true"/>
              </w:rPr>
              <w:t>العلامة على القبلة</w:t>
            </w:r>
            <w:r>
              <w:rPr>
                <w:rStyle w:val="IndexLink"/>
                <w:rtl w:val="true"/>
              </w:rPr>
              <w:tab/>
            </w:r>
            <w:r>
              <w:rPr>
                <w:rStyle w:val="IndexLink"/>
              </w:rPr>
              <w:t>147</w:t>
            </w:r>
          </w:hyperlink>
        </w:p>
        <w:p>
          <w:pPr>
            <w:pStyle w:val="Contents2"/>
            <w:tabs>
              <w:tab w:val="clear" w:pos="8743"/>
              <w:tab w:val="right" w:pos="9026" w:leader="dot"/>
            </w:tabs>
            <w:rPr/>
          </w:pPr>
          <w:hyperlink w:anchor="__RefHeading___Toc11915282_2142443653">
            <w:r>
              <w:rPr>
                <w:webHidden/>
                <w:rStyle w:val="IndexLink"/>
                <w:rtl w:val="true"/>
              </w:rPr>
              <w:t>الوقوف في المشاعر</w:t>
            </w:r>
            <w:r>
              <w:rPr>
                <w:rStyle w:val="IndexLink"/>
                <w:rtl w:val="true"/>
              </w:rPr>
              <w:tab/>
            </w:r>
            <w:r>
              <w:rPr>
                <w:rStyle w:val="IndexLink"/>
              </w:rPr>
              <w:t>147</w:t>
            </w:r>
          </w:hyperlink>
        </w:p>
        <w:p>
          <w:pPr>
            <w:pStyle w:val="Contents2"/>
            <w:tabs>
              <w:tab w:val="clear" w:pos="8743"/>
              <w:tab w:val="right" w:pos="9026" w:leader="dot"/>
            </w:tabs>
            <w:rPr/>
          </w:pPr>
          <w:hyperlink w:anchor="__RefHeading___Toc11915284_2142443653">
            <w:r>
              <w:rPr>
                <w:webHidden/>
                <w:rStyle w:val="IndexLink"/>
                <w:rtl w:val="true"/>
              </w:rPr>
              <w:t>الطواف أبعد من المطاف</w:t>
            </w:r>
            <w:r>
              <w:rPr>
                <w:rStyle w:val="IndexLink"/>
                <w:rtl w:val="true"/>
              </w:rPr>
              <w:tab/>
            </w:r>
            <w:r>
              <w:rPr>
                <w:rStyle w:val="IndexLink"/>
              </w:rPr>
              <w:t>148</w:t>
            </w:r>
          </w:hyperlink>
        </w:p>
        <w:p>
          <w:pPr>
            <w:pStyle w:val="Contents2"/>
            <w:tabs>
              <w:tab w:val="clear" w:pos="8743"/>
              <w:tab w:val="right" w:pos="9026" w:leader="dot"/>
            </w:tabs>
            <w:rPr/>
          </w:pPr>
          <w:hyperlink w:anchor="__RefHeading___Toc11915286_2142443653">
            <w:r>
              <w:rPr>
                <w:webHidden/>
                <w:rStyle w:val="IndexLink"/>
                <w:rtl w:val="true"/>
              </w:rPr>
              <w:t>الطواف فوق الكعبة</w:t>
            </w:r>
            <w:r>
              <w:rPr>
                <w:rStyle w:val="IndexLink"/>
                <w:rtl w:val="true"/>
              </w:rPr>
              <w:tab/>
            </w:r>
            <w:r>
              <w:rPr>
                <w:rStyle w:val="IndexLink"/>
              </w:rPr>
              <w:t>149</w:t>
            </w:r>
          </w:hyperlink>
        </w:p>
        <w:p>
          <w:pPr>
            <w:pStyle w:val="Contents2"/>
            <w:tabs>
              <w:tab w:val="clear" w:pos="8743"/>
              <w:tab w:val="right" w:pos="9026" w:leader="dot"/>
            </w:tabs>
            <w:rPr/>
          </w:pPr>
          <w:hyperlink w:anchor="__RefHeading___Toc11915288_2142443653">
            <w:r>
              <w:rPr>
                <w:webHidden/>
                <w:rStyle w:val="IndexLink"/>
                <w:rtl w:val="true"/>
              </w:rPr>
              <w:t>حبس الحيض</w:t>
            </w:r>
            <w:r>
              <w:rPr>
                <w:rStyle w:val="IndexLink"/>
                <w:rtl w:val="true"/>
              </w:rPr>
              <w:tab/>
            </w:r>
            <w:r>
              <w:rPr>
                <w:rStyle w:val="IndexLink"/>
              </w:rPr>
              <w:t>150</w:t>
            </w:r>
          </w:hyperlink>
        </w:p>
        <w:p>
          <w:pPr>
            <w:pStyle w:val="Contents2"/>
            <w:tabs>
              <w:tab w:val="clear" w:pos="8743"/>
              <w:tab w:val="right" w:pos="9026" w:leader="dot"/>
            </w:tabs>
            <w:rPr/>
          </w:pPr>
          <w:hyperlink w:anchor="__RefHeading___Toc11915290_2142443653">
            <w:r>
              <w:rPr>
                <w:webHidden/>
                <w:rStyle w:val="IndexLink"/>
                <w:rtl w:val="true"/>
              </w:rPr>
              <w:t>الهستيريا في الصلاة</w:t>
            </w:r>
            <w:r>
              <w:rPr>
                <w:rStyle w:val="IndexLink"/>
                <w:rtl w:val="true"/>
              </w:rPr>
              <w:tab/>
            </w:r>
            <w:r>
              <w:rPr>
                <w:rStyle w:val="IndexLink"/>
              </w:rPr>
              <w:t>151</w:t>
            </w:r>
          </w:hyperlink>
        </w:p>
        <w:p>
          <w:pPr>
            <w:pStyle w:val="Contents2"/>
            <w:tabs>
              <w:tab w:val="clear" w:pos="8743"/>
              <w:tab w:val="right" w:pos="9026" w:leader="dot"/>
            </w:tabs>
            <w:rPr/>
          </w:pPr>
          <w:hyperlink w:anchor="__RefHeading___Toc11915292_2142443653">
            <w:r>
              <w:rPr>
                <w:webHidden/>
                <w:rStyle w:val="IndexLink"/>
                <w:rtl w:val="true"/>
              </w:rPr>
              <w:t>الفصول العشائرية</w:t>
            </w:r>
            <w:r>
              <w:rPr>
                <w:rStyle w:val="IndexLink"/>
                <w:rtl w:val="true"/>
              </w:rPr>
              <w:tab/>
            </w:r>
            <w:r>
              <w:rPr>
                <w:rStyle w:val="IndexLink"/>
              </w:rPr>
              <w:t>152</w:t>
            </w:r>
          </w:hyperlink>
        </w:p>
        <w:p>
          <w:pPr>
            <w:pStyle w:val="Contents2"/>
            <w:tabs>
              <w:tab w:val="clear" w:pos="8743"/>
              <w:tab w:val="right" w:pos="9026" w:leader="dot"/>
            </w:tabs>
            <w:rPr/>
          </w:pPr>
          <w:hyperlink w:anchor="__RefHeading___Toc11915294_2142443653">
            <w:r>
              <w:rPr>
                <w:webHidden/>
                <w:rStyle w:val="IndexLink"/>
                <w:rtl w:val="true"/>
              </w:rPr>
              <w:t>صبغ الأظافر</w:t>
            </w:r>
            <w:r>
              <w:rPr>
                <w:rStyle w:val="IndexLink"/>
                <w:rtl w:val="true"/>
              </w:rPr>
              <w:tab/>
            </w:r>
            <w:r>
              <w:rPr>
                <w:rStyle w:val="IndexLink"/>
              </w:rPr>
              <w:t>153</w:t>
            </w:r>
          </w:hyperlink>
        </w:p>
        <w:p>
          <w:pPr>
            <w:pStyle w:val="Contents2"/>
            <w:tabs>
              <w:tab w:val="clear" w:pos="8743"/>
              <w:tab w:val="right" w:pos="9026" w:leader="dot"/>
            </w:tabs>
            <w:rPr/>
          </w:pPr>
          <w:hyperlink w:anchor="__RefHeading___Toc11915296_2142443653">
            <w:r>
              <w:rPr>
                <w:webHidden/>
                <w:rStyle w:val="IndexLink"/>
                <w:rtl w:val="true"/>
              </w:rPr>
              <w:t>المشتبه بالجلد</w:t>
            </w:r>
            <w:r>
              <w:rPr>
                <w:rStyle w:val="IndexLink"/>
                <w:rtl w:val="true"/>
              </w:rPr>
              <w:tab/>
            </w:r>
            <w:r>
              <w:rPr>
                <w:rStyle w:val="IndexLink"/>
              </w:rPr>
              <w:t>153</w:t>
            </w:r>
          </w:hyperlink>
        </w:p>
        <w:p>
          <w:pPr>
            <w:pStyle w:val="Contents2"/>
            <w:tabs>
              <w:tab w:val="clear" w:pos="8743"/>
              <w:tab w:val="right" w:pos="9026" w:leader="dot"/>
            </w:tabs>
            <w:rPr/>
          </w:pPr>
          <w:hyperlink w:anchor="__RefHeading___Toc11915298_2142443653">
            <w:r>
              <w:rPr>
                <w:webHidden/>
                <w:rStyle w:val="IndexLink"/>
                <w:rtl w:val="true"/>
              </w:rPr>
              <w:t>السفر إلى الفضاء</w:t>
            </w:r>
            <w:r>
              <w:rPr>
                <w:rStyle w:val="IndexLink"/>
                <w:rtl w:val="true"/>
              </w:rPr>
              <w:tab/>
            </w:r>
            <w:r>
              <w:rPr>
                <w:rStyle w:val="IndexLink"/>
              </w:rPr>
              <w:t>155</w:t>
            </w:r>
          </w:hyperlink>
        </w:p>
        <w:p>
          <w:pPr>
            <w:pStyle w:val="Contents2"/>
            <w:tabs>
              <w:tab w:val="clear" w:pos="8743"/>
              <w:tab w:val="right" w:pos="9026" w:leader="dot"/>
            </w:tabs>
            <w:rPr/>
          </w:pPr>
          <w:hyperlink w:anchor="__RefHeading___Toc11915300_2142443653">
            <w:r>
              <w:rPr>
                <w:webHidden/>
                <w:rStyle w:val="IndexLink"/>
                <w:rtl w:val="true"/>
              </w:rPr>
              <w:t>حركة القمر ليست سفراً</w:t>
            </w:r>
            <w:r>
              <w:rPr>
                <w:rStyle w:val="IndexLink"/>
                <w:rtl w:val="true"/>
              </w:rPr>
              <w:tab/>
            </w:r>
            <w:r>
              <w:rPr>
                <w:rStyle w:val="IndexLink"/>
              </w:rPr>
              <w:t>155</w:t>
            </w:r>
          </w:hyperlink>
        </w:p>
        <w:p>
          <w:pPr>
            <w:pStyle w:val="Contents2"/>
            <w:tabs>
              <w:tab w:val="clear" w:pos="8743"/>
              <w:tab w:val="right" w:pos="9026" w:leader="dot"/>
            </w:tabs>
            <w:rPr/>
          </w:pPr>
          <w:hyperlink w:anchor="__RefHeading___Toc11915302_2142443653">
            <w:r>
              <w:rPr>
                <w:webHidden/>
                <w:rStyle w:val="IndexLink"/>
                <w:rtl w:val="true"/>
              </w:rPr>
              <w:t>حركة القمر الصناعي</w:t>
            </w:r>
            <w:r>
              <w:rPr>
                <w:rStyle w:val="IndexLink"/>
                <w:rtl w:val="true"/>
              </w:rPr>
              <w:tab/>
            </w:r>
            <w:r>
              <w:rPr>
                <w:rStyle w:val="IndexLink"/>
              </w:rPr>
              <w:t>156</w:t>
            </w:r>
          </w:hyperlink>
        </w:p>
        <w:p>
          <w:pPr>
            <w:pStyle w:val="Contents2"/>
            <w:tabs>
              <w:tab w:val="clear" w:pos="8743"/>
              <w:tab w:val="right" w:pos="9026" w:leader="dot"/>
            </w:tabs>
            <w:rPr/>
          </w:pPr>
          <w:hyperlink w:anchor="__RefHeading___Toc11915304_2142443653">
            <w:r>
              <w:rPr>
                <w:webHidden/>
                <w:rStyle w:val="IndexLink"/>
                <w:rtl w:val="true"/>
              </w:rPr>
              <w:t>بيع الكمبيالة</w:t>
            </w:r>
            <w:r>
              <w:rPr>
                <w:rStyle w:val="IndexLink"/>
                <w:rtl w:val="true"/>
              </w:rPr>
              <w:tab/>
            </w:r>
            <w:r>
              <w:rPr>
                <w:rStyle w:val="IndexLink"/>
              </w:rPr>
              <w:t>156</w:t>
            </w:r>
          </w:hyperlink>
        </w:p>
        <w:p>
          <w:pPr>
            <w:pStyle w:val="Contents2"/>
            <w:tabs>
              <w:tab w:val="clear" w:pos="8743"/>
              <w:tab w:val="right" w:pos="9026" w:leader="dot"/>
            </w:tabs>
            <w:rPr/>
          </w:pPr>
          <w:hyperlink w:anchor="__RefHeading___Toc11915306_2142443653">
            <w:r>
              <w:rPr>
                <w:webHidden/>
                <w:rStyle w:val="IndexLink"/>
                <w:rtl w:val="true"/>
              </w:rPr>
              <w:t>اللبن المزرّق</w:t>
            </w:r>
            <w:r>
              <w:rPr>
                <w:rStyle w:val="IndexLink"/>
                <w:rtl w:val="true"/>
              </w:rPr>
              <w:tab/>
            </w:r>
            <w:r>
              <w:rPr>
                <w:rStyle w:val="IndexLink"/>
              </w:rPr>
              <w:t>157</w:t>
            </w:r>
          </w:hyperlink>
        </w:p>
        <w:p>
          <w:pPr>
            <w:pStyle w:val="Contents2"/>
            <w:tabs>
              <w:tab w:val="clear" w:pos="8743"/>
              <w:tab w:val="right" w:pos="9026" w:leader="dot"/>
            </w:tabs>
            <w:rPr/>
          </w:pPr>
          <w:hyperlink w:anchor="__RefHeading___Toc11915308_2142443653">
            <w:r>
              <w:rPr>
                <w:webHidden/>
                <w:rStyle w:val="IndexLink"/>
                <w:rtl w:val="true"/>
              </w:rPr>
              <w:t>اللبن والمنفذ الجديد</w:t>
            </w:r>
            <w:r>
              <w:rPr>
                <w:rStyle w:val="IndexLink"/>
                <w:rtl w:val="true"/>
              </w:rPr>
              <w:tab/>
            </w:r>
            <w:r>
              <w:rPr>
                <w:rStyle w:val="IndexLink"/>
              </w:rPr>
              <w:t>158</w:t>
            </w:r>
          </w:hyperlink>
        </w:p>
        <w:p>
          <w:pPr>
            <w:pStyle w:val="Contents2"/>
            <w:tabs>
              <w:tab w:val="clear" w:pos="8743"/>
              <w:tab w:val="right" w:pos="9026" w:leader="dot"/>
            </w:tabs>
            <w:rPr/>
          </w:pPr>
          <w:hyperlink w:anchor="__RefHeading___Toc11915310_2142443653">
            <w:r>
              <w:rPr>
                <w:webHidden/>
                <w:rStyle w:val="IndexLink"/>
                <w:rtl w:val="true"/>
              </w:rPr>
              <w:t>الحروب الجرثومية</w:t>
            </w:r>
            <w:r>
              <w:rPr>
                <w:rStyle w:val="IndexLink"/>
                <w:rtl w:val="true"/>
              </w:rPr>
              <w:tab/>
            </w:r>
            <w:r>
              <w:rPr>
                <w:rStyle w:val="IndexLink"/>
              </w:rPr>
              <w:t>158</w:t>
            </w:r>
          </w:hyperlink>
        </w:p>
        <w:p>
          <w:pPr>
            <w:pStyle w:val="Contents2"/>
            <w:tabs>
              <w:tab w:val="clear" w:pos="8743"/>
              <w:tab w:val="right" w:pos="9026" w:leader="dot"/>
            </w:tabs>
            <w:rPr/>
          </w:pPr>
          <w:hyperlink w:anchor="__RefHeading___Toc11915312_2142443653">
            <w:r>
              <w:rPr>
                <w:webHidden/>
                <w:rStyle w:val="IndexLink"/>
                <w:rtl w:val="true"/>
              </w:rPr>
              <w:t>تترس الكافر بالمسلم</w:t>
            </w:r>
            <w:r>
              <w:rPr>
                <w:rStyle w:val="IndexLink"/>
                <w:rtl w:val="true"/>
              </w:rPr>
              <w:tab/>
            </w:r>
            <w:r>
              <w:rPr>
                <w:rStyle w:val="IndexLink"/>
              </w:rPr>
              <w:t>160</w:t>
            </w:r>
          </w:hyperlink>
        </w:p>
        <w:p>
          <w:pPr>
            <w:pStyle w:val="Contents2"/>
            <w:tabs>
              <w:tab w:val="clear" w:pos="8743"/>
              <w:tab w:val="right" w:pos="9026" w:leader="dot"/>
            </w:tabs>
            <w:rPr/>
          </w:pPr>
          <w:hyperlink w:anchor="__RefHeading___Toc11915314_2142443653">
            <w:r>
              <w:rPr>
                <w:webHidden/>
                <w:rStyle w:val="IndexLink"/>
                <w:rtl w:val="true"/>
              </w:rPr>
              <w:t>العمل الفدائي</w:t>
            </w:r>
            <w:r>
              <w:rPr>
                <w:rStyle w:val="IndexLink"/>
                <w:rtl w:val="true"/>
              </w:rPr>
              <w:tab/>
            </w:r>
            <w:r>
              <w:rPr>
                <w:rStyle w:val="IndexLink"/>
              </w:rPr>
              <w:t>160</w:t>
            </w:r>
          </w:hyperlink>
        </w:p>
        <w:p>
          <w:pPr>
            <w:pStyle w:val="Contents2"/>
            <w:tabs>
              <w:tab w:val="clear" w:pos="8743"/>
              <w:tab w:val="right" w:pos="9026" w:leader="dot"/>
            </w:tabs>
            <w:rPr/>
          </w:pPr>
          <w:hyperlink w:anchor="__RefHeading___Toc11915316_2142443653">
            <w:r>
              <w:rPr>
                <w:webHidden/>
                <w:rStyle w:val="IndexLink"/>
                <w:rtl w:val="true"/>
              </w:rPr>
              <w:t>الانتصار بالاغتيال</w:t>
            </w:r>
            <w:r>
              <w:rPr>
                <w:rStyle w:val="IndexLink"/>
                <w:rtl w:val="true"/>
              </w:rPr>
              <w:tab/>
            </w:r>
            <w:r>
              <w:rPr>
                <w:rStyle w:val="IndexLink"/>
              </w:rPr>
              <w:t>161</w:t>
            </w:r>
          </w:hyperlink>
        </w:p>
        <w:p>
          <w:pPr>
            <w:pStyle w:val="Contents2"/>
            <w:tabs>
              <w:tab w:val="clear" w:pos="8743"/>
              <w:tab w:val="right" w:pos="9026" w:leader="dot"/>
            </w:tabs>
            <w:rPr/>
          </w:pPr>
          <w:hyperlink w:anchor="__RefHeading___Toc11915318_2142443653">
            <w:r>
              <w:rPr>
                <w:webHidden/>
                <w:rStyle w:val="IndexLink"/>
                <w:rtl w:val="true"/>
              </w:rPr>
              <w:t>الحروب الباردة</w:t>
            </w:r>
            <w:r>
              <w:rPr>
                <w:rStyle w:val="IndexLink"/>
                <w:rtl w:val="true"/>
              </w:rPr>
              <w:tab/>
            </w:r>
            <w:r>
              <w:rPr>
                <w:rStyle w:val="IndexLink"/>
              </w:rPr>
              <w:t>162</w:t>
            </w:r>
          </w:hyperlink>
        </w:p>
        <w:p>
          <w:pPr>
            <w:pStyle w:val="Contents2"/>
            <w:tabs>
              <w:tab w:val="clear" w:pos="8743"/>
              <w:tab w:val="right" w:pos="9026" w:leader="dot"/>
            </w:tabs>
            <w:rPr/>
          </w:pPr>
          <w:hyperlink w:anchor="__RefHeading___Toc11915320_2142443653">
            <w:r>
              <w:rPr>
                <w:webHidden/>
                <w:rStyle w:val="IndexLink"/>
                <w:rtl w:val="true"/>
              </w:rPr>
              <w:t>الإنارة بالقمر الصناعي</w:t>
            </w:r>
            <w:r>
              <w:rPr>
                <w:rStyle w:val="IndexLink"/>
                <w:rtl w:val="true"/>
              </w:rPr>
              <w:tab/>
            </w:r>
            <w:r>
              <w:rPr>
                <w:rStyle w:val="IndexLink"/>
              </w:rPr>
              <w:t>162</w:t>
            </w:r>
          </w:hyperlink>
        </w:p>
        <w:p>
          <w:pPr>
            <w:pStyle w:val="Contents2"/>
            <w:tabs>
              <w:tab w:val="clear" w:pos="8743"/>
              <w:tab w:val="right" w:pos="9026" w:leader="dot"/>
            </w:tabs>
            <w:rPr/>
          </w:pPr>
          <w:hyperlink w:anchor="__RefHeading___Toc11915322_2142443653">
            <w:r>
              <w:rPr>
                <w:webHidden/>
                <w:rStyle w:val="IndexLink"/>
                <w:rtl w:val="true"/>
              </w:rPr>
              <w:t>التعليم الإجباري</w:t>
            </w:r>
            <w:r>
              <w:rPr>
                <w:rStyle w:val="IndexLink"/>
                <w:rtl w:val="true"/>
              </w:rPr>
              <w:tab/>
            </w:r>
            <w:r>
              <w:rPr>
                <w:rStyle w:val="IndexLink"/>
              </w:rPr>
              <w:t>164</w:t>
            </w:r>
          </w:hyperlink>
        </w:p>
        <w:p>
          <w:pPr>
            <w:pStyle w:val="Contents2"/>
            <w:tabs>
              <w:tab w:val="clear" w:pos="8743"/>
              <w:tab w:val="right" w:pos="9026" w:leader="dot"/>
            </w:tabs>
            <w:rPr/>
          </w:pPr>
          <w:hyperlink w:anchor="__RefHeading___Toc11915324_2142443653">
            <w:r>
              <w:rPr>
                <w:webHidden/>
                <w:rStyle w:val="IndexLink"/>
                <w:rtl w:val="true"/>
              </w:rPr>
              <w:t>الخدمة العسكرية</w:t>
            </w:r>
            <w:r>
              <w:rPr>
                <w:rStyle w:val="IndexLink"/>
                <w:rtl w:val="true"/>
              </w:rPr>
              <w:tab/>
            </w:r>
            <w:r>
              <w:rPr>
                <w:rStyle w:val="IndexLink"/>
              </w:rPr>
              <w:t>165</w:t>
            </w:r>
          </w:hyperlink>
        </w:p>
        <w:p>
          <w:pPr>
            <w:pStyle w:val="Contents2"/>
            <w:tabs>
              <w:tab w:val="clear" w:pos="8743"/>
              <w:tab w:val="right" w:pos="9026" w:leader="dot"/>
            </w:tabs>
            <w:rPr/>
          </w:pPr>
          <w:hyperlink w:anchor="__RefHeading___Toc11915326_2142443653">
            <w:r>
              <w:rPr>
                <w:webHidden/>
                <w:rStyle w:val="IndexLink"/>
                <w:rtl w:val="true"/>
              </w:rPr>
              <w:t>النهار الدائم</w:t>
            </w:r>
            <w:r>
              <w:rPr>
                <w:rStyle w:val="IndexLink"/>
                <w:rtl w:val="true"/>
              </w:rPr>
              <w:tab/>
            </w:r>
            <w:r>
              <w:rPr>
                <w:rStyle w:val="IndexLink"/>
              </w:rPr>
              <w:t>165</w:t>
            </w:r>
          </w:hyperlink>
        </w:p>
        <w:p>
          <w:pPr>
            <w:pStyle w:val="Contents2"/>
            <w:tabs>
              <w:tab w:val="clear" w:pos="8743"/>
              <w:tab w:val="right" w:pos="9026" w:leader="dot"/>
            </w:tabs>
            <w:rPr/>
          </w:pPr>
          <w:hyperlink w:anchor="__RefHeading___Toc11915328_2142443653">
            <w:r>
              <w:rPr>
                <w:webHidden/>
                <w:rStyle w:val="IndexLink"/>
                <w:rtl w:val="true"/>
              </w:rPr>
              <w:t>المجهود الحربي</w:t>
            </w:r>
            <w:r>
              <w:rPr>
                <w:rStyle w:val="IndexLink"/>
                <w:rtl w:val="true"/>
              </w:rPr>
              <w:tab/>
            </w:r>
            <w:r>
              <w:rPr>
                <w:rStyle w:val="IndexLink"/>
              </w:rPr>
              <w:t>167</w:t>
            </w:r>
          </w:hyperlink>
        </w:p>
        <w:p>
          <w:pPr>
            <w:pStyle w:val="Contents2"/>
            <w:tabs>
              <w:tab w:val="clear" w:pos="8743"/>
              <w:tab w:val="right" w:pos="9026" w:leader="dot"/>
            </w:tabs>
            <w:rPr/>
          </w:pPr>
          <w:hyperlink w:anchor="__RefHeading___Toc11915330_2142443653">
            <w:r>
              <w:rPr>
                <w:webHidden/>
                <w:rStyle w:val="IndexLink"/>
                <w:rtl w:val="true"/>
              </w:rPr>
              <w:t>سيرة المسلم شعباً وحكومة</w:t>
            </w:r>
            <w:r>
              <w:rPr>
                <w:rStyle w:val="IndexLink"/>
                <w:rtl w:val="true"/>
              </w:rPr>
              <w:tab/>
            </w:r>
            <w:r>
              <w:rPr>
                <w:rStyle w:val="IndexLink"/>
              </w:rPr>
              <w:t>169</w:t>
            </w:r>
          </w:hyperlink>
        </w:p>
        <w:p>
          <w:pPr>
            <w:pStyle w:val="Contents2"/>
            <w:tabs>
              <w:tab w:val="clear" w:pos="8743"/>
              <w:tab w:val="right" w:pos="9026" w:leader="dot"/>
            </w:tabs>
            <w:rPr/>
          </w:pPr>
          <w:hyperlink w:anchor="__RefHeading___Toc11915332_2142443653">
            <w:r>
              <w:rPr>
                <w:webHidden/>
                <w:rStyle w:val="IndexLink"/>
                <w:rtl w:val="true"/>
              </w:rPr>
              <w:t>تبديل الدم</w:t>
            </w:r>
            <w:r>
              <w:rPr>
                <w:rStyle w:val="IndexLink"/>
                <w:rtl w:val="true"/>
              </w:rPr>
              <w:tab/>
            </w:r>
            <w:r>
              <w:rPr>
                <w:rStyle w:val="IndexLink"/>
              </w:rPr>
              <w:t>170</w:t>
            </w:r>
          </w:hyperlink>
        </w:p>
        <w:p>
          <w:pPr>
            <w:pStyle w:val="Contents2"/>
            <w:tabs>
              <w:tab w:val="clear" w:pos="8743"/>
              <w:tab w:val="right" w:pos="9026" w:leader="dot"/>
            </w:tabs>
            <w:rPr/>
          </w:pPr>
          <w:hyperlink w:anchor="__RefHeading___Toc11915334_2142443653">
            <w:r>
              <w:rPr>
                <w:webHidden/>
                <w:rStyle w:val="IndexLink"/>
                <w:rtl w:val="true"/>
              </w:rPr>
              <w:t>التبرع بالدم</w:t>
            </w:r>
            <w:r>
              <w:rPr>
                <w:rStyle w:val="IndexLink"/>
                <w:rtl w:val="true"/>
              </w:rPr>
              <w:tab/>
            </w:r>
            <w:r>
              <w:rPr>
                <w:rStyle w:val="IndexLink"/>
              </w:rPr>
              <w:t>170</w:t>
            </w:r>
          </w:hyperlink>
        </w:p>
        <w:p>
          <w:pPr>
            <w:pStyle w:val="Contents2"/>
            <w:tabs>
              <w:tab w:val="clear" w:pos="8743"/>
              <w:tab w:val="right" w:pos="9026" w:leader="dot"/>
            </w:tabs>
            <w:rPr/>
          </w:pPr>
          <w:hyperlink w:anchor="__RefHeading___Toc11915336_2142443653">
            <w:r>
              <w:rPr>
                <w:webHidden/>
                <w:rStyle w:val="IndexLink"/>
                <w:rtl w:val="true"/>
              </w:rPr>
              <w:t>اليانصيب الخيري</w:t>
            </w:r>
            <w:r>
              <w:rPr>
                <w:rStyle w:val="IndexLink"/>
                <w:rtl w:val="true"/>
              </w:rPr>
              <w:tab/>
            </w:r>
            <w:r>
              <w:rPr>
                <w:rStyle w:val="IndexLink"/>
              </w:rPr>
              <w:t>171</w:t>
            </w:r>
          </w:hyperlink>
        </w:p>
        <w:p>
          <w:pPr>
            <w:pStyle w:val="Contents2"/>
            <w:tabs>
              <w:tab w:val="clear" w:pos="8743"/>
              <w:tab w:val="right" w:pos="9026" w:leader="dot"/>
            </w:tabs>
            <w:rPr/>
          </w:pPr>
          <w:hyperlink w:anchor="__RefHeading___Toc11915338_2142443653">
            <w:r>
              <w:rPr>
                <w:webHidden/>
                <w:rStyle w:val="IndexLink"/>
                <w:rtl w:val="true"/>
              </w:rPr>
              <w:t>المساهمة الخيرية</w:t>
            </w:r>
            <w:r>
              <w:rPr>
                <w:rStyle w:val="IndexLink"/>
                <w:rtl w:val="true"/>
              </w:rPr>
              <w:tab/>
            </w:r>
            <w:r>
              <w:rPr>
                <w:rStyle w:val="IndexLink"/>
              </w:rPr>
              <w:t>172</w:t>
            </w:r>
          </w:hyperlink>
        </w:p>
        <w:p>
          <w:pPr>
            <w:pStyle w:val="Contents2"/>
            <w:tabs>
              <w:tab w:val="clear" w:pos="8743"/>
              <w:tab w:val="right" w:pos="9026" w:leader="dot"/>
            </w:tabs>
            <w:rPr/>
          </w:pPr>
          <w:hyperlink w:anchor="__RefHeading___Toc11915340_2142443653">
            <w:r>
              <w:rPr>
                <w:webHidden/>
                <w:rStyle w:val="IndexLink"/>
                <w:rtl w:val="true"/>
              </w:rPr>
              <w:t>مؤسسات الزواج</w:t>
            </w:r>
            <w:r>
              <w:rPr>
                <w:rStyle w:val="IndexLink"/>
                <w:rtl w:val="true"/>
              </w:rPr>
              <w:tab/>
            </w:r>
            <w:r>
              <w:rPr>
                <w:rStyle w:val="IndexLink"/>
              </w:rPr>
              <w:t>173</w:t>
            </w:r>
          </w:hyperlink>
        </w:p>
        <w:p>
          <w:pPr>
            <w:pStyle w:val="Contents2"/>
            <w:tabs>
              <w:tab w:val="clear" w:pos="8743"/>
              <w:tab w:val="right" w:pos="9026" w:leader="dot"/>
            </w:tabs>
            <w:rPr/>
          </w:pPr>
          <w:hyperlink w:anchor="__RefHeading___Toc11915342_2142443653">
            <w:r>
              <w:rPr>
                <w:webHidden/>
                <w:rStyle w:val="IndexLink"/>
                <w:rtl w:val="true"/>
              </w:rPr>
              <w:t>وقف الوسائل الحديثة</w:t>
            </w:r>
            <w:r>
              <w:rPr>
                <w:rStyle w:val="IndexLink"/>
                <w:rtl w:val="true"/>
              </w:rPr>
              <w:tab/>
            </w:r>
            <w:r>
              <w:rPr>
                <w:rStyle w:val="IndexLink"/>
              </w:rPr>
              <w:t>175</w:t>
            </w:r>
          </w:hyperlink>
        </w:p>
        <w:p>
          <w:pPr>
            <w:pStyle w:val="Contents2"/>
            <w:tabs>
              <w:tab w:val="clear" w:pos="8743"/>
              <w:tab w:val="right" w:pos="9026" w:leader="dot"/>
            </w:tabs>
            <w:rPr/>
          </w:pPr>
          <w:hyperlink w:anchor="__RefHeading___Toc11915344_2142443653">
            <w:r>
              <w:rPr>
                <w:webHidden/>
                <w:rStyle w:val="IndexLink"/>
                <w:rtl w:val="true"/>
              </w:rPr>
              <w:t>الصوم والتنفس الاصطناعي</w:t>
            </w:r>
            <w:r>
              <w:rPr>
                <w:rStyle w:val="IndexLink"/>
                <w:rtl w:val="true"/>
              </w:rPr>
              <w:tab/>
            </w:r>
            <w:r>
              <w:rPr>
                <w:rStyle w:val="IndexLink"/>
              </w:rPr>
              <w:t>176</w:t>
            </w:r>
          </w:hyperlink>
        </w:p>
        <w:p>
          <w:pPr>
            <w:pStyle w:val="Contents2"/>
            <w:tabs>
              <w:tab w:val="clear" w:pos="8743"/>
              <w:tab w:val="right" w:pos="9026" w:leader="dot"/>
            </w:tabs>
            <w:rPr/>
          </w:pPr>
          <w:hyperlink w:anchor="__RefHeading___Toc11915346_2142443653">
            <w:r>
              <w:rPr>
                <w:webHidden/>
                <w:rStyle w:val="IndexLink"/>
                <w:rtl w:val="true"/>
              </w:rPr>
              <w:t>الجنس المطاطي في الصوم</w:t>
            </w:r>
            <w:r>
              <w:rPr>
                <w:rStyle w:val="IndexLink"/>
                <w:rtl w:val="true"/>
              </w:rPr>
              <w:tab/>
            </w:r>
            <w:r>
              <w:rPr>
                <w:rStyle w:val="IndexLink"/>
              </w:rPr>
              <w:t>176</w:t>
            </w:r>
          </w:hyperlink>
        </w:p>
        <w:p>
          <w:pPr>
            <w:pStyle w:val="Contents2"/>
            <w:tabs>
              <w:tab w:val="clear" w:pos="8743"/>
              <w:tab w:val="right" w:pos="9026" w:leader="dot"/>
            </w:tabs>
            <w:rPr/>
          </w:pPr>
          <w:hyperlink w:anchor="__RefHeading___Toc11915348_2142443653">
            <w:r>
              <w:rPr>
                <w:webHidden/>
                <w:rStyle w:val="IndexLink"/>
                <w:rtl w:val="true"/>
              </w:rPr>
              <w:t>الجنس المطاطي في الحج</w:t>
            </w:r>
            <w:r>
              <w:rPr>
                <w:rStyle w:val="IndexLink"/>
                <w:rtl w:val="true"/>
              </w:rPr>
              <w:tab/>
            </w:r>
            <w:r>
              <w:rPr>
                <w:rStyle w:val="IndexLink"/>
              </w:rPr>
              <w:t>178</w:t>
            </w:r>
          </w:hyperlink>
        </w:p>
        <w:p>
          <w:pPr>
            <w:pStyle w:val="Contents2"/>
            <w:tabs>
              <w:tab w:val="clear" w:pos="8743"/>
              <w:tab w:val="right" w:pos="9026" w:leader="dot"/>
            </w:tabs>
            <w:rPr/>
          </w:pPr>
          <w:hyperlink w:anchor="__RefHeading___Toc11915350_2142443653">
            <w:r>
              <w:rPr>
                <w:webHidden/>
                <w:rStyle w:val="IndexLink"/>
                <w:rtl w:val="true"/>
              </w:rPr>
              <w:t>الجنس المطاطي في سائر الأحكام</w:t>
            </w:r>
            <w:r>
              <w:rPr>
                <w:rStyle w:val="IndexLink"/>
                <w:rtl w:val="true"/>
              </w:rPr>
              <w:tab/>
            </w:r>
            <w:r>
              <w:rPr>
                <w:rStyle w:val="IndexLink"/>
              </w:rPr>
              <w:t>179</w:t>
            </w:r>
          </w:hyperlink>
        </w:p>
        <w:p>
          <w:pPr>
            <w:pStyle w:val="Contents2"/>
            <w:tabs>
              <w:tab w:val="clear" w:pos="8743"/>
              <w:tab w:val="right" w:pos="9026" w:leader="dot"/>
            </w:tabs>
            <w:rPr/>
          </w:pPr>
          <w:hyperlink w:anchor="__RefHeading___Toc11915352_2142443653">
            <w:r>
              <w:rPr>
                <w:webHidden/>
                <w:rStyle w:val="IndexLink"/>
                <w:rtl w:val="true"/>
              </w:rPr>
              <w:t>الجنس المطاطي والغسل</w:t>
            </w:r>
            <w:r>
              <w:rPr>
                <w:rStyle w:val="IndexLink"/>
                <w:rtl w:val="true"/>
              </w:rPr>
              <w:tab/>
            </w:r>
            <w:r>
              <w:rPr>
                <w:rStyle w:val="IndexLink"/>
              </w:rPr>
              <w:t>179</w:t>
            </w:r>
          </w:hyperlink>
        </w:p>
        <w:p>
          <w:pPr>
            <w:pStyle w:val="Contents2"/>
            <w:tabs>
              <w:tab w:val="clear" w:pos="8743"/>
              <w:tab w:val="right" w:pos="9026" w:leader="dot"/>
            </w:tabs>
            <w:rPr/>
          </w:pPr>
          <w:hyperlink w:anchor="__RefHeading___Toc11915354_2142443653">
            <w:r>
              <w:rPr>
                <w:webHidden/>
                <w:rStyle w:val="IndexLink"/>
                <w:rtl w:val="true"/>
              </w:rPr>
              <w:t>نقل المني عبر اللُّعبة</w:t>
            </w:r>
            <w:r>
              <w:rPr>
                <w:rStyle w:val="IndexLink"/>
                <w:rtl w:val="true"/>
              </w:rPr>
              <w:tab/>
            </w:r>
            <w:r>
              <w:rPr>
                <w:rStyle w:val="IndexLink"/>
              </w:rPr>
              <w:t>180</w:t>
            </w:r>
          </w:hyperlink>
        </w:p>
        <w:p>
          <w:pPr>
            <w:pStyle w:val="Contents2"/>
            <w:tabs>
              <w:tab w:val="clear" w:pos="8743"/>
              <w:tab w:val="right" w:pos="9026" w:leader="dot"/>
            </w:tabs>
            <w:rPr/>
          </w:pPr>
          <w:hyperlink w:anchor="__RefHeading___Toc11915356_2142443653">
            <w:r>
              <w:rPr>
                <w:webHidden/>
                <w:rStyle w:val="IndexLink"/>
                <w:rtl w:val="true"/>
              </w:rPr>
              <w:t>ولد الحرام</w:t>
            </w:r>
            <w:r>
              <w:rPr>
                <w:rStyle w:val="IndexLink"/>
                <w:rtl w:val="true"/>
              </w:rPr>
              <w:tab/>
            </w:r>
            <w:r>
              <w:rPr>
                <w:rStyle w:val="IndexLink"/>
              </w:rPr>
              <w:t>180</w:t>
            </w:r>
          </w:hyperlink>
        </w:p>
        <w:p>
          <w:pPr>
            <w:pStyle w:val="Contents2"/>
            <w:tabs>
              <w:tab w:val="clear" w:pos="8743"/>
              <w:tab w:val="right" w:pos="9026" w:leader="dot"/>
            </w:tabs>
            <w:rPr/>
          </w:pPr>
          <w:hyperlink w:anchor="__RefHeading___Toc11915358_2142443653">
            <w:r>
              <w:rPr>
                <w:webHidden/>
                <w:rStyle w:val="IndexLink"/>
                <w:rtl w:val="true"/>
              </w:rPr>
              <w:t>تزريق دم نجس العين</w:t>
            </w:r>
            <w:r>
              <w:rPr>
                <w:rStyle w:val="IndexLink"/>
                <w:rtl w:val="true"/>
              </w:rPr>
              <w:tab/>
            </w:r>
            <w:r>
              <w:rPr>
                <w:rStyle w:val="IndexLink"/>
              </w:rPr>
              <w:t>181</w:t>
            </w:r>
          </w:hyperlink>
        </w:p>
        <w:p>
          <w:pPr>
            <w:pStyle w:val="Contents2"/>
            <w:tabs>
              <w:tab w:val="clear" w:pos="8743"/>
              <w:tab w:val="right" w:pos="9026" w:leader="dot"/>
            </w:tabs>
            <w:rPr/>
          </w:pPr>
          <w:hyperlink w:anchor="__RefHeading___Toc11915360_2142443653">
            <w:r>
              <w:rPr>
                <w:webHidden/>
                <w:rStyle w:val="IndexLink"/>
                <w:rtl w:val="true"/>
              </w:rPr>
              <w:t>تزريق الدم الطاهر</w:t>
            </w:r>
            <w:r>
              <w:rPr>
                <w:rStyle w:val="IndexLink"/>
                <w:rtl w:val="true"/>
              </w:rPr>
              <w:tab/>
            </w:r>
            <w:r>
              <w:rPr>
                <w:rStyle w:val="IndexLink"/>
              </w:rPr>
              <w:t>181</w:t>
            </w:r>
          </w:hyperlink>
        </w:p>
        <w:p>
          <w:pPr>
            <w:pStyle w:val="Contents2"/>
            <w:tabs>
              <w:tab w:val="clear" w:pos="8743"/>
              <w:tab w:val="right" w:pos="9026" w:leader="dot"/>
            </w:tabs>
            <w:rPr/>
          </w:pPr>
          <w:hyperlink w:anchor="__RefHeading___Toc11915362_2142443653">
            <w:r>
              <w:rPr>
                <w:webHidden/>
                <w:rStyle w:val="IndexLink"/>
                <w:rtl w:val="true"/>
              </w:rPr>
              <w:t>سحب دم الإنسان</w:t>
            </w:r>
            <w:r>
              <w:rPr>
                <w:rStyle w:val="IndexLink"/>
                <w:rtl w:val="true"/>
              </w:rPr>
              <w:tab/>
            </w:r>
            <w:r>
              <w:rPr>
                <w:rStyle w:val="IndexLink"/>
              </w:rPr>
              <w:t>182</w:t>
            </w:r>
          </w:hyperlink>
        </w:p>
        <w:p>
          <w:pPr>
            <w:pStyle w:val="Contents2"/>
            <w:tabs>
              <w:tab w:val="clear" w:pos="8743"/>
              <w:tab w:val="right" w:pos="9026" w:leader="dot"/>
            </w:tabs>
            <w:rPr/>
          </w:pPr>
          <w:hyperlink w:anchor="__RefHeading___Toc11915364_2142443653">
            <w:r>
              <w:rPr>
                <w:webHidden/>
                <w:rStyle w:val="IndexLink"/>
                <w:rtl w:val="true"/>
              </w:rPr>
              <w:t>تصنيع المناخ</w:t>
            </w:r>
            <w:r>
              <w:rPr>
                <w:rStyle w:val="IndexLink"/>
                <w:rtl w:val="true"/>
              </w:rPr>
              <w:tab/>
            </w:r>
            <w:r>
              <w:rPr>
                <w:rStyle w:val="IndexLink"/>
              </w:rPr>
              <w:t>183</w:t>
            </w:r>
          </w:hyperlink>
        </w:p>
        <w:p>
          <w:pPr>
            <w:pStyle w:val="Contents2"/>
            <w:tabs>
              <w:tab w:val="clear" w:pos="8743"/>
              <w:tab w:val="right" w:pos="9026" w:leader="dot"/>
            </w:tabs>
            <w:rPr/>
          </w:pPr>
          <w:hyperlink w:anchor="__RefHeading___Toc11915366_2142443653">
            <w:r>
              <w:rPr>
                <w:webHidden/>
                <w:rStyle w:val="IndexLink"/>
                <w:rtl w:val="true"/>
              </w:rPr>
              <w:t>تبديل الأعضاء</w:t>
            </w:r>
            <w:r>
              <w:rPr>
                <w:rStyle w:val="IndexLink"/>
                <w:rtl w:val="true"/>
              </w:rPr>
              <w:tab/>
            </w:r>
            <w:r>
              <w:rPr>
                <w:rStyle w:val="IndexLink"/>
              </w:rPr>
              <w:t>183</w:t>
            </w:r>
          </w:hyperlink>
        </w:p>
        <w:p>
          <w:pPr>
            <w:pStyle w:val="Contents2"/>
            <w:tabs>
              <w:tab w:val="clear" w:pos="8743"/>
              <w:tab w:val="right" w:pos="9026" w:leader="dot"/>
            </w:tabs>
            <w:rPr/>
          </w:pPr>
          <w:hyperlink w:anchor="__RefHeading___Toc11915368_2142443653">
            <w:r>
              <w:rPr>
                <w:webHidden/>
                <w:rStyle w:val="IndexLink"/>
                <w:rtl w:val="true"/>
              </w:rPr>
              <w:t>قراءة الأفكار</w:t>
            </w:r>
            <w:r>
              <w:rPr>
                <w:rStyle w:val="IndexLink"/>
                <w:rtl w:val="true"/>
              </w:rPr>
              <w:tab/>
            </w:r>
            <w:r>
              <w:rPr>
                <w:rStyle w:val="IndexLink"/>
              </w:rPr>
              <w:t>184</w:t>
            </w:r>
          </w:hyperlink>
        </w:p>
        <w:p>
          <w:pPr>
            <w:pStyle w:val="Contents2"/>
            <w:tabs>
              <w:tab w:val="clear" w:pos="8743"/>
              <w:tab w:val="right" w:pos="9026" w:leader="dot"/>
            </w:tabs>
            <w:rPr/>
          </w:pPr>
          <w:hyperlink w:anchor="__RefHeading___Toc11915370_2142443653">
            <w:r>
              <w:rPr>
                <w:webHidden/>
                <w:rStyle w:val="IndexLink"/>
                <w:rtl w:val="true"/>
              </w:rPr>
              <w:t>الإيذاء بالوسائل العصرية</w:t>
            </w:r>
            <w:r>
              <w:rPr>
                <w:rStyle w:val="IndexLink"/>
                <w:rtl w:val="true"/>
              </w:rPr>
              <w:tab/>
            </w:r>
            <w:r>
              <w:rPr>
                <w:rStyle w:val="IndexLink"/>
              </w:rPr>
              <w:t>185</w:t>
            </w:r>
          </w:hyperlink>
        </w:p>
        <w:p>
          <w:pPr>
            <w:pStyle w:val="Contents2"/>
            <w:tabs>
              <w:tab w:val="clear" w:pos="8743"/>
              <w:tab w:val="right" w:pos="9026" w:leader="dot"/>
            </w:tabs>
            <w:rPr/>
          </w:pPr>
          <w:hyperlink w:anchor="__RefHeading___Toc11915372_2142443653">
            <w:r>
              <w:rPr>
                <w:webHidden/>
                <w:rStyle w:val="IndexLink"/>
                <w:rtl w:val="true"/>
              </w:rPr>
              <w:t>الإيذاء السحري</w:t>
            </w:r>
            <w:r>
              <w:rPr>
                <w:rStyle w:val="IndexLink"/>
                <w:rtl w:val="true"/>
              </w:rPr>
              <w:tab/>
            </w:r>
            <w:r>
              <w:rPr>
                <w:rStyle w:val="IndexLink"/>
              </w:rPr>
              <w:t>185</w:t>
            </w:r>
          </w:hyperlink>
        </w:p>
        <w:p>
          <w:pPr>
            <w:pStyle w:val="Contents2"/>
            <w:tabs>
              <w:tab w:val="clear" w:pos="8743"/>
              <w:tab w:val="right" w:pos="9026" w:leader="dot"/>
            </w:tabs>
            <w:rPr/>
          </w:pPr>
          <w:hyperlink w:anchor="__RefHeading___Toc11915374_2142443653">
            <w:r>
              <w:rPr>
                <w:webHidden/>
                <w:rStyle w:val="IndexLink"/>
                <w:rtl w:val="true"/>
              </w:rPr>
              <w:t>الألعاب السحرية</w:t>
            </w:r>
            <w:r>
              <w:rPr>
                <w:rStyle w:val="IndexLink"/>
                <w:rtl w:val="true"/>
              </w:rPr>
              <w:tab/>
            </w:r>
            <w:r>
              <w:rPr>
                <w:rStyle w:val="IndexLink"/>
              </w:rPr>
              <w:t>186</w:t>
            </w:r>
          </w:hyperlink>
        </w:p>
        <w:p>
          <w:pPr>
            <w:pStyle w:val="Contents2"/>
            <w:tabs>
              <w:tab w:val="clear" w:pos="8743"/>
              <w:tab w:val="right" w:pos="9026" w:leader="dot"/>
            </w:tabs>
            <w:rPr/>
          </w:pPr>
          <w:hyperlink w:anchor="__RefHeading___Toc11915376_2142443653">
            <w:r>
              <w:rPr>
                <w:webHidden/>
                <w:rStyle w:val="IndexLink"/>
                <w:rtl w:val="true"/>
              </w:rPr>
              <w:t>البيوت النظيفة للطلاب</w:t>
            </w:r>
            <w:r>
              <w:rPr>
                <w:rStyle w:val="IndexLink"/>
                <w:rtl w:val="true"/>
              </w:rPr>
              <w:tab/>
            </w:r>
            <w:r>
              <w:rPr>
                <w:rStyle w:val="IndexLink"/>
              </w:rPr>
              <w:t>187</w:t>
            </w:r>
          </w:hyperlink>
        </w:p>
        <w:p>
          <w:pPr>
            <w:pStyle w:val="Contents2"/>
            <w:tabs>
              <w:tab w:val="clear" w:pos="8743"/>
              <w:tab w:val="right" w:pos="9026" w:leader="dot"/>
            </w:tabs>
            <w:rPr/>
          </w:pPr>
          <w:hyperlink w:anchor="__RefHeading___Toc11915378_2142443653">
            <w:r>
              <w:rPr>
                <w:webHidden/>
                <w:rStyle w:val="IndexLink"/>
                <w:rtl w:val="true"/>
              </w:rPr>
              <w:t>الإحاطة بالمبادئ والأفكار</w:t>
            </w:r>
            <w:r>
              <w:rPr>
                <w:rStyle w:val="IndexLink"/>
                <w:rtl w:val="true"/>
              </w:rPr>
              <w:tab/>
            </w:r>
            <w:r>
              <w:rPr>
                <w:rStyle w:val="IndexLink"/>
              </w:rPr>
              <w:t>188</w:t>
            </w:r>
          </w:hyperlink>
        </w:p>
        <w:p>
          <w:pPr>
            <w:pStyle w:val="Contents2"/>
            <w:tabs>
              <w:tab w:val="clear" w:pos="8743"/>
              <w:tab w:val="right" w:pos="9026" w:leader="dot"/>
            </w:tabs>
            <w:rPr/>
          </w:pPr>
          <w:hyperlink w:anchor="__RefHeading___Toc11915380_2142443653">
            <w:r>
              <w:rPr>
                <w:webHidden/>
                <w:rStyle w:val="IndexLink"/>
                <w:rtl w:val="true"/>
              </w:rPr>
              <w:t>حينما يصير الشيخ شاباً</w:t>
            </w:r>
            <w:r>
              <w:rPr>
                <w:rStyle w:val="IndexLink"/>
                <w:rtl w:val="true"/>
              </w:rPr>
              <w:tab/>
            </w:r>
            <w:r>
              <w:rPr>
                <w:rStyle w:val="IndexLink"/>
              </w:rPr>
              <w:t>189</w:t>
            </w:r>
          </w:hyperlink>
        </w:p>
        <w:p>
          <w:pPr>
            <w:pStyle w:val="Contents2"/>
            <w:tabs>
              <w:tab w:val="clear" w:pos="8743"/>
              <w:tab w:val="right" w:pos="9026" w:leader="dot"/>
            </w:tabs>
            <w:rPr/>
          </w:pPr>
          <w:hyperlink w:anchor="__RefHeading___Toc11915382_2142443653">
            <w:r>
              <w:rPr>
                <w:webHidden/>
                <w:rStyle w:val="IndexLink"/>
                <w:rtl w:val="true"/>
              </w:rPr>
              <w:t>إذا انقلب الشاب شيخاً</w:t>
            </w:r>
            <w:r>
              <w:rPr>
                <w:rStyle w:val="IndexLink"/>
                <w:rtl w:val="true"/>
              </w:rPr>
              <w:tab/>
            </w:r>
            <w:r>
              <w:rPr>
                <w:rStyle w:val="IndexLink"/>
              </w:rPr>
              <w:t>189</w:t>
            </w:r>
          </w:hyperlink>
        </w:p>
        <w:p>
          <w:pPr>
            <w:pStyle w:val="Contents2"/>
            <w:tabs>
              <w:tab w:val="clear" w:pos="8743"/>
              <w:tab w:val="right" w:pos="9026" w:leader="dot"/>
            </w:tabs>
            <w:rPr/>
          </w:pPr>
          <w:hyperlink w:anchor="__RefHeading___Toc11915384_2142443653">
            <w:r>
              <w:rPr>
                <w:webHidden/>
                <w:rStyle w:val="IndexLink"/>
                <w:rtl w:val="true"/>
              </w:rPr>
              <w:t>عودة اليائسة شابّة</w:t>
            </w:r>
            <w:r>
              <w:rPr>
                <w:rStyle w:val="IndexLink"/>
                <w:rtl w:val="true"/>
              </w:rPr>
              <w:tab/>
            </w:r>
            <w:r>
              <w:rPr>
                <w:rStyle w:val="IndexLink"/>
              </w:rPr>
              <w:t>190</w:t>
            </w:r>
          </w:hyperlink>
        </w:p>
        <w:p>
          <w:pPr>
            <w:pStyle w:val="Contents2"/>
            <w:tabs>
              <w:tab w:val="clear" w:pos="8743"/>
              <w:tab w:val="right" w:pos="9026" w:leader="dot"/>
            </w:tabs>
            <w:rPr/>
          </w:pPr>
          <w:hyperlink w:anchor="__RefHeading___Toc11915386_2142443653">
            <w:r>
              <w:rPr>
                <w:webHidden/>
                <w:rStyle w:val="IndexLink"/>
                <w:rtl w:val="true"/>
              </w:rPr>
              <w:t>تحول الشابة إلى يائسة</w:t>
            </w:r>
            <w:r>
              <w:rPr>
                <w:rStyle w:val="IndexLink"/>
                <w:rtl w:val="true"/>
              </w:rPr>
              <w:tab/>
            </w:r>
            <w:r>
              <w:rPr>
                <w:rStyle w:val="IndexLink"/>
              </w:rPr>
              <w:t>191</w:t>
            </w:r>
          </w:hyperlink>
        </w:p>
        <w:p>
          <w:pPr>
            <w:pStyle w:val="Contents2"/>
            <w:tabs>
              <w:tab w:val="clear" w:pos="8743"/>
              <w:tab w:val="right" w:pos="9026" w:leader="dot"/>
            </w:tabs>
            <w:rPr/>
          </w:pPr>
          <w:hyperlink w:anchor="__RefHeading___Toc11915388_2142443653">
            <w:r>
              <w:rPr>
                <w:webHidden/>
                <w:rStyle w:val="IndexLink"/>
                <w:rtl w:val="true"/>
              </w:rPr>
              <w:t>تزويج المومسات</w:t>
            </w:r>
            <w:r>
              <w:rPr>
                <w:rStyle w:val="IndexLink"/>
                <w:rtl w:val="true"/>
              </w:rPr>
              <w:tab/>
            </w:r>
            <w:r>
              <w:rPr>
                <w:rStyle w:val="IndexLink"/>
              </w:rPr>
              <w:t>192</w:t>
            </w:r>
          </w:hyperlink>
        </w:p>
        <w:p>
          <w:pPr>
            <w:pStyle w:val="Contents2"/>
            <w:tabs>
              <w:tab w:val="clear" w:pos="8743"/>
              <w:tab w:val="right" w:pos="9026" w:leader="dot"/>
            </w:tabs>
            <w:rPr/>
          </w:pPr>
          <w:hyperlink w:anchor="__RefHeading___Toc11915390_2142443653">
            <w:r>
              <w:rPr>
                <w:webHidden/>
                <w:rStyle w:val="IndexLink"/>
                <w:rtl w:val="true"/>
              </w:rPr>
              <w:t>اتخاذ الخليلات والأخلاء</w:t>
            </w:r>
            <w:r>
              <w:rPr>
                <w:rStyle w:val="IndexLink"/>
                <w:rtl w:val="true"/>
              </w:rPr>
              <w:tab/>
            </w:r>
            <w:r>
              <w:rPr>
                <w:rStyle w:val="IndexLink"/>
              </w:rPr>
              <w:t>193</w:t>
            </w:r>
          </w:hyperlink>
        </w:p>
        <w:p>
          <w:pPr>
            <w:pStyle w:val="Contents2"/>
            <w:tabs>
              <w:tab w:val="clear" w:pos="8743"/>
              <w:tab w:val="right" w:pos="9026" w:leader="dot"/>
            </w:tabs>
            <w:rPr/>
          </w:pPr>
          <w:hyperlink w:anchor="__RefHeading___Toc11915392_2142443653">
            <w:r>
              <w:rPr>
                <w:webHidden/>
                <w:rStyle w:val="IndexLink"/>
                <w:rtl w:val="true"/>
              </w:rPr>
              <w:t>رسائل المغازلة</w:t>
            </w:r>
            <w:r>
              <w:rPr>
                <w:rStyle w:val="IndexLink"/>
                <w:rtl w:val="true"/>
              </w:rPr>
              <w:tab/>
            </w:r>
            <w:r>
              <w:rPr>
                <w:rStyle w:val="IndexLink"/>
              </w:rPr>
              <w:t>194</w:t>
            </w:r>
          </w:hyperlink>
        </w:p>
        <w:p>
          <w:pPr>
            <w:pStyle w:val="Contents2"/>
            <w:tabs>
              <w:tab w:val="clear" w:pos="8743"/>
              <w:tab w:val="right" w:pos="9026" w:leader="dot"/>
            </w:tabs>
            <w:rPr/>
          </w:pPr>
          <w:hyperlink w:anchor="__RefHeading___Toc11915394_2142443653">
            <w:r>
              <w:rPr>
                <w:webHidden/>
                <w:rStyle w:val="IndexLink"/>
                <w:rtl w:val="true"/>
              </w:rPr>
              <w:t>المرأة والخضوع بالقول</w:t>
            </w:r>
            <w:r>
              <w:rPr>
                <w:rStyle w:val="IndexLink"/>
                <w:rtl w:val="true"/>
              </w:rPr>
              <w:tab/>
            </w:r>
            <w:r>
              <w:rPr>
                <w:rStyle w:val="IndexLink"/>
              </w:rPr>
              <w:t>194</w:t>
            </w:r>
          </w:hyperlink>
        </w:p>
        <w:p>
          <w:pPr>
            <w:pStyle w:val="Contents2"/>
            <w:tabs>
              <w:tab w:val="clear" w:pos="8743"/>
              <w:tab w:val="right" w:pos="9026" w:leader="dot"/>
            </w:tabs>
            <w:rPr/>
          </w:pPr>
          <w:hyperlink w:anchor="__RefHeading___Toc11915396_2142443653">
            <w:r>
              <w:rPr>
                <w:webHidden/>
                <w:rStyle w:val="IndexLink"/>
                <w:rtl w:val="true"/>
              </w:rPr>
              <w:t>مناديل الغرام</w:t>
            </w:r>
            <w:r>
              <w:rPr>
                <w:rStyle w:val="IndexLink"/>
                <w:rtl w:val="true"/>
              </w:rPr>
              <w:tab/>
            </w:r>
            <w:r>
              <w:rPr>
                <w:rStyle w:val="IndexLink"/>
              </w:rPr>
              <w:t>196</w:t>
            </w:r>
          </w:hyperlink>
        </w:p>
        <w:p>
          <w:pPr>
            <w:pStyle w:val="Contents2"/>
            <w:tabs>
              <w:tab w:val="clear" w:pos="8743"/>
              <w:tab w:val="right" w:pos="9026" w:leader="dot"/>
            </w:tabs>
            <w:rPr/>
          </w:pPr>
          <w:hyperlink w:anchor="__RefHeading___Toc11915398_2142443653">
            <w:r>
              <w:rPr>
                <w:webHidden/>
                <w:rStyle w:val="IndexLink"/>
                <w:rtl w:val="true"/>
              </w:rPr>
              <w:t>المؤسسات الخيرية</w:t>
            </w:r>
            <w:r>
              <w:rPr>
                <w:rStyle w:val="IndexLink"/>
                <w:rtl w:val="true"/>
              </w:rPr>
              <w:tab/>
            </w:r>
            <w:r>
              <w:rPr>
                <w:rStyle w:val="IndexLink"/>
              </w:rPr>
              <w:t>197</w:t>
            </w:r>
          </w:hyperlink>
        </w:p>
        <w:p>
          <w:pPr>
            <w:pStyle w:val="Contents2"/>
            <w:tabs>
              <w:tab w:val="clear" w:pos="8743"/>
              <w:tab w:val="right" w:pos="9026" w:leader="dot"/>
            </w:tabs>
            <w:rPr/>
          </w:pPr>
          <w:hyperlink w:anchor="__RefHeading___Toc11915400_2142443653">
            <w:r>
              <w:rPr>
                <w:webHidden/>
                <w:rStyle w:val="IndexLink"/>
                <w:rtl w:val="true"/>
              </w:rPr>
              <w:t>تعليم ذوي العاهات</w:t>
            </w:r>
            <w:r>
              <w:rPr>
                <w:rStyle w:val="IndexLink"/>
                <w:rtl w:val="true"/>
              </w:rPr>
              <w:tab/>
            </w:r>
            <w:r>
              <w:rPr>
                <w:rStyle w:val="IndexLink"/>
              </w:rPr>
              <w:t>198</w:t>
            </w:r>
          </w:hyperlink>
        </w:p>
        <w:p>
          <w:pPr>
            <w:pStyle w:val="Contents2"/>
            <w:tabs>
              <w:tab w:val="clear" w:pos="8743"/>
              <w:tab w:val="right" w:pos="9026" w:leader="dot"/>
            </w:tabs>
            <w:rPr/>
          </w:pPr>
          <w:hyperlink w:anchor="__RefHeading___Toc11915402_2142443653">
            <w:r>
              <w:rPr>
                <w:webHidden/>
                <w:rStyle w:val="IndexLink"/>
                <w:rtl w:val="true"/>
              </w:rPr>
              <w:t>العلاج بالعلوم النفسية</w:t>
            </w:r>
            <w:r>
              <w:rPr>
                <w:rStyle w:val="IndexLink"/>
                <w:rtl w:val="true"/>
              </w:rPr>
              <w:tab/>
            </w:r>
            <w:r>
              <w:rPr>
                <w:rStyle w:val="IndexLink"/>
              </w:rPr>
              <w:t>199</w:t>
            </w:r>
          </w:hyperlink>
        </w:p>
        <w:p>
          <w:pPr>
            <w:pStyle w:val="Contents2"/>
            <w:tabs>
              <w:tab w:val="clear" w:pos="8743"/>
              <w:tab w:val="right" w:pos="9026" w:leader="dot"/>
            </w:tabs>
            <w:rPr/>
          </w:pPr>
          <w:hyperlink w:anchor="__RefHeading___Toc11915404_2142443653">
            <w:r>
              <w:rPr>
                <w:webHidden/>
                <w:rStyle w:val="IndexLink"/>
                <w:rtl w:val="true"/>
              </w:rPr>
              <w:t>العلاج بالتنويم والإيحاء</w:t>
            </w:r>
            <w:r>
              <w:rPr>
                <w:rStyle w:val="IndexLink"/>
                <w:rtl w:val="true"/>
              </w:rPr>
              <w:tab/>
            </w:r>
            <w:r>
              <w:rPr>
                <w:rStyle w:val="IndexLink"/>
              </w:rPr>
              <w:t>199</w:t>
            </w:r>
          </w:hyperlink>
        </w:p>
        <w:p>
          <w:pPr>
            <w:pStyle w:val="Contents2"/>
            <w:tabs>
              <w:tab w:val="clear" w:pos="8743"/>
              <w:tab w:val="right" w:pos="9026" w:leader="dot"/>
            </w:tabs>
            <w:rPr/>
          </w:pPr>
          <w:hyperlink w:anchor="__RefHeading___Toc11915406_2142443653">
            <w:r>
              <w:rPr>
                <w:webHidden/>
                <w:rStyle w:val="IndexLink"/>
                <w:rtl w:val="true"/>
              </w:rPr>
              <w:t>تنظيم الإضراب والمظاهرات</w:t>
            </w:r>
            <w:r>
              <w:rPr>
                <w:rStyle w:val="IndexLink"/>
                <w:rtl w:val="true"/>
              </w:rPr>
              <w:tab/>
            </w:r>
            <w:r>
              <w:rPr>
                <w:rStyle w:val="IndexLink"/>
              </w:rPr>
              <w:t>199</w:t>
            </w:r>
          </w:hyperlink>
        </w:p>
        <w:p>
          <w:pPr>
            <w:pStyle w:val="Contents2"/>
            <w:tabs>
              <w:tab w:val="clear" w:pos="8743"/>
              <w:tab w:val="right" w:pos="9026" w:leader="dot"/>
            </w:tabs>
            <w:rPr/>
          </w:pPr>
          <w:hyperlink w:anchor="__RefHeading___Toc11915408_2142443653">
            <w:r>
              <w:rPr>
                <w:webHidden/>
                <w:rStyle w:val="IndexLink"/>
                <w:rtl w:val="true"/>
              </w:rPr>
              <w:t>تغيير الجنين</w:t>
            </w:r>
            <w:r>
              <w:rPr>
                <w:rStyle w:val="IndexLink"/>
                <w:rtl w:val="true"/>
              </w:rPr>
              <w:tab/>
            </w:r>
            <w:r>
              <w:rPr>
                <w:rStyle w:val="IndexLink"/>
              </w:rPr>
              <w:t>200</w:t>
            </w:r>
          </w:hyperlink>
        </w:p>
        <w:p>
          <w:pPr>
            <w:pStyle w:val="Contents2"/>
            <w:tabs>
              <w:tab w:val="clear" w:pos="8743"/>
              <w:tab w:val="right" w:pos="9026" w:leader="dot"/>
            </w:tabs>
            <w:rPr/>
          </w:pPr>
          <w:hyperlink w:anchor="__RefHeading___Toc11915410_2142443653">
            <w:r>
              <w:rPr>
                <w:webHidden/>
                <w:rStyle w:val="IndexLink"/>
                <w:rtl w:val="true"/>
              </w:rPr>
              <w:t>تعليم الرقص للحيوانات</w:t>
            </w:r>
            <w:r>
              <w:rPr>
                <w:rStyle w:val="IndexLink"/>
                <w:rtl w:val="true"/>
              </w:rPr>
              <w:tab/>
            </w:r>
            <w:r>
              <w:rPr>
                <w:rStyle w:val="IndexLink"/>
              </w:rPr>
              <w:t>201</w:t>
            </w:r>
          </w:hyperlink>
        </w:p>
        <w:p>
          <w:pPr>
            <w:pStyle w:val="Contents2"/>
            <w:tabs>
              <w:tab w:val="clear" w:pos="8743"/>
              <w:tab w:val="right" w:pos="9026" w:leader="dot"/>
            </w:tabs>
            <w:rPr/>
          </w:pPr>
          <w:hyperlink w:anchor="__RefHeading___Toc11915412_2142443653">
            <w:r>
              <w:rPr>
                <w:webHidden/>
                <w:rStyle w:val="IndexLink"/>
                <w:rtl w:val="true"/>
              </w:rPr>
              <w:t>النظر بشهوة إلى الحيوانات</w:t>
            </w:r>
            <w:r>
              <w:rPr>
                <w:rStyle w:val="IndexLink"/>
                <w:rtl w:val="true"/>
              </w:rPr>
              <w:tab/>
            </w:r>
            <w:r>
              <w:rPr>
                <w:rStyle w:val="IndexLink"/>
              </w:rPr>
              <w:t>201</w:t>
            </w:r>
          </w:hyperlink>
        </w:p>
        <w:p>
          <w:pPr>
            <w:pStyle w:val="Contents2"/>
            <w:tabs>
              <w:tab w:val="clear" w:pos="8743"/>
              <w:tab w:val="right" w:pos="9026" w:leader="dot"/>
            </w:tabs>
            <w:rPr/>
          </w:pPr>
          <w:hyperlink w:anchor="__RefHeading___Toc11915414_2142443653">
            <w:r>
              <w:rPr>
                <w:webHidden/>
                <w:rStyle w:val="IndexLink"/>
                <w:rtl w:val="true"/>
              </w:rPr>
              <w:t>التذاذ الحيوان بالإنسان</w:t>
            </w:r>
            <w:r>
              <w:rPr>
                <w:rStyle w:val="IndexLink"/>
                <w:rtl w:val="true"/>
              </w:rPr>
              <w:tab/>
            </w:r>
            <w:r>
              <w:rPr>
                <w:rStyle w:val="IndexLink"/>
              </w:rPr>
              <w:t>203</w:t>
            </w:r>
          </w:hyperlink>
        </w:p>
        <w:p>
          <w:pPr>
            <w:pStyle w:val="Contents2"/>
            <w:tabs>
              <w:tab w:val="clear" w:pos="8743"/>
              <w:tab w:val="right" w:pos="9026" w:leader="dot"/>
            </w:tabs>
            <w:rPr/>
          </w:pPr>
          <w:hyperlink w:anchor="__RefHeading___Toc11915416_2142443653">
            <w:r>
              <w:rPr>
                <w:webHidden/>
                <w:rStyle w:val="IndexLink"/>
                <w:rtl w:val="true"/>
              </w:rPr>
              <w:t>تقوية السمع والبصر</w:t>
            </w:r>
            <w:r>
              <w:rPr>
                <w:rStyle w:val="IndexLink"/>
                <w:rtl w:val="true"/>
              </w:rPr>
              <w:tab/>
            </w:r>
            <w:r>
              <w:rPr>
                <w:rStyle w:val="IndexLink"/>
              </w:rPr>
              <w:t>203</w:t>
            </w:r>
          </w:hyperlink>
        </w:p>
        <w:p>
          <w:pPr>
            <w:pStyle w:val="Contents2"/>
            <w:tabs>
              <w:tab w:val="clear" w:pos="8743"/>
              <w:tab w:val="right" w:pos="9026" w:leader="dot"/>
            </w:tabs>
            <w:rPr/>
          </w:pPr>
          <w:hyperlink w:anchor="__RefHeading___Toc11915418_2142443653">
            <w:r>
              <w:rPr>
                <w:webHidden/>
                <w:rStyle w:val="IndexLink"/>
                <w:rtl w:val="true"/>
              </w:rPr>
              <w:t>تلبيس الجسد الآلي بالروح</w:t>
            </w:r>
            <w:r>
              <w:rPr>
                <w:rStyle w:val="IndexLink"/>
                <w:rtl w:val="true"/>
              </w:rPr>
              <w:tab/>
            </w:r>
            <w:r>
              <w:rPr>
                <w:rStyle w:val="IndexLink"/>
              </w:rPr>
              <w:t>204</w:t>
            </w:r>
          </w:hyperlink>
        </w:p>
        <w:p>
          <w:pPr>
            <w:pStyle w:val="Contents2"/>
            <w:tabs>
              <w:tab w:val="clear" w:pos="8743"/>
              <w:tab w:val="right" w:pos="9026" w:leader="dot"/>
            </w:tabs>
            <w:rPr/>
          </w:pPr>
          <w:hyperlink w:anchor="__RefHeading___Toc11915420_2142443653">
            <w:r>
              <w:rPr>
                <w:webHidden/>
                <w:rStyle w:val="IndexLink"/>
                <w:rtl w:val="true"/>
              </w:rPr>
              <w:t>تبديل الأرواح</w:t>
            </w:r>
            <w:r>
              <w:rPr>
                <w:rStyle w:val="IndexLink"/>
                <w:rtl w:val="true"/>
              </w:rPr>
              <w:tab/>
            </w:r>
            <w:r>
              <w:rPr>
                <w:rStyle w:val="IndexLink"/>
              </w:rPr>
              <w:t>205</w:t>
            </w:r>
          </w:hyperlink>
        </w:p>
        <w:p>
          <w:pPr>
            <w:pStyle w:val="Contents2"/>
            <w:tabs>
              <w:tab w:val="clear" w:pos="8743"/>
              <w:tab w:val="right" w:pos="9026" w:leader="dot"/>
            </w:tabs>
            <w:rPr/>
          </w:pPr>
          <w:hyperlink w:anchor="__RefHeading___Toc11915422_2142443653">
            <w:r>
              <w:rPr>
                <w:webHidden/>
                <w:rStyle w:val="IndexLink"/>
                <w:rtl w:val="true"/>
              </w:rPr>
              <w:t>إخراج الأرواح</w:t>
            </w:r>
            <w:r>
              <w:rPr>
                <w:rStyle w:val="IndexLink"/>
                <w:rtl w:val="true"/>
              </w:rPr>
              <w:tab/>
            </w:r>
            <w:r>
              <w:rPr>
                <w:rStyle w:val="IndexLink"/>
              </w:rPr>
              <w:t>206</w:t>
            </w:r>
          </w:hyperlink>
        </w:p>
        <w:p>
          <w:pPr>
            <w:pStyle w:val="Contents2"/>
            <w:tabs>
              <w:tab w:val="clear" w:pos="8743"/>
              <w:tab w:val="right" w:pos="9026" w:leader="dot"/>
            </w:tabs>
            <w:rPr/>
          </w:pPr>
          <w:hyperlink w:anchor="__RefHeading___Toc11915424_2142443653">
            <w:r>
              <w:rPr>
                <w:webHidden/>
                <w:rStyle w:val="IndexLink"/>
                <w:rtl w:val="true"/>
              </w:rPr>
              <w:t>إخراج روح الحيوانات</w:t>
            </w:r>
            <w:r>
              <w:rPr>
                <w:rStyle w:val="IndexLink"/>
                <w:rtl w:val="true"/>
              </w:rPr>
              <w:tab/>
            </w:r>
            <w:r>
              <w:rPr>
                <w:rStyle w:val="IndexLink"/>
              </w:rPr>
              <w:t>206</w:t>
            </w:r>
          </w:hyperlink>
        </w:p>
        <w:p>
          <w:pPr>
            <w:pStyle w:val="Contents2"/>
            <w:tabs>
              <w:tab w:val="clear" w:pos="8743"/>
              <w:tab w:val="right" w:pos="9026" w:leader="dot"/>
            </w:tabs>
            <w:rPr/>
          </w:pPr>
          <w:hyperlink w:anchor="__RefHeading___Toc11915426_2142443653">
            <w:r>
              <w:rPr>
                <w:webHidden/>
                <w:rStyle w:val="IndexLink"/>
                <w:rtl w:val="true"/>
              </w:rPr>
              <w:t>تشويه الأعضاء</w:t>
            </w:r>
            <w:r>
              <w:rPr>
                <w:rStyle w:val="IndexLink"/>
                <w:rtl w:val="true"/>
              </w:rPr>
              <w:tab/>
            </w:r>
            <w:r>
              <w:rPr>
                <w:rStyle w:val="IndexLink"/>
              </w:rPr>
              <w:t>207</w:t>
            </w:r>
          </w:hyperlink>
        </w:p>
        <w:p>
          <w:pPr>
            <w:pStyle w:val="Contents2"/>
            <w:tabs>
              <w:tab w:val="clear" w:pos="8743"/>
              <w:tab w:val="right" w:pos="9026" w:leader="dot"/>
            </w:tabs>
            <w:rPr/>
          </w:pPr>
          <w:hyperlink w:anchor="__RefHeading___Toc11915428_2142443653">
            <w:r>
              <w:rPr>
                <w:webHidden/>
                <w:rStyle w:val="IndexLink"/>
                <w:rtl w:val="true"/>
              </w:rPr>
              <w:t>المتاحف واستعراض الإنسان</w:t>
            </w:r>
            <w:r>
              <w:rPr>
                <w:rStyle w:val="IndexLink"/>
                <w:rtl w:val="true"/>
              </w:rPr>
              <w:tab/>
            </w:r>
            <w:r>
              <w:rPr>
                <w:rStyle w:val="IndexLink"/>
              </w:rPr>
              <w:t>208</w:t>
            </w:r>
          </w:hyperlink>
        </w:p>
        <w:p>
          <w:pPr>
            <w:pStyle w:val="Contents2"/>
            <w:tabs>
              <w:tab w:val="clear" w:pos="8743"/>
              <w:tab w:val="right" w:pos="9026" w:leader="dot"/>
            </w:tabs>
            <w:rPr/>
          </w:pPr>
          <w:hyperlink w:anchor="__RefHeading___Toc11915430_2142443653">
            <w:r>
              <w:rPr>
                <w:webHidden/>
                <w:rStyle w:val="IndexLink"/>
                <w:rtl w:val="true"/>
              </w:rPr>
              <w:t>تبييض جسم الإنسان</w:t>
            </w:r>
            <w:r>
              <w:rPr>
                <w:rStyle w:val="IndexLink"/>
                <w:rtl w:val="true"/>
              </w:rPr>
              <w:tab/>
            </w:r>
            <w:r>
              <w:rPr>
                <w:rStyle w:val="IndexLink"/>
              </w:rPr>
              <w:t>208</w:t>
            </w:r>
          </w:hyperlink>
        </w:p>
        <w:p>
          <w:pPr>
            <w:pStyle w:val="Contents2"/>
            <w:tabs>
              <w:tab w:val="clear" w:pos="8743"/>
              <w:tab w:val="right" w:pos="9026" w:leader="dot"/>
            </w:tabs>
            <w:rPr/>
          </w:pPr>
          <w:hyperlink w:anchor="__RefHeading___Toc11915432_2142443653">
            <w:r>
              <w:rPr>
                <w:webHidden/>
                <w:rStyle w:val="IndexLink"/>
                <w:rtl w:val="true"/>
              </w:rPr>
              <w:t>تغيير ألوان البشرة</w:t>
            </w:r>
            <w:r>
              <w:rPr>
                <w:rStyle w:val="IndexLink"/>
                <w:rtl w:val="true"/>
              </w:rPr>
              <w:tab/>
            </w:r>
            <w:r>
              <w:rPr>
                <w:rStyle w:val="IndexLink"/>
              </w:rPr>
              <w:t>209</w:t>
            </w:r>
          </w:hyperlink>
        </w:p>
        <w:p>
          <w:pPr>
            <w:pStyle w:val="Contents2"/>
            <w:tabs>
              <w:tab w:val="clear" w:pos="8743"/>
              <w:tab w:val="right" w:pos="9026" w:leader="dot"/>
            </w:tabs>
            <w:rPr/>
          </w:pPr>
          <w:hyperlink w:anchor="__RefHeading___Toc11915434_2142443653">
            <w:r>
              <w:rPr>
                <w:webHidden/>
                <w:rStyle w:val="IndexLink"/>
                <w:rtl w:val="true"/>
              </w:rPr>
              <w:t>إخراج جنين الزانية</w:t>
            </w:r>
            <w:r>
              <w:rPr>
                <w:rStyle w:val="IndexLink"/>
                <w:rtl w:val="true"/>
              </w:rPr>
              <w:tab/>
            </w:r>
            <w:r>
              <w:rPr>
                <w:rStyle w:val="IndexLink"/>
              </w:rPr>
              <w:t>210</w:t>
            </w:r>
          </w:hyperlink>
        </w:p>
        <w:p>
          <w:pPr>
            <w:pStyle w:val="Contents2"/>
            <w:tabs>
              <w:tab w:val="clear" w:pos="8743"/>
              <w:tab w:val="right" w:pos="9026" w:leader="dot"/>
            </w:tabs>
            <w:rPr/>
          </w:pPr>
          <w:hyperlink w:anchor="__RefHeading___Toc11915436_2142443653">
            <w:r>
              <w:rPr>
                <w:webHidden/>
                <w:rStyle w:val="IndexLink"/>
                <w:rtl w:val="true"/>
              </w:rPr>
              <w:t>رمز الجندي المجهول</w:t>
            </w:r>
            <w:r>
              <w:rPr>
                <w:rStyle w:val="IndexLink"/>
                <w:rtl w:val="true"/>
              </w:rPr>
              <w:tab/>
            </w:r>
            <w:r>
              <w:rPr>
                <w:rStyle w:val="IndexLink"/>
              </w:rPr>
              <w:t>211</w:t>
            </w:r>
          </w:hyperlink>
        </w:p>
        <w:p>
          <w:pPr>
            <w:pStyle w:val="Contents2"/>
            <w:tabs>
              <w:tab w:val="clear" w:pos="8743"/>
              <w:tab w:val="right" w:pos="9026" w:leader="dot"/>
            </w:tabs>
            <w:rPr/>
          </w:pPr>
          <w:hyperlink w:anchor="__RefHeading___Toc11915438_2142443653">
            <w:r>
              <w:rPr>
                <w:webHidden/>
                <w:rStyle w:val="IndexLink"/>
                <w:rtl w:val="true"/>
              </w:rPr>
              <w:t>تصوير الوقائع التاريخية</w:t>
            </w:r>
            <w:r>
              <w:rPr>
                <w:rStyle w:val="IndexLink"/>
                <w:rtl w:val="true"/>
              </w:rPr>
              <w:tab/>
            </w:r>
            <w:r>
              <w:rPr>
                <w:rStyle w:val="IndexLink"/>
              </w:rPr>
              <w:t>211</w:t>
            </w:r>
          </w:hyperlink>
        </w:p>
        <w:p>
          <w:pPr>
            <w:pStyle w:val="Contents2"/>
            <w:tabs>
              <w:tab w:val="clear" w:pos="8743"/>
              <w:tab w:val="right" w:pos="9026" w:leader="dot"/>
            </w:tabs>
            <w:rPr/>
          </w:pPr>
          <w:hyperlink w:anchor="__RefHeading___Toc11915440_2142443653">
            <w:r>
              <w:rPr>
                <w:webHidden/>
                <w:rStyle w:val="IndexLink"/>
                <w:rtl w:val="true"/>
              </w:rPr>
              <w:t>استخدام الأرواح للاستخبار</w:t>
            </w:r>
            <w:r>
              <w:rPr>
                <w:rStyle w:val="IndexLink"/>
                <w:rtl w:val="true"/>
              </w:rPr>
              <w:tab/>
            </w:r>
            <w:r>
              <w:rPr>
                <w:rStyle w:val="IndexLink"/>
              </w:rPr>
              <w:t>212</w:t>
            </w:r>
          </w:hyperlink>
        </w:p>
        <w:p>
          <w:pPr>
            <w:pStyle w:val="Contents2"/>
            <w:tabs>
              <w:tab w:val="clear" w:pos="8743"/>
              <w:tab w:val="right" w:pos="9026" w:leader="dot"/>
            </w:tabs>
            <w:rPr/>
          </w:pPr>
          <w:hyperlink w:anchor="__RefHeading___Toc11915442_2142443653">
            <w:r>
              <w:rPr>
                <w:webHidden/>
                <w:rStyle w:val="IndexLink"/>
                <w:rtl w:val="true"/>
              </w:rPr>
              <w:t>كشف الأسرار بالروح</w:t>
            </w:r>
            <w:r>
              <w:rPr>
                <w:rStyle w:val="IndexLink"/>
                <w:rtl w:val="true"/>
              </w:rPr>
              <w:tab/>
            </w:r>
            <w:r>
              <w:rPr>
                <w:rStyle w:val="IndexLink"/>
              </w:rPr>
              <w:t>213</w:t>
            </w:r>
          </w:hyperlink>
        </w:p>
        <w:p>
          <w:pPr>
            <w:pStyle w:val="Contents2"/>
            <w:tabs>
              <w:tab w:val="clear" w:pos="8743"/>
              <w:tab w:val="right" w:pos="9026" w:leader="dot"/>
            </w:tabs>
            <w:rPr/>
          </w:pPr>
          <w:hyperlink w:anchor="__RefHeading___Toc11915444_2142443653">
            <w:r>
              <w:rPr>
                <w:webHidden/>
                <w:rStyle w:val="IndexLink"/>
                <w:rtl w:val="true"/>
              </w:rPr>
              <w:t>تسجيل الألفاظ المحرمة</w:t>
            </w:r>
            <w:r>
              <w:rPr>
                <w:rStyle w:val="IndexLink"/>
                <w:rtl w:val="true"/>
              </w:rPr>
              <w:tab/>
            </w:r>
            <w:r>
              <w:rPr>
                <w:rStyle w:val="IndexLink"/>
              </w:rPr>
              <w:t>214</w:t>
            </w:r>
          </w:hyperlink>
        </w:p>
        <w:p>
          <w:pPr>
            <w:pStyle w:val="Contents2"/>
            <w:tabs>
              <w:tab w:val="clear" w:pos="8743"/>
              <w:tab w:val="right" w:pos="9026" w:leader="dot"/>
            </w:tabs>
            <w:rPr/>
          </w:pPr>
          <w:hyperlink w:anchor="__RefHeading___Toc11915446_2142443653">
            <w:r>
              <w:rPr>
                <w:webHidden/>
                <w:rStyle w:val="IndexLink"/>
                <w:rtl w:val="true"/>
              </w:rPr>
              <w:t>تسجيل الوعظ والإرشاد</w:t>
            </w:r>
            <w:r>
              <w:rPr>
                <w:rStyle w:val="IndexLink"/>
                <w:rtl w:val="true"/>
              </w:rPr>
              <w:tab/>
            </w:r>
            <w:r>
              <w:rPr>
                <w:rStyle w:val="IndexLink"/>
              </w:rPr>
              <w:t>214</w:t>
            </w:r>
          </w:hyperlink>
        </w:p>
        <w:p>
          <w:pPr>
            <w:pStyle w:val="Contents2"/>
            <w:tabs>
              <w:tab w:val="clear" w:pos="8743"/>
              <w:tab w:val="right" w:pos="9026" w:leader="dot"/>
            </w:tabs>
            <w:rPr/>
          </w:pPr>
          <w:hyperlink w:anchor="__RefHeading___Toc11915448_2142443653">
            <w:r>
              <w:rPr>
                <w:webHidden/>
                <w:rStyle w:val="IndexLink"/>
                <w:rtl w:val="true"/>
              </w:rPr>
              <w:t>كلام الأرواح</w:t>
            </w:r>
            <w:r>
              <w:rPr>
                <w:rStyle w:val="IndexLink"/>
                <w:rtl w:val="true"/>
              </w:rPr>
              <w:tab/>
            </w:r>
            <w:r>
              <w:rPr>
                <w:rStyle w:val="IndexLink"/>
              </w:rPr>
              <w:t>215</w:t>
            </w:r>
          </w:hyperlink>
        </w:p>
        <w:p>
          <w:pPr>
            <w:pStyle w:val="Contents2"/>
            <w:tabs>
              <w:tab w:val="clear" w:pos="8743"/>
              <w:tab w:val="right" w:pos="9026" w:leader="dot"/>
            </w:tabs>
            <w:rPr/>
          </w:pPr>
          <w:hyperlink w:anchor="__RefHeading___Toc11915450_2142443653">
            <w:r>
              <w:rPr>
                <w:webHidden/>
                <w:rStyle w:val="IndexLink"/>
                <w:rtl w:val="true"/>
              </w:rPr>
              <w:t>الطلاق بواسطة الأرواح</w:t>
            </w:r>
            <w:r>
              <w:rPr>
                <w:rStyle w:val="IndexLink"/>
                <w:rtl w:val="true"/>
              </w:rPr>
              <w:tab/>
            </w:r>
            <w:r>
              <w:rPr>
                <w:rStyle w:val="IndexLink"/>
              </w:rPr>
              <w:t>216</w:t>
            </w:r>
          </w:hyperlink>
        </w:p>
        <w:p>
          <w:pPr>
            <w:pStyle w:val="Contents2"/>
            <w:tabs>
              <w:tab w:val="clear" w:pos="8743"/>
              <w:tab w:val="right" w:pos="9026" w:leader="dot"/>
            </w:tabs>
            <w:rPr/>
          </w:pPr>
          <w:hyperlink w:anchor="__RefHeading___Toc11915452_2142443653">
            <w:r>
              <w:rPr>
                <w:webHidden/>
                <w:rStyle w:val="IndexLink"/>
                <w:rtl w:val="true"/>
              </w:rPr>
              <w:t>كتابة الأموات</w:t>
            </w:r>
            <w:r>
              <w:rPr>
                <w:rStyle w:val="IndexLink"/>
                <w:rtl w:val="true"/>
              </w:rPr>
              <w:tab/>
            </w:r>
            <w:r>
              <w:rPr>
                <w:rStyle w:val="IndexLink"/>
              </w:rPr>
              <w:t>216</w:t>
            </w:r>
          </w:hyperlink>
        </w:p>
        <w:p>
          <w:pPr>
            <w:pStyle w:val="Contents2"/>
            <w:tabs>
              <w:tab w:val="clear" w:pos="8743"/>
              <w:tab w:val="right" w:pos="9026" w:leader="dot"/>
            </w:tabs>
            <w:rPr/>
          </w:pPr>
          <w:hyperlink w:anchor="__RefHeading___Toc11915454_2142443653">
            <w:r>
              <w:rPr>
                <w:webHidden/>
                <w:rStyle w:val="IndexLink"/>
                <w:rtl w:val="true"/>
              </w:rPr>
              <w:t>تسميد الأجساد المحترقة</w:t>
            </w:r>
            <w:r>
              <w:rPr>
                <w:rStyle w:val="IndexLink"/>
                <w:rtl w:val="true"/>
              </w:rPr>
              <w:tab/>
            </w:r>
            <w:r>
              <w:rPr>
                <w:rStyle w:val="IndexLink"/>
              </w:rPr>
              <w:t>217</w:t>
            </w:r>
          </w:hyperlink>
        </w:p>
        <w:p>
          <w:pPr>
            <w:pStyle w:val="Contents2"/>
            <w:tabs>
              <w:tab w:val="clear" w:pos="8743"/>
              <w:tab w:val="right" w:pos="9026" w:leader="dot"/>
            </w:tabs>
            <w:rPr/>
          </w:pPr>
          <w:hyperlink w:anchor="__RefHeading___Toc11915456_2142443653">
            <w:r>
              <w:rPr>
                <w:webHidden/>
                <w:rStyle w:val="IndexLink"/>
                <w:rtl w:val="true"/>
              </w:rPr>
              <w:t>تشجير المقابر</w:t>
            </w:r>
            <w:r>
              <w:rPr>
                <w:rStyle w:val="IndexLink"/>
                <w:rtl w:val="true"/>
              </w:rPr>
              <w:tab/>
            </w:r>
            <w:r>
              <w:rPr>
                <w:rStyle w:val="IndexLink"/>
              </w:rPr>
              <w:t>218</w:t>
            </w:r>
          </w:hyperlink>
        </w:p>
        <w:p>
          <w:pPr>
            <w:pStyle w:val="Contents2"/>
            <w:tabs>
              <w:tab w:val="clear" w:pos="8743"/>
              <w:tab w:val="right" w:pos="9026" w:leader="dot"/>
            </w:tabs>
            <w:rPr/>
          </w:pPr>
          <w:hyperlink w:anchor="__RefHeading___Toc11915458_2142443653">
            <w:r>
              <w:rPr>
                <w:webHidden/>
                <w:rStyle w:val="IndexLink"/>
                <w:rtl w:val="true"/>
              </w:rPr>
              <w:t>الخيانة بنقل الأخبار</w:t>
            </w:r>
            <w:r>
              <w:rPr>
                <w:rStyle w:val="IndexLink"/>
                <w:rtl w:val="true"/>
              </w:rPr>
              <w:tab/>
            </w:r>
            <w:r>
              <w:rPr>
                <w:rStyle w:val="IndexLink"/>
              </w:rPr>
              <w:t>218</w:t>
            </w:r>
          </w:hyperlink>
        </w:p>
        <w:p>
          <w:pPr>
            <w:pStyle w:val="Contents2"/>
            <w:tabs>
              <w:tab w:val="clear" w:pos="8743"/>
              <w:tab w:val="right" w:pos="9026" w:leader="dot"/>
            </w:tabs>
            <w:rPr/>
          </w:pPr>
          <w:hyperlink w:anchor="__RefHeading___Toc11915460_2142443653">
            <w:r>
              <w:rPr>
                <w:webHidden/>
                <w:rStyle w:val="IndexLink"/>
                <w:rtl w:val="true"/>
              </w:rPr>
              <w:t>الماء والتراب الاصطناعيان</w:t>
            </w:r>
            <w:r>
              <w:rPr>
                <w:rStyle w:val="IndexLink"/>
                <w:rtl w:val="true"/>
              </w:rPr>
              <w:tab/>
            </w:r>
            <w:r>
              <w:rPr>
                <w:rStyle w:val="IndexLink"/>
              </w:rPr>
              <w:t>220</w:t>
            </w:r>
          </w:hyperlink>
        </w:p>
        <w:p>
          <w:pPr>
            <w:pStyle w:val="Contents2"/>
            <w:tabs>
              <w:tab w:val="clear" w:pos="8743"/>
              <w:tab w:val="right" w:pos="9026" w:leader="dot"/>
            </w:tabs>
            <w:rPr/>
          </w:pPr>
          <w:hyperlink w:anchor="__RefHeading___Toc11915462_2142443653">
            <w:r>
              <w:rPr>
                <w:webHidden/>
                <w:rStyle w:val="IndexLink"/>
                <w:rtl w:val="true"/>
              </w:rPr>
              <w:t>أجهزة تصوير الحوادث</w:t>
            </w:r>
            <w:r>
              <w:rPr>
                <w:rStyle w:val="IndexLink"/>
                <w:rtl w:val="true"/>
              </w:rPr>
              <w:tab/>
            </w:r>
            <w:r>
              <w:rPr>
                <w:rStyle w:val="IndexLink"/>
              </w:rPr>
              <w:t>220</w:t>
            </w:r>
          </w:hyperlink>
        </w:p>
        <w:p>
          <w:pPr>
            <w:pStyle w:val="Contents2"/>
            <w:tabs>
              <w:tab w:val="clear" w:pos="8743"/>
              <w:tab w:val="right" w:pos="9026" w:leader="dot"/>
            </w:tabs>
            <w:rPr/>
          </w:pPr>
          <w:hyperlink w:anchor="__RefHeading___Toc11915464_2142443653">
            <w:r>
              <w:rPr>
                <w:webHidden/>
                <w:rStyle w:val="IndexLink"/>
                <w:rtl w:val="true"/>
              </w:rPr>
              <w:t>الولد بين المجنونين</w:t>
            </w:r>
            <w:r>
              <w:rPr>
                <w:rStyle w:val="IndexLink"/>
                <w:rtl w:val="true"/>
              </w:rPr>
              <w:tab/>
            </w:r>
            <w:r>
              <w:rPr>
                <w:rStyle w:val="IndexLink"/>
              </w:rPr>
              <w:t>221</w:t>
            </w:r>
          </w:hyperlink>
        </w:p>
        <w:p>
          <w:pPr>
            <w:pStyle w:val="Contents2"/>
            <w:tabs>
              <w:tab w:val="clear" w:pos="8743"/>
              <w:tab w:val="right" w:pos="9026" w:leader="dot"/>
            </w:tabs>
            <w:rPr/>
          </w:pPr>
          <w:hyperlink w:anchor="__RefHeading___Toc11915466_2142443653">
            <w:r>
              <w:rPr>
                <w:webHidden/>
                <w:rStyle w:val="IndexLink"/>
                <w:rtl w:val="true"/>
              </w:rPr>
              <w:t>رؤية الهلال بالمجهر</w:t>
            </w:r>
            <w:r>
              <w:rPr>
                <w:rStyle w:val="IndexLink"/>
                <w:rtl w:val="true"/>
              </w:rPr>
              <w:tab/>
            </w:r>
            <w:r>
              <w:rPr>
                <w:rStyle w:val="IndexLink"/>
              </w:rPr>
              <w:t>222</w:t>
            </w:r>
          </w:hyperlink>
        </w:p>
        <w:p>
          <w:pPr>
            <w:pStyle w:val="Contents2"/>
            <w:tabs>
              <w:tab w:val="clear" w:pos="8743"/>
              <w:tab w:val="right" w:pos="9026" w:leader="dot"/>
            </w:tabs>
            <w:rPr/>
          </w:pPr>
          <w:hyperlink w:anchor="__RefHeading___Toc11915468_2142443653">
            <w:r>
              <w:rPr>
                <w:webHidden/>
                <w:rStyle w:val="IndexLink"/>
                <w:rtl w:val="true"/>
              </w:rPr>
              <w:t>العقل الألكتروني</w:t>
            </w:r>
            <w:r>
              <w:rPr>
                <w:rStyle w:val="IndexLink"/>
                <w:rtl w:val="true"/>
              </w:rPr>
              <w:tab/>
            </w:r>
            <w:r>
              <w:rPr>
                <w:rStyle w:val="IndexLink"/>
              </w:rPr>
              <w:t>223</w:t>
            </w:r>
          </w:hyperlink>
        </w:p>
        <w:p>
          <w:pPr>
            <w:pStyle w:val="Contents2"/>
            <w:tabs>
              <w:tab w:val="clear" w:pos="8743"/>
              <w:tab w:val="right" w:pos="9026" w:leader="dot"/>
            </w:tabs>
            <w:rPr/>
          </w:pPr>
          <w:hyperlink w:anchor="__RefHeading___Toc11915470_2142443653">
            <w:r>
              <w:rPr>
                <w:webHidden/>
                <w:rStyle w:val="IndexLink"/>
                <w:rtl w:val="true"/>
              </w:rPr>
              <w:t>تبديل العضو التناسلي</w:t>
            </w:r>
            <w:r>
              <w:rPr>
                <w:rStyle w:val="IndexLink"/>
                <w:rtl w:val="true"/>
              </w:rPr>
              <w:tab/>
            </w:r>
            <w:r>
              <w:rPr>
                <w:rStyle w:val="IndexLink"/>
              </w:rPr>
              <w:t>223</w:t>
            </w:r>
          </w:hyperlink>
        </w:p>
        <w:p>
          <w:pPr>
            <w:pStyle w:val="Contents2"/>
            <w:tabs>
              <w:tab w:val="clear" w:pos="8743"/>
              <w:tab w:val="right" w:pos="9026" w:leader="dot"/>
            </w:tabs>
            <w:rPr/>
          </w:pPr>
          <w:hyperlink w:anchor="__RefHeading___Toc11915472_2142443653">
            <w:r>
              <w:rPr>
                <w:webHidden/>
                <w:rStyle w:val="IndexLink"/>
                <w:rtl w:val="true"/>
              </w:rPr>
              <w:t>الخلايا الاصطناعية</w:t>
            </w:r>
            <w:r>
              <w:rPr>
                <w:rStyle w:val="IndexLink"/>
                <w:rtl w:val="true"/>
              </w:rPr>
              <w:tab/>
            </w:r>
            <w:r>
              <w:rPr>
                <w:rStyle w:val="IndexLink"/>
              </w:rPr>
              <w:t>224</w:t>
            </w:r>
          </w:hyperlink>
        </w:p>
        <w:p>
          <w:pPr>
            <w:pStyle w:val="Contents2"/>
            <w:tabs>
              <w:tab w:val="clear" w:pos="8743"/>
              <w:tab w:val="right" w:pos="9026" w:leader="dot"/>
            </w:tabs>
            <w:rPr/>
          </w:pPr>
          <w:hyperlink w:anchor="__RefHeading___Toc11915474_2142443653">
            <w:r>
              <w:rPr>
                <w:webHidden/>
                <w:rStyle w:val="IndexLink"/>
                <w:rtl w:val="true"/>
              </w:rPr>
              <w:t>خلق المخلوقات</w:t>
            </w:r>
            <w:r>
              <w:rPr>
                <w:rStyle w:val="IndexLink"/>
                <w:rtl w:val="true"/>
              </w:rPr>
              <w:tab/>
            </w:r>
            <w:r>
              <w:rPr>
                <w:rStyle w:val="IndexLink"/>
              </w:rPr>
              <w:t>225</w:t>
            </w:r>
          </w:hyperlink>
        </w:p>
        <w:p>
          <w:pPr>
            <w:pStyle w:val="Contents2"/>
            <w:tabs>
              <w:tab w:val="clear" w:pos="8743"/>
              <w:tab w:val="right" w:pos="9026" w:leader="dot"/>
            </w:tabs>
            <w:rPr/>
          </w:pPr>
          <w:hyperlink w:anchor="__RefHeading___Toc11915476_2142443653">
            <w:r>
              <w:rPr>
                <w:webHidden/>
                <w:rStyle w:val="IndexLink"/>
                <w:rtl w:val="true"/>
              </w:rPr>
              <w:t>الأمر بالمعروف والنهي عن المنكر بالوسائل النفسية</w:t>
            </w:r>
            <w:r>
              <w:rPr>
                <w:rStyle w:val="IndexLink"/>
                <w:rtl w:val="true"/>
              </w:rPr>
              <w:tab/>
            </w:r>
            <w:r>
              <w:rPr>
                <w:rStyle w:val="IndexLink"/>
              </w:rPr>
              <w:t>225</w:t>
            </w:r>
          </w:hyperlink>
        </w:p>
        <w:p>
          <w:pPr>
            <w:pStyle w:val="Contents2"/>
            <w:tabs>
              <w:tab w:val="clear" w:pos="8743"/>
              <w:tab w:val="right" w:pos="9026" w:leader="dot"/>
            </w:tabs>
            <w:rPr/>
          </w:pPr>
          <w:hyperlink w:anchor="__RefHeading___Toc11915478_2142443653">
            <w:r>
              <w:rPr>
                <w:webHidden/>
                <w:rStyle w:val="IndexLink"/>
                <w:rtl w:val="true"/>
              </w:rPr>
              <w:t>استخدام العقول الإلكترونية</w:t>
            </w:r>
            <w:r>
              <w:rPr>
                <w:rStyle w:val="IndexLink"/>
                <w:rtl w:val="true"/>
              </w:rPr>
              <w:tab/>
            </w:r>
            <w:r>
              <w:rPr>
                <w:rStyle w:val="IndexLink"/>
              </w:rPr>
              <w:t>226</w:t>
            </w:r>
          </w:hyperlink>
        </w:p>
        <w:p>
          <w:pPr>
            <w:pStyle w:val="Contents2"/>
            <w:tabs>
              <w:tab w:val="clear" w:pos="8743"/>
              <w:tab w:val="right" w:pos="9026" w:leader="dot"/>
            </w:tabs>
            <w:rPr/>
          </w:pPr>
          <w:hyperlink w:anchor="__RefHeading___Toc11915480_2142443653">
            <w:r>
              <w:rPr>
                <w:webHidden/>
                <w:rStyle w:val="IndexLink"/>
                <w:rtl w:val="true"/>
              </w:rPr>
              <w:t>الاغتراب للدراسة</w:t>
            </w:r>
            <w:r>
              <w:rPr>
                <w:rStyle w:val="IndexLink"/>
                <w:rtl w:val="true"/>
              </w:rPr>
              <w:tab/>
            </w:r>
            <w:r>
              <w:rPr>
                <w:rStyle w:val="IndexLink"/>
              </w:rPr>
              <w:t>227</w:t>
            </w:r>
          </w:hyperlink>
        </w:p>
        <w:p>
          <w:pPr>
            <w:pStyle w:val="Contents2"/>
            <w:tabs>
              <w:tab w:val="clear" w:pos="8743"/>
              <w:tab w:val="right" w:pos="9026" w:leader="dot"/>
            </w:tabs>
            <w:rPr/>
          </w:pPr>
          <w:hyperlink w:anchor="__RefHeading___Toc11915482_2142443653">
            <w:r>
              <w:rPr>
                <w:webHidden/>
                <w:rStyle w:val="IndexLink"/>
                <w:rtl w:val="true"/>
              </w:rPr>
              <w:t>الزواج من أهل الكتاب</w:t>
            </w:r>
            <w:r>
              <w:rPr>
                <w:rStyle w:val="IndexLink"/>
                <w:rtl w:val="true"/>
              </w:rPr>
              <w:tab/>
            </w:r>
            <w:r>
              <w:rPr>
                <w:rStyle w:val="IndexLink"/>
              </w:rPr>
              <w:t>228</w:t>
            </w:r>
          </w:hyperlink>
        </w:p>
        <w:p>
          <w:pPr>
            <w:pStyle w:val="Contents2"/>
            <w:tabs>
              <w:tab w:val="clear" w:pos="8743"/>
              <w:tab w:val="right" w:pos="9026" w:leader="dot"/>
            </w:tabs>
            <w:rPr/>
          </w:pPr>
          <w:hyperlink w:anchor="__RefHeading___Toc11915484_2142443653">
            <w:r>
              <w:rPr>
                <w:webHidden/>
                <w:rStyle w:val="IndexLink"/>
                <w:rtl w:val="true"/>
              </w:rPr>
              <w:t>الدفاع عن الإسلام</w:t>
            </w:r>
            <w:r>
              <w:rPr>
                <w:rStyle w:val="IndexLink"/>
                <w:rtl w:val="true"/>
              </w:rPr>
              <w:tab/>
            </w:r>
            <w:r>
              <w:rPr>
                <w:rStyle w:val="IndexLink"/>
              </w:rPr>
              <w:t>229</w:t>
            </w:r>
          </w:hyperlink>
        </w:p>
        <w:p>
          <w:pPr>
            <w:pStyle w:val="Contents2"/>
            <w:tabs>
              <w:tab w:val="clear" w:pos="8743"/>
              <w:tab w:val="right" w:pos="9026" w:leader="dot"/>
            </w:tabs>
            <w:rPr/>
          </w:pPr>
          <w:hyperlink w:anchor="__RefHeading___Toc11915486_2142443653">
            <w:r>
              <w:rPr>
                <w:webHidden/>
                <w:rStyle w:val="IndexLink"/>
                <w:rtl w:val="true"/>
              </w:rPr>
              <w:t>الزواج بدون عقد صحيح</w:t>
            </w:r>
            <w:r>
              <w:rPr>
                <w:rStyle w:val="IndexLink"/>
                <w:rtl w:val="true"/>
              </w:rPr>
              <w:tab/>
            </w:r>
            <w:r>
              <w:rPr>
                <w:rStyle w:val="IndexLink"/>
              </w:rPr>
              <w:t>230</w:t>
            </w:r>
          </w:hyperlink>
        </w:p>
        <w:p>
          <w:pPr>
            <w:pStyle w:val="Contents2"/>
            <w:tabs>
              <w:tab w:val="clear" w:pos="8743"/>
              <w:tab w:val="right" w:pos="9026" w:leader="dot"/>
            </w:tabs>
            <w:rPr/>
          </w:pPr>
          <w:hyperlink w:anchor="__RefHeading___Toc11915488_2142443653">
            <w:r>
              <w:rPr>
                <w:webHidden/>
                <w:rStyle w:val="IndexLink"/>
                <w:rtl w:val="true"/>
              </w:rPr>
              <w:t>أولاد الشبهة</w:t>
            </w:r>
            <w:r>
              <w:rPr>
                <w:rStyle w:val="IndexLink"/>
                <w:rtl w:val="true"/>
              </w:rPr>
              <w:tab/>
            </w:r>
            <w:r>
              <w:rPr>
                <w:rStyle w:val="IndexLink"/>
              </w:rPr>
              <w:t>231</w:t>
            </w:r>
          </w:hyperlink>
        </w:p>
        <w:p>
          <w:pPr>
            <w:pStyle w:val="Contents2"/>
            <w:tabs>
              <w:tab w:val="clear" w:pos="8743"/>
              <w:tab w:val="right" w:pos="9026" w:leader="dot"/>
            </w:tabs>
            <w:rPr/>
          </w:pPr>
          <w:hyperlink w:anchor="__RefHeading___Toc11915490_2142443653">
            <w:r>
              <w:rPr>
                <w:webHidden/>
                <w:rStyle w:val="IndexLink"/>
                <w:rtl w:val="true"/>
              </w:rPr>
              <w:t>التبليغ بالوسائل الحديثة</w:t>
            </w:r>
            <w:r>
              <w:rPr>
                <w:rStyle w:val="IndexLink"/>
                <w:rtl w:val="true"/>
              </w:rPr>
              <w:tab/>
            </w:r>
            <w:r>
              <w:rPr>
                <w:rStyle w:val="IndexLink"/>
              </w:rPr>
              <w:t>232</w:t>
            </w:r>
          </w:hyperlink>
        </w:p>
        <w:p>
          <w:pPr>
            <w:pStyle w:val="Contents2"/>
            <w:tabs>
              <w:tab w:val="clear" w:pos="8743"/>
              <w:tab w:val="right" w:pos="9026" w:leader="dot"/>
            </w:tabs>
            <w:rPr/>
          </w:pPr>
          <w:hyperlink w:anchor="__RefHeading___Toc11915492_2142443653">
            <w:r>
              <w:rPr>
                <w:webHidden/>
                <w:rStyle w:val="IndexLink"/>
                <w:rtl w:val="true"/>
              </w:rPr>
              <w:t>الأمر والنهي بالوسائل الحديثة</w:t>
            </w:r>
            <w:r>
              <w:rPr>
                <w:rStyle w:val="IndexLink"/>
                <w:rtl w:val="true"/>
              </w:rPr>
              <w:tab/>
            </w:r>
            <w:r>
              <w:rPr>
                <w:rStyle w:val="IndexLink"/>
              </w:rPr>
              <w:t>233</w:t>
            </w:r>
          </w:hyperlink>
        </w:p>
        <w:p>
          <w:pPr>
            <w:pStyle w:val="Contents2"/>
            <w:tabs>
              <w:tab w:val="clear" w:pos="8743"/>
              <w:tab w:val="right" w:pos="9026" w:leader="dot"/>
            </w:tabs>
            <w:rPr/>
          </w:pPr>
          <w:hyperlink w:anchor="__RefHeading___Toc11915494_2142443653">
            <w:r>
              <w:rPr>
                <w:webHidden/>
                <w:rStyle w:val="IndexLink"/>
                <w:rtl w:val="true"/>
              </w:rPr>
              <w:t>ذب الشبهات عن الإسلام</w:t>
            </w:r>
            <w:r>
              <w:rPr>
                <w:rStyle w:val="IndexLink"/>
                <w:rtl w:val="true"/>
              </w:rPr>
              <w:tab/>
            </w:r>
            <w:r>
              <w:rPr>
                <w:rStyle w:val="IndexLink"/>
              </w:rPr>
              <w:t>234</w:t>
            </w:r>
          </w:hyperlink>
        </w:p>
        <w:p>
          <w:pPr>
            <w:pStyle w:val="Contents2"/>
            <w:tabs>
              <w:tab w:val="clear" w:pos="8743"/>
              <w:tab w:val="right" w:pos="9026" w:leader="dot"/>
            </w:tabs>
            <w:rPr/>
          </w:pPr>
          <w:hyperlink w:anchor="__RefHeading___Toc11915496_2142443653">
            <w:r>
              <w:rPr>
                <w:webHidden/>
                <w:rStyle w:val="IndexLink"/>
                <w:rtl w:val="true"/>
              </w:rPr>
              <w:t>التلقيح لتكثير النتاج</w:t>
            </w:r>
            <w:r>
              <w:rPr>
                <w:rStyle w:val="IndexLink"/>
                <w:rtl w:val="true"/>
              </w:rPr>
              <w:tab/>
            </w:r>
            <w:r>
              <w:rPr>
                <w:rStyle w:val="IndexLink"/>
              </w:rPr>
              <w:t>235</w:t>
            </w:r>
          </w:hyperlink>
        </w:p>
        <w:p>
          <w:pPr>
            <w:pStyle w:val="Contents2"/>
            <w:tabs>
              <w:tab w:val="clear" w:pos="8743"/>
              <w:tab w:val="right" w:pos="9026" w:leader="dot"/>
            </w:tabs>
            <w:rPr/>
          </w:pPr>
          <w:hyperlink w:anchor="__RefHeading___Toc11915498_2142443653">
            <w:r>
              <w:rPr>
                <w:webHidden/>
                <w:rStyle w:val="IndexLink"/>
                <w:rtl w:val="true"/>
              </w:rPr>
              <w:t>السحاب الصناعي</w:t>
            </w:r>
            <w:r>
              <w:rPr>
                <w:rStyle w:val="IndexLink"/>
                <w:rtl w:val="true"/>
              </w:rPr>
              <w:tab/>
            </w:r>
            <w:r>
              <w:rPr>
                <w:rStyle w:val="IndexLink"/>
              </w:rPr>
              <w:t>235</w:t>
            </w:r>
          </w:hyperlink>
        </w:p>
        <w:p>
          <w:pPr>
            <w:pStyle w:val="Contents2"/>
            <w:tabs>
              <w:tab w:val="clear" w:pos="8743"/>
              <w:tab w:val="right" w:pos="9026" w:leader="dot"/>
            </w:tabs>
            <w:rPr/>
          </w:pPr>
          <w:hyperlink w:anchor="__RefHeading___Toc11915500_2142443653">
            <w:r>
              <w:rPr>
                <w:webHidden/>
                <w:rStyle w:val="IndexLink"/>
                <w:rtl w:val="true"/>
              </w:rPr>
              <w:t>الترجمة بالآلات</w:t>
            </w:r>
            <w:r>
              <w:rPr>
                <w:rStyle w:val="IndexLink"/>
                <w:rtl w:val="true"/>
              </w:rPr>
              <w:tab/>
            </w:r>
            <w:r>
              <w:rPr>
                <w:rStyle w:val="IndexLink"/>
              </w:rPr>
              <w:t>236</w:t>
            </w:r>
          </w:hyperlink>
        </w:p>
        <w:p>
          <w:pPr>
            <w:pStyle w:val="Contents2"/>
            <w:tabs>
              <w:tab w:val="clear" w:pos="8743"/>
              <w:tab w:val="right" w:pos="9026" w:leader="dot"/>
            </w:tabs>
            <w:rPr/>
          </w:pPr>
          <w:hyperlink w:anchor="__RefHeading___Toc11915502_2142443653">
            <w:r>
              <w:rPr>
                <w:webHidden/>
                <w:rStyle w:val="IndexLink"/>
                <w:rtl w:val="true"/>
              </w:rPr>
              <w:t>الزلازل غير الطبيعية</w:t>
            </w:r>
            <w:r>
              <w:rPr>
                <w:rStyle w:val="IndexLink"/>
                <w:rtl w:val="true"/>
              </w:rPr>
              <w:tab/>
            </w:r>
            <w:r>
              <w:rPr>
                <w:rStyle w:val="IndexLink"/>
              </w:rPr>
              <w:t>237</w:t>
            </w:r>
          </w:hyperlink>
        </w:p>
        <w:p>
          <w:pPr>
            <w:pStyle w:val="Contents2"/>
            <w:tabs>
              <w:tab w:val="clear" w:pos="8743"/>
              <w:tab w:val="right" w:pos="9026" w:leader="dot"/>
            </w:tabs>
            <w:rPr/>
          </w:pPr>
          <w:hyperlink w:anchor="__RefHeading___Toc11915504_2142443653">
            <w:r>
              <w:rPr>
                <w:webHidden/>
                <w:rStyle w:val="IndexLink"/>
                <w:rtl w:val="true"/>
              </w:rPr>
              <w:t>إحداث الزلزلة</w:t>
            </w:r>
            <w:r>
              <w:rPr>
                <w:rStyle w:val="IndexLink"/>
                <w:rtl w:val="true"/>
              </w:rPr>
              <w:tab/>
            </w:r>
            <w:r>
              <w:rPr>
                <w:rStyle w:val="IndexLink"/>
              </w:rPr>
              <w:t>237</w:t>
            </w:r>
          </w:hyperlink>
        </w:p>
        <w:p>
          <w:pPr>
            <w:pStyle w:val="Contents2"/>
            <w:tabs>
              <w:tab w:val="clear" w:pos="8743"/>
              <w:tab w:val="right" w:pos="9026" w:leader="dot"/>
            </w:tabs>
            <w:rPr/>
          </w:pPr>
          <w:hyperlink w:anchor="__RefHeading___Toc11915506_2142443653">
            <w:r>
              <w:rPr>
                <w:webHidden/>
                <w:rStyle w:val="IndexLink"/>
                <w:rtl w:val="true"/>
              </w:rPr>
              <w:t>أجواء البلاد</w:t>
            </w:r>
            <w:r>
              <w:rPr>
                <w:rStyle w:val="IndexLink"/>
                <w:rtl w:val="true"/>
              </w:rPr>
              <w:tab/>
            </w:r>
            <w:r>
              <w:rPr>
                <w:rStyle w:val="IndexLink"/>
              </w:rPr>
              <w:t>238</w:t>
            </w:r>
          </w:hyperlink>
        </w:p>
        <w:p>
          <w:pPr>
            <w:pStyle w:val="Contents2"/>
            <w:tabs>
              <w:tab w:val="clear" w:pos="8743"/>
              <w:tab w:val="right" w:pos="9026" w:leader="dot"/>
            </w:tabs>
            <w:rPr/>
          </w:pPr>
          <w:hyperlink w:anchor="__RefHeading___Toc11915508_2142443653">
            <w:r>
              <w:rPr>
                <w:webHidden/>
                <w:rStyle w:val="IndexLink"/>
                <w:rtl w:val="true"/>
              </w:rPr>
              <w:t>عصارة المحرمات</w:t>
            </w:r>
            <w:r>
              <w:rPr>
                <w:rStyle w:val="IndexLink"/>
                <w:rtl w:val="true"/>
              </w:rPr>
              <w:tab/>
            </w:r>
            <w:r>
              <w:rPr>
                <w:rStyle w:val="IndexLink"/>
              </w:rPr>
              <w:t>239</w:t>
            </w:r>
          </w:hyperlink>
        </w:p>
        <w:p>
          <w:pPr>
            <w:pStyle w:val="Contents2"/>
            <w:tabs>
              <w:tab w:val="clear" w:pos="8743"/>
              <w:tab w:val="right" w:pos="9026" w:leader="dot"/>
            </w:tabs>
            <w:rPr/>
          </w:pPr>
          <w:hyperlink w:anchor="__RefHeading___Toc11915510_2142443653">
            <w:r>
              <w:rPr>
                <w:webHidden/>
                <w:rStyle w:val="IndexLink"/>
                <w:rtl w:val="true"/>
              </w:rPr>
              <w:t>النجاسات وعصارتها</w:t>
            </w:r>
            <w:r>
              <w:rPr>
                <w:rStyle w:val="IndexLink"/>
                <w:rtl w:val="true"/>
              </w:rPr>
              <w:tab/>
            </w:r>
            <w:r>
              <w:rPr>
                <w:rStyle w:val="IndexLink"/>
              </w:rPr>
              <w:t>240</w:t>
            </w:r>
          </w:hyperlink>
        </w:p>
        <w:p>
          <w:pPr>
            <w:pStyle w:val="Contents2"/>
            <w:tabs>
              <w:tab w:val="clear" w:pos="8743"/>
              <w:tab w:val="right" w:pos="9026" w:leader="dot"/>
            </w:tabs>
            <w:rPr/>
          </w:pPr>
          <w:hyperlink w:anchor="__RefHeading___Toc11915512_2142443653">
            <w:r>
              <w:rPr>
                <w:webHidden/>
                <w:rStyle w:val="IndexLink"/>
                <w:rtl w:val="true"/>
              </w:rPr>
              <w:t>تزريق المواد المحرمة</w:t>
            </w:r>
            <w:r>
              <w:rPr>
                <w:rStyle w:val="IndexLink"/>
                <w:rtl w:val="true"/>
              </w:rPr>
              <w:tab/>
            </w:r>
            <w:r>
              <w:rPr>
                <w:rStyle w:val="IndexLink"/>
              </w:rPr>
              <w:t>241</w:t>
            </w:r>
          </w:hyperlink>
        </w:p>
        <w:p>
          <w:pPr>
            <w:pStyle w:val="Contents2"/>
            <w:tabs>
              <w:tab w:val="clear" w:pos="8743"/>
              <w:tab w:val="right" w:pos="9026" w:leader="dot"/>
            </w:tabs>
            <w:rPr/>
          </w:pPr>
          <w:hyperlink w:anchor="__RefHeading___Toc11915514_2142443653">
            <w:r>
              <w:rPr>
                <w:webHidden/>
                <w:rStyle w:val="IndexLink"/>
                <w:rtl w:val="true"/>
              </w:rPr>
              <w:t>الاستمناء لأجل الاختبار</w:t>
            </w:r>
            <w:r>
              <w:rPr>
                <w:rStyle w:val="IndexLink"/>
                <w:rtl w:val="true"/>
              </w:rPr>
              <w:tab/>
            </w:r>
            <w:r>
              <w:rPr>
                <w:rStyle w:val="IndexLink"/>
              </w:rPr>
              <w:t>242</w:t>
            </w:r>
          </w:hyperlink>
        </w:p>
        <w:p>
          <w:pPr>
            <w:pStyle w:val="Contents2"/>
            <w:tabs>
              <w:tab w:val="clear" w:pos="8743"/>
              <w:tab w:val="right" w:pos="9026" w:leader="dot"/>
            </w:tabs>
            <w:rPr/>
          </w:pPr>
          <w:hyperlink w:anchor="__RefHeading___Toc11915516_2142443653">
            <w:r>
              <w:rPr>
                <w:webHidden/>
                <w:rStyle w:val="IndexLink"/>
                <w:rtl w:val="true"/>
              </w:rPr>
              <w:t>الفحص الطبي للمعالجات</w:t>
            </w:r>
            <w:r>
              <w:rPr>
                <w:rStyle w:val="IndexLink"/>
                <w:rtl w:val="true"/>
              </w:rPr>
              <w:tab/>
            </w:r>
            <w:r>
              <w:rPr>
                <w:rStyle w:val="IndexLink"/>
              </w:rPr>
              <w:t>243</w:t>
            </w:r>
          </w:hyperlink>
        </w:p>
        <w:p>
          <w:pPr>
            <w:pStyle w:val="Contents2"/>
            <w:tabs>
              <w:tab w:val="clear" w:pos="8743"/>
              <w:tab w:val="right" w:pos="9026" w:leader="dot"/>
            </w:tabs>
            <w:rPr/>
          </w:pPr>
          <w:hyperlink w:anchor="__RefHeading___Toc11915518_2142443653">
            <w:r>
              <w:rPr>
                <w:webHidden/>
                <w:rStyle w:val="IndexLink"/>
                <w:rtl w:val="true"/>
              </w:rPr>
              <w:t>تنويم الإنسان</w:t>
            </w:r>
            <w:r>
              <w:rPr>
                <w:rStyle w:val="IndexLink"/>
                <w:rtl w:val="true"/>
              </w:rPr>
              <w:tab/>
            </w:r>
            <w:r>
              <w:rPr>
                <w:rStyle w:val="IndexLink"/>
              </w:rPr>
              <w:t>244</w:t>
            </w:r>
          </w:hyperlink>
        </w:p>
        <w:p>
          <w:pPr>
            <w:pStyle w:val="Contents2"/>
            <w:tabs>
              <w:tab w:val="clear" w:pos="8743"/>
              <w:tab w:val="right" w:pos="9026" w:leader="dot"/>
            </w:tabs>
            <w:rPr/>
          </w:pPr>
          <w:hyperlink w:anchor="__RefHeading___Toc11915520_2142443653">
            <w:r>
              <w:rPr>
                <w:webHidden/>
                <w:rStyle w:val="IndexLink"/>
                <w:rtl w:val="true"/>
              </w:rPr>
              <w:t>التنويم القاتل</w:t>
            </w:r>
            <w:r>
              <w:rPr>
                <w:rStyle w:val="IndexLink"/>
                <w:rtl w:val="true"/>
              </w:rPr>
              <w:tab/>
            </w:r>
            <w:r>
              <w:rPr>
                <w:rStyle w:val="IndexLink"/>
              </w:rPr>
              <w:t>245</w:t>
            </w:r>
          </w:hyperlink>
        </w:p>
        <w:p>
          <w:pPr>
            <w:pStyle w:val="Contents2"/>
            <w:tabs>
              <w:tab w:val="clear" w:pos="8743"/>
              <w:tab w:val="right" w:pos="9026" w:leader="dot"/>
            </w:tabs>
            <w:rPr/>
          </w:pPr>
          <w:hyperlink w:anchor="__RefHeading___Toc11915522_2142443653">
            <w:r>
              <w:rPr>
                <w:webHidden/>
                <w:rStyle w:val="IndexLink"/>
                <w:rtl w:val="true"/>
              </w:rPr>
              <w:t>حلق شعر جسد الغير</w:t>
            </w:r>
            <w:r>
              <w:rPr>
                <w:rStyle w:val="IndexLink"/>
                <w:rtl w:val="true"/>
              </w:rPr>
              <w:tab/>
            </w:r>
            <w:r>
              <w:rPr>
                <w:rStyle w:val="IndexLink"/>
              </w:rPr>
              <w:t>246</w:t>
            </w:r>
          </w:hyperlink>
        </w:p>
        <w:p>
          <w:pPr>
            <w:pStyle w:val="Contents2"/>
            <w:tabs>
              <w:tab w:val="clear" w:pos="8743"/>
              <w:tab w:val="right" w:pos="9026" w:leader="dot"/>
            </w:tabs>
            <w:rPr/>
          </w:pPr>
          <w:hyperlink w:anchor="__RefHeading___Toc11915524_2142443653">
            <w:r>
              <w:rPr>
                <w:webHidden/>
                <w:rStyle w:val="IndexLink"/>
                <w:rtl w:val="true"/>
              </w:rPr>
              <w:t>الأرواح والتعلم منها</w:t>
            </w:r>
            <w:r>
              <w:rPr>
                <w:rStyle w:val="IndexLink"/>
                <w:rtl w:val="true"/>
              </w:rPr>
              <w:tab/>
            </w:r>
            <w:r>
              <w:rPr>
                <w:rStyle w:val="IndexLink"/>
              </w:rPr>
              <w:t>247</w:t>
            </w:r>
          </w:hyperlink>
        </w:p>
        <w:p>
          <w:pPr>
            <w:pStyle w:val="Contents2"/>
            <w:tabs>
              <w:tab w:val="clear" w:pos="8743"/>
              <w:tab w:val="right" w:pos="9026" w:leader="dot"/>
            </w:tabs>
            <w:rPr/>
          </w:pPr>
          <w:hyperlink w:anchor="__RefHeading___Toc11915526_2142443653">
            <w:r>
              <w:rPr>
                <w:webHidden/>
                <w:rStyle w:val="IndexLink"/>
                <w:rtl w:val="true"/>
              </w:rPr>
              <w:t>الصور اللاسلكية</w:t>
            </w:r>
            <w:r>
              <w:rPr>
                <w:rStyle w:val="IndexLink"/>
                <w:rtl w:val="true"/>
              </w:rPr>
              <w:tab/>
            </w:r>
            <w:r>
              <w:rPr>
                <w:rStyle w:val="IndexLink"/>
              </w:rPr>
              <w:t>247</w:t>
            </w:r>
          </w:hyperlink>
        </w:p>
        <w:p>
          <w:pPr>
            <w:pStyle w:val="Contents2"/>
            <w:tabs>
              <w:tab w:val="clear" w:pos="8743"/>
              <w:tab w:val="right" w:pos="9026" w:leader="dot"/>
            </w:tabs>
            <w:rPr/>
          </w:pPr>
          <w:hyperlink w:anchor="__RefHeading___Toc11915528_2142443653">
            <w:r>
              <w:rPr>
                <w:webHidden/>
                <w:rStyle w:val="IndexLink"/>
                <w:rtl w:val="true"/>
              </w:rPr>
              <w:t>الغبن في الأسعار</w:t>
            </w:r>
            <w:r>
              <w:rPr>
                <w:rStyle w:val="IndexLink"/>
                <w:rtl w:val="true"/>
              </w:rPr>
              <w:tab/>
            </w:r>
            <w:r>
              <w:rPr>
                <w:rStyle w:val="IndexLink"/>
              </w:rPr>
              <w:t>248</w:t>
            </w:r>
          </w:hyperlink>
        </w:p>
        <w:p>
          <w:pPr>
            <w:pStyle w:val="Contents2"/>
            <w:tabs>
              <w:tab w:val="clear" w:pos="8743"/>
              <w:tab w:val="right" w:pos="9026" w:leader="dot"/>
            </w:tabs>
            <w:rPr/>
          </w:pPr>
          <w:hyperlink w:anchor="__RefHeading___Toc11915530_2142443653">
            <w:r>
              <w:rPr>
                <w:webHidden/>
                <w:rStyle w:val="IndexLink"/>
                <w:rtl w:val="true"/>
              </w:rPr>
              <w:t>النهي بواسطة الغش</w:t>
            </w:r>
            <w:r>
              <w:rPr>
                <w:rStyle w:val="IndexLink"/>
                <w:rtl w:val="true"/>
              </w:rPr>
              <w:tab/>
            </w:r>
            <w:r>
              <w:rPr>
                <w:rStyle w:val="IndexLink"/>
              </w:rPr>
              <w:t>249</w:t>
            </w:r>
          </w:hyperlink>
        </w:p>
        <w:p>
          <w:pPr>
            <w:pStyle w:val="Contents2"/>
            <w:tabs>
              <w:tab w:val="clear" w:pos="8743"/>
              <w:tab w:val="right" w:pos="9026" w:leader="dot"/>
            </w:tabs>
            <w:rPr/>
          </w:pPr>
          <w:hyperlink w:anchor="__RefHeading___Toc11915532_2142443653">
            <w:r>
              <w:rPr>
                <w:webHidden/>
                <w:rStyle w:val="IndexLink"/>
                <w:rtl w:val="true"/>
              </w:rPr>
              <w:t>الاعتماد على آلة الترجمة</w:t>
            </w:r>
            <w:r>
              <w:rPr>
                <w:rStyle w:val="IndexLink"/>
                <w:rtl w:val="true"/>
              </w:rPr>
              <w:tab/>
            </w:r>
            <w:r>
              <w:rPr>
                <w:rStyle w:val="IndexLink"/>
              </w:rPr>
              <w:t>250</w:t>
            </w:r>
          </w:hyperlink>
        </w:p>
        <w:p>
          <w:pPr>
            <w:pStyle w:val="Contents2"/>
            <w:tabs>
              <w:tab w:val="clear" w:pos="8743"/>
              <w:tab w:val="right" w:pos="9026" w:leader="dot"/>
            </w:tabs>
            <w:rPr/>
          </w:pPr>
          <w:hyperlink w:anchor="__RefHeading___Toc11915534_2142443653">
            <w:r>
              <w:rPr>
                <w:webHidden/>
                <w:rStyle w:val="IndexLink"/>
                <w:rtl w:val="true"/>
              </w:rPr>
              <w:t>الإسراف في الماء</w:t>
            </w:r>
            <w:r>
              <w:rPr>
                <w:rStyle w:val="IndexLink"/>
                <w:rtl w:val="true"/>
              </w:rPr>
              <w:tab/>
            </w:r>
            <w:r>
              <w:rPr>
                <w:rStyle w:val="IndexLink"/>
              </w:rPr>
              <w:t>251</w:t>
            </w:r>
          </w:hyperlink>
        </w:p>
        <w:p>
          <w:pPr>
            <w:pStyle w:val="Contents2"/>
            <w:tabs>
              <w:tab w:val="clear" w:pos="8743"/>
              <w:tab w:val="right" w:pos="9026" w:leader="dot"/>
            </w:tabs>
            <w:rPr/>
          </w:pPr>
          <w:hyperlink w:anchor="__RefHeading___Toc11915536_2142443653">
            <w:r>
              <w:rPr>
                <w:webHidden/>
                <w:rStyle w:val="IndexLink"/>
                <w:rtl w:val="true"/>
              </w:rPr>
              <w:t>الإسراف في الكهرباء</w:t>
            </w:r>
            <w:r>
              <w:rPr>
                <w:rStyle w:val="IndexLink"/>
                <w:rtl w:val="true"/>
              </w:rPr>
              <w:tab/>
            </w:r>
            <w:r>
              <w:rPr>
                <w:rStyle w:val="IndexLink"/>
              </w:rPr>
              <w:t>252</w:t>
            </w:r>
          </w:hyperlink>
        </w:p>
        <w:p>
          <w:pPr>
            <w:pStyle w:val="Contents2"/>
            <w:tabs>
              <w:tab w:val="clear" w:pos="8743"/>
              <w:tab w:val="right" w:pos="9026" w:leader="dot"/>
            </w:tabs>
            <w:rPr/>
          </w:pPr>
          <w:hyperlink w:anchor="__RefHeading___Toc11915538_2142443653">
            <w:r>
              <w:rPr>
                <w:webHidden/>
                <w:rStyle w:val="IndexLink"/>
                <w:rtl w:val="true"/>
              </w:rPr>
              <w:t>الانتحار البطيء</w:t>
            </w:r>
            <w:r>
              <w:rPr>
                <w:rStyle w:val="IndexLink"/>
                <w:rtl w:val="true"/>
              </w:rPr>
              <w:tab/>
            </w:r>
            <w:r>
              <w:rPr>
                <w:rStyle w:val="IndexLink"/>
              </w:rPr>
              <w:t>253</w:t>
            </w:r>
          </w:hyperlink>
        </w:p>
        <w:p>
          <w:pPr>
            <w:pStyle w:val="Contents2"/>
            <w:tabs>
              <w:tab w:val="clear" w:pos="8743"/>
              <w:tab w:val="right" w:pos="9026" w:leader="dot"/>
            </w:tabs>
            <w:rPr/>
          </w:pPr>
          <w:hyperlink w:anchor="__RefHeading___Toc11915540_2142443653">
            <w:r>
              <w:rPr>
                <w:webHidden/>
                <w:rStyle w:val="IndexLink"/>
                <w:rtl w:val="true"/>
              </w:rPr>
              <w:t>بين التعذيب والانتحار</w:t>
            </w:r>
            <w:r>
              <w:rPr>
                <w:rStyle w:val="IndexLink"/>
                <w:rtl w:val="true"/>
              </w:rPr>
              <w:tab/>
            </w:r>
            <w:r>
              <w:rPr>
                <w:rStyle w:val="IndexLink"/>
              </w:rPr>
              <w:t>254</w:t>
            </w:r>
          </w:hyperlink>
        </w:p>
        <w:p>
          <w:pPr>
            <w:pStyle w:val="Contents2"/>
            <w:tabs>
              <w:tab w:val="clear" w:pos="8743"/>
              <w:tab w:val="right" w:pos="9026" w:leader="dot"/>
            </w:tabs>
            <w:rPr/>
          </w:pPr>
          <w:hyperlink w:anchor="__RefHeading___Toc11915542_2142443653">
            <w:r>
              <w:rPr>
                <w:webHidden/>
                <w:rStyle w:val="IndexLink"/>
                <w:rtl w:val="true"/>
              </w:rPr>
              <w:t>النطفة الكيماوية</w:t>
            </w:r>
            <w:r>
              <w:rPr>
                <w:rStyle w:val="IndexLink"/>
                <w:rtl w:val="true"/>
              </w:rPr>
              <w:tab/>
            </w:r>
            <w:r>
              <w:rPr>
                <w:rStyle w:val="IndexLink"/>
              </w:rPr>
              <w:t>254</w:t>
            </w:r>
          </w:hyperlink>
        </w:p>
        <w:p>
          <w:pPr>
            <w:pStyle w:val="Contents2"/>
            <w:tabs>
              <w:tab w:val="clear" w:pos="8743"/>
              <w:tab w:val="right" w:pos="9026" w:leader="dot"/>
            </w:tabs>
            <w:rPr/>
          </w:pPr>
          <w:hyperlink w:anchor="__RefHeading___Toc11915544_2142443653">
            <w:r>
              <w:rPr>
                <w:webHidden/>
                <w:rStyle w:val="IndexLink"/>
                <w:rtl w:val="true"/>
              </w:rPr>
              <w:t>النطفة في رحم اليائسة</w:t>
            </w:r>
            <w:r>
              <w:rPr>
                <w:rStyle w:val="IndexLink"/>
                <w:rtl w:val="true"/>
              </w:rPr>
              <w:tab/>
            </w:r>
            <w:r>
              <w:rPr>
                <w:rStyle w:val="IndexLink"/>
              </w:rPr>
              <w:t>255</w:t>
            </w:r>
          </w:hyperlink>
        </w:p>
        <w:p>
          <w:pPr>
            <w:pStyle w:val="Contents2"/>
            <w:tabs>
              <w:tab w:val="clear" w:pos="8743"/>
              <w:tab w:val="right" w:pos="9026" w:leader="dot"/>
            </w:tabs>
            <w:rPr/>
          </w:pPr>
          <w:hyperlink w:anchor="__RefHeading___Toc11915546_2142443653">
            <w:r>
              <w:rPr>
                <w:webHidden/>
                <w:rStyle w:val="IndexLink"/>
                <w:rtl w:val="true"/>
              </w:rPr>
              <w:t>نقل النطفة من رحم إلى رحم آخر</w:t>
            </w:r>
            <w:r>
              <w:rPr>
                <w:rStyle w:val="IndexLink"/>
                <w:rtl w:val="true"/>
              </w:rPr>
              <w:tab/>
            </w:r>
            <w:r>
              <w:rPr>
                <w:rStyle w:val="IndexLink"/>
              </w:rPr>
              <w:t>256</w:t>
            </w:r>
          </w:hyperlink>
        </w:p>
        <w:p>
          <w:pPr>
            <w:pStyle w:val="Contents2"/>
            <w:tabs>
              <w:tab w:val="clear" w:pos="8743"/>
              <w:tab w:val="right" w:pos="9026" w:leader="dot"/>
            </w:tabs>
            <w:rPr/>
          </w:pPr>
          <w:hyperlink w:anchor="__RefHeading___Toc11915548_2142443653">
            <w:r>
              <w:rPr>
                <w:webHidden/>
                <w:rStyle w:val="IndexLink"/>
                <w:rtl w:val="true"/>
              </w:rPr>
              <w:t>اختلاط النطفة</w:t>
            </w:r>
            <w:r>
              <w:rPr>
                <w:rStyle w:val="IndexLink"/>
                <w:rtl w:val="true"/>
              </w:rPr>
              <w:tab/>
            </w:r>
            <w:r>
              <w:rPr>
                <w:rStyle w:val="IndexLink"/>
              </w:rPr>
              <w:t>257</w:t>
            </w:r>
          </w:hyperlink>
        </w:p>
        <w:p>
          <w:pPr>
            <w:pStyle w:val="Contents2"/>
            <w:tabs>
              <w:tab w:val="clear" w:pos="8743"/>
              <w:tab w:val="right" w:pos="9026" w:leader="dot"/>
            </w:tabs>
            <w:rPr/>
          </w:pPr>
          <w:hyperlink w:anchor="__RefHeading___Toc11915550_2142443653">
            <w:r>
              <w:rPr>
                <w:webHidden/>
                <w:rStyle w:val="IndexLink"/>
                <w:rtl w:val="true"/>
              </w:rPr>
              <w:t>خلط نطفتين</w:t>
            </w:r>
            <w:r>
              <w:rPr>
                <w:rStyle w:val="IndexLink"/>
                <w:rtl w:val="true"/>
              </w:rPr>
              <w:tab/>
            </w:r>
            <w:r>
              <w:rPr>
                <w:rStyle w:val="IndexLink"/>
              </w:rPr>
              <w:t>258</w:t>
            </w:r>
          </w:hyperlink>
        </w:p>
        <w:p>
          <w:pPr>
            <w:pStyle w:val="Contents2"/>
            <w:tabs>
              <w:tab w:val="clear" w:pos="8743"/>
              <w:tab w:val="right" w:pos="9026" w:leader="dot"/>
            </w:tabs>
            <w:rPr/>
          </w:pPr>
          <w:hyperlink w:anchor="__RefHeading___Toc11915552_2142443653">
            <w:r>
              <w:rPr>
                <w:webHidden/>
                <w:rStyle w:val="IndexLink"/>
                <w:rtl w:val="true"/>
              </w:rPr>
              <w:t>مس العظم الصناعي</w:t>
            </w:r>
            <w:r>
              <w:rPr>
                <w:rStyle w:val="IndexLink"/>
                <w:rtl w:val="true"/>
              </w:rPr>
              <w:tab/>
            </w:r>
            <w:r>
              <w:rPr>
                <w:rStyle w:val="IndexLink"/>
              </w:rPr>
              <w:t>259</w:t>
            </w:r>
          </w:hyperlink>
        </w:p>
        <w:p>
          <w:pPr>
            <w:pStyle w:val="Contents2"/>
            <w:tabs>
              <w:tab w:val="clear" w:pos="8743"/>
              <w:tab w:val="right" w:pos="9026" w:leader="dot"/>
            </w:tabs>
            <w:rPr/>
          </w:pPr>
          <w:hyperlink w:anchor="__RefHeading___Toc11915554_2142443653">
            <w:r>
              <w:rPr>
                <w:webHidden/>
                <w:rStyle w:val="IndexLink"/>
                <w:rtl w:val="true"/>
              </w:rPr>
              <w:t>توأمان متلاصقان</w:t>
            </w:r>
            <w:r>
              <w:rPr>
                <w:rStyle w:val="IndexLink"/>
                <w:rtl w:val="true"/>
              </w:rPr>
              <w:tab/>
            </w:r>
            <w:r>
              <w:rPr>
                <w:rStyle w:val="IndexLink"/>
              </w:rPr>
              <w:t>260</w:t>
            </w:r>
          </w:hyperlink>
        </w:p>
        <w:p>
          <w:pPr>
            <w:pStyle w:val="Contents2"/>
            <w:tabs>
              <w:tab w:val="clear" w:pos="8743"/>
              <w:tab w:val="right" w:pos="9026" w:leader="dot"/>
            </w:tabs>
            <w:rPr/>
          </w:pPr>
          <w:hyperlink w:anchor="__RefHeading___Toc11915556_2142443653">
            <w:r>
              <w:rPr>
                <w:webHidden/>
                <w:rStyle w:val="IndexLink"/>
                <w:rtl w:val="true"/>
              </w:rPr>
              <w:t>جسدان على حقو واحد</w:t>
            </w:r>
            <w:r>
              <w:rPr>
                <w:rStyle w:val="IndexLink"/>
                <w:rtl w:val="true"/>
              </w:rPr>
              <w:tab/>
            </w:r>
            <w:r>
              <w:rPr>
                <w:rStyle w:val="IndexLink"/>
              </w:rPr>
              <w:t>262</w:t>
            </w:r>
          </w:hyperlink>
        </w:p>
        <w:p>
          <w:pPr>
            <w:pStyle w:val="Contents2"/>
            <w:tabs>
              <w:tab w:val="clear" w:pos="8743"/>
              <w:tab w:val="right" w:pos="9026" w:leader="dot"/>
            </w:tabs>
            <w:rPr/>
          </w:pPr>
          <w:hyperlink w:anchor="__RefHeading___Toc11915558_2142443653">
            <w:r>
              <w:rPr>
                <w:webHidden/>
                <w:rStyle w:val="IndexLink"/>
                <w:rtl w:val="true"/>
              </w:rPr>
              <w:t>ذو العورتين المتشابهتين</w:t>
            </w:r>
            <w:r>
              <w:rPr>
                <w:rStyle w:val="IndexLink"/>
                <w:rtl w:val="true"/>
              </w:rPr>
              <w:tab/>
            </w:r>
            <w:r>
              <w:rPr>
                <w:rStyle w:val="IndexLink"/>
              </w:rPr>
              <w:t>263</w:t>
            </w:r>
          </w:hyperlink>
        </w:p>
        <w:p>
          <w:pPr>
            <w:pStyle w:val="Contents2"/>
            <w:tabs>
              <w:tab w:val="clear" w:pos="8743"/>
              <w:tab w:val="right" w:pos="9026" w:leader="dot"/>
            </w:tabs>
            <w:rPr/>
          </w:pPr>
          <w:hyperlink w:anchor="__RefHeading___Toc11915560_2142443653">
            <w:r>
              <w:rPr>
                <w:webHidden/>
                <w:rStyle w:val="IndexLink"/>
                <w:rtl w:val="true"/>
              </w:rPr>
              <w:t>ذو العورتين المختلفتين</w:t>
            </w:r>
            <w:r>
              <w:rPr>
                <w:rStyle w:val="IndexLink"/>
                <w:rtl w:val="true"/>
              </w:rPr>
              <w:tab/>
            </w:r>
            <w:r>
              <w:rPr>
                <w:rStyle w:val="IndexLink"/>
              </w:rPr>
              <w:t>264</w:t>
            </w:r>
          </w:hyperlink>
        </w:p>
        <w:p>
          <w:pPr>
            <w:pStyle w:val="Contents2"/>
            <w:tabs>
              <w:tab w:val="clear" w:pos="8743"/>
              <w:tab w:val="right" w:pos="9026" w:leader="dot"/>
            </w:tabs>
            <w:rPr/>
          </w:pPr>
          <w:hyperlink w:anchor="__RefHeading___Toc11915562_2142443653">
            <w:r>
              <w:rPr>
                <w:webHidden/>
                <w:rStyle w:val="IndexLink"/>
                <w:rtl w:val="true"/>
              </w:rPr>
              <w:t>الانتفاع بإحدى العورتين</w:t>
            </w:r>
            <w:r>
              <w:rPr>
                <w:rStyle w:val="IndexLink"/>
                <w:rtl w:val="true"/>
              </w:rPr>
              <w:tab/>
            </w:r>
            <w:r>
              <w:rPr>
                <w:rStyle w:val="IndexLink"/>
              </w:rPr>
              <w:t>266</w:t>
            </w:r>
          </w:hyperlink>
        </w:p>
        <w:p>
          <w:pPr>
            <w:pStyle w:val="Contents2"/>
            <w:tabs>
              <w:tab w:val="clear" w:pos="8743"/>
              <w:tab w:val="right" w:pos="9026" w:leader="dot"/>
            </w:tabs>
            <w:rPr/>
          </w:pPr>
          <w:hyperlink w:anchor="__RefHeading___Toc11915564_2142443653">
            <w:r>
              <w:rPr>
                <w:webHidden/>
                <w:rStyle w:val="IndexLink"/>
                <w:rtl w:val="true"/>
              </w:rPr>
              <w:t>الانتفاع بكلتا العورتين</w:t>
            </w:r>
            <w:r>
              <w:rPr>
                <w:rStyle w:val="IndexLink"/>
                <w:rtl w:val="true"/>
              </w:rPr>
              <w:tab/>
            </w:r>
            <w:r>
              <w:rPr>
                <w:rStyle w:val="IndexLink"/>
              </w:rPr>
              <w:t>266</w:t>
            </w:r>
          </w:hyperlink>
        </w:p>
        <w:p>
          <w:pPr>
            <w:pStyle w:val="Contents2"/>
            <w:tabs>
              <w:tab w:val="clear" w:pos="8743"/>
              <w:tab w:val="right" w:pos="9026" w:leader="dot"/>
            </w:tabs>
            <w:rPr/>
          </w:pPr>
          <w:hyperlink w:anchor="__RefHeading___Toc11915566_2142443653">
            <w:r>
              <w:rPr>
                <w:webHidden/>
                <w:rStyle w:val="IndexLink"/>
                <w:rtl w:val="true"/>
              </w:rPr>
              <w:t>الزراعة في البحار</w:t>
            </w:r>
            <w:r>
              <w:rPr>
                <w:rStyle w:val="IndexLink"/>
                <w:rtl w:val="true"/>
              </w:rPr>
              <w:tab/>
            </w:r>
            <w:r>
              <w:rPr>
                <w:rStyle w:val="IndexLink"/>
              </w:rPr>
              <w:t>267</w:t>
            </w:r>
          </w:hyperlink>
        </w:p>
        <w:p>
          <w:pPr>
            <w:pStyle w:val="Contents2"/>
            <w:tabs>
              <w:tab w:val="clear" w:pos="8743"/>
              <w:tab w:val="right" w:pos="9026" w:leader="dot"/>
            </w:tabs>
            <w:rPr/>
          </w:pPr>
          <w:hyperlink w:anchor="__RefHeading___Toc11915568_2142443653">
            <w:r>
              <w:rPr>
                <w:webHidden/>
                <w:rStyle w:val="IndexLink"/>
                <w:rtl w:val="true"/>
              </w:rPr>
              <w:t>انعدام فلس السمك</w:t>
            </w:r>
            <w:r>
              <w:rPr>
                <w:rStyle w:val="IndexLink"/>
                <w:rtl w:val="true"/>
              </w:rPr>
              <w:tab/>
            </w:r>
            <w:r>
              <w:rPr>
                <w:rStyle w:val="IndexLink"/>
              </w:rPr>
              <w:t>267</w:t>
            </w:r>
          </w:hyperlink>
        </w:p>
        <w:p>
          <w:pPr>
            <w:pStyle w:val="Contents2"/>
            <w:tabs>
              <w:tab w:val="clear" w:pos="8743"/>
              <w:tab w:val="right" w:pos="9026" w:leader="dot"/>
            </w:tabs>
            <w:rPr/>
          </w:pPr>
          <w:hyperlink w:anchor="__RefHeading___Toc11915570_2142443653">
            <w:r>
              <w:rPr>
                <w:webHidden/>
                <w:rStyle w:val="IndexLink"/>
                <w:rtl w:val="true"/>
              </w:rPr>
              <w:t>إحداث الفلس للسمك</w:t>
            </w:r>
            <w:r>
              <w:rPr>
                <w:rStyle w:val="IndexLink"/>
                <w:rtl w:val="true"/>
              </w:rPr>
              <w:tab/>
            </w:r>
            <w:r>
              <w:rPr>
                <w:rStyle w:val="IndexLink"/>
              </w:rPr>
              <w:t>268</w:t>
            </w:r>
          </w:hyperlink>
        </w:p>
        <w:p>
          <w:pPr>
            <w:pStyle w:val="Contents2"/>
            <w:tabs>
              <w:tab w:val="clear" w:pos="8743"/>
              <w:tab w:val="right" w:pos="9026" w:leader="dot"/>
            </w:tabs>
            <w:rPr/>
          </w:pPr>
          <w:hyperlink w:anchor="__RefHeading___Toc11915572_2142443653">
            <w:r>
              <w:rPr>
                <w:webHidden/>
                <w:rStyle w:val="IndexLink"/>
                <w:rtl w:val="true"/>
              </w:rPr>
              <w:t>السمكة الآكلة والمأكولة</w:t>
            </w:r>
            <w:r>
              <w:rPr>
                <w:rStyle w:val="IndexLink"/>
                <w:rtl w:val="true"/>
              </w:rPr>
              <w:tab/>
            </w:r>
            <w:r>
              <w:rPr>
                <w:rStyle w:val="IndexLink"/>
              </w:rPr>
              <w:t>269</w:t>
            </w:r>
          </w:hyperlink>
        </w:p>
        <w:p>
          <w:pPr>
            <w:pStyle w:val="Contents2"/>
            <w:tabs>
              <w:tab w:val="clear" w:pos="8743"/>
              <w:tab w:val="right" w:pos="9026" w:leader="dot"/>
            </w:tabs>
            <w:rPr/>
          </w:pPr>
          <w:hyperlink w:anchor="__RefHeading___Toc11915574_2142443653">
            <w:r>
              <w:rPr>
                <w:webHidden/>
                <w:rStyle w:val="IndexLink"/>
                <w:rtl w:val="true"/>
              </w:rPr>
              <w:t>الصفيف والدفيف</w:t>
            </w:r>
            <w:r>
              <w:rPr>
                <w:rStyle w:val="IndexLink"/>
                <w:rtl w:val="true"/>
              </w:rPr>
              <w:tab/>
            </w:r>
            <w:r>
              <w:rPr>
                <w:rStyle w:val="IndexLink"/>
              </w:rPr>
              <w:t>270</w:t>
            </w:r>
          </w:hyperlink>
        </w:p>
        <w:p>
          <w:pPr>
            <w:pStyle w:val="Contents2"/>
            <w:tabs>
              <w:tab w:val="clear" w:pos="8743"/>
              <w:tab w:val="right" w:pos="9026" w:leader="dot"/>
            </w:tabs>
            <w:rPr/>
          </w:pPr>
          <w:hyperlink w:anchor="__RefHeading___Toc11915576_2142443653">
            <w:r>
              <w:rPr>
                <w:webHidden/>
                <w:rStyle w:val="IndexLink"/>
                <w:rtl w:val="true"/>
              </w:rPr>
              <w:t>التغيير في نسل الطائر</w:t>
            </w:r>
            <w:r>
              <w:rPr>
                <w:rStyle w:val="IndexLink"/>
                <w:rtl w:val="true"/>
              </w:rPr>
              <w:tab/>
            </w:r>
            <w:r>
              <w:rPr>
                <w:rStyle w:val="IndexLink"/>
              </w:rPr>
              <w:t>271</w:t>
            </w:r>
          </w:hyperlink>
        </w:p>
        <w:p>
          <w:pPr>
            <w:pStyle w:val="Contents2"/>
            <w:tabs>
              <w:tab w:val="clear" w:pos="8743"/>
              <w:tab w:val="right" w:pos="9026" w:leader="dot"/>
            </w:tabs>
            <w:rPr/>
          </w:pPr>
          <w:hyperlink w:anchor="__RefHeading___Toc11915578_2142443653">
            <w:r>
              <w:rPr>
                <w:webHidden/>
                <w:rStyle w:val="IndexLink"/>
                <w:rtl w:val="true"/>
              </w:rPr>
              <w:t>الصناديق الخيرية</w:t>
            </w:r>
            <w:r>
              <w:rPr>
                <w:rStyle w:val="IndexLink"/>
                <w:rtl w:val="true"/>
              </w:rPr>
              <w:tab/>
            </w:r>
            <w:r>
              <w:rPr>
                <w:rStyle w:val="IndexLink"/>
              </w:rPr>
              <w:t>271</w:t>
            </w:r>
          </w:hyperlink>
        </w:p>
        <w:p>
          <w:pPr>
            <w:pStyle w:val="Contents2"/>
            <w:tabs>
              <w:tab w:val="clear" w:pos="8743"/>
              <w:tab w:val="right" w:pos="9026" w:leader="dot"/>
            </w:tabs>
            <w:rPr/>
          </w:pPr>
          <w:hyperlink w:anchor="__RefHeading___Toc11915580_2142443653">
            <w:r>
              <w:rPr>
                <w:webHidden/>
                <w:rStyle w:val="IndexLink"/>
                <w:rtl w:val="true"/>
              </w:rPr>
              <w:t>استبدال موضوع الطير والسمك</w:t>
            </w:r>
            <w:r>
              <w:rPr>
                <w:rStyle w:val="IndexLink"/>
                <w:rtl w:val="true"/>
              </w:rPr>
              <w:tab/>
            </w:r>
            <w:r>
              <w:rPr>
                <w:rStyle w:val="IndexLink"/>
              </w:rPr>
              <w:t>272</w:t>
            </w:r>
          </w:hyperlink>
        </w:p>
        <w:p>
          <w:pPr>
            <w:pStyle w:val="Contents2"/>
            <w:tabs>
              <w:tab w:val="clear" w:pos="8743"/>
              <w:tab w:val="right" w:pos="9026" w:leader="dot"/>
            </w:tabs>
            <w:rPr/>
          </w:pPr>
          <w:hyperlink w:anchor="__RefHeading___Toc11915582_2142443653">
            <w:r>
              <w:rPr>
                <w:webHidden/>
                <w:rStyle w:val="IndexLink"/>
                <w:rtl w:val="true"/>
              </w:rPr>
              <w:t>تطعيم الأعضاء</w:t>
            </w:r>
            <w:r>
              <w:rPr>
                <w:rStyle w:val="IndexLink"/>
                <w:rtl w:val="true"/>
              </w:rPr>
              <w:tab/>
            </w:r>
            <w:r>
              <w:rPr>
                <w:rStyle w:val="IndexLink"/>
              </w:rPr>
              <w:t>273</w:t>
            </w:r>
          </w:hyperlink>
        </w:p>
        <w:p>
          <w:pPr>
            <w:pStyle w:val="Contents2"/>
            <w:tabs>
              <w:tab w:val="clear" w:pos="8743"/>
              <w:tab w:val="right" w:pos="9026" w:leader="dot"/>
            </w:tabs>
            <w:rPr/>
          </w:pPr>
          <w:hyperlink w:anchor="__RefHeading___Toc11915584_2142443653">
            <w:r>
              <w:rPr>
                <w:webHidden/>
                <w:rStyle w:val="IndexLink"/>
                <w:rtl w:val="true"/>
              </w:rPr>
              <w:t>أنواع الموسيقى</w:t>
            </w:r>
            <w:r>
              <w:rPr>
                <w:rStyle w:val="IndexLink"/>
                <w:rtl w:val="true"/>
              </w:rPr>
              <w:tab/>
            </w:r>
            <w:r>
              <w:rPr>
                <w:rStyle w:val="IndexLink"/>
              </w:rPr>
              <w:t>273</w:t>
            </w:r>
          </w:hyperlink>
        </w:p>
        <w:p>
          <w:pPr>
            <w:pStyle w:val="Contents2"/>
            <w:tabs>
              <w:tab w:val="clear" w:pos="8743"/>
              <w:tab w:val="right" w:pos="9026" w:leader="dot"/>
            </w:tabs>
            <w:rPr/>
          </w:pPr>
          <w:hyperlink w:anchor="__RefHeading___Toc11915586_2142443653">
            <w:r>
              <w:rPr>
                <w:webHidden/>
                <w:rStyle w:val="IndexLink"/>
                <w:rtl w:val="true"/>
              </w:rPr>
              <w:t>المسابقات الجوية والبرية</w:t>
            </w:r>
            <w:r>
              <w:rPr>
                <w:rStyle w:val="IndexLink"/>
                <w:rtl w:val="true"/>
              </w:rPr>
              <w:tab/>
            </w:r>
            <w:r>
              <w:rPr>
                <w:rStyle w:val="IndexLink"/>
              </w:rPr>
              <w:t>274</w:t>
            </w:r>
          </w:hyperlink>
        </w:p>
        <w:p>
          <w:pPr>
            <w:pStyle w:val="Contents2"/>
            <w:tabs>
              <w:tab w:val="clear" w:pos="8743"/>
              <w:tab w:val="right" w:pos="9026" w:leader="dot"/>
            </w:tabs>
            <w:rPr/>
          </w:pPr>
          <w:hyperlink w:anchor="__RefHeading___Toc11915588_2142443653">
            <w:r>
              <w:rPr>
                <w:webHidden/>
                <w:rStyle w:val="IndexLink"/>
                <w:rtl w:val="true"/>
              </w:rPr>
              <w:t>البيوت والمدن البحرية</w:t>
            </w:r>
            <w:r>
              <w:rPr>
                <w:rStyle w:val="IndexLink"/>
                <w:rtl w:val="true"/>
              </w:rPr>
              <w:tab/>
            </w:r>
            <w:r>
              <w:rPr>
                <w:rStyle w:val="IndexLink"/>
              </w:rPr>
              <w:t>275</w:t>
            </w:r>
          </w:hyperlink>
        </w:p>
        <w:p>
          <w:pPr>
            <w:pStyle w:val="Contents2"/>
            <w:tabs>
              <w:tab w:val="clear" w:pos="8743"/>
              <w:tab w:val="right" w:pos="9026" w:leader="dot"/>
            </w:tabs>
            <w:rPr/>
          </w:pPr>
          <w:hyperlink w:anchor="__RefHeading___Toc11915590_2142443653">
            <w:r>
              <w:rPr>
                <w:webHidden/>
                <w:rStyle w:val="IndexLink"/>
                <w:rtl w:val="true"/>
              </w:rPr>
              <w:t>الاستيطان في البحار</w:t>
            </w:r>
            <w:r>
              <w:rPr>
                <w:rStyle w:val="IndexLink"/>
                <w:rtl w:val="true"/>
              </w:rPr>
              <w:tab/>
            </w:r>
            <w:r>
              <w:rPr>
                <w:rStyle w:val="IndexLink"/>
              </w:rPr>
              <w:t>276</w:t>
            </w:r>
          </w:hyperlink>
        </w:p>
        <w:p>
          <w:pPr>
            <w:pStyle w:val="Contents2"/>
            <w:tabs>
              <w:tab w:val="clear" w:pos="8743"/>
              <w:tab w:val="right" w:pos="9026" w:leader="dot"/>
            </w:tabs>
            <w:rPr/>
          </w:pPr>
          <w:hyperlink w:anchor="__RefHeading___Toc11915592_2142443653">
            <w:r>
              <w:rPr>
                <w:webHidden/>
                <w:rStyle w:val="IndexLink"/>
                <w:rtl w:val="true"/>
              </w:rPr>
              <w:t>تحنيط الأموات بالتزريق</w:t>
            </w:r>
            <w:r>
              <w:rPr>
                <w:rStyle w:val="IndexLink"/>
                <w:rtl w:val="true"/>
              </w:rPr>
              <w:tab/>
            </w:r>
            <w:r>
              <w:rPr>
                <w:rStyle w:val="IndexLink"/>
              </w:rPr>
              <w:t>276</w:t>
            </w:r>
          </w:hyperlink>
        </w:p>
        <w:p>
          <w:pPr>
            <w:pStyle w:val="Contents2"/>
            <w:tabs>
              <w:tab w:val="clear" w:pos="8743"/>
              <w:tab w:val="right" w:pos="9026" w:leader="dot"/>
            </w:tabs>
            <w:rPr/>
          </w:pPr>
          <w:hyperlink w:anchor="__RefHeading___Toc11915594_2142443653">
            <w:r>
              <w:rPr>
                <w:webHidden/>
                <w:rStyle w:val="IndexLink"/>
                <w:rtl w:val="true"/>
              </w:rPr>
              <w:t>تحنيط الموتى بالتشريح</w:t>
            </w:r>
            <w:r>
              <w:rPr>
                <w:rStyle w:val="IndexLink"/>
                <w:rtl w:val="true"/>
              </w:rPr>
              <w:tab/>
            </w:r>
            <w:r>
              <w:rPr>
                <w:rStyle w:val="IndexLink"/>
              </w:rPr>
              <w:t>277</w:t>
            </w:r>
          </w:hyperlink>
        </w:p>
        <w:p>
          <w:pPr>
            <w:pStyle w:val="Contents2"/>
            <w:tabs>
              <w:tab w:val="clear" w:pos="8743"/>
              <w:tab w:val="right" w:pos="9026" w:leader="dot"/>
            </w:tabs>
            <w:rPr/>
          </w:pPr>
          <w:hyperlink w:anchor="__RefHeading___Toc11915596_2142443653">
            <w:r>
              <w:rPr>
                <w:webHidden/>
                <w:rStyle w:val="IndexLink"/>
                <w:rtl w:val="true"/>
              </w:rPr>
              <w:t>إحراق الكفار أمواتهم في بلاد الإسلام</w:t>
            </w:r>
            <w:r>
              <w:rPr>
                <w:rStyle w:val="IndexLink"/>
                <w:rtl w:val="true"/>
              </w:rPr>
              <w:tab/>
            </w:r>
            <w:r>
              <w:rPr>
                <w:rStyle w:val="IndexLink"/>
              </w:rPr>
              <w:t>278</w:t>
            </w:r>
          </w:hyperlink>
        </w:p>
        <w:p>
          <w:pPr>
            <w:pStyle w:val="Contents2"/>
            <w:tabs>
              <w:tab w:val="clear" w:pos="8743"/>
              <w:tab w:val="right" w:pos="9026" w:leader="dot"/>
            </w:tabs>
            <w:rPr/>
          </w:pPr>
          <w:hyperlink w:anchor="__RefHeading___Toc11915598_2142443653">
            <w:r>
              <w:rPr>
                <w:webHidden/>
                <w:rStyle w:val="IndexLink"/>
                <w:rtl w:val="true"/>
              </w:rPr>
              <w:t>تصفية السكر بالعظم</w:t>
            </w:r>
            <w:r>
              <w:rPr>
                <w:rStyle w:val="IndexLink"/>
                <w:rtl w:val="true"/>
              </w:rPr>
              <w:tab/>
            </w:r>
            <w:r>
              <w:rPr>
                <w:rStyle w:val="IndexLink"/>
              </w:rPr>
              <w:t>279</w:t>
            </w:r>
          </w:hyperlink>
        </w:p>
        <w:p>
          <w:pPr>
            <w:pStyle w:val="Contents2"/>
            <w:tabs>
              <w:tab w:val="clear" w:pos="8743"/>
              <w:tab w:val="right" w:pos="9026" w:leader="dot"/>
            </w:tabs>
            <w:rPr/>
          </w:pPr>
          <w:hyperlink w:anchor="__RefHeading___Toc11915600_2142443653">
            <w:r>
              <w:rPr>
                <w:webHidden/>
                <w:rStyle w:val="IndexLink"/>
                <w:rtl w:val="true"/>
              </w:rPr>
              <w:t>الحيوان المركّب من حيوانين</w:t>
            </w:r>
            <w:r>
              <w:rPr>
                <w:rStyle w:val="IndexLink"/>
                <w:rtl w:val="true"/>
              </w:rPr>
              <w:tab/>
            </w:r>
            <w:r>
              <w:rPr>
                <w:rStyle w:val="IndexLink"/>
              </w:rPr>
              <w:t>281</w:t>
            </w:r>
          </w:hyperlink>
        </w:p>
        <w:p>
          <w:pPr>
            <w:pStyle w:val="Contents2"/>
            <w:tabs>
              <w:tab w:val="clear" w:pos="8743"/>
              <w:tab w:val="right" w:pos="9026" w:leader="dot"/>
            </w:tabs>
            <w:rPr/>
          </w:pPr>
          <w:hyperlink w:anchor="__RefHeading___Toc11915602_2142443653">
            <w:r>
              <w:rPr>
                <w:webHidden/>
                <w:rStyle w:val="IndexLink"/>
                <w:rtl w:val="true"/>
              </w:rPr>
              <w:t>استحالة الجزء المركب</w:t>
            </w:r>
            <w:r>
              <w:rPr>
                <w:rStyle w:val="IndexLink"/>
                <w:rtl w:val="true"/>
              </w:rPr>
              <w:tab/>
            </w:r>
            <w:r>
              <w:rPr>
                <w:rStyle w:val="IndexLink"/>
              </w:rPr>
              <w:t>283</w:t>
            </w:r>
          </w:hyperlink>
        </w:p>
        <w:p>
          <w:pPr>
            <w:pStyle w:val="Contents2"/>
            <w:tabs>
              <w:tab w:val="clear" w:pos="8743"/>
              <w:tab w:val="right" w:pos="9026" w:leader="dot"/>
            </w:tabs>
            <w:rPr/>
          </w:pPr>
          <w:hyperlink w:anchor="__RefHeading___Toc11915604_2142443653">
            <w:r>
              <w:rPr>
                <w:webHidden/>
                <w:rStyle w:val="IndexLink"/>
                <w:rtl w:val="true"/>
              </w:rPr>
              <w:t>إخصاب نطفة الحيوان</w:t>
            </w:r>
            <w:r>
              <w:rPr>
                <w:rStyle w:val="IndexLink"/>
                <w:rtl w:val="true"/>
              </w:rPr>
              <w:tab/>
            </w:r>
            <w:r>
              <w:rPr>
                <w:rStyle w:val="IndexLink"/>
              </w:rPr>
              <w:t>283</w:t>
            </w:r>
          </w:hyperlink>
        </w:p>
        <w:p>
          <w:pPr>
            <w:pStyle w:val="Contents2"/>
            <w:tabs>
              <w:tab w:val="clear" w:pos="8743"/>
              <w:tab w:val="right" w:pos="9026" w:leader="dot"/>
            </w:tabs>
            <w:rPr/>
          </w:pPr>
          <w:hyperlink w:anchor="__RefHeading___Toc11915606_2142443653">
            <w:r>
              <w:rPr>
                <w:webHidden/>
                <w:rStyle w:val="IndexLink"/>
                <w:rtl w:val="true"/>
              </w:rPr>
              <w:t>المتولد بين حيوانين</w:t>
            </w:r>
            <w:r>
              <w:rPr>
                <w:rStyle w:val="IndexLink"/>
                <w:rtl w:val="true"/>
              </w:rPr>
              <w:tab/>
            </w:r>
            <w:r>
              <w:rPr>
                <w:rStyle w:val="IndexLink"/>
              </w:rPr>
              <w:t>284</w:t>
            </w:r>
          </w:hyperlink>
        </w:p>
        <w:p>
          <w:pPr>
            <w:pStyle w:val="Contents2"/>
            <w:tabs>
              <w:tab w:val="clear" w:pos="8743"/>
              <w:tab w:val="right" w:pos="9026" w:leader="dot"/>
            </w:tabs>
            <w:rPr/>
          </w:pPr>
          <w:hyperlink w:anchor="__RefHeading___Toc11915608_2142443653">
            <w:r>
              <w:rPr>
                <w:webHidden/>
                <w:rStyle w:val="IndexLink"/>
                <w:rtl w:val="true"/>
              </w:rPr>
              <w:t>نزو الحيوانات فيما بينها</w:t>
            </w:r>
            <w:r>
              <w:rPr>
                <w:rStyle w:val="IndexLink"/>
                <w:rtl w:val="true"/>
              </w:rPr>
              <w:tab/>
            </w:r>
            <w:r>
              <w:rPr>
                <w:rStyle w:val="IndexLink"/>
              </w:rPr>
              <w:t>285</w:t>
            </w:r>
          </w:hyperlink>
        </w:p>
        <w:p>
          <w:pPr>
            <w:pStyle w:val="Contents2"/>
            <w:tabs>
              <w:tab w:val="clear" w:pos="8743"/>
              <w:tab w:val="right" w:pos="9026" w:leader="dot"/>
            </w:tabs>
            <w:rPr/>
          </w:pPr>
          <w:hyperlink w:anchor="__RefHeading___Toc11915610_2142443653">
            <w:r>
              <w:rPr>
                <w:webHidden/>
                <w:rStyle w:val="IndexLink"/>
                <w:rtl w:val="true"/>
              </w:rPr>
              <w:t>تركيب نطفة الحيوان</w:t>
            </w:r>
            <w:r>
              <w:rPr>
                <w:rStyle w:val="IndexLink"/>
                <w:rtl w:val="true"/>
              </w:rPr>
              <w:tab/>
            </w:r>
            <w:r>
              <w:rPr>
                <w:rStyle w:val="IndexLink"/>
              </w:rPr>
              <w:t>285</w:t>
            </w:r>
          </w:hyperlink>
        </w:p>
        <w:p>
          <w:pPr>
            <w:pStyle w:val="Contents2"/>
            <w:tabs>
              <w:tab w:val="clear" w:pos="8743"/>
              <w:tab w:val="right" w:pos="9026" w:leader="dot"/>
            </w:tabs>
            <w:rPr/>
          </w:pPr>
          <w:hyperlink w:anchor="__RefHeading___Toc11915612_2142443653">
            <w:r>
              <w:rPr>
                <w:webHidden/>
                <w:rStyle w:val="IndexLink"/>
                <w:rtl w:val="true"/>
              </w:rPr>
              <w:t>حكم الحيوان المركب</w:t>
            </w:r>
            <w:r>
              <w:rPr>
                <w:rStyle w:val="IndexLink"/>
                <w:rtl w:val="true"/>
              </w:rPr>
              <w:tab/>
            </w:r>
            <w:r>
              <w:rPr>
                <w:rStyle w:val="IndexLink"/>
              </w:rPr>
              <w:t>286</w:t>
            </w:r>
          </w:hyperlink>
        </w:p>
        <w:p>
          <w:pPr>
            <w:pStyle w:val="Contents2"/>
            <w:tabs>
              <w:tab w:val="clear" w:pos="8743"/>
              <w:tab w:val="right" w:pos="9026" w:leader="dot"/>
            </w:tabs>
            <w:rPr/>
          </w:pPr>
          <w:hyperlink w:anchor="__RefHeading___Toc11915614_2142443653">
            <w:r>
              <w:rPr>
                <w:webHidden/>
                <w:rStyle w:val="IndexLink"/>
                <w:rtl w:val="true"/>
              </w:rPr>
              <w:t>الطيران بالأجنحة والبالون</w:t>
            </w:r>
            <w:r>
              <w:rPr>
                <w:rStyle w:val="IndexLink"/>
                <w:rtl w:val="true"/>
              </w:rPr>
              <w:tab/>
            </w:r>
            <w:r>
              <w:rPr>
                <w:rStyle w:val="IndexLink"/>
              </w:rPr>
              <w:t>287</w:t>
            </w:r>
          </w:hyperlink>
        </w:p>
        <w:p>
          <w:pPr>
            <w:pStyle w:val="Contents2"/>
            <w:tabs>
              <w:tab w:val="clear" w:pos="8743"/>
              <w:tab w:val="right" w:pos="9026" w:leader="dot"/>
            </w:tabs>
            <w:rPr/>
          </w:pPr>
          <w:hyperlink w:anchor="__RefHeading___Toc11915616_2142443653">
            <w:r>
              <w:rPr>
                <w:webHidden/>
                <w:rStyle w:val="IndexLink"/>
                <w:rtl w:val="true"/>
              </w:rPr>
              <w:t>تكوين أجنحة</w:t>
            </w:r>
            <w:r>
              <w:rPr>
                <w:rStyle w:val="IndexLink"/>
                <w:rtl w:val="true"/>
              </w:rPr>
              <w:tab/>
            </w:r>
            <w:r>
              <w:rPr>
                <w:rStyle w:val="IndexLink"/>
              </w:rPr>
              <w:t>287</w:t>
            </w:r>
          </w:hyperlink>
        </w:p>
        <w:p>
          <w:pPr>
            <w:pStyle w:val="Contents2"/>
            <w:tabs>
              <w:tab w:val="clear" w:pos="8743"/>
              <w:tab w:val="right" w:pos="9026" w:leader="dot"/>
            </w:tabs>
            <w:rPr/>
          </w:pPr>
          <w:hyperlink w:anchor="__RefHeading___Toc11915618_2142443653">
            <w:r>
              <w:rPr>
                <w:webHidden/>
                <w:rStyle w:val="IndexLink"/>
                <w:rtl w:val="true"/>
              </w:rPr>
              <w:t>تعليم الإجرام للحيوانات</w:t>
            </w:r>
            <w:r>
              <w:rPr>
                <w:rStyle w:val="IndexLink"/>
                <w:rtl w:val="true"/>
              </w:rPr>
              <w:tab/>
            </w:r>
            <w:r>
              <w:rPr>
                <w:rStyle w:val="IndexLink"/>
              </w:rPr>
              <w:t>288</w:t>
            </w:r>
          </w:hyperlink>
        </w:p>
        <w:p>
          <w:pPr>
            <w:pStyle w:val="Contents2"/>
            <w:tabs>
              <w:tab w:val="clear" w:pos="8743"/>
              <w:tab w:val="right" w:pos="9026" w:leader="dot"/>
            </w:tabs>
            <w:rPr/>
          </w:pPr>
          <w:hyperlink w:anchor="__RefHeading___Toc11915620_2142443653">
            <w:r>
              <w:rPr>
                <w:webHidden/>
                <w:rStyle w:val="IndexLink"/>
                <w:rtl w:val="true"/>
              </w:rPr>
              <w:t>تعليم الإجرام للأطفال والمجانين</w:t>
            </w:r>
            <w:r>
              <w:rPr>
                <w:rStyle w:val="IndexLink"/>
                <w:rtl w:val="true"/>
              </w:rPr>
              <w:tab/>
            </w:r>
            <w:r>
              <w:rPr>
                <w:rStyle w:val="IndexLink"/>
              </w:rPr>
              <w:t>289</w:t>
            </w:r>
          </w:hyperlink>
        </w:p>
        <w:p>
          <w:pPr>
            <w:pStyle w:val="Contents2"/>
            <w:tabs>
              <w:tab w:val="clear" w:pos="8743"/>
              <w:tab w:val="right" w:pos="9026" w:leader="dot"/>
            </w:tabs>
            <w:rPr/>
          </w:pPr>
          <w:hyperlink w:anchor="__RefHeading___Toc11915622_2142443653">
            <w:r>
              <w:rPr>
                <w:webHidden/>
                <w:rStyle w:val="IndexLink"/>
                <w:rtl w:val="true"/>
              </w:rPr>
              <w:t>دفع المنكر بالحيوان</w:t>
            </w:r>
            <w:r>
              <w:rPr>
                <w:rStyle w:val="IndexLink"/>
                <w:rtl w:val="true"/>
              </w:rPr>
              <w:tab/>
            </w:r>
            <w:r>
              <w:rPr>
                <w:rStyle w:val="IndexLink"/>
              </w:rPr>
              <w:t>289</w:t>
            </w:r>
          </w:hyperlink>
        </w:p>
        <w:p>
          <w:pPr>
            <w:pStyle w:val="Contents2"/>
            <w:tabs>
              <w:tab w:val="clear" w:pos="8743"/>
              <w:tab w:val="right" w:pos="9026" w:leader="dot"/>
            </w:tabs>
            <w:rPr/>
          </w:pPr>
          <w:hyperlink w:anchor="__RefHeading___Toc11915624_2142443653">
            <w:r>
              <w:rPr>
                <w:webHidden/>
                <w:rStyle w:val="IndexLink"/>
                <w:rtl w:val="true"/>
              </w:rPr>
              <w:t>المعاملات بواسطة الحيوان</w:t>
            </w:r>
            <w:r>
              <w:rPr>
                <w:rStyle w:val="IndexLink"/>
                <w:rtl w:val="true"/>
              </w:rPr>
              <w:tab/>
            </w:r>
            <w:r>
              <w:rPr>
                <w:rStyle w:val="IndexLink"/>
              </w:rPr>
              <w:t>290</w:t>
            </w:r>
          </w:hyperlink>
        </w:p>
        <w:p>
          <w:pPr>
            <w:pStyle w:val="Contents2"/>
            <w:tabs>
              <w:tab w:val="clear" w:pos="8743"/>
              <w:tab w:val="right" w:pos="9026" w:leader="dot"/>
            </w:tabs>
            <w:rPr/>
          </w:pPr>
          <w:hyperlink w:anchor="__RefHeading___Toc11915626_2142443653">
            <w:r>
              <w:rPr>
                <w:webHidden/>
                <w:rStyle w:val="IndexLink"/>
                <w:rtl w:val="true"/>
              </w:rPr>
              <w:t>المعاملات الآلية</w:t>
            </w:r>
            <w:r>
              <w:rPr>
                <w:rStyle w:val="IndexLink"/>
                <w:rtl w:val="true"/>
              </w:rPr>
              <w:tab/>
            </w:r>
            <w:r>
              <w:rPr>
                <w:rStyle w:val="IndexLink"/>
              </w:rPr>
              <w:t>291</w:t>
            </w:r>
          </w:hyperlink>
        </w:p>
        <w:p>
          <w:pPr>
            <w:pStyle w:val="Contents2"/>
            <w:tabs>
              <w:tab w:val="clear" w:pos="8743"/>
              <w:tab w:val="right" w:pos="9026" w:leader="dot"/>
            </w:tabs>
            <w:rPr/>
          </w:pPr>
          <w:hyperlink w:anchor="__RefHeading___Toc11915628_2142443653">
            <w:r>
              <w:rPr>
                <w:webHidden/>
                <w:rStyle w:val="IndexLink"/>
                <w:rtl w:val="true"/>
              </w:rPr>
              <w:t>السرقة في المعاملات الآلية</w:t>
            </w:r>
            <w:r>
              <w:rPr>
                <w:rStyle w:val="IndexLink"/>
                <w:rtl w:val="true"/>
              </w:rPr>
              <w:tab/>
            </w:r>
            <w:r>
              <w:rPr>
                <w:rStyle w:val="IndexLink"/>
              </w:rPr>
              <w:t>292</w:t>
            </w:r>
          </w:hyperlink>
        </w:p>
        <w:p>
          <w:pPr>
            <w:pStyle w:val="Contents2"/>
            <w:tabs>
              <w:tab w:val="clear" w:pos="8743"/>
              <w:tab w:val="right" w:pos="9026" w:leader="dot"/>
            </w:tabs>
            <w:rPr/>
          </w:pPr>
          <w:hyperlink w:anchor="__RefHeading___Toc11915630_2142443653">
            <w:r>
              <w:rPr>
                <w:webHidden/>
                <w:rStyle w:val="IndexLink"/>
                <w:rtl w:val="true"/>
              </w:rPr>
              <w:t>أجرة جهاز الوزن</w:t>
            </w:r>
            <w:r>
              <w:rPr>
                <w:rStyle w:val="IndexLink"/>
                <w:rtl w:val="true"/>
              </w:rPr>
              <w:tab/>
            </w:r>
            <w:r>
              <w:rPr>
                <w:rStyle w:val="IndexLink"/>
              </w:rPr>
              <w:t>292</w:t>
            </w:r>
          </w:hyperlink>
        </w:p>
        <w:p>
          <w:pPr>
            <w:pStyle w:val="Contents2"/>
            <w:tabs>
              <w:tab w:val="clear" w:pos="8743"/>
              <w:tab w:val="right" w:pos="9026" w:leader="dot"/>
            </w:tabs>
            <w:rPr/>
          </w:pPr>
          <w:hyperlink w:anchor="__RefHeading___Toc11915632_2142443653">
            <w:r>
              <w:rPr>
                <w:webHidden/>
                <w:rStyle w:val="IndexLink"/>
                <w:rtl w:val="true"/>
              </w:rPr>
              <w:t>الوزن بالاحتيال</w:t>
            </w:r>
            <w:r>
              <w:rPr>
                <w:rStyle w:val="IndexLink"/>
                <w:rtl w:val="true"/>
              </w:rPr>
              <w:tab/>
            </w:r>
            <w:r>
              <w:rPr>
                <w:rStyle w:val="IndexLink"/>
              </w:rPr>
              <w:t>293</w:t>
            </w:r>
          </w:hyperlink>
        </w:p>
        <w:p>
          <w:pPr>
            <w:pStyle w:val="Contents2"/>
            <w:tabs>
              <w:tab w:val="clear" w:pos="8743"/>
              <w:tab w:val="right" w:pos="9026" w:leader="dot"/>
            </w:tabs>
            <w:rPr/>
          </w:pPr>
          <w:hyperlink w:anchor="__RefHeading___Toc11915634_2142443653">
            <w:r>
              <w:rPr>
                <w:webHidden/>
                <w:rStyle w:val="IndexLink"/>
                <w:rtl w:val="true"/>
              </w:rPr>
              <w:t>ثمن التذاكر في الألعاب الرياضية</w:t>
            </w:r>
            <w:r>
              <w:rPr>
                <w:rStyle w:val="IndexLink"/>
                <w:rtl w:val="true"/>
              </w:rPr>
              <w:tab/>
            </w:r>
            <w:r>
              <w:rPr>
                <w:rStyle w:val="IndexLink"/>
              </w:rPr>
              <w:t>294</w:t>
            </w:r>
          </w:hyperlink>
        </w:p>
        <w:p>
          <w:pPr>
            <w:pStyle w:val="Contents2"/>
            <w:tabs>
              <w:tab w:val="clear" w:pos="8743"/>
              <w:tab w:val="right" w:pos="9026" w:leader="dot"/>
            </w:tabs>
            <w:rPr/>
          </w:pPr>
          <w:hyperlink w:anchor="__RefHeading___Toc11915636_2142443653">
            <w:r>
              <w:rPr>
                <w:webHidden/>
                <w:rStyle w:val="IndexLink"/>
                <w:rtl w:val="true"/>
              </w:rPr>
              <w:t>أجرة الحضور</w:t>
            </w:r>
            <w:r>
              <w:rPr>
                <w:rStyle w:val="IndexLink"/>
                <w:rtl w:val="true"/>
              </w:rPr>
              <w:tab/>
            </w:r>
            <w:r>
              <w:rPr>
                <w:rStyle w:val="IndexLink"/>
              </w:rPr>
              <w:t>296</w:t>
            </w:r>
          </w:hyperlink>
        </w:p>
        <w:p>
          <w:pPr>
            <w:pStyle w:val="Contents2"/>
            <w:tabs>
              <w:tab w:val="clear" w:pos="8743"/>
              <w:tab w:val="right" w:pos="9026" w:leader="dot"/>
            </w:tabs>
            <w:rPr/>
          </w:pPr>
          <w:hyperlink w:anchor="__RefHeading___Toc11915638_2142443653">
            <w:r>
              <w:rPr>
                <w:webHidden/>
                <w:rStyle w:val="IndexLink"/>
                <w:rtl w:val="true"/>
              </w:rPr>
              <w:t>مشاهدة المهرجانات من بعيد</w:t>
            </w:r>
            <w:r>
              <w:rPr>
                <w:rStyle w:val="IndexLink"/>
                <w:rtl w:val="true"/>
              </w:rPr>
              <w:tab/>
            </w:r>
            <w:r>
              <w:rPr>
                <w:rStyle w:val="IndexLink"/>
              </w:rPr>
              <w:t>296</w:t>
            </w:r>
          </w:hyperlink>
        </w:p>
        <w:p>
          <w:pPr>
            <w:pStyle w:val="Contents2"/>
            <w:tabs>
              <w:tab w:val="clear" w:pos="8743"/>
              <w:tab w:val="right" w:pos="9026" w:leader="dot"/>
            </w:tabs>
            <w:rPr/>
          </w:pPr>
          <w:hyperlink w:anchor="__RefHeading___Toc11915640_2142443653">
            <w:r>
              <w:rPr>
                <w:webHidden/>
                <w:rStyle w:val="IndexLink"/>
                <w:rtl w:val="true"/>
              </w:rPr>
              <w:t>تنمية الإنسان</w:t>
            </w:r>
            <w:r>
              <w:rPr>
                <w:rStyle w:val="IndexLink"/>
                <w:rtl w:val="true"/>
              </w:rPr>
              <w:tab/>
            </w:r>
            <w:r>
              <w:rPr>
                <w:rStyle w:val="IndexLink"/>
              </w:rPr>
              <w:t>297</w:t>
            </w:r>
          </w:hyperlink>
        </w:p>
        <w:p>
          <w:pPr>
            <w:pStyle w:val="Contents2"/>
            <w:tabs>
              <w:tab w:val="clear" w:pos="8743"/>
              <w:tab w:val="right" w:pos="9026" w:leader="dot"/>
            </w:tabs>
            <w:rPr/>
          </w:pPr>
          <w:hyperlink w:anchor="__RefHeading___Toc11915642_2142443653">
            <w:r>
              <w:rPr>
                <w:webHidden/>
                <w:rStyle w:val="IndexLink"/>
                <w:rtl w:val="true"/>
              </w:rPr>
              <w:t>الإمناء بالأدوية</w:t>
            </w:r>
            <w:r>
              <w:rPr>
                <w:rStyle w:val="IndexLink"/>
                <w:rtl w:val="true"/>
              </w:rPr>
              <w:tab/>
            </w:r>
            <w:r>
              <w:rPr>
                <w:rStyle w:val="IndexLink"/>
              </w:rPr>
              <w:t>299</w:t>
            </w:r>
          </w:hyperlink>
        </w:p>
        <w:p>
          <w:pPr>
            <w:pStyle w:val="Contents2"/>
            <w:tabs>
              <w:tab w:val="clear" w:pos="8743"/>
              <w:tab w:val="right" w:pos="9026" w:leader="dot"/>
            </w:tabs>
            <w:rPr/>
          </w:pPr>
          <w:hyperlink w:anchor="__RefHeading___Toc11915644_2142443653">
            <w:r>
              <w:rPr>
                <w:webHidden/>
                <w:rStyle w:val="IndexLink"/>
                <w:rtl w:val="true"/>
              </w:rPr>
              <w:t>الأدوية المنمية وعدم الإدراك</w:t>
            </w:r>
            <w:r>
              <w:rPr>
                <w:rStyle w:val="IndexLink"/>
                <w:rtl w:val="true"/>
              </w:rPr>
              <w:tab/>
            </w:r>
            <w:r>
              <w:rPr>
                <w:rStyle w:val="IndexLink"/>
              </w:rPr>
              <w:t>299</w:t>
            </w:r>
          </w:hyperlink>
        </w:p>
        <w:p>
          <w:pPr>
            <w:pStyle w:val="Contents2"/>
            <w:tabs>
              <w:tab w:val="clear" w:pos="8743"/>
              <w:tab w:val="right" w:pos="9026" w:leader="dot"/>
            </w:tabs>
            <w:rPr/>
          </w:pPr>
          <w:hyperlink w:anchor="__RefHeading___Toc11915646_2142443653">
            <w:r>
              <w:rPr>
                <w:webHidden/>
                <w:rStyle w:val="IndexLink"/>
                <w:rtl w:val="true"/>
              </w:rPr>
              <w:t>إرجاع البالغ طفلاً</w:t>
            </w:r>
            <w:r>
              <w:rPr>
                <w:rStyle w:val="IndexLink"/>
                <w:rtl w:val="true"/>
              </w:rPr>
              <w:tab/>
            </w:r>
            <w:r>
              <w:rPr>
                <w:rStyle w:val="IndexLink"/>
              </w:rPr>
              <w:t>300</w:t>
            </w:r>
          </w:hyperlink>
        </w:p>
        <w:p>
          <w:pPr>
            <w:pStyle w:val="Contents2"/>
            <w:tabs>
              <w:tab w:val="clear" w:pos="8743"/>
              <w:tab w:val="right" w:pos="9026" w:leader="dot"/>
            </w:tabs>
            <w:rPr/>
          </w:pPr>
          <w:hyperlink w:anchor="__RefHeading___Toc11915648_2142443653">
            <w:r>
              <w:rPr>
                <w:webHidden/>
                <w:rStyle w:val="IndexLink"/>
                <w:rtl w:val="true"/>
              </w:rPr>
              <w:t>تعريض الحيوان للأبحاث الطبية</w:t>
            </w:r>
            <w:r>
              <w:rPr>
                <w:rStyle w:val="IndexLink"/>
                <w:rtl w:val="true"/>
              </w:rPr>
              <w:tab/>
            </w:r>
            <w:r>
              <w:rPr>
                <w:rStyle w:val="IndexLink"/>
              </w:rPr>
              <w:t>301</w:t>
            </w:r>
          </w:hyperlink>
        </w:p>
        <w:p>
          <w:pPr>
            <w:pStyle w:val="Contents2"/>
            <w:tabs>
              <w:tab w:val="clear" w:pos="8743"/>
              <w:tab w:val="right" w:pos="9026" w:leader="dot"/>
            </w:tabs>
            <w:rPr/>
          </w:pPr>
          <w:hyperlink w:anchor="__RefHeading___Toc11915650_2142443653">
            <w:r>
              <w:rPr>
                <w:webHidden/>
                <w:rStyle w:val="IndexLink"/>
                <w:rtl w:val="true"/>
              </w:rPr>
              <w:t>تكبير وتصغير الغلات</w:t>
            </w:r>
            <w:r>
              <w:rPr>
                <w:rStyle w:val="IndexLink"/>
                <w:rtl w:val="true"/>
              </w:rPr>
              <w:tab/>
            </w:r>
            <w:r>
              <w:rPr>
                <w:rStyle w:val="IndexLink"/>
              </w:rPr>
              <w:t>301</w:t>
            </w:r>
          </w:hyperlink>
        </w:p>
        <w:p>
          <w:pPr>
            <w:pStyle w:val="Contents2"/>
            <w:tabs>
              <w:tab w:val="clear" w:pos="8743"/>
              <w:tab w:val="right" w:pos="9026" w:leader="dot"/>
            </w:tabs>
            <w:rPr/>
          </w:pPr>
          <w:hyperlink w:anchor="__RefHeading___Toc11915652_2142443653">
            <w:r>
              <w:rPr>
                <w:webHidden/>
                <w:rStyle w:val="IndexLink"/>
                <w:rtl w:val="true"/>
              </w:rPr>
              <w:t>الخمس في المعادن</w:t>
            </w:r>
            <w:r>
              <w:rPr>
                <w:rStyle w:val="IndexLink"/>
                <w:rtl w:val="true"/>
              </w:rPr>
              <w:tab/>
            </w:r>
            <w:r>
              <w:rPr>
                <w:rStyle w:val="IndexLink"/>
              </w:rPr>
              <w:t>302</w:t>
            </w:r>
          </w:hyperlink>
        </w:p>
        <w:p>
          <w:pPr>
            <w:pStyle w:val="Contents2"/>
            <w:tabs>
              <w:tab w:val="clear" w:pos="8743"/>
              <w:tab w:val="right" w:pos="9026" w:leader="dot"/>
            </w:tabs>
            <w:rPr/>
          </w:pPr>
          <w:hyperlink w:anchor="__RefHeading___Toc11915654_2142443653">
            <w:r>
              <w:rPr>
                <w:webHidden/>
                <w:rStyle w:val="IndexLink"/>
                <w:rtl w:val="true"/>
              </w:rPr>
              <w:t>الخمس في معادن القمر</w:t>
            </w:r>
            <w:r>
              <w:rPr>
                <w:rStyle w:val="IndexLink"/>
                <w:rtl w:val="true"/>
              </w:rPr>
              <w:tab/>
            </w:r>
            <w:r>
              <w:rPr>
                <w:rStyle w:val="IndexLink"/>
              </w:rPr>
              <w:t>302</w:t>
            </w:r>
          </w:hyperlink>
        </w:p>
        <w:p>
          <w:pPr>
            <w:pStyle w:val="Contents2"/>
            <w:tabs>
              <w:tab w:val="clear" w:pos="8743"/>
              <w:tab w:val="right" w:pos="9026" w:leader="dot"/>
            </w:tabs>
            <w:rPr/>
          </w:pPr>
          <w:hyperlink w:anchor="__RefHeading___Toc11915656_2142443653">
            <w:r>
              <w:rPr>
                <w:webHidden/>
                <w:rStyle w:val="IndexLink"/>
                <w:rtl w:val="true"/>
              </w:rPr>
              <w:t>الخمس في المعادن الاصطناعية</w:t>
            </w:r>
            <w:r>
              <w:rPr>
                <w:rStyle w:val="IndexLink"/>
                <w:rtl w:val="true"/>
              </w:rPr>
              <w:tab/>
            </w:r>
            <w:r>
              <w:rPr>
                <w:rStyle w:val="IndexLink"/>
              </w:rPr>
              <w:t>302</w:t>
            </w:r>
          </w:hyperlink>
        </w:p>
        <w:p>
          <w:pPr>
            <w:pStyle w:val="Contents2"/>
            <w:tabs>
              <w:tab w:val="clear" w:pos="8743"/>
              <w:tab w:val="right" w:pos="9026" w:leader="dot"/>
            </w:tabs>
            <w:rPr/>
          </w:pPr>
          <w:hyperlink w:anchor="__RefHeading___Toc11915658_2142443653">
            <w:r>
              <w:rPr>
                <w:webHidden/>
                <w:rStyle w:val="IndexLink"/>
                <w:rtl w:val="true"/>
              </w:rPr>
              <w:t>تنمية الأنعام والزكاة</w:t>
            </w:r>
            <w:r>
              <w:rPr>
                <w:rStyle w:val="IndexLink"/>
                <w:rtl w:val="true"/>
              </w:rPr>
              <w:tab/>
            </w:r>
            <w:r>
              <w:rPr>
                <w:rStyle w:val="IndexLink"/>
              </w:rPr>
              <w:t>303</w:t>
            </w:r>
          </w:hyperlink>
        </w:p>
        <w:p>
          <w:pPr>
            <w:pStyle w:val="Contents2"/>
            <w:tabs>
              <w:tab w:val="clear" w:pos="8743"/>
              <w:tab w:val="right" w:pos="9026" w:leader="dot"/>
            </w:tabs>
            <w:rPr/>
          </w:pPr>
          <w:hyperlink w:anchor="__RefHeading___Toc11915660_2142443653">
            <w:r>
              <w:rPr>
                <w:webHidden/>
                <w:rStyle w:val="IndexLink"/>
                <w:rtl w:val="true"/>
              </w:rPr>
              <w:t>قبض الروح بالوسائل النفسية</w:t>
            </w:r>
            <w:r>
              <w:rPr>
                <w:rStyle w:val="IndexLink"/>
                <w:rtl w:val="true"/>
              </w:rPr>
              <w:tab/>
            </w:r>
            <w:r>
              <w:rPr>
                <w:rStyle w:val="IndexLink"/>
              </w:rPr>
              <w:t>303</w:t>
            </w:r>
          </w:hyperlink>
        </w:p>
        <w:p>
          <w:pPr>
            <w:pStyle w:val="Contents2"/>
            <w:tabs>
              <w:tab w:val="clear" w:pos="8743"/>
              <w:tab w:val="right" w:pos="9026" w:leader="dot"/>
            </w:tabs>
            <w:rPr/>
          </w:pPr>
          <w:hyperlink w:anchor="__RefHeading___Toc11915662_2142443653">
            <w:r>
              <w:rPr>
                <w:webHidden/>
                <w:rStyle w:val="IndexLink"/>
                <w:rtl w:val="true"/>
              </w:rPr>
              <w:t>قتل الحيوانات بالمواد السامة</w:t>
            </w:r>
            <w:r>
              <w:rPr>
                <w:rStyle w:val="IndexLink"/>
                <w:rtl w:val="true"/>
              </w:rPr>
              <w:tab/>
            </w:r>
            <w:r>
              <w:rPr>
                <w:rStyle w:val="IndexLink"/>
              </w:rPr>
              <w:t>304</w:t>
            </w:r>
          </w:hyperlink>
        </w:p>
        <w:p>
          <w:pPr>
            <w:pStyle w:val="Contents2"/>
            <w:tabs>
              <w:tab w:val="clear" w:pos="8743"/>
              <w:tab w:val="right" w:pos="9026" w:leader="dot"/>
            </w:tabs>
            <w:rPr/>
          </w:pPr>
          <w:hyperlink w:anchor="__RefHeading___Toc11915664_2142443653">
            <w:r>
              <w:rPr>
                <w:webHidden/>
                <w:rStyle w:val="IndexLink"/>
                <w:rtl w:val="true"/>
              </w:rPr>
              <w:t>إطعام اللحوم المحرمة للحيوان</w:t>
            </w:r>
            <w:r>
              <w:rPr>
                <w:rStyle w:val="IndexLink"/>
                <w:rtl w:val="true"/>
              </w:rPr>
              <w:tab/>
            </w:r>
            <w:r>
              <w:rPr>
                <w:rStyle w:val="IndexLink"/>
              </w:rPr>
              <w:t>305</w:t>
            </w:r>
          </w:hyperlink>
        </w:p>
        <w:p>
          <w:pPr>
            <w:pStyle w:val="Contents2"/>
            <w:tabs>
              <w:tab w:val="clear" w:pos="8743"/>
              <w:tab w:val="right" w:pos="9026" w:leader="dot"/>
            </w:tabs>
            <w:rPr/>
          </w:pPr>
          <w:hyperlink w:anchor="__RefHeading___Toc11915666_2142443653">
            <w:r>
              <w:rPr>
                <w:webHidden/>
                <w:rStyle w:val="IndexLink"/>
                <w:rtl w:val="true"/>
              </w:rPr>
              <w:t>استخدام الحيوان</w:t>
            </w:r>
            <w:r>
              <w:rPr>
                <w:rStyle w:val="IndexLink"/>
                <w:rtl w:val="true"/>
              </w:rPr>
              <w:tab/>
            </w:r>
            <w:r>
              <w:rPr>
                <w:rStyle w:val="IndexLink"/>
              </w:rPr>
              <w:t>306</w:t>
            </w:r>
          </w:hyperlink>
        </w:p>
        <w:p>
          <w:pPr>
            <w:pStyle w:val="Contents2"/>
            <w:tabs>
              <w:tab w:val="clear" w:pos="8743"/>
              <w:tab w:val="right" w:pos="9026" w:leader="dot"/>
            </w:tabs>
            <w:rPr/>
          </w:pPr>
          <w:hyperlink w:anchor="__RefHeading___Toc11915668_2142443653">
            <w:r>
              <w:rPr>
                <w:webHidden/>
                <w:rStyle w:val="IndexLink"/>
                <w:rtl w:val="true"/>
              </w:rPr>
              <w:t>رش المواد السامة</w:t>
            </w:r>
            <w:r>
              <w:rPr>
                <w:rStyle w:val="IndexLink"/>
                <w:rtl w:val="true"/>
              </w:rPr>
              <w:tab/>
            </w:r>
            <w:r>
              <w:rPr>
                <w:rStyle w:val="IndexLink"/>
              </w:rPr>
              <w:t>307</w:t>
            </w:r>
          </w:hyperlink>
        </w:p>
        <w:p>
          <w:pPr>
            <w:pStyle w:val="Contents2"/>
            <w:tabs>
              <w:tab w:val="clear" w:pos="8743"/>
              <w:tab w:val="right" w:pos="9026" w:leader="dot"/>
            </w:tabs>
            <w:rPr/>
          </w:pPr>
          <w:hyperlink w:anchor="__RefHeading___Toc11915670_2142443653">
            <w:r>
              <w:rPr>
                <w:webHidden/>
                <w:rStyle w:val="IndexLink"/>
                <w:rtl w:val="true"/>
              </w:rPr>
              <w:t>عندما ينتشر الوباء</w:t>
            </w:r>
            <w:r>
              <w:rPr>
                <w:rStyle w:val="IndexLink"/>
                <w:rtl w:val="true"/>
              </w:rPr>
              <w:tab/>
            </w:r>
            <w:r>
              <w:rPr>
                <w:rStyle w:val="IndexLink"/>
              </w:rPr>
              <w:t>308</w:t>
            </w:r>
          </w:hyperlink>
        </w:p>
        <w:p>
          <w:pPr>
            <w:pStyle w:val="Contents2"/>
            <w:tabs>
              <w:tab w:val="clear" w:pos="8743"/>
              <w:tab w:val="right" w:pos="9026" w:leader="dot"/>
            </w:tabs>
            <w:rPr/>
          </w:pPr>
          <w:hyperlink w:anchor="__RefHeading___Toc11915672_2142443653">
            <w:r>
              <w:rPr>
                <w:webHidden/>
                <w:rStyle w:val="IndexLink"/>
                <w:rtl w:val="true"/>
              </w:rPr>
              <w:t>حكم البحار</w:t>
            </w:r>
            <w:r>
              <w:rPr>
                <w:rStyle w:val="IndexLink"/>
                <w:rtl w:val="true"/>
              </w:rPr>
              <w:tab/>
            </w:r>
            <w:r>
              <w:rPr>
                <w:rStyle w:val="IndexLink"/>
              </w:rPr>
              <w:t>309</w:t>
            </w:r>
          </w:hyperlink>
        </w:p>
        <w:p>
          <w:pPr>
            <w:pStyle w:val="Contents2"/>
            <w:tabs>
              <w:tab w:val="clear" w:pos="8743"/>
              <w:tab w:val="right" w:pos="9026" w:leader="dot"/>
            </w:tabs>
            <w:rPr/>
          </w:pPr>
          <w:hyperlink w:anchor="__RefHeading___Toc11915674_2142443653">
            <w:r>
              <w:rPr>
                <w:webHidden/>
                <w:rStyle w:val="IndexLink"/>
                <w:rtl w:val="true"/>
              </w:rPr>
              <w:t>إبكاء الغير وإضحاكه</w:t>
            </w:r>
            <w:r>
              <w:rPr>
                <w:rStyle w:val="IndexLink"/>
                <w:rtl w:val="true"/>
              </w:rPr>
              <w:tab/>
            </w:r>
            <w:r>
              <w:rPr>
                <w:rStyle w:val="IndexLink"/>
              </w:rPr>
              <w:t>310</w:t>
            </w:r>
          </w:hyperlink>
        </w:p>
        <w:p>
          <w:pPr>
            <w:pStyle w:val="Contents2"/>
            <w:tabs>
              <w:tab w:val="clear" w:pos="8743"/>
              <w:tab w:val="right" w:pos="9026" w:leader="dot"/>
            </w:tabs>
            <w:rPr/>
          </w:pPr>
          <w:hyperlink w:anchor="__RefHeading___Toc11915676_2142443653">
            <w:r>
              <w:rPr>
                <w:webHidden/>
                <w:rStyle w:val="IndexLink"/>
                <w:rtl w:val="true"/>
              </w:rPr>
              <w:t>المظاهرات والمسيرات الشعبية</w:t>
            </w:r>
            <w:r>
              <w:rPr>
                <w:rStyle w:val="IndexLink"/>
                <w:rtl w:val="true"/>
              </w:rPr>
              <w:tab/>
            </w:r>
            <w:r>
              <w:rPr>
                <w:rStyle w:val="IndexLink"/>
              </w:rPr>
              <w:t>312</w:t>
            </w:r>
          </w:hyperlink>
        </w:p>
        <w:p>
          <w:pPr>
            <w:pStyle w:val="Contents2"/>
            <w:tabs>
              <w:tab w:val="clear" w:pos="8743"/>
              <w:tab w:val="right" w:pos="9026" w:leader="dot"/>
            </w:tabs>
            <w:rPr/>
          </w:pPr>
          <w:hyperlink w:anchor="__RefHeading___Toc11915678_2142443653">
            <w:r>
              <w:rPr>
                <w:webHidden/>
                <w:rStyle w:val="IndexLink"/>
                <w:rtl w:val="true"/>
              </w:rPr>
              <w:t>المظاهرات والدولة الإسلامية</w:t>
            </w:r>
            <w:r>
              <w:rPr>
                <w:rStyle w:val="IndexLink"/>
                <w:rtl w:val="true"/>
              </w:rPr>
              <w:tab/>
            </w:r>
            <w:r>
              <w:rPr>
                <w:rStyle w:val="IndexLink"/>
              </w:rPr>
              <w:t>312</w:t>
            </w:r>
          </w:hyperlink>
        </w:p>
        <w:p>
          <w:pPr>
            <w:pStyle w:val="Contents2"/>
            <w:tabs>
              <w:tab w:val="clear" w:pos="8743"/>
              <w:tab w:val="right" w:pos="9026" w:leader="dot"/>
            </w:tabs>
            <w:rPr/>
          </w:pPr>
          <w:hyperlink w:anchor="__RefHeading___Toc11915680_2142443653">
            <w:r>
              <w:rPr>
                <w:webHidden/>
                <w:rStyle w:val="IndexLink"/>
                <w:rtl w:val="true"/>
              </w:rPr>
              <w:t>سرقة الماء والكهرباء من الحكومة</w:t>
            </w:r>
            <w:r>
              <w:rPr>
                <w:rStyle w:val="IndexLink"/>
                <w:rtl w:val="true"/>
              </w:rPr>
              <w:tab/>
            </w:r>
            <w:r>
              <w:rPr>
                <w:rStyle w:val="IndexLink"/>
              </w:rPr>
              <w:t>313</w:t>
            </w:r>
          </w:hyperlink>
        </w:p>
        <w:p>
          <w:pPr>
            <w:pStyle w:val="Contents2"/>
            <w:tabs>
              <w:tab w:val="clear" w:pos="8743"/>
              <w:tab w:val="right" w:pos="9026" w:leader="dot"/>
            </w:tabs>
            <w:rPr/>
          </w:pPr>
          <w:hyperlink w:anchor="__RefHeading___Toc11915682_2142443653">
            <w:r>
              <w:rPr>
                <w:webHidden/>
                <w:rStyle w:val="IndexLink"/>
                <w:rtl w:val="true"/>
              </w:rPr>
              <w:t>تجارب الأسلحة النووية والهيدروجينية</w:t>
            </w:r>
            <w:r>
              <w:rPr>
                <w:rStyle w:val="IndexLink"/>
                <w:rtl w:val="true"/>
              </w:rPr>
              <w:tab/>
            </w:r>
            <w:r>
              <w:rPr>
                <w:rStyle w:val="IndexLink"/>
              </w:rPr>
              <w:t>315</w:t>
            </w:r>
          </w:hyperlink>
        </w:p>
        <w:p>
          <w:pPr>
            <w:pStyle w:val="Contents2"/>
            <w:tabs>
              <w:tab w:val="clear" w:pos="8743"/>
              <w:tab w:val="right" w:pos="9026" w:leader="dot"/>
            </w:tabs>
            <w:rPr/>
          </w:pPr>
          <w:hyperlink w:anchor="__RefHeading___Toc11915684_2142443653">
            <w:r>
              <w:rPr>
                <w:webHidden/>
                <w:rStyle w:val="IndexLink"/>
                <w:rtl w:val="true"/>
              </w:rPr>
              <w:t>تسريع العمر بالدواء</w:t>
            </w:r>
            <w:r>
              <w:rPr>
                <w:rStyle w:val="IndexLink"/>
                <w:rtl w:val="true"/>
              </w:rPr>
              <w:tab/>
            </w:r>
            <w:r>
              <w:rPr>
                <w:rStyle w:val="IndexLink"/>
              </w:rPr>
              <w:t>316</w:t>
            </w:r>
          </w:hyperlink>
        </w:p>
        <w:p>
          <w:pPr>
            <w:pStyle w:val="Contents2"/>
            <w:tabs>
              <w:tab w:val="clear" w:pos="8743"/>
              <w:tab w:val="right" w:pos="9026" w:leader="dot"/>
            </w:tabs>
            <w:rPr/>
          </w:pPr>
          <w:hyperlink w:anchor="__RefHeading___Toc11915686_2142443653">
            <w:r>
              <w:rPr>
                <w:webHidden/>
                <w:rStyle w:val="IndexLink"/>
                <w:rtl w:val="true"/>
              </w:rPr>
              <w:t>التصرف في عمر الصبي</w:t>
            </w:r>
            <w:r>
              <w:rPr>
                <w:rStyle w:val="IndexLink"/>
                <w:rtl w:val="true"/>
              </w:rPr>
              <w:tab/>
            </w:r>
            <w:r>
              <w:rPr>
                <w:rStyle w:val="IndexLink"/>
              </w:rPr>
              <w:t>317</w:t>
            </w:r>
          </w:hyperlink>
        </w:p>
        <w:p>
          <w:pPr>
            <w:pStyle w:val="Contents2"/>
            <w:tabs>
              <w:tab w:val="clear" w:pos="8743"/>
              <w:tab w:val="right" w:pos="9026" w:leader="dot"/>
            </w:tabs>
            <w:rPr/>
          </w:pPr>
          <w:hyperlink w:anchor="__RefHeading___Toc11915688_2142443653">
            <w:r>
              <w:rPr>
                <w:webHidden/>
                <w:rStyle w:val="IndexLink"/>
                <w:rtl w:val="true"/>
              </w:rPr>
              <w:t>الاضطرار إلى حلق اللحية</w:t>
            </w:r>
            <w:r>
              <w:rPr>
                <w:rStyle w:val="IndexLink"/>
                <w:rtl w:val="true"/>
              </w:rPr>
              <w:tab/>
            </w:r>
            <w:r>
              <w:rPr>
                <w:rStyle w:val="IndexLink"/>
              </w:rPr>
              <w:t>318</w:t>
            </w:r>
          </w:hyperlink>
        </w:p>
        <w:p>
          <w:pPr>
            <w:pStyle w:val="Contents2"/>
            <w:tabs>
              <w:tab w:val="clear" w:pos="8743"/>
              <w:tab w:val="right" w:pos="9026" w:leader="dot"/>
            </w:tabs>
            <w:rPr/>
          </w:pPr>
          <w:hyperlink w:anchor="__RefHeading___Toc11915690_2142443653">
            <w:r>
              <w:rPr>
                <w:webHidden/>
                <w:rStyle w:val="IndexLink"/>
                <w:rtl w:val="true"/>
              </w:rPr>
              <w:t>الاحتيال للإنقاذ</w:t>
            </w:r>
            <w:r>
              <w:rPr>
                <w:rStyle w:val="IndexLink"/>
                <w:rtl w:val="true"/>
              </w:rPr>
              <w:tab/>
            </w:r>
            <w:r>
              <w:rPr>
                <w:rStyle w:val="IndexLink"/>
              </w:rPr>
              <w:t>320</w:t>
            </w:r>
          </w:hyperlink>
        </w:p>
        <w:p>
          <w:pPr>
            <w:pStyle w:val="Contents2"/>
            <w:tabs>
              <w:tab w:val="clear" w:pos="8743"/>
              <w:tab w:val="right" w:pos="9026" w:leader="dot"/>
            </w:tabs>
            <w:rPr/>
          </w:pPr>
          <w:hyperlink w:anchor="__RefHeading___Toc11915692_2142443653">
            <w:r>
              <w:rPr>
                <w:webHidden/>
                <w:rStyle w:val="IndexLink"/>
                <w:rtl w:val="true"/>
              </w:rPr>
              <w:t>التسلل في</w:t>
            </w:r>
            <w:r>
              <w:rPr>
                <w:rStyle w:val="IndexLink"/>
              </w:rPr>
              <w:t>1</w:t>
            </w:r>
            <w:r>
              <w:rPr>
                <w:rStyle w:val="IndexLink"/>
                <w:rtl w:val="true"/>
              </w:rPr>
              <w:t xml:space="preserve"> </w:t>
            </w:r>
            <w:r>
              <w:rPr>
                <w:rStyle w:val="IndexLink"/>
                <w:rtl w:val="true"/>
              </w:rPr>
              <w:t>الموضوعات</w:t>
            </w:r>
            <w:r>
              <w:rPr>
                <w:rStyle w:val="IndexLink"/>
                <w:rtl w:val="true"/>
              </w:rPr>
              <w:tab/>
            </w:r>
            <w:r>
              <w:rPr>
                <w:rStyle w:val="IndexLink"/>
              </w:rPr>
              <w:t>322</w:t>
            </w:r>
          </w:hyperlink>
        </w:p>
        <w:p>
          <w:pPr>
            <w:pStyle w:val="Contents2"/>
            <w:tabs>
              <w:tab w:val="clear" w:pos="8743"/>
              <w:tab w:val="right" w:pos="9026" w:leader="dot"/>
            </w:tabs>
            <w:rPr/>
          </w:pPr>
          <w:hyperlink w:anchor="__RefHeading___Toc11915694_2142443653">
            <w:r>
              <w:rPr>
                <w:webHidden/>
                <w:rStyle w:val="IndexLink"/>
                <w:rtl w:val="true"/>
              </w:rPr>
              <w:t>صور النساء في الجوازات</w:t>
            </w:r>
            <w:r>
              <w:rPr>
                <w:rStyle w:val="IndexLink"/>
                <w:rtl w:val="true"/>
              </w:rPr>
              <w:tab/>
            </w:r>
            <w:r>
              <w:rPr>
                <w:rStyle w:val="IndexLink"/>
              </w:rPr>
              <w:t>323</w:t>
            </w:r>
          </w:hyperlink>
        </w:p>
        <w:p>
          <w:pPr>
            <w:pStyle w:val="Contents2"/>
            <w:tabs>
              <w:tab w:val="clear" w:pos="8743"/>
              <w:tab w:val="right" w:pos="9026" w:leader="dot"/>
            </w:tabs>
            <w:rPr/>
          </w:pPr>
          <w:hyperlink w:anchor="__RefHeading___Toc11915696_2142443653">
            <w:r>
              <w:rPr>
                <w:webHidden/>
                <w:rStyle w:val="IndexLink"/>
                <w:rtl w:val="true"/>
              </w:rPr>
              <w:t>الجنود وكيفية الصلاة</w:t>
            </w:r>
            <w:r>
              <w:rPr>
                <w:rStyle w:val="IndexLink"/>
                <w:rtl w:val="true"/>
              </w:rPr>
              <w:tab/>
            </w:r>
            <w:r>
              <w:rPr>
                <w:rStyle w:val="IndexLink"/>
              </w:rPr>
              <w:t>324</w:t>
            </w:r>
          </w:hyperlink>
        </w:p>
        <w:p>
          <w:pPr>
            <w:pStyle w:val="Contents2"/>
            <w:tabs>
              <w:tab w:val="clear" w:pos="8743"/>
              <w:tab w:val="right" w:pos="9026" w:leader="dot"/>
            </w:tabs>
            <w:rPr/>
          </w:pPr>
          <w:hyperlink w:anchor="__RefHeading___Toc11915698_2142443653">
            <w:r>
              <w:rPr>
                <w:webHidden/>
                <w:rStyle w:val="IndexLink"/>
                <w:rtl w:val="true"/>
              </w:rPr>
              <w:t>كيفية الصلاة للطلاب المهاجرين</w:t>
            </w:r>
            <w:r>
              <w:rPr>
                <w:rStyle w:val="IndexLink"/>
                <w:rtl w:val="true"/>
              </w:rPr>
              <w:tab/>
            </w:r>
            <w:r>
              <w:rPr>
                <w:rStyle w:val="IndexLink"/>
              </w:rPr>
              <w:t>325</w:t>
            </w:r>
          </w:hyperlink>
        </w:p>
        <w:p>
          <w:pPr>
            <w:pStyle w:val="Contents2"/>
            <w:tabs>
              <w:tab w:val="clear" w:pos="8743"/>
              <w:tab w:val="right" w:pos="9026" w:leader="dot"/>
            </w:tabs>
            <w:rPr/>
          </w:pPr>
          <w:hyperlink w:anchor="__RefHeading___Toc11915700_2142443653">
            <w:r>
              <w:rPr>
                <w:webHidden/>
                <w:rStyle w:val="IndexLink"/>
                <w:rtl w:val="true"/>
              </w:rPr>
              <w:t>كيفية الصلاة للتجار والموظفين</w:t>
            </w:r>
            <w:r>
              <w:rPr>
                <w:rStyle w:val="IndexLink"/>
                <w:rtl w:val="true"/>
              </w:rPr>
              <w:tab/>
            </w:r>
            <w:r>
              <w:rPr>
                <w:rStyle w:val="IndexLink"/>
              </w:rPr>
              <w:t>325</w:t>
            </w:r>
          </w:hyperlink>
        </w:p>
        <w:p>
          <w:pPr>
            <w:pStyle w:val="Contents2"/>
            <w:tabs>
              <w:tab w:val="clear" w:pos="8743"/>
              <w:tab w:val="right" w:pos="9026" w:leader="dot"/>
            </w:tabs>
            <w:rPr/>
          </w:pPr>
          <w:hyperlink w:anchor="__RefHeading___Toc11915702_2142443653">
            <w:r>
              <w:rPr>
                <w:webHidden/>
                <w:rStyle w:val="IndexLink"/>
                <w:rtl w:val="true"/>
              </w:rPr>
              <w:t>الحملدار وكيفية الصلاة</w:t>
            </w:r>
            <w:r>
              <w:rPr>
                <w:rStyle w:val="IndexLink"/>
                <w:rtl w:val="true"/>
              </w:rPr>
              <w:tab/>
            </w:r>
            <w:r>
              <w:rPr>
                <w:rStyle w:val="IndexLink"/>
              </w:rPr>
              <w:t>326</w:t>
            </w:r>
          </w:hyperlink>
        </w:p>
        <w:p>
          <w:pPr>
            <w:pStyle w:val="Contents2"/>
            <w:tabs>
              <w:tab w:val="clear" w:pos="8743"/>
              <w:tab w:val="right" w:pos="9026" w:leader="dot"/>
            </w:tabs>
            <w:rPr/>
          </w:pPr>
          <w:hyperlink w:anchor="__RefHeading___Toc11915704_2142443653">
            <w:r>
              <w:rPr>
                <w:webHidden/>
                <w:rStyle w:val="IndexLink"/>
                <w:rtl w:val="true"/>
              </w:rPr>
              <w:t>المبلغون وكيفية الصلاة</w:t>
            </w:r>
            <w:r>
              <w:rPr>
                <w:rStyle w:val="IndexLink"/>
                <w:rtl w:val="true"/>
              </w:rPr>
              <w:tab/>
            </w:r>
            <w:r>
              <w:rPr>
                <w:rStyle w:val="IndexLink"/>
              </w:rPr>
              <w:t>328</w:t>
            </w:r>
          </w:hyperlink>
        </w:p>
        <w:p>
          <w:pPr>
            <w:pStyle w:val="Contents2"/>
            <w:tabs>
              <w:tab w:val="clear" w:pos="8743"/>
              <w:tab w:val="right" w:pos="9026" w:leader="dot"/>
            </w:tabs>
            <w:rPr/>
          </w:pPr>
          <w:hyperlink w:anchor="__RefHeading___Toc11915706_2142443653">
            <w:r>
              <w:rPr>
                <w:webHidden/>
                <w:rStyle w:val="IndexLink"/>
                <w:rtl w:val="true"/>
              </w:rPr>
              <w:t>حكم الصيام للفئات المتقدمة</w:t>
            </w:r>
            <w:r>
              <w:rPr>
                <w:rStyle w:val="IndexLink"/>
                <w:rtl w:val="true"/>
              </w:rPr>
              <w:tab/>
            </w:r>
            <w:r>
              <w:rPr>
                <w:rStyle w:val="IndexLink"/>
              </w:rPr>
              <w:t>329</w:t>
            </w:r>
          </w:hyperlink>
        </w:p>
        <w:p>
          <w:pPr>
            <w:pStyle w:val="Contents2"/>
            <w:tabs>
              <w:tab w:val="clear" w:pos="8743"/>
              <w:tab w:val="right" w:pos="9026" w:leader="dot"/>
            </w:tabs>
            <w:rPr/>
          </w:pPr>
          <w:hyperlink w:anchor="__RefHeading___Toc11915708_2142443653">
            <w:r>
              <w:rPr>
                <w:webHidden/>
                <w:rStyle w:val="IndexLink"/>
                <w:rtl w:val="true"/>
              </w:rPr>
              <w:t>لا جمارك ولا تهريب في الإسلام</w:t>
            </w:r>
            <w:r>
              <w:rPr>
                <w:rStyle w:val="IndexLink"/>
                <w:rtl w:val="true"/>
              </w:rPr>
              <w:tab/>
            </w:r>
            <w:r>
              <w:rPr>
                <w:rStyle w:val="IndexLink"/>
              </w:rPr>
              <w:t>330</w:t>
            </w:r>
          </w:hyperlink>
        </w:p>
        <w:p>
          <w:pPr>
            <w:pStyle w:val="Contents2"/>
            <w:tabs>
              <w:tab w:val="clear" w:pos="8743"/>
              <w:tab w:val="right" w:pos="9026" w:leader="dot"/>
            </w:tabs>
            <w:rPr/>
          </w:pPr>
          <w:hyperlink w:anchor="__RefHeading___Toc11915710_2142443653">
            <w:r>
              <w:rPr>
                <w:webHidden/>
                <w:rStyle w:val="IndexLink"/>
                <w:rtl w:val="true"/>
              </w:rPr>
              <w:t>لا حدود جغرافية في الإسلام</w:t>
            </w:r>
            <w:r>
              <w:rPr>
                <w:rStyle w:val="IndexLink"/>
                <w:rtl w:val="true"/>
              </w:rPr>
              <w:tab/>
            </w:r>
            <w:r>
              <w:rPr>
                <w:rStyle w:val="IndexLink"/>
              </w:rPr>
              <w:t>332</w:t>
            </w:r>
          </w:hyperlink>
        </w:p>
        <w:p>
          <w:pPr>
            <w:pStyle w:val="Contents2"/>
            <w:tabs>
              <w:tab w:val="clear" w:pos="8743"/>
              <w:tab w:val="right" w:pos="9026" w:leader="dot"/>
            </w:tabs>
            <w:rPr/>
          </w:pPr>
          <w:hyperlink w:anchor="__RefHeading___Toc11915712_2142443653">
            <w:r>
              <w:rPr>
                <w:webHidden/>
                <w:rStyle w:val="IndexLink"/>
                <w:rtl w:val="true"/>
              </w:rPr>
              <w:t>حرية الحيازة والتحجير</w:t>
            </w:r>
            <w:r>
              <w:rPr>
                <w:rStyle w:val="IndexLink"/>
                <w:rtl w:val="true"/>
              </w:rPr>
              <w:tab/>
            </w:r>
            <w:r>
              <w:rPr>
                <w:rStyle w:val="IndexLink"/>
              </w:rPr>
              <w:t>333</w:t>
            </w:r>
          </w:hyperlink>
        </w:p>
        <w:p>
          <w:pPr>
            <w:pStyle w:val="Contents2"/>
            <w:tabs>
              <w:tab w:val="clear" w:pos="8743"/>
              <w:tab w:val="right" w:pos="9026" w:leader="dot"/>
            </w:tabs>
            <w:rPr/>
          </w:pPr>
          <w:hyperlink w:anchor="__RefHeading___Toc11915714_2142443653">
            <w:r>
              <w:rPr>
                <w:webHidden/>
                <w:rStyle w:val="IndexLink"/>
                <w:rtl w:val="true"/>
              </w:rPr>
              <w:t>الضرائب الإسلامية الواجبة</w:t>
            </w:r>
            <w:r>
              <w:rPr>
                <w:rStyle w:val="IndexLink"/>
                <w:rtl w:val="true"/>
              </w:rPr>
              <w:tab/>
            </w:r>
            <w:r>
              <w:rPr>
                <w:rStyle w:val="IndexLink"/>
              </w:rPr>
              <w:t>334</w:t>
            </w:r>
          </w:hyperlink>
        </w:p>
        <w:p>
          <w:pPr>
            <w:pStyle w:val="Contents2"/>
            <w:tabs>
              <w:tab w:val="clear" w:pos="8743"/>
              <w:tab w:val="right" w:pos="9026" w:leader="dot"/>
            </w:tabs>
            <w:rPr/>
          </w:pPr>
          <w:hyperlink w:anchor="__RefHeading___Toc11915716_2142443653">
            <w:r>
              <w:rPr>
                <w:webHidden/>
                <w:rStyle w:val="IndexLink"/>
                <w:rtl w:val="true"/>
              </w:rPr>
              <w:t>جواز التمثيل على المسرح</w:t>
            </w:r>
            <w:r>
              <w:rPr>
                <w:rStyle w:val="IndexLink"/>
                <w:rtl w:val="true"/>
              </w:rPr>
              <w:tab/>
            </w:r>
            <w:r>
              <w:rPr>
                <w:rStyle w:val="IndexLink"/>
              </w:rPr>
              <w:t>335</w:t>
            </w:r>
          </w:hyperlink>
        </w:p>
        <w:p>
          <w:pPr>
            <w:pStyle w:val="Contents2"/>
            <w:tabs>
              <w:tab w:val="clear" w:pos="8743"/>
              <w:tab w:val="right" w:pos="9026" w:leader="dot"/>
            </w:tabs>
            <w:rPr/>
          </w:pPr>
          <w:hyperlink w:anchor="__RefHeading___Toc11915718_2142443653">
            <w:r>
              <w:rPr>
                <w:webHidden/>
                <w:rStyle w:val="IndexLink"/>
                <w:rtl w:val="true"/>
              </w:rPr>
              <w:t>المعاهدات العسكرية</w:t>
            </w:r>
            <w:r>
              <w:rPr>
                <w:rStyle w:val="IndexLink"/>
                <w:rtl w:val="true"/>
              </w:rPr>
              <w:tab/>
            </w:r>
            <w:r>
              <w:rPr>
                <w:rStyle w:val="IndexLink"/>
              </w:rPr>
              <w:t>336</w:t>
            </w:r>
          </w:hyperlink>
        </w:p>
        <w:p>
          <w:pPr>
            <w:pStyle w:val="Contents2"/>
            <w:tabs>
              <w:tab w:val="clear" w:pos="8743"/>
              <w:tab w:val="right" w:pos="9026" w:leader="dot"/>
            </w:tabs>
            <w:rPr/>
          </w:pPr>
          <w:hyperlink w:anchor="__RefHeading___Toc11915720_2142443653">
            <w:r>
              <w:rPr>
                <w:webHidden/>
                <w:rStyle w:val="IndexLink"/>
                <w:rtl w:val="true"/>
              </w:rPr>
              <w:t>الاتفاقيات الاقتصادية</w:t>
            </w:r>
            <w:r>
              <w:rPr>
                <w:rStyle w:val="IndexLink"/>
                <w:rtl w:val="true"/>
              </w:rPr>
              <w:tab/>
            </w:r>
            <w:r>
              <w:rPr>
                <w:rStyle w:val="IndexLink"/>
              </w:rPr>
              <w:t>337</w:t>
            </w:r>
          </w:hyperlink>
        </w:p>
        <w:p>
          <w:pPr>
            <w:pStyle w:val="Contents2"/>
            <w:tabs>
              <w:tab w:val="clear" w:pos="8743"/>
              <w:tab w:val="right" w:pos="9026" w:leader="dot"/>
            </w:tabs>
            <w:rPr/>
          </w:pPr>
          <w:hyperlink w:anchor="__RefHeading___Toc11915722_2142443653">
            <w:r>
              <w:rPr>
                <w:webHidden/>
                <w:rStyle w:val="IndexLink"/>
                <w:rtl w:val="true"/>
              </w:rPr>
              <w:t>متى يجب العمل الفدائي؟</w:t>
            </w:r>
            <w:r>
              <w:rPr>
                <w:rStyle w:val="IndexLink"/>
                <w:rtl w:val="true"/>
              </w:rPr>
              <w:tab/>
            </w:r>
            <w:r>
              <w:rPr>
                <w:rStyle w:val="IndexLink"/>
              </w:rPr>
              <w:t>337</w:t>
            </w:r>
          </w:hyperlink>
        </w:p>
        <w:p>
          <w:pPr>
            <w:pStyle w:val="Contents2"/>
            <w:tabs>
              <w:tab w:val="clear" w:pos="8743"/>
              <w:tab w:val="right" w:pos="9026" w:leader="dot"/>
            </w:tabs>
            <w:rPr/>
          </w:pPr>
          <w:hyperlink w:anchor="__RefHeading___Toc11915724_2142443653">
            <w:r>
              <w:rPr>
                <w:webHidden/>
                <w:rStyle w:val="IndexLink"/>
                <w:rtl w:val="true"/>
              </w:rPr>
              <w:t>التزوير في التخفيضات الاقتصادية</w:t>
            </w:r>
            <w:r>
              <w:rPr>
                <w:rStyle w:val="IndexLink"/>
                <w:rtl w:val="true"/>
              </w:rPr>
              <w:tab/>
            </w:r>
            <w:r>
              <w:rPr>
                <w:rStyle w:val="IndexLink"/>
              </w:rPr>
              <w:t>338</w:t>
            </w:r>
          </w:hyperlink>
        </w:p>
        <w:p>
          <w:pPr>
            <w:pStyle w:val="Contents2"/>
            <w:tabs>
              <w:tab w:val="clear" w:pos="8743"/>
              <w:tab w:val="right" w:pos="9026" w:leader="dot"/>
            </w:tabs>
            <w:rPr/>
          </w:pPr>
          <w:hyperlink w:anchor="__RefHeading___Toc11915726_2142443653">
            <w:r>
              <w:rPr>
                <w:webHidden/>
                <w:rStyle w:val="IndexLink"/>
                <w:rtl w:val="true"/>
              </w:rPr>
              <w:t>حكم ما بعد التزوير</w:t>
            </w:r>
            <w:r>
              <w:rPr>
                <w:rStyle w:val="IndexLink"/>
                <w:rtl w:val="true"/>
              </w:rPr>
              <w:tab/>
            </w:r>
            <w:r>
              <w:rPr>
                <w:rStyle w:val="IndexLink"/>
              </w:rPr>
              <w:t>339</w:t>
            </w:r>
          </w:hyperlink>
        </w:p>
        <w:p>
          <w:pPr>
            <w:pStyle w:val="Contents2"/>
            <w:tabs>
              <w:tab w:val="clear" w:pos="8743"/>
              <w:tab w:val="right" w:pos="9026" w:leader="dot"/>
            </w:tabs>
            <w:rPr/>
          </w:pPr>
          <w:hyperlink w:anchor="__RefHeading___Toc11915728_2142443653">
            <w:r>
              <w:rPr>
                <w:webHidden/>
                <w:rStyle w:val="IndexLink"/>
                <w:rtl w:val="true"/>
              </w:rPr>
              <w:t>الجندي والحروب غير الإسلامية</w:t>
            </w:r>
            <w:r>
              <w:rPr>
                <w:rStyle w:val="IndexLink"/>
                <w:rtl w:val="true"/>
              </w:rPr>
              <w:tab/>
            </w:r>
            <w:r>
              <w:rPr>
                <w:rStyle w:val="IndexLink"/>
              </w:rPr>
              <w:t>340</w:t>
            </w:r>
          </w:hyperlink>
        </w:p>
        <w:p>
          <w:pPr>
            <w:pStyle w:val="Contents2"/>
            <w:tabs>
              <w:tab w:val="clear" w:pos="8743"/>
              <w:tab w:val="right" w:pos="9026" w:leader="dot"/>
            </w:tabs>
            <w:rPr/>
          </w:pPr>
          <w:hyperlink w:anchor="__RefHeading___Toc11915730_2142443653">
            <w:r>
              <w:rPr>
                <w:webHidden/>
                <w:rStyle w:val="IndexLink"/>
                <w:rtl w:val="true"/>
              </w:rPr>
              <w:t>الجندي وحقوق الناس</w:t>
            </w:r>
            <w:r>
              <w:rPr>
                <w:rStyle w:val="IndexLink"/>
                <w:rtl w:val="true"/>
              </w:rPr>
              <w:tab/>
            </w:r>
            <w:r>
              <w:rPr>
                <w:rStyle w:val="IndexLink"/>
              </w:rPr>
              <w:t>341</w:t>
            </w:r>
          </w:hyperlink>
        </w:p>
        <w:p>
          <w:pPr>
            <w:pStyle w:val="Contents2"/>
            <w:tabs>
              <w:tab w:val="clear" w:pos="8743"/>
              <w:tab w:val="right" w:pos="9026" w:leader="dot"/>
            </w:tabs>
            <w:rPr/>
          </w:pPr>
          <w:hyperlink w:anchor="__RefHeading___Toc11915732_2142443653">
            <w:r>
              <w:rPr>
                <w:webHidden/>
                <w:rStyle w:val="IndexLink"/>
                <w:rtl w:val="true"/>
              </w:rPr>
              <w:t>الرقابة على المطبوعات</w:t>
            </w:r>
            <w:r>
              <w:rPr>
                <w:rStyle w:val="IndexLink"/>
                <w:rtl w:val="true"/>
              </w:rPr>
              <w:tab/>
            </w:r>
            <w:r>
              <w:rPr>
                <w:rStyle w:val="IndexLink"/>
              </w:rPr>
              <w:t>342</w:t>
            </w:r>
          </w:hyperlink>
        </w:p>
        <w:p>
          <w:pPr>
            <w:pStyle w:val="Contents2"/>
            <w:tabs>
              <w:tab w:val="clear" w:pos="8743"/>
              <w:tab w:val="right" w:pos="9026" w:leader="dot"/>
            </w:tabs>
            <w:rPr/>
          </w:pPr>
          <w:hyperlink w:anchor="__RefHeading___Toc11915734_2142443653">
            <w:r>
              <w:rPr>
                <w:webHidden/>
                <w:rStyle w:val="IndexLink"/>
                <w:rtl w:val="true"/>
              </w:rPr>
              <w:t>أجهزة الإعلام الأخرى</w:t>
            </w:r>
            <w:r>
              <w:rPr>
                <w:rStyle w:val="IndexLink"/>
                <w:rtl w:val="true"/>
              </w:rPr>
              <w:tab/>
            </w:r>
            <w:r>
              <w:rPr>
                <w:rStyle w:val="IndexLink"/>
              </w:rPr>
              <w:t>343</w:t>
            </w:r>
          </w:hyperlink>
        </w:p>
        <w:p>
          <w:pPr>
            <w:pStyle w:val="Contents2"/>
            <w:tabs>
              <w:tab w:val="clear" w:pos="8743"/>
              <w:tab w:val="right" w:pos="9026" w:leader="dot"/>
            </w:tabs>
            <w:rPr/>
          </w:pPr>
          <w:hyperlink w:anchor="__RefHeading___Toc11915736_2142443653">
            <w:r>
              <w:rPr>
                <w:webHidden/>
                <w:rStyle w:val="IndexLink"/>
                <w:rtl w:val="true"/>
              </w:rPr>
              <w:t>تبديل القرآن إلى غير العربي</w:t>
            </w:r>
            <w:r>
              <w:rPr>
                <w:rStyle w:val="IndexLink"/>
                <w:rtl w:val="true"/>
              </w:rPr>
              <w:tab/>
            </w:r>
            <w:r>
              <w:rPr>
                <w:rStyle w:val="IndexLink"/>
              </w:rPr>
              <w:t>344</w:t>
            </w:r>
          </w:hyperlink>
        </w:p>
        <w:p>
          <w:pPr>
            <w:pStyle w:val="Contents2"/>
            <w:tabs>
              <w:tab w:val="clear" w:pos="8743"/>
              <w:tab w:val="right" w:pos="9026" w:leader="dot"/>
            </w:tabs>
            <w:rPr/>
          </w:pPr>
          <w:hyperlink w:anchor="__RefHeading___Toc11915738_2142443653">
            <w:r>
              <w:rPr>
                <w:webHidden/>
                <w:rStyle w:val="IndexLink"/>
                <w:rtl w:val="true"/>
              </w:rPr>
              <w:t>تبديل الأذان والصلوات والأدعية</w:t>
            </w:r>
            <w:r>
              <w:rPr>
                <w:rStyle w:val="IndexLink"/>
                <w:rtl w:val="true"/>
              </w:rPr>
              <w:tab/>
            </w:r>
            <w:r>
              <w:rPr>
                <w:rStyle w:val="IndexLink"/>
              </w:rPr>
              <w:t>345</w:t>
            </w:r>
          </w:hyperlink>
        </w:p>
        <w:p>
          <w:pPr>
            <w:pStyle w:val="Contents2"/>
            <w:tabs>
              <w:tab w:val="clear" w:pos="8743"/>
              <w:tab w:val="right" w:pos="9026" w:leader="dot"/>
            </w:tabs>
            <w:rPr/>
          </w:pPr>
          <w:hyperlink w:anchor="__RefHeading___Toc11915740_2142443653">
            <w:r>
              <w:rPr>
                <w:webHidden/>
                <w:rStyle w:val="IndexLink"/>
                <w:rtl w:val="true"/>
              </w:rPr>
              <w:t>مقررات الأمم المتحدة</w:t>
            </w:r>
            <w:r>
              <w:rPr>
                <w:rStyle w:val="IndexLink"/>
                <w:rtl w:val="true"/>
              </w:rPr>
              <w:tab/>
            </w:r>
            <w:r>
              <w:rPr>
                <w:rStyle w:val="IndexLink"/>
              </w:rPr>
              <w:t>345</w:t>
            </w:r>
          </w:hyperlink>
        </w:p>
        <w:p>
          <w:pPr>
            <w:pStyle w:val="Contents2"/>
            <w:tabs>
              <w:tab w:val="clear" w:pos="8743"/>
              <w:tab w:val="right" w:pos="9026" w:leader="dot"/>
            </w:tabs>
            <w:rPr/>
          </w:pPr>
          <w:hyperlink w:anchor="__RefHeading___Toc11915742_2142443653">
            <w:r>
              <w:rPr>
                <w:webHidden/>
                <w:rStyle w:val="IndexLink"/>
                <w:rtl w:val="true"/>
              </w:rPr>
              <w:t>المسلم لا يكون أجنبياً أبداً</w:t>
            </w:r>
            <w:r>
              <w:rPr>
                <w:rStyle w:val="IndexLink"/>
                <w:rtl w:val="true"/>
              </w:rPr>
              <w:tab/>
            </w:r>
            <w:r>
              <w:rPr>
                <w:rStyle w:val="IndexLink"/>
              </w:rPr>
              <w:t>347</w:t>
            </w:r>
          </w:hyperlink>
        </w:p>
        <w:p>
          <w:pPr>
            <w:pStyle w:val="Contents2"/>
            <w:tabs>
              <w:tab w:val="clear" w:pos="8743"/>
              <w:tab w:val="right" w:pos="9026" w:leader="dot"/>
            </w:tabs>
            <w:rPr/>
          </w:pPr>
          <w:hyperlink w:anchor="__RefHeading___Toc11915744_2142443653">
            <w:r>
              <w:rPr>
                <w:webHidden/>
                <w:rStyle w:val="IndexLink"/>
                <w:rtl w:val="true"/>
              </w:rPr>
              <w:t>تبعيد المسلمين</w:t>
            </w:r>
            <w:r>
              <w:rPr>
                <w:rStyle w:val="IndexLink"/>
                <w:rtl w:val="true"/>
              </w:rPr>
              <w:tab/>
            </w:r>
            <w:r>
              <w:rPr>
                <w:rStyle w:val="IndexLink"/>
              </w:rPr>
              <w:t>348</w:t>
            </w:r>
          </w:hyperlink>
        </w:p>
        <w:p>
          <w:pPr>
            <w:pStyle w:val="Contents2"/>
            <w:tabs>
              <w:tab w:val="clear" w:pos="8743"/>
              <w:tab w:val="right" w:pos="9026" w:leader="dot"/>
            </w:tabs>
            <w:rPr/>
          </w:pPr>
          <w:hyperlink w:anchor="__RefHeading___Toc11915746_2142443653">
            <w:r>
              <w:rPr>
                <w:webHidden/>
                <w:rStyle w:val="IndexLink"/>
                <w:rtl w:val="true"/>
              </w:rPr>
              <w:t>حجز الإنسان</w:t>
            </w:r>
            <w:r>
              <w:rPr>
                <w:rStyle w:val="IndexLink"/>
                <w:rtl w:val="true"/>
              </w:rPr>
              <w:tab/>
            </w:r>
            <w:r>
              <w:rPr>
                <w:rStyle w:val="IndexLink"/>
              </w:rPr>
              <w:t>349</w:t>
            </w:r>
          </w:hyperlink>
        </w:p>
        <w:p>
          <w:pPr>
            <w:pStyle w:val="Contents2"/>
            <w:tabs>
              <w:tab w:val="clear" w:pos="8743"/>
              <w:tab w:val="right" w:pos="9026" w:leader="dot"/>
            </w:tabs>
            <w:rPr/>
          </w:pPr>
          <w:hyperlink w:anchor="__RefHeading___Toc11915748_2142443653">
            <w:r>
              <w:rPr>
                <w:webHidden/>
                <w:rStyle w:val="IndexLink"/>
                <w:rtl w:val="true"/>
              </w:rPr>
              <w:t>حدّ السجن في الإسلام</w:t>
            </w:r>
            <w:r>
              <w:rPr>
                <w:rStyle w:val="IndexLink"/>
                <w:rtl w:val="true"/>
              </w:rPr>
              <w:tab/>
            </w:r>
            <w:r>
              <w:rPr>
                <w:rStyle w:val="IndexLink"/>
              </w:rPr>
              <w:t>350</w:t>
            </w:r>
          </w:hyperlink>
        </w:p>
        <w:p>
          <w:pPr>
            <w:pStyle w:val="Contents2"/>
            <w:tabs>
              <w:tab w:val="clear" w:pos="8743"/>
              <w:tab w:val="right" w:pos="9026" w:leader="dot"/>
            </w:tabs>
            <w:rPr/>
          </w:pPr>
          <w:hyperlink w:anchor="__RefHeading___Toc11915750_2142443653">
            <w:r>
              <w:rPr>
                <w:webHidden/>
                <w:rStyle w:val="IndexLink"/>
                <w:rtl w:val="true"/>
              </w:rPr>
              <w:t>التعذيب بالوسائل القديمة والحديثة</w:t>
            </w:r>
            <w:r>
              <w:rPr>
                <w:rStyle w:val="IndexLink"/>
                <w:rtl w:val="true"/>
              </w:rPr>
              <w:tab/>
            </w:r>
            <w:r>
              <w:rPr>
                <w:rStyle w:val="IndexLink"/>
              </w:rPr>
              <w:t>350</w:t>
            </w:r>
          </w:hyperlink>
        </w:p>
        <w:p>
          <w:pPr>
            <w:pStyle w:val="Contents2"/>
            <w:tabs>
              <w:tab w:val="clear" w:pos="8743"/>
              <w:tab w:val="right" w:pos="9026" w:leader="dot"/>
            </w:tabs>
            <w:rPr/>
          </w:pPr>
          <w:hyperlink w:anchor="__RefHeading___Toc11915752_2142443653">
            <w:r>
              <w:rPr>
                <w:webHidden/>
                <w:rStyle w:val="IndexLink"/>
                <w:rtl w:val="true"/>
              </w:rPr>
              <w:t>الغرامة في الإسلام</w:t>
            </w:r>
            <w:r>
              <w:rPr>
                <w:rStyle w:val="IndexLink"/>
                <w:rtl w:val="true"/>
              </w:rPr>
              <w:tab/>
            </w:r>
            <w:r>
              <w:rPr>
                <w:rStyle w:val="IndexLink"/>
              </w:rPr>
              <w:t>352</w:t>
            </w:r>
          </w:hyperlink>
        </w:p>
        <w:p>
          <w:pPr>
            <w:pStyle w:val="Contents2"/>
            <w:tabs>
              <w:tab w:val="clear" w:pos="8743"/>
              <w:tab w:val="right" w:pos="9026" w:leader="dot"/>
            </w:tabs>
            <w:rPr/>
          </w:pPr>
          <w:hyperlink w:anchor="__RefHeading___Toc11915754_2142443653">
            <w:r>
              <w:rPr>
                <w:webHidden/>
                <w:rStyle w:val="IndexLink"/>
                <w:rtl w:val="true"/>
              </w:rPr>
              <w:t>من حقوق الإنسان المحجوز</w:t>
            </w:r>
            <w:r>
              <w:rPr>
                <w:rStyle w:val="IndexLink"/>
                <w:rtl w:val="true"/>
              </w:rPr>
              <w:tab/>
            </w:r>
            <w:r>
              <w:rPr>
                <w:rStyle w:val="IndexLink"/>
              </w:rPr>
              <w:t>352</w:t>
            </w:r>
          </w:hyperlink>
        </w:p>
        <w:p>
          <w:pPr>
            <w:pStyle w:val="Contents2"/>
            <w:tabs>
              <w:tab w:val="clear" w:pos="8743"/>
              <w:tab w:val="right" w:pos="9026" w:leader="dot"/>
            </w:tabs>
            <w:rPr/>
          </w:pPr>
          <w:hyperlink w:anchor="__RefHeading___Toc11915756_2142443653">
            <w:r>
              <w:rPr>
                <w:webHidden/>
                <w:rStyle w:val="IndexLink"/>
                <w:rtl w:val="true"/>
              </w:rPr>
              <w:t>الحقوق الأخرى للمحجوز</w:t>
            </w:r>
            <w:r>
              <w:rPr>
                <w:rStyle w:val="IndexLink"/>
                <w:rtl w:val="true"/>
              </w:rPr>
              <w:tab/>
            </w:r>
            <w:r>
              <w:rPr>
                <w:rStyle w:val="IndexLink"/>
              </w:rPr>
              <w:t>353</w:t>
            </w:r>
          </w:hyperlink>
        </w:p>
        <w:p>
          <w:pPr>
            <w:pStyle w:val="Contents2"/>
            <w:tabs>
              <w:tab w:val="clear" w:pos="8743"/>
              <w:tab w:val="right" w:pos="9026" w:leader="dot"/>
            </w:tabs>
            <w:rPr/>
          </w:pPr>
          <w:hyperlink w:anchor="__RefHeading___Toc11915758_2142443653">
            <w:r>
              <w:rPr>
                <w:webHidden/>
                <w:rStyle w:val="IndexLink"/>
                <w:rtl w:val="true"/>
              </w:rPr>
              <w:t>المحجوز إذا فاتته منافعه</w:t>
            </w:r>
            <w:r>
              <w:rPr>
                <w:rStyle w:val="IndexLink"/>
                <w:rtl w:val="true"/>
              </w:rPr>
              <w:tab/>
            </w:r>
            <w:r>
              <w:rPr>
                <w:rStyle w:val="IndexLink"/>
              </w:rPr>
              <w:t>355</w:t>
            </w:r>
          </w:hyperlink>
        </w:p>
        <w:p>
          <w:pPr>
            <w:pStyle w:val="Contents2"/>
            <w:tabs>
              <w:tab w:val="clear" w:pos="8743"/>
              <w:tab w:val="right" w:pos="9026" w:leader="dot"/>
            </w:tabs>
            <w:rPr/>
          </w:pPr>
          <w:hyperlink w:anchor="__RefHeading___Toc11915760_2142443653">
            <w:r>
              <w:rPr>
                <w:webHidden/>
                <w:rStyle w:val="IndexLink"/>
                <w:rtl w:val="true"/>
              </w:rPr>
              <w:t>حجز الأموال والعقار</w:t>
            </w:r>
            <w:r>
              <w:rPr>
                <w:rStyle w:val="IndexLink"/>
                <w:rtl w:val="true"/>
              </w:rPr>
              <w:tab/>
            </w:r>
            <w:r>
              <w:rPr>
                <w:rStyle w:val="IndexLink"/>
              </w:rPr>
              <w:t>357</w:t>
            </w:r>
          </w:hyperlink>
        </w:p>
        <w:p>
          <w:pPr>
            <w:pStyle w:val="Contents2"/>
            <w:tabs>
              <w:tab w:val="clear" w:pos="8743"/>
              <w:tab w:val="right" w:pos="9026" w:leader="dot"/>
            </w:tabs>
            <w:rPr/>
          </w:pPr>
          <w:hyperlink w:anchor="__RefHeading___Toc11915762_2142443653">
            <w:r>
              <w:rPr>
                <w:webHidden/>
                <w:rStyle w:val="IndexLink"/>
                <w:rtl w:val="true"/>
              </w:rPr>
              <w:t>إجارة العقار للمحجوز عليه</w:t>
            </w:r>
            <w:r>
              <w:rPr>
                <w:rStyle w:val="IndexLink"/>
                <w:rtl w:val="true"/>
              </w:rPr>
              <w:tab/>
            </w:r>
            <w:r>
              <w:rPr>
                <w:rStyle w:val="IndexLink"/>
              </w:rPr>
              <w:t>357</w:t>
            </w:r>
          </w:hyperlink>
        </w:p>
        <w:p>
          <w:pPr>
            <w:pStyle w:val="Contents2"/>
            <w:tabs>
              <w:tab w:val="clear" w:pos="8743"/>
              <w:tab w:val="right" w:pos="9026" w:leader="dot"/>
            </w:tabs>
            <w:rPr/>
          </w:pPr>
          <w:hyperlink w:anchor="__RefHeading___Toc11915764_2142443653">
            <w:r>
              <w:rPr>
                <w:webHidden/>
                <w:rStyle w:val="IndexLink"/>
                <w:rtl w:val="true"/>
              </w:rPr>
              <w:t>التقاص في مسألة الحجز</w:t>
            </w:r>
            <w:r>
              <w:rPr>
                <w:rStyle w:val="IndexLink"/>
                <w:rtl w:val="true"/>
              </w:rPr>
              <w:tab/>
            </w:r>
            <w:r>
              <w:rPr>
                <w:rStyle w:val="IndexLink"/>
              </w:rPr>
              <w:t>358</w:t>
            </w:r>
          </w:hyperlink>
        </w:p>
        <w:p>
          <w:pPr>
            <w:pStyle w:val="Contents2"/>
            <w:tabs>
              <w:tab w:val="clear" w:pos="8743"/>
              <w:tab w:val="right" w:pos="9026" w:leader="dot"/>
            </w:tabs>
            <w:rPr/>
          </w:pPr>
          <w:hyperlink w:anchor="__RefHeading___Toc11915766_2142443653">
            <w:r>
              <w:rPr>
                <w:webHidden/>
                <w:rStyle w:val="IndexLink"/>
                <w:rtl w:val="true"/>
              </w:rPr>
              <w:t>ضمان الساجن خسائر المسجون</w:t>
            </w:r>
            <w:r>
              <w:rPr>
                <w:rStyle w:val="IndexLink"/>
                <w:rtl w:val="true"/>
              </w:rPr>
              <w:tab/>
            </w:r>
            <w:r>
              <w:rPr>
                <w:rStyle w:val="IndexLink"/>
              </w:rPr>
              <w:t>358</w:t>
            </w:r>
          </w:hyperlink>
        </w:p>
        <w:p>
          <w:pPr>
            <w:pStyle w:val="Contents2"/>
            <w:tabs>
              <w:tab w:val="clear" w:pos="8743"/>
              <w:tab w:val="right" w:pos="9026" w:leader="dot"/>
            </w:tabs>
            <w:rPr/>
          </w:pPr>
          <w:hyperlink w:anchor="__RefHeading___Toc11915768_2142443653">
            <w:r>
              <w:rPr>
                <w:webHidden/>
                <w:rStyle w:val="IndexLink"/>
                <w:rtl w:val="true"/>
              </w:rPr>
              <w:t>الغرامة والتقاص</w:t>
            </w:r>
            <w:r>
              <w:rPr>
                <w:rStyle w:val="IndexLink"/>
                <w:rtl w:val="true"/>
              </w:rPr>
              <w:tab/>
            </w:r>
            <w:r>
              <w:rPr>
                <w:rStyle w:val="IndexLink"/>
              </w:rPr>
              <w:t>359</w:t>
            </w:r>
          </w:hyperlink>
        </w:p>
        <w:p>
          <w:pPr>
            <w:pStyle w:val="Contents2"/>
            <w:tabs>
              <w:tab w:val="clear" w:pos="8743"/>
              <w:tab w:val="right" w:pos="9026" w:leader="dot"/>
            </w:tabs>
            <w:rPr/>
          </w:pPr>
          <w:hyperlink w:anchor="__RefHeading___Toc11915770_2142443653">
            <w:r>
              <w:rPr>
                <w:webHidden/>
                <w:rStyle w:val="IndexLink"/>
                <w:rtl w:val="true"/>
              </w:rPr>
              <w:t>من حق المعذَّب ظلماً</w:t>
            </w:r>
            <w:r>
              <w:rPr>
                <w:rStyle w:val="IndexLink"/>
                <w:rtl w:val="true"/>
              </w:rPr>
              <w:tab/>
            </w:r>
            <w:r>
              <w:rPr>
                <w:rStyle w:val="IndexLink"/>
              </w:rPr>
              <w:t>360</w:t>
            </w:r>
          </w:hyperlink>
        </w:p>
        <w:p>
          <w:pPr>
            <w:pStyle w:val="Contents2"/>
            <w:tabs>
              <w:tab w:val="clear" w:pos="8743"/>
              <w:tab w:val="right" w:pos="9026" w:leader="dot"/>
            </w:tabs>
            <w:rPr/>
          </w:pPr>
          <w:hyperlink w:anchor="__RefHeading___Toc11915772_2142443653">
            <w:r>
              <w:rPr>
                <w:webHidden/>
                <w:rStyle w:val="IndexLink"/>
                <w:rtl w:val="true"/>
              </w:rPr>
              <w:t>الفقراء والدولة الإسلامية</w:t>
            </w:r>
            <w:r>
              <w:rPr>
                <w:rStyle w:val="IndexLink"/>
                <w:rtl w:val="true"/>
              </w:rPr>
              <w:tab/>
            </w:r>
            <w:r>
              <w:rPr>
                <w:rStyle w:val="IndexLink"/>
              </w:rPr>
              <w:t>360</w:t>
            </w:r>
          </w:hyperlink>
        </w:p>
        <w:p>
          <w:pPr>
            <w:pStyle w:val="Contents2"/>
            <w:tabs>
              <w:tab w:val="clear" w:pos="8743"/>
              <w:tab w:val="right" w:pos="9026" w:leader="dot"/>
            </w:tabs>
            <w:rPr/>
          </w:pPr>
          <w:hyperlink w:anchor="__RefHeading___Toc11915774_2142443653">
            <w:r>
              <w:rPr>
                <w:webHidden/>
                <w:rStyle w:val="IndexLink"/>
                <w:rtl w:val="true"/>
              </w:rPr>
              <w:t>أصحاب الديون والدولة الإسلامية</w:t>
            </w:r>
            <w:r>
              <w:rPr>
                <w:rStyle w:val="IndexLink"/>
                <w:rtl w:val="true"/>
              </w:rPr>
              <w:tab/>
            </w:r>
            <w:r>
              <w:rPr>
                <w:rStyle w:val="IndexLink"/>
              </w:rPr>
              <w:t>361</w:t>
            </w:r>
          </w:hyperlink>
        </w:p>
        <w:p>
          <w:pPr>
            <w:pStyle w:val="Contents2"/>
            <w:tabs>
              <w:tab w:val="clear" w:pos="8743"/>
              <w:tab w:val="right" w:pos="9026" w:leader="dot"/>
            </w:tabs>
            <w:rPr/>
          </w:pPr>
          <w:hyperlink w:anchor="__RefHeading___Toc11915776_2142443653">
            <w:r>
              <w:rPr>
                <w:webHidden/>
                <w:rStyle w:val="IndexLink"/>
                <w:rtl w:val="true"/>
              </w:rPr>
              <w:t>الاستهلال بالطائرة</w:t>
            </w:r>
            <w:r>
              <w:rPr>
                <w:rStyle w:val="IndexLink"/>
                <w:rtl w:val="true"/>
              </w:rPr>
              <w:tab/>
            </w:r>
            <w:r>
              <w:rPr>
                <w:rStyle w:val="IndexLink"/>
              </w:rPr>
              <w:t>362</w:t>
            </w:r>
          </w:hyperlink>
        </w:p>
        <w:p>
          <w:pPr>
            <w:pStyle w:val="Contents2"/>
            <w:tabs>
              <w:tab w:val="clear" w:pos="8743"/>
              <w:tab w:val="right" w:pos="9026" w:leader="dot"/>
            </w:tabs>
            <w:rPr/>
          </w:pPr>
          <w:hyperlink w:anchor="__RefHeading___Toc11915778_2142443653">
            <w:r>
              <w:rPr>
                <w:webHidden/>
                <w:rStyle w:val="IndexLink"/>
                <w:rtl w:val="true"/>
              </w:rPr>
              <w:t>وقف الإنسان الحر نفسه</w:t>
            </w:r>
            <w:r>
              <w:rPr>
                <w:rStyle w:val="IndexLink"/>
                <w:rtl w:val="true"/>
              </w:rPr>
              <w:tab/>
            </w:r>
            <w:r>
              <w:rPr>
                <w:rStyle w:val="IndexLink"/>
              </w:rPr>
              <w:t>363</w:t>
            </w:r>
          </w:hyperlink>
        </w:p>
        <w:p>
          <w:pPr>
            <w:pStyle w:val="Contents2"/>
            <w:tabs>
              <w:tab w:val="clear" w:pos="8743"/>
              <w:tab w:val="right" w:pos="9026" w:leader="dot"/>
            </w:tabs>
            <w:rPr/>
          </w:pPr>
          <w:hyperlink w:anchor="__RefHeading___Toc11915780_2142443653">
            <w:r>
              <w:rPr>
                <w:webHidden/>
                <w:rStyle w:val="IndexLink"/>
                <w:rtl w:val="true"/>
              </w:rPr>
              <w:t>ما يقوم مقام الوقف</w:t>
            </w:r>
            <w:r>
              <w:rPr>
                <w:rStyle w:val="IndexLink"/>
                <w:rtl w:val="true"/>
              </w:rPr>
              <w:tab/>
            </w:r>
            <w:r>
              <w:rPr>
                <w:rStyle w:val="IndexLink"/>
              </w:rPr>
              <w:t>365</w:t>
            </w:r>
          </w:hyperlink>
        </w:p>
        <w:p>
          <w:pPr>
            <w:pStyle w:val="Contents2"/>
            <w:tabs>
              <w:tab w:val="clear" w:pos="8743"/>
              <w:tab w:val="right" w:pos="9026" w:leader="dot"/>
            </w:tabs>
            <w:rPr/>
          </w:pPr>
          <w:hyperlink w:anchor="__RefHeading___Toc11915782_2142443653">
            <w:r>
              <w:rPr>
                <w:webHidden/>
                <w:rStyle w:val="IndexLink"/>
                <w:rtl w:val="true"/>
              </w:rPr>
              <w:t>النذر في الدم</w:t>
            </w:r>
            <w:r>
              <w:rPr>
                <w:rStyle w:val="IndexLink"/>
                <w:rtl w:val="true"/>
              </w:rPr>
              <w:tab/>
            </w:r>
            <w:r>
              <w:rPr>
                <w:rStyle w:val="IndexLink"/>
              </w:rPr>
              <w:t>365</w:t>
            </w:r>
          </w:hyperlink>
        </w:p>
        <w:p>
          <w:pPr>
            <w:pStyle w:val="Contents2"/>
            <w:tabs>
              <w:tab w:val="clear" w:pos="8743"/>
              <w:tab w:val="right" w:pos="9026" w:leader="dot"/>
            </w:tabs>
            <w:rPr/>
          </w:pPr>
          <w:hyperlink w:anchor="__RefHeading___Toc11915784_2142443653">
            <w:r>
              <w:rPr>
                <w:webHidden/>
                <w:rStyle w:val="IndexLink"/>
                <w:rtl w:val="true"/>
              </w:rPr>
              <w:t>وقف الإنسان دمه</w:t>
            </w:r>
            <w:r>
              <w:rPr>
                <w:rStyle w:val="IndexLink"/>
                <w:rtl w:val="true"/>
              </w:rPr>
              <w:tab/>
            </w:r>
            <w:r>
              <w:rPr>
                <w:rStyle w:val="IndexLink"/>
              </w:rPr>
              <w:t>366</w:t>
            </w:r>
          </w:hyperlink>
        </w:p>
        <w:p>
          <w:pPr>
            <w:pStyle w:val="Contents2"/>
            <w:tabs>
              <w:tab w:val="clear" w:pos="8743"/>
              <w:tab w:val="right" w:pos="9026" w:leader="dot"/>
            </w:tabs>
            <w:rPr/>
          </w:pPr>
          <w:hyperlink w:anchor="__RefHeading___Toc11915786_2142443653">
            <w:r>
              <w:rPr>
                <w:webHidden/>
                <w:rStyle w:val="IndexLink"/>
                <w:rtl w:val="true"/>
              </w:rPr>
              <w:t>الوقف بعد الموت</w:t>
            </w:r>
            <w:r>
              <w:rPr>
                <w:rStyle w:val="IndexLink"/>
                <w:rtl w:val="true"/>
              </w:rPr>
              <w:tab/>
            </w:r>
            <w:r>
              <w:rPr>
                <w:rStyle w:val="IndexLink"/>
              </w:rPr>
              <w:t>366</w:t>
            </w:r>
          </w:hyperlink>
        </w:p>
        <w:p>
          <w:pPr>
            <w:pStyle w:val="Contents2"/>
            <w:tabs>
              <w:tab w:val="clear" w:pos="8743"/>
              <w:tab w:val="right" w:pos="9026" w:leader="dot"/>
            </w:tabs>
            <w:rPr/>
          </w:pPr>
          <w:hyperlink w:anchor="__RefHeading___Toc11915788_2142443653">
            <w:r>
              <w:rPr>
                <w:webHidden/>
                <w:rStyle w:val="IndexLink"/>
                <w:rtl w:val="true"/>
              </w:rPr>
              <w:t>الصلح والهبة على الأعضاء</w:t>
            </w:r>
            <w:r>
              <w:rPr>
                <w:rStyle w:val="IndexLink"/>
                <w:rtl w:val="true"/>
              </w:rPr>
              <w:tab/>
            </w:r>
            <w:r>
              <w:rPr>
                <w:rStyle w:val="IndexLink"/>
              </w:rPr>
              <w:t>368</w:t>
            </w:r>
          </w:hyperlink>
        </w:p>
        <w:p>
          <w:pPr>
            <w:pStyle w:val="Contents2"/>
            <w:tabs>
              <w:tab w:val="clear" w:pos="8743"/>
              <w:tab w:val="right" w:pos="9026" w:leader="dot"/>
            </w:tabs>
            <w:rPr/>
          </w:pPr>
          <w:hyperlink w:anchor="__RefHeading___Toc11915790_2142443653">
            <w:r>
              <w:rPr>
                <w:webHidden/>
                <w:rStyle w:val="IndexLink"/>
                <w:rtl w:val="true"/>
              </w:rPr>
              <w:t>تشخيص الدائن والمديون بالأرواح</w:t>
            </w:r>
            <w:r>
              <w:rPr>
                <w:rStyle w:val="IndexLink"/>
                <w:rtl w:val="true"/>
              </w:rPr>
              <w:tab/>
            </w:r>
            <w:r>
              <w:rPr>
                <w:rStyle w:val="IndexLink"/>
              </w:rPr>
              <w:t>369</w:t>
            </w:r>
          </w:hyperlink>
        </w:p>
        <w:p>
          <w:pPr>
            <w:pStyle w:val="Contents2"/>
            <w:tabs>
              <w:tab w:val="clear" w:pos="8743"/>
              <w:tab w:val="right" w:pos="9026" w:leader="dot"/>
            </w:tabs>
            <w:rPr/>
          </w:pPr>
          <w:hyperlink w:anchor="__RefHeading___Toc11915792_2142443653">
            <w:r>
              <w:rPr>
                <w:webHidden/>
                <w:rStyle w:val="IndexLink"/>
                <w:rtl w:val="true"/>
              </w:rPr>
              <w:t>ديون الميت</w:t>
            </w:r>
            <w:r>
              <w:rPr>
                <w:rStyle w:val="IndexLink"/>
                <w:rtl w:val="true"/>
              </w:rPr>
              <w:tab/>
            </w:r>
            <w:r>
              <w:rPr>
                <w:rStyle w:val="IndexLink"/>
              </w:rPr>
              <w:t>369</w:t>
            </w:r>
          </w:hyperlink>
        </w:p>
        <w:p>
          <w:pPr>
            <w:pStyle w:val="Contents2"/>
            <w:tabs>
              <w:tab w:val="clear" w:pos="8743"/>
              <w:tab w:val="right" w:pos="9026" w:leader="dot"/>
            </w:tabs>
            <w:rPr/>
          </w:pPr>
          <w:hyperlink w:anchor="__RefHeading___Toc11915794_2142443653">
            <w:r>
              <w:rPr>
                <w:webHidden/>
                <w:rStyle w:val="IndexLink"/>
                <w:rtl w:val="true"/>
              </w:rPr>
              <w:t>العقد والإيقاع عبر الروح</w:t>
            </w:r>
            <w:r>
              <w:rPr>
                <w:rStyle w:val="IndexLink"/>
                <w:rtl w:val="true"/>
              </w:rPr>
              <w:tab/>
            </w:r>
            <w:r>
              <w:rPr>
                <w:rStyle w:val="IndexLink"/>
              </w:rPr>
              <w:t>370</w:t>
            </w:r>
          </w:hyperlink>
        </w:p>
        <w:p>
          <w:pPr>
            <w:pStyle w:val="Contents2"/>
            <w:tabs>
              <w:tab w:val="clear" w:pos="8743"/>
              <w:tab w:val="right" w:pos="9026" w:leader="dot"/>
            </w:tabs>
            <w:rPr/>
          </w:pPr>
          <w:hyperlink w:anchor="__RefHeading___Toc11915796_2142443653">
            <w:r>
              <w:rPr>
                <w:webHidden/>
                <w:rStyle w:val="IndexLink"/>
                <w:rtl w:val="true"/>
              </w:rPr>
              <w:t>التعاون مع الأمن والاستخبارات</w:t>
            </w:r>
            <w:r>
              <w:rPr>
                <w:rStyle w:val="IndexLink"/>
                <w:rtl w:val="true"/>
              </w:rPr>
              <w:tab/>
            </w:r>
            <w:r>
              <w:rPr>
                <w:rStyle w:val="IndexLink"/>
              </w:rPr>
              <w:t>370</w:t>
            </w:r>
          </w:hyperlink>
        </w:p>
        <w:p>
          <w:pPr>
            <w:pStyle w:val="Contents2"/>
            <w:tabs>
              <w:tab w:val="clear" w:pos="8743"/>
              <w:tab w:val="right" w:pos="9026" w:leader="dot"/>
            </w:tabs>
            <w:rPr/>
          </w:pPr>
          <w:hyperlink w:anchor="__RefHeading___Toc11915798_2142443653">
            <w:r>
              <w:rPr>
                <w:webHidden/>
                <w:rStyle w:val="IndexLink"/>
                <w:rtl w:val="true"/>
              </w:rPr>
              <w:t>حفظ أخطاء المؤمنين</w:t>
            </w:r>
            <w:r>
              <w:rPr>
                <w:rStyle w:val="IndexLink"/>
                <w:rtl w:val="true"/>
              </w:rPr>
              <w:tab/>
            </w:r>
            <w:r>
              <w:rPr>
                <w:rStyle w:val="IndexLink"/>
              </w:rPr>
              <w:t>371</w:t>
            </w:r>
          </w:hyperlink>
        </w:p>
        <w:p>
          <w:pPr>
            <w:pStyle w:val="Contents2"/>
            <w:tabs>
              <w:tab w:val="clear" w:pos="8743"/>
              <w:tab w:val="right" w:pos="9026" w:leader="dot"/>
            </w:tabs>
            <w:rPr/>
          </w:pPr>
          <w:hyperlink w:anchor="__RefHeading___Toc11915800_2142443653">
            <w:r>
              <w:rPr>
                <w:webHidden/>
                <w:rStyle w:val="IndexLink"/>
                <w:rtl w:val="true"/>
              </w:rPr>
              <w:t>رفع التقارير ضد الكفار</w:t>
            </w:r>
            <w:r>
              <w:rPr>
                <w:rStyle w:val="IndexLink"/>
                <w:rtl w:val="true"/>
              </w:rPr>
              <w:tab/>
            </w:r>
            <w:r>
              <w:rPr>
                <w:rStyle w:val="IndexLink"/>
              </w:rPr>
              <w:t>372</w:t>
            </w:r>
          </w:hyperlink>
        </w:p>
        <w:p>
          <w:pPr>
            <w:pStyle w:val="Contents2"/>
            <w:tabs>
              <w:tab w:val="clear" w:pos="8743"/>
              <w:tab w:val="right" w:pos="9026" w:leader="dot"/>
            </w:tabs>
            <w:rPr/>
          </w:pPr>
          <w:hyperlink w:anchor="__RefHeading___Toc11915802_2142443653">
            <w:r>
              <w:rPr>
                <w:webHidden/>
                <w:rStyle w:val="IndexLink"/>
                <w:rtl w:val="true"/>
              </w:rPr>
              <w:t>تجهيز الميت بالآلات</w:t>
            </w:r>
            <w:r>
              <w:rPr>
                <w:rStyle w:val="IndexLink"/>
                <w:rtl w:val="true"/>
              </w:rPr>
              <w:tab/>
            </w:r>
            <w:r>
              <w:rPr>
                <w:rStyle w:val="IndexLink"/>
              </w:rPr>
              <w:t>373</w:t>
            </w:r>
          </w:hyperlink>
        </w:p>
        <w:p>
          <w:pPr>
            <w:pStyle w:val="Contents2"/>
            <w:tabs>
              <w:tab w:val="clear" w:pos="8743"/>
              <w:tab w:val="right" w:pos="9026" w:leader="dot"/>
            </w:tabs>
            <w:rPr/>
          </w:pPr>
          <w:hyperlink w:anchor="__RefHeading___Toc11915804_2142443653">
            <w:r>
              <w:rPr>
                <w:webHidden/>
                <w:rStyle w:val="IndexLink"/>
                <w:rtl w:val="true"/>
              </w:rPr>
              <w:t>آلات تجهيز الميت ومباشرها</w:t>
            </w:r>
            <w:r>
              <w:rPr>
                <w:rStyle w:val="IndexLink"/>
                <w:rtl w:val="true"/>
              </w:rPr>
              <w:tab/>
            </w:r>
            <w:r>
              <w:rPr>
                <w:rStyle w:val="IndexLink"/>
              </w:rPr>
              <w:t>374</w:t>
            </w:r>
          </w:hyperlink>
        </w:p>
        <w:p>
          <w:pPr>
            <w:pStyle w:val="Contents2"/>
            <w:tabs>
              <w:tab w:val="clear" w:pos="8743"/>
              <w:tab w:val="right" w:pos="9026" w:leader="dot"/>
            </w:tabs>
            <w:rPr/>
          </w:pPr>
          <w:hyperlink w:anchor="__RefHeading___Toc11915806_2142443653">
            <w:r>
              <w:rPr>
                <w:webHidden/>
                <w:rStyle w:val="IndexLink"/>
                <w:rtl w:val="true"/>
              </w:rPr>
              <w:t>صيد الحيوانات بالآلات الحديثة</w:t>
            </w:r>
            <w:r>
              <w:rPr>
                <w:rStyle w:val="IndexLink"/>
                <w:rtl w:val="true"/>
              </w:rPr>
              <w:tab/>
            </w:r>
            <w:r>
              <w:rPr>
                <w:rStyle w:val="IndexLink"/>
              </w:rPr>
              <w:t>374</w:t>
            </w:r>
          </w:hyperlink>
        </w:p>
        <w:p>
          <w:pPr>
            <w:pStyle w:val="Contents2"/>
            <w:tabs>
              <w:tab w:val="clear" w:pos="8743"/>
              <w:tab w:val="right" w:pos="9026" w:leader="dot"/>
            </w:tabs>
            <w:rPr/>
          </w:pPr>
          <w:hyperlink w:anchor="__RefHeading___Toc11915808_2142443653">
            <w:r>
              <w:rPr>
                <w:webHidden/>
                <w:rStyle w:val="IndexLink"/>
                <w:rtl w:val="true"/>
              </w:rPr>
              <w:t>الوقف في الكواكب الأخرى</w:t>
            </w:r>
            <w:r>
              <w:rPr>
                <w:rStyle w:val="IndexLink"/>
                <w:rtl w:val="true"/>
              </w:rPr>
              <w:tab/>
            </w:r>
            <w:r>
              <w:rPr>
                <w:rStyle w:val="IndexLink"/>
              </w:rPr>
              <w:t>375</w:t>
            </w:r>
          </w:hyperlink>
        </w:p>
        <w:p>
          <w:pPr>
            <w:pStyle w:val="Contents2"/>
            <w:tabs>
              <w:tab w:val="clear" w:pos="8743"/>
              <w:tab w:val="right" w:pos="9026" w:leader="dot"/>
            </w:tabs>
            <w:rPr/>
          </w:pPr>
          <w:hyperlink w:anchor="__RefHeading___Toc11915810_2142443653">
            <w:r>
              <w:rPr>
                <w:webHidden/>
                <w:rStyle w:val="IndexLink"/>
                <w:rtl w:val="true"/>
              </w:rPr>
              <w:t>المسجد الفضائي للرواد</w:t>
            </w:r>
            <w:r>
              <w:rPr>
                <w:rStyle w:val="IndexLink"/>
                <w:rtl w:val="true"/>
              </w:rPr>
              <w:tab/>
            </w:r>
            <w:r>
              <w:rPr>
                <w:rStyle w:val="IndexLink"/>
              </w:rPr>
              <w:t>376</w:t>
            </w:r>
          </w:hyperlink>
        </w:p>
        <w:p>
          <w:pPr>
            <w:pStyle w:val="Contents2"/>
            <w:tabs>
              <w:tab w:val="clear" w:pos="8743"/>
              <w:tab w:val="right" w:pos="9026" w:leader="dot"/>
            </w:tabs>
            <w:rPr/>
          </w:pPr>
          <w:hyperlink w:anchor="__RefHeading___Toc11915812_2142443653">
            <w:r>
              <w:rPr>
                <w:webHidden/>
                <w:rStyle w:val="IndexLink"/>
                <w:rtl w:val="true"/>
              </w:rPr>
              <w:t>المسجد الفضائي المتحرك</w:t>
            </w:r>
            <w:r>
              <w:rPr>
                <w:rStyle w:val="IndexLink"/>
                <w:rtl w:val="true"/>
              </w:rPr>
              <w:tab/>
            </w:r>
            <w:r>
              <w:rPr>
                <w:rStyle w:val="IndexLink"/>
              </w:rPr>
              <w:t>377</w:t>
            </w:r>
          </w:hyperlink>
        </w:p>
        <w:p>
          <w:pPr>
            <w:pStyle w:val="Contents2"/>
            <w:tabs>
              <w:tab w:val="clear" w:pos="8743"/>
              <w:tab w:val="right" w:pos="9026" w:leader="dot"/>
            </w:tabs>
            <w:rPr/>
          </w:pPr>
          <w:hyperlink w:anchor="__RefHeading___Toc11915814_2142443653">
            <w:r>
              <w:rPr>
                <w:webHidden/>
                <w:rStyle w:val="IndexLink"/>
                <w:rtl w:val="true"/>
              </w:rPr>
              <w:t>المسجد الفضائي وأحكام أجزائه</w:t>
            </w:r>
            <w:r>
              <w:rPr>
                <w:rStyle w:val="IndexLink"/>
                <w:rtl w:val="true"/>
              </w:rPr>
              <w:tab/>
            </w:r>
            <w:r>
              <w:rPr>
                <w:rStyle w:val="IndexLink"/>
              </w:rPr>
              <w:t>377</w:t>
            </w:r>
          </w:hyperlink>
        </w:p>
        <w:p>
          <w:pPr>
            <w:pStyle w:val="Contents2"/>
            <w:tabs>
              <w:tab w:val="clear" w:pos="8743"/>
              <w:tab w:val="right" w:pos="9026" w:leader="dot"/>
            </w:tabs>
            <w:rPr/>
          </w:pPr>
          <w:hyperlink w:anchor="__RefHeading___Toc11915816_2142443653">
            <w:r>
              <w:rPr>
                <w:webHidden/>
                <w:rStyle w:val="IndexLink"/>
                <w:rtl w:val="true"/>
              </w:rPr>
              <w:t>الأسبقية ومباحات الفضاء</w:t>
            </w:r>
            <w:r>
              <w:rPr>
                <w:rStyle w:val="IndexLink"/>
                <w:rtl w:val="true"/>
              </w:rPr>
              <w:tab/>
            </w:r>
            <w:r>
              <w:rPr>
                <w:rStyle w:val="IndexLink"/>
              </w:rPr>
              <w:t>378</w:t>
            </w:r>
          </w:hyperlink>
        </w:p>
        <w:p>
          <w:pPr>
            <w:pStyle w:val="Contents2"/>
            <w:tabs>
              <w:tab w:val="clear" w:pos="8743"/>
              <w:tab w:val="right" w:pos="9026" w:leader="dot"/>
            </w:tabs>
            <w:rPr/>
          </w:pPr>
          <w:hyperlink w:anchor="__RefHeading___Toc11915818_2142443653">
            <w:r>
              <w:rPr>
                <w:webHidden/>
                <w:rStyle w:val="IndexLink"/>
                <w:rtl w:val="true"/>
              </w:rPr>
              <w:t>مساجد البحار والمحيطات</w:t>
            </w:r>
            <w:r>
              <w:rPr>
                <w:rStyle w:val="IndexLink"/>
                <w:rtl w:val="true"/>
              </w:rPr>
              <w:tab/>
            </w:r>
            <w:r>
              <w:rPr>
                <w:rStyle w:val="IndexLink"/>
              </w:rPr>
              <w:t>380</w:t>
            </w:r>
          </w:hyperlink>
        </w:p>
        <w:p>
          <w:pPr>
            <w:pStyle w:val="Contents2"/>
            <w:tabs>
              <w:tab w:val="clear" w:pos="8743"/>
              <w:tab w:val="right" w:pos="9026" w:leader="dot"/>
            </w:tabs>
            <w:rPr/>
          </w:pPr>
          <w:hyperlink w:anchor="__RefHeading___Toc11915820_2142443653">
            <w:r>
              <w:rPr>
                <w:webHidden/>
                <w:rStyle w:val="IndexLink"/>
                <w:rtl w:val="true"/>
              </w:rPr>
              <w:t>الأوقاف لاكتشاف الفضاء</w:t>
            </w:r>
            <w:r>
              <w:rPr>
                <w:rStyle w:val="IndexLink"/>
                <w:rtl w:val="true"/>
              </w:rPr>
              <w:tab/>
            </w:r>
            <w:r>
              <w:rPr>
                <w:rStyle w:val="IndexLink"/>
              </w:rPr>
              <w:t>380</w:t>
            </w:r>
          </w:hyperlink>
        </w:p>
        <w:p>
          <w:pPr>
            <w:pStyle w:val="Contents2"/>
            <w:tabs>
              <w:tab w:val="clear" w:pos="8743"/>
              <w:tab w:val="right" w:pos="9026" w:leader="dot"/>
            </w:tabs>
            <w:rPr/>
          </w:pPr>
          <w:hyperlink w:anchor="__RefHeading___Toc11915822_2142443653">
            <w:r>
              <w:rPr>
                <w:webHidden/>
                <w:rStyle w:val="IndexLink"/>
                <w:rtl w:val="true"/>
              </w:rPr>
              <w:t>الغنى والثروة</w:t>
            </w:r>
            <w:r>
              <w:rPr>
                <w:rStyle w:val="IndexLink"/>
                <w:rtl w:val="true"/>
              </w:rPr>
              <w:tab/>
            </w:r>
            <w:r>
              <w:rPr>
                <w:rStyle w:val="IndexLink"/>
              </w:rPr>
              <w:t>381</w:t>
            </w:r>
          </w:hyperlink>
        </w:p>
        <w:p>
          <w:pPr>
            <w:pStyle w:val="Contents2"/>
            <w:tabs>
              <w:tab w:val="clear" w:pos="8743"/>
              <w:tab w:val="right" w:pos="9026" w:leader="dot"/>
            </w:tabs>
            <w:rPr/>
          </w:pPr>
          <w:hyperlink w:anchor="__RefHeading___Toc11915824_2142443653">
            <w:r>
              <w:rPr>
                <w:webHidden/>
                <w:rStyle w:val="IndexLink"/>
                <w:rtl w:val="true"/>
              </w:rPr>
              <w:t>التفوق الاقتصادي</w:t>
            </w:r>
            <w:r>
              <w:rPr>
                <w:rStyle w:val="IndexLink"/>
                <w:rtl w:val="true"/>
              </w:rPr>
              <w:tab/>
            </w:r>
            <w:r>
              <w:rPr>
                <w:rStyle w:val="IndexLink"/>
              </w:rPr>
              <w:t>383</w:t>
            </w:r>
          </w:hyperlink>
        </w:p>
        <w:p>
          <w:pPr>
            <w:pStyle w:val="Contents2"/>
            <w:tabs>
              <w:tab w:val="clear" w:pos="8743"/>
              <w:tab w:val="right" w:pos="9026" w:leader="dot"/>
            </w:tabs>
            <w:rPr/>
          </w:pPr>
          <w:hyperlink w:anchor="__RefHeading___Toc11915826_2142443653">
            <w:r>
              <w:rPr>
                <w:webHidden/>
                <w:rStyle w:val="IndexLink"/>
                <w:rtl w:val="true"/>
              </w:rPr>
              <w:t>صلاة الرواد والغواصين</w:t>
            </w:r>
            <w:r>
              <w:rPr>
                <w:rStyle w:val="IndexLink"/>
                <w:rtl w:val="true"/>
              </w:rPr>
              <w:tab/>
            </w:r>
            <w:r>
              <w:rPr>
                <w:rStyle w:val="IndexLink"/>
              </w:rPr>
              <w:t>384</w:t>
            </w:r>
          </w:hyperlink>
        </w:p>
        <w:p>
          <w:pPr>
            <w:pStyle w:val="Contents2"/>
            <w:tabs>
              <w:tab w:val="clear" w:pos="8743"/>
              <w:tab w:val="right" w:pos="9026" w:leader="dot"/>
            </w:tabs>
            <w:rPr/>
          </w:pPr>
          <w:hyperlink w:anchor="__RefHeading___Toc11915828_2142443653">
            <w:r>
              <w:rPr>
                <w:webHidden/>
                <w:rStyle w:val="IndexLink"/>
                <w:rtl w:val="true"/>
              </w:rPr>
              <w:t>الاعتكاف في مساجد الفضاء</w:t>
            </w:r>
            <w:r>
              <w:rPr>
                <w:rStyle w:val="IndexLink"/>
                <w:rtl w:val="true"/>
              </w:rPr>
              <w:tab/>
            </w:r>
            <w:r>
              <w:rPr>
                <w:rStyle w:val="IndexLink"/>
              </w:rPr>
              <w:t>385</w:t>
            </w:r>
          </w:hyperlink>
        </w:p>
        <w:p>
          <w:pPr>
            <w:pStyle w:val="Contents2"/>
            <w:tabs>
              <w:tab w:val="clear" w:pos="8743"/>
              <w:tab w:val="right" w:pos="9026" w:leader="dot"/>
            </w:tabs>
            <w:rPr/>
          </w:pPr>
          <w:hyperlink w:anchor="__RefHeading___Toc11915830_2142443653">
            <w:r>
              <w:rPr>
                <w:webHidden/>
                <w:rStyle w:val="IndexLink"/>
                <w:rtl w:val="true"/>
              </w:rPr>
              <w:t>حرية الجمعيات والتكتلات في الإسلام</w:t>
            </w:r>
            <w:r>
              <w:rPr>
                <w:rStyle w:val="IndexLink"/>
                <w:rtl w:val="true"/>
              </w:rPr>
              <w:tab/>
            </w:r>
            <w:r>
              <w:rPr>
                <w:rStyle w:val="IndexLink"/>
              </w:rPr>
              <w:t>385</w:t>
            </w:r>
          </w:hyperlink>
        </w:p>
        <w:p>
          <w:pPr>
            <w:pStyle w:val="Contents2"/>
            <w:tabs>
              <w:tab w:val="clear" w:pos="8743"/>
              <w:tab w:val="right" w:pos="9026" w:leader="dot"/>
            </w:tabs>
            <w:rPr/>
          </w:pPr>
          <w:hyperlink w:anchor="__RefHeading___Toc11915832_2142443653">
            <w:r>
              <w:rPr>
                <w:webHidden/>
                <w:rStyle w:val="IndexLink"/>
                <w:rtl w:val="true"/>
              </w:rPr>
              <w:t>الحريات الإسلامية</w:t>
            </w:r>
            <w:r>
              <w:rPr>
                <w:rStyle w:val="IndexLink"/>
                <w:rtl w:val="true"/>
              </w:rPr>
              <w:tab/>
            </w:r>
            <w:r>
              <w:rPr>
                <w:rStyle w:val="IndexLink"/>
              </w:rPr>
              <w:t>386</w:t>
            </w:r>
          </w:hyperlink>
        </w:p>
        <w:p>
          <w:pPr>
            <w:pStyle w:val="Contents2"/>
            <w:tabs>
              <w:tab w:val="clear" w:pos="8743"/>
              <w:tab w:val="right" w:pos="9026" w:leader="dot"/>
            </w:tabs>
            <w:rPr/>
          </w:pPr>
          <w:hyperlink w:anchor="__RefHeading___Toc11915834_2142443653">
            <w:r>
              <w:rPr>
                <w:webHidden/>
                <w:rStyle w:val="IndexLink"/>
                <w:rtl w:val="true"/>
              </w:rPr>
              <w:t>كبت الحريات</w:t>
            </w:r>
            <w:r>
              <w:rPr>
                <w:rStyle w:val="IndexLink"/>
                <w:rtl w:val="true"/>
              </w:rPr>
              <w:tab/>
            </w:r>
            <w:r>
              <w:rPr>
                <w:rStyle w:val="IndexLink"/>
              </w:rPr>
              <w:t>387</w:t>
            </w:r>
          </w:hyperlink>
        </w:p>
        <w:p>
          <w:pPr>
            <w:pStyle w:val="Contents2"/>
            <w:tabs>
              <w:tab w:val="clear" w:pos="8743"/>
              <w:tab w:val="right" w:pos="9026" w:leader="dot"/>
            </w:tabs>
            <w:rPr/>
          </w:pPr>
          <w:hyperlink w:anchor="__RefHeading___Toc11915836_2142443653">
            <w:r>
              <w:rPr>
                <w:webHidden/>
                <w:rStyle w:val="IndexLink"/>
                <w:rtl w:val="true"/>
              </w:rPr>
              <w:t>تقييد الحريات موقت</w:t>
            </w:r>
            <w:r>
              <w:rPr>
                <w:rStyle w:val="IndexLink"/>
                <w:rtl w:val="true"/>
              </w:rPr>
              <w:tab/>
            </w:r>
            <w:r>
              <w:rPr>
                <w:rStyle w:val="IndexLink"/>
              </w:rPr>
              <w:t>389</w:t>
            </w:r>
          </w:hyperlink>
        </w:p>
        <w:p>
          <w:pPr>
            <w:pStyle w:val="Contents2"/>
            <w:tabs>
              <w:tab w:val="clear" w:pos="8743"/>
              <w:tab w:val="right" w:pos="9026" w:leader="dot"/>
            </w:tabs>
            <w:rPr/>
          </w:pPr>
          <w:hyperlink w:anchor="__RefHeading___Toc11915838_2142443653">
            <w:r>
              <w:rPr>
                <w:webHidden/>
                <w:rStyle w:val="IndexLink"/>
                <w:rtl w:val="true"/>
              </w:rPr>
              <w:t>الاستراحة</w:t>
            </w:r>
            <w:r>
              <w:rPr>
                <w:rStyle w:val="IndexLink"/>
                <w:rtl w:val="true"/>
              </w:rPr>
              <w:tab/>
            </w:r>
            <w:r>
              <w:rPr>
                <w:rStyle w:val="IndexLink"/>
              </w:rPr>
              <w:t>390</w:t>
            </w:r>
          </w:hyperlink>
        </w:p>
        <w:p>
          <w:pPr>
            <w:pStyle w:val="Contents2"/>
            <w:tabs>
              <w:tab w:val="clear" w:pos="8743"/>
              <w:tab w:val="right" w:pos="9026" w:leader="dot"/>
            </w:tabs>
            <w:rPr/>
          </w:pPr>
          <w:hyperlink w:anchor="__RefHeading___Toc11915840_2142443653">
            <w:r>
              <w:rPr>
                <w:webHidden/>
                <w:rStyle w:val="IndexLink"/>
                <w:rtl w:val="true"/>
              </w:rPr>
              <w:t>الإضرابات الجائزة</w:t>
            </w:r>
            <w:r>
              <w:rPr>
                <w:rStyle w:val="IndexLink"/>
                <w:rtl w:val="true"/>
              </w:rPr>
              <w:tab/>
            </w:r>
            <w:r>
              <w:rPr>
                <w:rStyle w:val="IndexLink"/>
              </w:rPr>
              <w:t>391</w:t>
            </w:r>
          </w:hyperlink>
        </w:p>
        <w:p>
          <w:pPr>
            <w:pStyle w:val="Contents2"/>
            <w:tabs>
              <w:tab w:val="clear" w:pos="8743"/>
              <w:tab w:val="right" w:pos="9026" w:leader="dot"/>
            </w:tabs>
            <w:rPr/>
          </w:pPr>
          <w:hyperlink w:anchor="__RefHeading___Toc11915842_2142443653">
            <w:r>
              <w:rPr>
                <w:webHidden/>
                <w:rStyle w:val="IndexLink"/>
                <w:rtl w:val="true"/>
              </w:rPr>
              <w:t>عندما يبدل مخ الإنسان</w:t>
            </w:r>
            <w:r>
              <w:rPr>
                <w:rStyle w:val="IndexLink"/>
                <w:rtl w:val="true"/>
              </w:rPr>
              <w:tab/>
            </w:r>
            <w:r>
              <w:rPr>
                <w:rStyle w:val="IndexLink"/>
              </w:rPr>
              <w:t>392</w:t>
            </w:r>
          </w:hyperlink>
        </w:p>
        <w:p>
          <w:pPr>
            <w:pStyle w:val="Contents2"/>
            <w:tabs>
              <w:tab w:val="clear" w:pos="8743"/>
              <w:tab w:val="right" w:pos="9026" w:leader="dot"/>
            </w:tabs>
            <w:rPr/>
          </w:pPr>
          <w:hyperlink w:anchor="__RefHeading___Toc11915844_2142443653">
            <w:r>
              <w:rPr>
                <w:webHidden/>
                <w:rStyle w:val="IndexLink"/>
                <w:rtl w:val="true"/>
              </w:rPr>
              <w:t>تبديل معلومات الإنسان</w:t>
            </w:r>
            <w:r>
              <w:rPr>
                <w:rStyle w:val="IndexLink"/>
                <w:rtl w:val="true"/>
              </w:rPr>
              <w:tab/>
            </w:r>
            <w:r>
              <w:rPr>
                <w:rStyle w:val="IndexLink"/>
              </w:rPr>
              <w:t>393</w:t>
            </w:r>
          </w:hyperlink>
        </w:p>
        <w:p>
          <w:pPr>
            <w:pStyle w:val="Contents2"/>
            <w:tabs>
              <w:tab w:val="clear" w:pos="8743"/>
              <w:tab w:val="right" w:pos="9026" w:leader="dot"/>
            </w:tabs>
            <w:rPr/>
          </w:pPr>
          <w:hyperlink w:anchor="__RefHeading___Toc11915846_2142443653">
            <w:r>
              <w:rPr>
                <w:webHidden/>
                <w:rStyle w:val="IndexLink"/>
                <w:rtl w:val="true"/>
              </w:rPr>
              <w:t>إنسان واحد يتقمص إنسانين</w:t>
            </w:r>
            <w:r>
              <w:rPr>
                <w:rStyle w:val="IndexLink"/>
                <w:rtl w:val="true"/>
              </w:rPr>
              <w:tab/>
            </w:r>
            <w:r>
              <w:rPr>
                <w:rStyle w:val="IndexLink"/>
              </w:rPr>
              <w:t>393</w:t>
            </w:r>
          </w:hyperlink>
        </w:p>
        <w:p>
          <w:pPr>
            <w:pStyle w:val="Contents2"/>
            <w:tabs>
              <w:tab w:val="clear" w:pos="8743"/>
              <w:tab w:val="right" w:pos="9026" w:leader="dot"/>
            </w:tabs>
            <w:rPr/>
          </w:pPr>
          <w:hyperlink w:anchor="__RefHeading___Toc11915848_2142443653">
            <w:r>
              <w:rPr>
                <w:webHidden/>
                <w:rStyle w:val="IndexLink"/>
                <w:rtl w:val="true"/>
              </w:rPr>
              <w:t>التبعيد والتسفير</w:t>
            </w:r>
            <w:r>
              <w:rPr>
                <w:rStyle w:val="IndexLink"/>
                <w:rtl w:val="true"/>
              </w:rPr>
              <w:tab/>
            </w:r>
            <w:r>
              <w:rPr>
                <w:rStyle w:val="IndexLink"/>
              </w:rPr>
              <w:t>395</w:t>
            </w:r>
          </w:hyperlink>
        </w:p>
        <w:p>
          <w:pPr>
            <w:pStyle w:val="Contents2"/>
            <w:tabs>
              <w:tab w:val="clear" w:pos="8743"/>
              <w:tab w:val="right" w:pos="9026" w:leader="dot"/>
            </w:tabs>
            <w:rPr/>
          </w:pPr>
          <w:hyperlink w:anchor="__RefHeading___Toc11915850_2142443653">
            <w:r>
              <w:rPr>
                <w:webHidden/>
                <w:rStyle w:val="IndexLink"/>
                <w:rtl w:val="true"/>
              </w:rPr>
              <w:t>القوانين الإسلامية لا تقبل التغيير</w:t>
            </w:r>
            <w:r>
              <w:rPr>
                <w:rStyle w:val="IndexLink"/>
                <w:rtl w:val="true"/>
              </w:rPr>
              <w:tab/>
            </w:r>
            <w:r>
              <w:rPr>
                <w:rStyle w:val="IndexLink"/>
              </w:rPr>
              <w:t>396</w:t>
            </w:r>
          </w:hyperlink>
        </w:p>
        <w:p>
          <w:pPr>
            <w:pStyle w:val="Contents2"/>
            <w:tabs>
              <w:tab w:val="clear" w:pos="8743"/>
              <w:tab w:val="right" w:pos="9026" w:leader="dot"/>
            </w:tabs>
            <w:rPr/>
          </w:pPr>
          <w:hyperlink w:anchor="__RefHeading___Toc11915852_2142443653">
            <w:r>
              <w:rPr>
                <w:webHidden/>
                <w:rStyle w:val="IndexLink"/>
                <w:rtl w:val="true"/>
              </w:rPr>
              <w:t>لا امتياز للاعتبارات</w:t>
            </w:r>
            <w:r>
              <w:rPr>
                <w:rStyle w:val="IndexLink"/>
                <w:rtl w:val="true"/>
              </w:rPr>
              <w:tab/>
            </w:r>
            <w:r>
              <w:rPr>
                <w:rStyle w:val="IndexLink"/>
              </w:rPr>
              <w:t>397</w:t>
            </w:r>
          </w:hyperlink>
        </w:p>
        <w:p>
          <w:pPr>
            <w:pStyle w:val="Contents2"/>
            <w:tabs>
              <w:tab w:val="clear" w:pos="8743"/>
              <w:tab w:val="right" w:pos="9026" w:leader="dot"/>
            </w:tabs>
            <w:rPr/>
          </w:pPr>
          <w:hyperlink w:anchor="__RefHeading___Toc11915854_2142443653">
            <w:r>
              <w:rPr>
                <w:webHidden/>
                <w:rStyle w:val="IndexLink"/>
                <w:rtl w:val="true"/>
              </w:rPr>
              <w:t>المقاطعات الاقتصادية</w:t>
            </w:r>
            <w:r>
              <w:rPr>
                <w:rStyle w:val="IndexLink"/>
                <w:rtl w:val="true"/>
              </w:rPr>
              <w:tab/>
            </w:r>
            <w:r>
              <w:rPr>
                <w:rStyle w:val="IndexLink"/>
              </w:rPr>
              <w:t>398</w:t>
            </w:r>
          </w:hyperlink>
        </w:p>
        <w:p>
          <w:pPr>
            <w:pStyle w:val="Contents2"/>
            <w:tabs>
              <w:tab w:val="clear" w:pos="8743"/>
              <w:tab w:val="right" w:pos="9026" w:leader="dot"/>
            </w:tabs>
            <w:rPr/>
          </w:pPr>
          <w:hyperlink w:anchor="__RefHeading___Toc11915856_2142443653">
            <w:r>
              <w:rPr>
                <w:webHidden/>
                <w:rStyle w:val="IndexLink"/>
                <w:rtl w:val="true"/>
              </w:rPr>
              <w:t>الصندوق الخيري لقرض الحسنة</w:t>
            </w:r>
            <w:r>
              <w:rPr>
                <w:rStyle w:val="IndexLink"/>
                <w:rtl w:val="true"/>
              </w:rPr>
              <w:tab/>
            </w:r>
            <w:r>
              <w:rPr>
                <w:rStyle w:val="IndexLink"/>
              </w:rPr>
              <w:t>398</w:t>
            </w:r>
          </w:hyperlink>
        </w:p>
        <w:p>
          <w:pPr>
            <w:pStyle w:val="Contents2"/>
            <w:tabs>
              <w:tab w:val="clear" w:pos="8743"/>
              <w:tab w:val="right" w:pos="9026" w:leader="dot"/>
            </w:tabs>
            <w:rPr/>
          </w:pPr>
          <w:hyperlink w:anchor="__RefHeading___Toc11915858_2142443653">
            <w:r>
              <w:rPr>
                <w:webHidden/>
                <w:rStyle w:val="IndexLink"/>
                <w:rtl w:val="true"/>
              </w:rPr>
              <w:t>الأخبار الموجبة لهيبة الكفار</w:t>
            </w:r>
            <w:r>
              <w:rPr>
                <w:rStyle w:val="IndexLink"/>
                <w:rtl w:val="true"/>
              </w:rPr>
              <w:tab/>
            </w:r>
            <w:r>
              <w:rPr>
                <w:rStyle w:val="IndexLink"/>
              </w:rPr>
              <w:t>400</w:t>
            </w:r>
          </w:hyperlink>
        </w:p>
        <w:p>
          <w:pPr>
            <w:pStyle w:val="Contents2"/>
            <w:tabs>
              <w:tab w:val="clear" w:pos="8743"/>
              <w:tab w:val="right" w:pos="9026" w:leader="dot"/>
            </w:tabs>
            <w:rPr/>
          </w:pPr>
          <w:hyperlink w:anchor="__RefHeading___Toc11915860_2142443653">
            <w:r>
              <w:rPr>
                <w:webHidden/>
                <w:rStyle w:val="IndexLink"/>
                <w:rtl w:val="true"/>
              </w:rPr>
              <w:t>استثناءات المسألة السابقة</w:t>
            </w:r>
            <w:r>
              <w:rPr>
                <w:rStyle w:val="IndexLink"/>
                <w:rtl w:val="true"/>
              </w:rPr>
              <w:tab/>
            </w:r>
            <w:r>
              <w:rPr>
                <w:rStyle w:val="IndexLink"/>
              </w:rPr>
              <w:t>400</w:t>
            </w:r>
          </w:hyperlink>
        </w:p>
        <w:p>
          <w:pPr>
            <w:pStyle w:val="Contents2"/>
            <w:tabs>
              <w:tab w:val="clear" w:pos="8743"/>
              <w:tab w:val="right" w:pos="9026" w:leader="dot"/>
            </w:tabs>
            <w:rPr/>
          </w:pPr>
          <w:hyperlink w:anchor="__RefHeading___Toc11915862_2142443653">
            <w:r>
              <w:rPr>
                <w:webHidden/>
                <w:rStyle w:val="IndexLink"/>
                <w:rtl w:val="true"/>
              </w:rPr>
              <w:t>الرواتب الشهرية والغنائم</w:t>
            </w:r>
            <w:r>
              <w:rPr>
                <w:rStyle w:val="IndexLink"/>
                <w:rtl w:val="true"/>
              </w:rPr>
              <w:tab/>
            </w:r>
            <w:r>
              <w:rPr>
                <w:rStyle w:val="IndexLink"/>
              </w:rPr>
              <w:t>401</w:t>
            </w:r>
          </w:hyperlink>
        </w:p>
        <w:p>
          <w:pPr>
            <w:pStyle w:val="Contents2"/>
            <w:tabs>
              <w:tab w:val="clear" w:pos="8743"/>
              <w:tab w:val="right" w:pos="9026" w:leader="dot"/>
            </w:tabs>
            <w:rPr/>
          </w:pPr>
          <w:hyperlink w:anchor="__RefHeading___Toc11915864_2142443653">
            <w:r>
              <w:rPr>
                <w:webHidden/>
                <w:rStyle w:val="IndexLink"/>
                <w:rtl w:val="true"/>
              </w:rPr>
              <w:t>الاستشارية أو البرلمانية</w:t>
            </w:r>
            <w:r>
              <w:rPr>
                <w:rStyle w:val="IndexLink"/>
                <w:rtl w:val="true"/>
              </w:rPr>
              <w:tab/>
            </w:r>
            <w:r>
              <w:rPr>
                <w:rStyle w:val="IndexLink"/>
              </w:rPr>
              <w:t>402</w:t>
            </w:r>
          </w:hyperlink>
        </w:p>
        <w:p>
          <w:pPr>
            <w:pStyle w:val="Contents2"/>
            <w:tabs>
              <w:tab w:val="clear" w:pos="8743"/>
              <w:tab w:val="right" w:pos="9026" w:leader="dot"/>
            </w:tabs>
            <w:rPr/>
          </w:pPr>
          <w:hyperlink w:anchor="__RefHeading___Toc11915866_2142443653">
            <w:r>
              <w:rPr>
                <w:webHidden/>
                <w:rStyle w:val="IndexLink"/>
                <w:rtl w:val="true"/>
              </w:rPr>
              <w:t>التحيز إلى إحدى الفئتين</w:t>
            </w:r>
            <w:r>
              <w:rPr>
                <w:rStyle w:val="IndexLink"/>
                <w:rtl w:val="true"/>
              </w:rPr>
              <w:tab/>
            </w:r>
            <w:r>
              <w:rPr>
                <w:rStyle w:val="IndexLink"/>
              </w:rPr>
              <w:t>403</w:t>
            </w:r>
          </w:hyperlink>
        </w:p>
        <w:p>
          <w:pPr>
            <w:pStyle w:val="Contents2"/>
            <w:tabs>
              <w:tab w:val="clear" w:pos="8743"/>
              <w:tab w:val="right" w:pos="9026" w:leader="dot"/>
            </w:tabs>
            <w:rPr/>
          </w:pPr>
          <w:hyperlink w:anchor="__RefHeading___Toc11915868_2142443653">
            <w:r>
              <w:rPr>
                <w:webHidden/>
                <w:rStyle w:val="IndexLink"/>
                <w:rtl w:val="true"/>
              </w:rPr>
              <w:t>وجوب إطفاء الحريق</w:t>
            </w:r>
            <w:r>
              <w:rPr>
                <w:rStyle w:val="IndexLink"/>
                <w:rtl w:val="true"/>
              </w:rPr>
              <w:tab/>
            </w:r>
            <w:r>
              <w:rPr>
                <w:rStyle w:val="IndexLink"/>
              </w:rPr>
              <w:t>404</w:t>
            </w:r>
          </w:hyperlink>
        </w:p>
        <w:p>
          <w:pPr>
            <w:pStyle w:val="Contents2"/>
            <w:tabs>
              <w:tab w:val="clear" w:pos="8743"/>
              <w:tab w:val="right" w:pos="9026" w:leader="dot"/>
            </w:tabs>
            <w:rPr/>
          </w:pPr>
          <w:hyperlink w:anchor="__RefHeading___Toc11915870_2142443653">
            <w:r>
              <w:rPr>
                <w:webHidden/>
                <w:rStyle w:val="IndexLink"/>
                <w:rtl w:val="true"/>
              </w:rPr>
              <w:t>أجور إطفاء الحرائق</w:t>
            </w:r>
            <w:r>
              <w:rPr>
                <w:rStyle w:val="IndexLink"/>
                <w:rtl w:val="true"/>
              </w:rPr>
              <w:tab/>
            </w:r>
            <w:r>
              <w:rPr>
                <w:rStyle w:val="IndexLink"/>
              </w:rPr>
              <w:t>405</w:t>
            </w:r>
          </w:hyperlink>
        </w:p>
        <w:p>
          <w:pPr>
            <w:pStyle w:val="Contents2"/>
            <w:tabs>
              <w:tab w:val="clear" w:pos="8743"/>
              <w:tab w:val="right" w:pos="9026" w:leader="dot"/>
            </w:tabs>
            <w:rPr/>
          </w:pPr>
          <w:hyperlink w:anchor="__RefHeading___Toc11915872_2142443653">
            <w:r>
              <w:rPr>
                <w:webHidden/>
                <w:rStyle w:val="IndexLink"/>
                <w:rtl w:val="true"/>
              </w:rPr>
              <w:t>إعانة منكوبي الكوارث الطبيعية</w:t>
            </w:r>
            <w:r>
              <w:rPr>
                <w:rStyle w:val="IndexLink"/>
                <w:rtl w:val="true"/>
              </w:rPr>
              <w:tab/>
            </w:r>
            <w:r>
              <w:rPr>
                <w:rStyle w:val="IndexLink"/>
              </w:rPr>
              <w:t>406</w:t>
            </w:r>
          </w:hyperlink>
        </w:p>
        <w:p>
          <w:pPr>
            <w:pStyle w:val="Contents2"/>
            <w:tabs>
              <w:tab w:val="clear" w:pos="8743"/>
              <w:tab w:val="right" w:pos="9026" w:leader="dot"/>
            </w:tabs>
            <w:rPr/>
          </w:pPr>
          <w:hyperlink w:anchor="__RefHeading___Toc11915874_2142443653">
            <w:r>
              <w:rPr>
                <w:webHidden/>
                <w:rStyle w:val="IndexLink"/>
                <w:rtl w:val="true"/>
              </w:rPr>
              <w:t>حكم الميت عند تلاشي جسده</w:t>
            </w:r>
            <w:r>
              <w:rPr>
                <w:rStyle w:val="IndexLink"/>
                <w:rtl w:val="true"/>
              </w:rPr>
              <w:tab/>
            </w:r>
            <w:r>
              <w:rPr>
                <w:rStyle w:val="IndexLink"/>
              </w:rPr>
              <w:t>407</w:t>
            </w:r>
          </w:hyperlink>
        </w:p>
        <w:p>
          <w:pPr>
            <w:pStyle w:val="Contents2"/>
            <w:tabs>
              <w:tab w:val="clear" w:pos="8743"/>
              <w:tab w:val="right" w:pos="9026" w:leader="dot"/>
            </w:tabs>
            <w:rPr/>
          </w:pPr>
          <w:hyperlink w:anchor="__RefHeading___Toc11915876_2142443653">
            <w:r>
              <w:rPr>
                <w:webHidden/>
                <w:rStyle w:val="IndexLink"/>
                <w:rtl w:val="true"/>
              </w:rPr>
              <w:t>تجارة الحروب</w:t>
            </w:r>
            <w:r>
              <w:rPr>
                <w:rStyle w:val="IndexLink"/>
                <w:rtl w:val="true"/>
              </w:rPr>
              <w:tab/>
            </w:r>
            <w:r>
              <w:rPr>
                <w:rStyle w:val="IndexLink"/>
              </w:rPr>
              <w:t>409</w:t>
            </w:r>
          </w:hyperlink>
        </w:p>
        <w:p>
          <w:pPr>
            <w:pStyle w:val="Contents2"/>
            <w:tabs>
              <w:tab w:val="clear" w:pos="8743"/>
              <w:tab w:val="right" w:pos="9026" w:leader="dot"/>
            </w:tabs>
            <w:rPr/>
          </w:pPr>
          <w:hyperlink w:anchor="__RefHeading___Toc11915878_2142443653">
            <w:r>
              <w:rPr>
                <w:webHidden/>
                <w:rStyle w:val="IndexLink"/>
                <w:rtl w:val="true"/>
              </w:rPr>
              <w:t>فهرست المحتويات</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97_168886"/>
      <w:bookmarkStart w:id="1" w:name="pg15697_168886"/>
      <w:bookmarkEnd w:id="1"/>
    </w:p>
    <w:p>
      <w:pPr>
        <w:pStyle w:val="Heading2"/>
        <w:numPr>
          <w:ilvl w:val="1"/>
          <w:numId w:val="1"/>
        </w:numPr>
        <w:rPr/>
      </w:pPr>
      <w:bookmarkStart w:id="2" w:name="pg15697_168886"/>
      <w:bookmarkStart w:id="3" w:name="__RefHeading___Toc1191502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تعليقة علی المسائل المتجددة</w:t>
      </w:r>
    </w:p>
    <w:p>
      <w:pPr>
        <w:pStyle w:val="BookText"/>
        <w:rPr/>
      </w:pPr>
      <w:r>
        <w:rPr>
          <w:rFonts w:ascii="Amiri" w:hAnsi="Amiri" w:eastAsia="Amiri" w:cs="Amiri"/>
          <w:color w:val="111111"/>
          <w:sz w:val="28"/>
          <w:sz w:val="28"/>
          <w:szCs w:val="28"/>
          <w:rtl w:val="true"/>
          <w:lang w:bidi="ar-SA"/>
        </w:rPr>
        <w:t>لأستاذ الفقهاء والمجتهدين</w:t>
      </w:r>
    </w:p>
    <w:p>
      <w:pPr>
        <w:pStyle w:val="BookText"/>
        <w:rPr/>
      </w:pPr>
      <w:r>
        <w:rPr>
          <w:rFonts w:ascii="IRNazanin" w:hAnsi="IRNazanin" w:eastAsia="IRNazanin"/>
          <w:color w:val="111111"/>
          <w:sz w:val="28"/>
          <w:sz w:val="28"/>
          <w:szCs w:val="28"/>
          <w:rtl w:val="true"/>
          <w:lang w:bidi="fa-IR"/>
        </w:rPr>
        <w:t>آية اللّه العظمی السيد محمد الحسیني الشيرازي قدس سره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1503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97_168890"/>
      <w:bookmarkStart w:id="8" w:name="pg15697_168890"/>
      <w:bookmarkEnd w:id="8"/>
    </w:p>
    <w:p>
      <w:pPr>
        <w:pStyle w:val="Heading2"/>
        <w:numPr>
          <w:ilvl w:val="1"/>
          <w:numId w:val="1"/>
        </w:numPr>
        <w:rPr/>
      </w:pPr>
      <w:bookmarkStart w:id="9" w:name="pg15697_168890"/>
      <w:bookmarkStart w:id="10" w:name="__RefHeading___Toc11915032_2142443653"/>
      <w:bookmarkStart w:id="11" w:name="_Toc3"/>
      <w:bookmarkEnd w:id="9"/>
      <w:bookmarkEnd w:id="10"/>
      <w:r>
        <w:rPr>
          <w:rtl w:val="true"/>
        </w:rPr>
        <w:t>النزح بالماطور</w:t>
      </w:r>
      <w:bookmarkEnd w:id="1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ينزح ماء البئر بمقدار ما ينزح الرجال، فيما لو كان اللازم نزح الرجال في مسألة التراوح، إذا قلنا بوجوب التراوح، وكذلك يكفي إذا قلنا بالاستحباب، فإنه يتحقق به الاستحباب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العرف يراه طريقياً لا موضوعياً، فكلما كان له ذلك الأثر يكون مثله في الوجوب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تقرير الأصل الأولي، ومقتضاه الموضوعية لا الطريقية،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حضور شاهدين عادلين في الطلاق،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الحضور المزبور طريقي لثبوت وقوع الطلاق، وحيث إنّ بأربع نساء يثبت ذلك فهو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مقلوعة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 علمنا بعدم حملها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فهم العرف الطريقية لا الموضوعية ففهمه محكم،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يَتَبَيَّنَ لَكُمُ الْخَيْطُ الأَبْيَضُ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يفهم العرف أنّ التبين طريق لطلوع الفجر ولا موضوعية له، فإذا لم يتبين لنا لكن علمنا بالوسائل الحديثة طلوع الفجر وجب الإمساك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حجية</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يراه العرف فلأنّ الخطاب موجه إليهم،</w:t>
      </w:r>
    </w:p>
    <w:p>
      <w:pPr>
        <w:pStyle w:val="BookText"/>
        <w:rPr/>
      </w:pPr>
      <w:r>
        <w:rPr>
          <w:rFonts w:ascii="Amiri" w:hAnsi="Amiri" w:eastAsia="Amiri" w:cs="Amiri"/>
          <w:color w:val="111111"/>
          <w:sz w:val="28"/>
          <w:sz w:val="28"/>
          <w:szCs w:val="28"/>
          <w:rtl w:val="true"/>
          <w:lang w:bidi="ar-SA"/>
        </w:rPr>
        <w:t>وعلى ضوء ذلك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نزح أربعة رجال على النحو المزبور موضوعي، أو أنّه طريقي لنزح المقدار المعين من الماء؟</w:t>
      </w:r>
    </w:p>
    <w:p>
      <w:pPr>
        <w:pStyle w:val="BookText"/>
        <w:rPr/>
      </w:pPr>
      <w:r>
        <w:rPr>
          <w:rFonts w:ascii="Amiri" w:hAnsi="Amiri" w:eastAsia="Amiri" w:cs="Amiri"/>
          <w:color w:val="111111"/>
          <w:sz w:val="28"/>
          <w:sz w:val="28"/>
          <w:szCs w:val="28"/>
          <w:rtl w:val="true"/>
          <w:lang w:bidi="ar-SA"/>
        </w:rPr>
        <w:t xml:space="preserve">المدعى هو الثاني، فكل ما يحقق خروج المقدار المعين كافٍ في ثبوت الأثر، ويؤيد ذلك أنه لو قيل بالموضوعية لزم عدم كفاية النزح بالآلات الحديثة، ولو استغرق يوماً كاملاً، ولو أُخرج أضعاف ما يخرجه تراوح الرجال 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يصعب الالتزام به، إلاّ أن يُقال بثبوت الأولوية القطعية في هذا المثال،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الموضوعية والطريقية فالظاهر هو الموضوعية</w:t>
      </w:r>
      <w:r>
        <w:rPr>
          <w:rFonts w:eastAsia="Amiri" w:cs="Amiri" w:ascii="Amiri" w:hAnsi="Amiri"/>
          <w:color w:val="111111"/>
          <w:sz w:val="28"/>
          <w:szCs w:val="28"/>
          <w:rtl w:val="true"/>
          <w:lang w:bidi="ar-SA"/>
        </w:rPr>
        <w:t>.</w:t>
      </w:r>
    </w:p>
    <w:p>
      <w:pPr>
        <w:pStyle w:val="BookText"/>
        <w:rPr/>
      </w:pP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بيع الأعضاء، ص</w:t>
      </w:r>
      <w:r>
        <w:rPr>
          <w:rFonts w:eastAsia="Amiri" w:cs="Amiri" w:ascii="Amiri" w:hAnsi="Amiri"/>
          <w:color w:val="111111"/>
          <w:sz w:val="28"/>
          <w:szCs w:val="28"/>
          <w:lang w:bidi="ar-SA"/>
        </w:rPr>
        <w:t>20</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ظواهر الألفاظ في أدلة حجية فهم العرف</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هناك ثلاثة أنواع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العرفيّة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غير معتبر، والثاني غير مغتفر، والثالث هو المتعين،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w:t>
      </w:r>
      <w:r>
        <w:rPr>
          <w:rStyle w:val="FootnoteAnchor"/>
          <w:rtl w:val="true"/>
        </w:rPr>
        <w:footnoteReference w:id="9"/>
      </w:r>
      <w:r>
        <w:rPr>
          <w:rFonts w:ascii="Amiri" w:hAnsi="Amiri" w:eastAsia="Amiri" w:cs="Amiri"/>
          <w:color w:val="111111"/>
          <w:sz w:val="28"/>
          <w:sz w:val="28"/>
          <w:szCs w:val="28"/>
          <w:rtl w:val="true"/>
          <w:lang w:bidi="ar-SA"/>
        </w:rPr>
        <w:t xml:space="preserve"> قَوْمِهِ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المرجع</w:t>
      </w:r>
      <w:r>
        <w:rPr>
          <w:rStyle w:val="FootnoteAnchor"/>
          <w:rtl w:val="true"/>
        </w:rPr>
        <w:footnoteReference w:id="12"/>
      </w:r>
      <w:r>
        <w:rPr>
          <w:rFonts w:ascii="Amiri" w:hAnsi="Amiri" w:eastAsia="Amiri" w:cs="Amiri"/>
          <w:color w:val="111111"/>
          <w:sz w:val="28"/>
          <w:sz w:val="28"/>
          <w:szCs w:val="28"/>
          <w:rtl w:val="true"/>
          <w:lang w:bidi="ar-SA"/>
        </w:rPr>
        <w:t xml:space="preserve"> لتعيين معاني</w:t>
      </w:r>
      <w:r>
        <w:rPr>
          <w:rFonts w:eastAsia="Times New Roman" w:cs="Times New Roman" w:ascii="Times New Roman" w:hAnsi="Times New Roman"/>
          <w:color w:val="111111"/>
          <w:sz w:val="28"/>
          <w:szCs w:val="28"/>
          <w:lang w:val="en-US" w:bidi="en-US"/>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الموضوعات وحدودها وألفاظ</w:t>
      </w:r>
    </w:p>
    <w:p>
      <w:pPr>
        <w:pStyle w:val="BookText"/>
        <w:rPr/>
      </w:pPr>
      <w:r>
        <w:rPr>
          <w:rFonts w:ascii="Amiri" w:hAnsi="Amiri" w:eastAsia="Amiri" w:cs="Amiri"/>
          <w:color w:val="111111"/>
          <w:sz w:val="28"/>
          <w:sz w:val="28"/>
          <w:szCs w:val="28"/>
          <w:rtl w:val="true"/>
          <w:lang w:bidi="ar-SA"/>
        </w:rPr>
        <w:t>وهاك أمثلة على قبول الفقهاء للتسامحات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المثبت، والقبول لو كانت الواسطة 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الموضوع في الاستصحاب عرفي لا دليلي ولا دقي 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بعض الحروف إخفاتاً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بالصلاة الجهرية، بل الكلمة الأخيرة على خلافٍ، راجع العروة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موضع السجود أعلى قليلاً من المقرر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 راجع بحث حجية الظواهر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المعنى في الجملة، والحدود هي التحديد الدقيق بحيث يدخل فيه جميع الأفراد ويخرج منه جميع الأغيار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بأنواعها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مراعاة الشارع الدقة العقليّة لزم ذلك، 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على ما ذكره العروة</w:t>
      </w:r>
      <w:r>
        <w:rPr>
          <w:rStyle w:val="FootnoteAnchor"/>
          <w:rtl w:val="true"/>
        </w:rPr>
        <w:footnoteReference w:id="1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بدليل خيمة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نصفها داخل ونصفها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الأحكام وحدودها والتطبيق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w:t>
      </w:r>
      <w:r>
        <w:rPr>
          <w:rStyle w:val="FootnoteAnchor"/>
        </w:rPr>
        <w:footnoteReference w:id="2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والفجر والغروب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بحث المسألة كلاً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في شرح العروة</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المثبت وخفاء الواسطة في الأصول</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مسائل ذكر فيها الصدق العرفي في هذا الكتاب،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له بمثال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تعارض مع اللغة قدم العرف، راجع مبحث حجية الظواهر من الأصول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2" w:name="pg15697_168894"/>
    </w:p>
    <w:p>
      <w:pPr>
        <w:pStyle w:val="Heading2"/>
        <w:numPr>
          <w:ilvl w:val="1"/>
          <w:numId w:val="1"/>
        </w:numPr>
        <w:rPr/>
      </w:pPr>
      <w:bookmarkStart w:id="13" w:name="__RefHeading___Toc11915034_2142443653"/>
      <w:bookmarkStart w:id="14" w:name="_Toc4"/>
      <w:bookmarkEnd w:id="12"/>
      <w:bookmarkEnd w:id="13"/>
      <w:r>
        <w:rPr>
          <w:rtl w:val="true"/>
        </w:rPr>
        <w:t>الإدخال بغلاف</w:t>
      </w:r>
      <w:bookmarkEnd w:id="1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الإدخال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البلاستيك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حاله حال الإدخال بدون ذلك، في باب الغسل وباب المصاهرة وباب الزنا واللواط، كما أنّ السحق</w:t>
      </w:r>
      <w:r>
        <w:rPr>
          <w:rStyle w:val="FootnoteAnchor"/>
          <w:rtl w:val="true"/>
        </w:rPr>
        <w:footnoteReference w:id="26"/>
      </w:r>
      <w:r>
        <w:rPr>
          <w:rFonts w:ascii="Amiri" w:hAnsi="Amiri" w:eastAsia="Amiri" w:cs="Amiri"/>
          <w:color w:val="111111"/>
          <w:sz w:val="28"/>
          <w:sz w:val="28"/>
          <w:szCs w:val="28"/>
          <w:rtl w:val="true"/>
          <w:lang w:bidi="ar-SA"/>
        </w:rPr>
        <w:t xml:space="preserve"> بغلاف، حاله حال السحق بدون الغلاف في جميع الأحكام المترتبة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للصدق العرفي، نعم إذا كانت الآلة واسعة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بحيث لا يصدق الإدخال ونحوه</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نوع غموض، فهو كالسحق من وراء الملابس،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شكّ في حرمته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المسألة ما ذكر في الارتماس تحت الماء بآلة، كالغواص أو وضع الكيس،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الصوم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5" w:name="pg15697_168895"/>
    </w:p>
    <w:p>
      <w:pPr>
        <w:pStyle w:val="BookText"/>
        <w:rPr/>
      </w:pPr>
      <w:bookmarkEnd w:id="15"/>
      <w:r>
        <w:rPr>
          <w:rFonts w:ascii="IRNazanin" w:hAnsi="IRNazanin" w:eastAsia="IRNazanin"/>
          <w:color w:val="111111"/>
          <w:sz w:val="28"/>
          <w:sz w:val="28"/>
          <w:szCs w:val="28"/>
          <w:rtl w:val="true"/>
          <w:lang w:bidi="fa-IR"/>
        </w:rPr>
        <w:t>لم تترتب</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المذكورة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1915036_2142443653"/>
      <w:bookmarkStart w:id="17" w:name="_Toc5"/>
      <w:bookmarkEnd w:id="16"/>
      <w:r>
        <w:rPr>
          <w:rtl w:val="true"/>
        </w:rPr>
        <w:t>الإنسان الآلي</w:t>
      </w:r>
      <w:bookmarkEnd w:id="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الإنسان الآلي الشبيه بالإنسان في الجسمية، لأجل الأمور العلمية كارتياد الفضاء، أو تشكيل الجيش، أو ما أشبه ذلك لا يبعد جوازه، حتى إذا قلنا بحرمة المجسمة؛ وذلك لانصراف</w:t>
      </w:r>
      <w:r>
        <w:rPr>
          <w:rStyle w:val="FootnoteAnchor"/>
          <w:rtl w:val="true"/>
        </w:rPr>
        <w:footnoteReference w:id="29"/>
      </w:r>
      <w:r>
        <w:rPr>
          <w:rFonts w:ascii="Amiri" w:hAnsi="Amiri" w:eastAsia="Amiri" w:cs="Amiri"/>
          <w:color w:val="111111"/>
          <w:sz w:val="28"/>
          <w:sz w:val="28"/>
          <w:szCs w:val="28"/>
          <w:rtl w:val="true"/>
          <w:lang w:bidi="ar-SA"/>
        </w:rPr>
        <w:t>الأدلة عن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لم نستبعد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المنهي عنه هو الصنع لأجل العبادة، ولذا كرهه جماعة من الفقهاء، مثل السيدين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فأجازوا صنع هذه المجسمات المتعارفة وبيعها وما أشبه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الإدخال، نعم قد تترتب بعضها لطرو عنوان آخر، كالإنزال مثلاً، حيث يجب عنده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إذ لو قيل بحرمة المجسّمة فهذا مصداق من مصاديقها،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الغرض علمياً لا يصلح لصرف النهي عن ظاهره،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فهنا مبانٍ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للعبادة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مطلقاً إلاّ في الأُمور العلمية ونحوها،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8" w:name="pg15697_168896"/>
    </w:p>
    <w:p>
      <w:pPr>
        <w:pStyle w:val="Heading2"/>
        <w:numPr>
          <w:ilvl w:val="1"/>
          <w:numId w:val="1"/>
        </w:numPr>
        <w:rPr/>
      </w:pPr>
      <w:bookmarkStart w:id="19" w:name="__RefHeading___Toc11915038_2142443653"/>
      <w:bookmarkStart w:id="20" w:name="_Toc6"/>
      <w:bookmarkEnd w:id="18"/>
      <w:bookmarkEnd w:id="19"/>
      <w:r>
        <w:rPr>
          <w:rtl w:val="true"/>
        </w:rPr>
        <w:t>طلوع الشمس ثانياً</w:t>
      </w:r>
      <w:bookmarkEnd w:id="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غربت</w:t>
      </w:r>
      <w:r>
        <w:rPr>
          <w:rStyle w:val="FootnoteAnchor"/>
          <w:rtl w:val="true"/>
        </w:rPr>
        <w:footnoteReference w:id="31"/>
      </w:r>
      <w:r>
        <w:rPr>
          <w:rFonts w:ascii="Amiri" w:hAnsi="Amiri" w:eastAsia="Amiri" w:cs="Amiri"/>
          <w:color w:val="111111"/>
          <w:sz w:val="28"/>
          <w:sz w:val="28"/>
          <w:szCs w:val="28"/>
          <w:rtl w:val="true"/>
          <w:lang w:bidi="ar-SA"/>
        </w:rPr>
        <w:t xml:space="preserve"> الشمس، ثم طلعت بإعجاز، كما حدث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أو لتغير في حركة الأرض أو الشمس غير معتادة،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انصراف الأدلة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لِدُلُوكِ الشَّمْسِ</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فالظاهر أنّه إن كان الطلوع بعد وقت قصير</w:t>
      </w:r>
      <w:r>
        <w:rPr>
          <w:rStyle w:val="FootnoteAnchor"/>
          <w:rtl w:val="true"/>
        </w:rPr>
        <w:footnoteReference w:id="35"/>
      </w:r>
      <w:r>
        <w:rPr>
          <w:rFonts w:ascii="Amiri" w:hAnsi="Amiri" w:eastAsia="Amiri" w:cs="Amiri"/>
          <w:color w:val="111111"/>
          <w:sz w:val="28"/>
          <w:sz w:val="28"/>
          <w:szCs w:val="28"/>
          <w:rtl w:val="true"/>
          <w:lang w:bidi="ar-SA"/>
        </w:rPr>
        <w:t xml:space="preserve"> مما يعد بقايا ذلك اليوم، لم يلزم إعادة الصلاة والإمساك، وإن كان بعد وقت طويل لم يبعد وجوب الإعادة؛ لأنّه يوم جديد، كما أنّ الظاهر جواز تأخير الظهرين إلى الطلوع الثاني إن كان في وقت قصير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للصدق والفهم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العرفي في الصورتين، ولذا جاز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التأخير، ولم يكن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اختصاصاته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كاختصاصات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ذلك بحاجة إلى الدليل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 كما ثبت حرمة تزويج غير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أيام حياتها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في كل مورد شك أنّ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الولاية أو لا، فالأصل أنّه من باب الحكم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 لكونهم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قولاً وفعلاً وتقريراً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عن ذلك وعدمه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بعد وقت طويل، ولم يستمر إلاّ خمس دقائق مثلاً فلعل في الصدق تأملاً</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الملاك أن يصلي قبل الغروب، وللغروب أفراد متعددة، فلا مانع من تطبيق الكلّي على أي فردٍ</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ما يتعلق بالفهم العرفي في مسألة النزح بالماطور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الأسوة، إلا ما ثبت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الأسوة، وحجية فعله وقوله وتقريره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العام المقرر لجميع المكلفين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1" w:name="pg15697_168898"/>
    </w:p>
    <w:p>
      <w:pPr>
        <w:pStyle w:val="Heading2"/>
        <w:numPr>
          <w:ilvl w:val="1"/>
          <w:numId w:val="1"/>
        </w:numPr>
        <w:rPr/>
      </w:pPr>
      <w:bookmarkStart w:id="22" w:name="__RefHeading___Toc11915040_2142443653"/>
      <w:bookmarkStart w:id="23" w:name="_Toc7"/>
      <w:bookmarkEnd w:id="21"/>
      <w:bookmarkEnd w:id="22"/>
      <w:r>
        <w:rPr>
          <w:rtl w:val="true"/>
        </w:rPr>
        <w:t>مجيء الليل ثانياً</w:t>
      </w:r>
      <w:bookmarkEnd w:id="2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الليل، بأن غربت الشمس بعد طلوعها في وقت قصير أو طويل، فالحكم كالمسألة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الوقت القصير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لا حاجة إلى إعادة المغرب والعشاء، وفي الوقت الطويل تلزم الإعادة لنفس الدليل الذي ذكرناه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11915042_2142443653"/>
      <w:bookmarkStart w:id="25" w:name="_Toc8"/>
      <w:bookmarkEnd w:id="24"/>
      <w:r>
        <w:rPr>
          <w:rtl w:val="true"/>
        </w:rPr>
        <w:t>الانتفاع بالقمر</w:t>
      </w:r>
      <w:bookmarkEnd w:id="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كالأرض في جواز الانتفاع به، سكنى وأخذاً من ترابه وتحجيراً؛ لإطلاق</w:t>
      </w:r>
      <w:r>
        <w:rPr>
          <w:rStyle w:val="FootnoteAnchor"/>
          <w:rtl w:val="true"/>
        </w:rPr>
        <w:footnoteReference w:id="41"/>
      </w:r>
      <w:r>
        <w:rPr>
          <w:rFonts w:ascii="Amiri" w:hAnsi="Amiri" w:eastAsia="Amiri" w:cs="Amiri"/>
          <w:color w:val="111111"/>
          <w:sz w:val="28"/>
          <w:sz w:val="28"/>
          <w:szCs w:val="28"/>
          <w:rtl w:val="true"/>
          <w:lang w:bidi="ar-SA"/>
        </w:rPr>
        <w:t xml:space="preserve"> الأدلة، ومن سبق إلى موضع منه فهو أحق به، وكذا سائر الكواكب، وكذا سائر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المختار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الرتبة الثانية هو مشمول لأصالة البراءة، والإباحة الشرعية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 وللإباحة العقليّة، بناءً على أنّ الأصل في الأشياء عقلاً هو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مبحث أصالة الحظر والإباحة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والحلقات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وما أشبه، بل 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والانصراف</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لو قيل به في الدليلين الأولين فهو بدوي</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اسْتَطَعْتُمْ أَن تَنفُذُوا مِنْ أَقْطَارِ السَّمَاوَاتِ وَالأَرْضِ</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بناء على بعض التفاسير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العلم في الثريا لناله</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الكون كلّه ملك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2"/>
      </w:r>
      <w:r>
        <w:rPr>
          <w:rFonts w:ascii="Amiri" w:hAnsi="Amiri" w:eastAsia="Amiri" w:cs="Amiri"/>
          <w:color w:val="111111"/>
          <w:sz w:val="28"/>
          <w:sz w:val="28"/>
          <w:szCs w:val="28"/>
          <w:rtl w:val="true"/>
          <w:lang w:bidi="ar-SA"/>
        </w:rPr>
        <w:t xml:space="preserve">، وأنهم أباحوا ذلك لشيعتهم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لسان الأدلة، فتأمل</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الانصراف نابع من كثرة الوجود ومثله ليس بحجة؛ إذ لا يسبب تحول وجهة اللفظ</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6" w:name="pg15697_168900"/>
    </w:p>
    <w:p>
      <w:pPr>
        <w:pStyle w:val="Heading2"/>
        <w:numPr>
          <w:ilvl w:val="1"/>
          <w:numId w:val="1"/>
        </w:numPr>
        <w:rPr/>
      </w:pPr>
      <w:bookmarkStart w:id="27" w:name="__RefHeading___Toc11915044_2142443653"/>
      <w:bookmarkStart w:id="28" w:name="_Toc9"/>
      <w:bookmarkEnd w:id="26"/>
      <w:bookmarkEnd w:id="27"/>
      <w:r>
        <w:rPr>
          <w:rtl w:val="true"/>
        </w:rPr>
        <w:t>الاعتراف بالمسجلة</w:t>
      </w:r>
      <w:bookmarkEnd w:id="2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اعترف</w:t>
      </w:r>
      <w:r>
        <w:rPr>
          <w:rStyle w:val="FootnoteAnchor"/>
          <w:rtl w:val="true"/>
        </w:rPr>
        <w:footnoteReference w:id="55"/>
      </w:r>
      <w:r>
        <w:rPr>
          <w:rFonts w:ascii="Amiri" w:hAnsi="Amiri" w:eastAsia="Amiri" w:cs="Amiri"/>
          <w:color w:val="111111"/>
          <w:sz w:val="28"/>
          <w:sz w:val="28"/>
          <w:szCs w:val="28"/>
          <w:rtl w:val="true"/>
          <w:lang w:bidi="ar-SA"/>
        </w:rPr>
        <w:t xml:space="preserve"> في المسجلة، بأن علمنا أنّه صوته، وأنّه تكلم عن جدٍّ ترتب الحكم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ونحوه عليه، بل لو علمنا بأنه أقرّ وإن لم يسجل صوته كان الحكم كذلك؛ إذ السماع طريقي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نظر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الإقرار مطلقاً، والإقرار مع سماع صوته في المسجلة</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مطلقاً لا مباشراً ولا غير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أربعة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المباشر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غير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بالواسطة كالمسجلة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بلا سماع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بلا سماع مطلقاً ولا إقرار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يستطيع الحاكم أن يقضي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فيما إذا لم يكن الإقرار عن لسانه له مدخلية</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كالإقرار بالزنا، وإلاّ لم يثبت وإن علم به الحاكم، كل ذلك فيما</w:t>
      </w:r>
    </w:p>
    <w:p>
      <w:pPr>
        <w:pStyle w:val="BookText"/>
        <w:rPr/>
      </w:pPr>
      <w:r>
        <w:rPr>
          <w:rFonts w:ascii="Amiri" w:hAnsi="Amiri" w:eastAsia="Amiri" w:cs="Amiri"/>
          <w:color w:val="111111"/>
          <w:sz w:val="28"/>
          <w:sz w:val="28"/>
          <w:szCs w:val="28"/>
          <w:rtl w:val="true"/>
          <w:lang w:bidi="ar-SA"/>
        </w:rPr>
        <w:t>ولو نوقش في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الإقرار مطلقة، فموضوعها الإقرار وهو يشمل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المباشر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غير المباشر المسموع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غير المسموع للحاكم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المسألة الأولى حول الطريقية والموضوعية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لم يرد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بل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طريقي شمل العلم بلا إقرار مطلقاً،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 شمل ثلاثة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المباشر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غير المباشر المسموع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غير المباشر غير المسموع كما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غير واضحة فهل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للإقرار فيكفي مطلق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طريقي للثبوت والعلم، فيكفي مطلق العلم، ولو لم يكن إقرار مطلقاً،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المعنى الثاني،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غموض، فهل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الإقرار المباشر، أو الإقرار مطلقاً، أو السماع، أو أنّ العلم لا يكفي؟ والظاهر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لا يكفي، فيكون استثناءً مما سبق، وإن كانت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مطروحة صريحاً فيما سبق فتأمل، وراجع الحاشية السابقة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29" w:name="pg15697_168902"/>
    </w:p>
    <w:p>
      <w:pPr>
        <w:pStyle w:val="BookText"/>
        <w:rPr/>
      </w:pPr>
      <w:bookmarkEnd w:id="29"/>
      <w:r>
        <w:rPr>
          <w:rFonts w:ascii="Amiri" w:hAnsi="Amiri" w:eastAsia="Amiri" w:cs="Amiri"/>
          <w:color w:val="111111"/>
          <w:sz w:val="28"/>
          <w:sz w:val="28"/>
          <w:szCs w:val="28"/>
          <w:rtl w:val="true"/>
          <w:lang w:bidi="ar-SA"/>
        </w:rPr>
        <w:t>لو علم بأنه أقرّ اختياراً، ولو علم العدم أو شكّ</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حجية</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1915046_2142443653"/>
      <w:bookmarkStart w:id="31" w:name="_Toc10"/>
      <w:bookmarkEnd w:id="30"/>
      <w:r>
        <w:rPr>
          <w:rtl w:val="true"/>
        </w:rPr>
        <w:t>أذان المسجلة</w:t>
      </w:r>
      <w:bookmarkEnd w:id="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المسجلة وإقامتها لا اعتبار بهما في سقوط الأذان والإقامة على الأحوط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الظاهر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أذان وإقامة الإنسان بنفسه، لا مثل صوت الصدى أو</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الشكّ إشكال لأصالة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العقلائية، وإلاّ فالشك في الاختيار موجود حتماً فيما لو جاء بنفسه إلى الحاكم وأقر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يفرّق ببناء العقلاء على الأصالة المزبورة في ذلك، دون المسجلة، خاصة لو لوحظ احتمال التلفيق بين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يطلق عليه الدبلجة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وأقم</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بنفسك، لا أنّ طائراً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المباشرة، لا أن يجعل تمثالاً يصلي بدله، أو يأمر شخصاً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إنهما عبادة يشترط فيهما قصد القربة، ولا قربة للمسجلة،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مجرد أداة، فهو كالطواف محمولاً،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يسند إليه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الأمر المباشرة بنفسه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الأعمال العبادية من هذا القبيل ظاهرة في الصدور المباشري لا الصدور مطلقاً، ولا الصدور غير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سيأتي في المسألة اللاحقة أنّ صرف الآذان يمكن أن يكون مستحباً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32" w:name="pg15697_168903"/>
    </w:p>
    <w:p>
      <w:pPr>
        <w:pStyle w:val="BookText"/>
        <w:rPr/>
      </w:pPr>
      <w:bookmarkEnd w:id="32"/>
      <w:r>
        <w:rPr>
          <w:rFonts w:ascii="Amiri" w:hAnsi="Amiri" w:eastAsia="Amiri" w:cs="Amiri"/>
          <w:color w:val="111111"/>
          <w:sz w:val="28"/>
          <w:sz w:val="28"/>
          <w:szCs w:val="28"/>
          <w:rtl w:val="true"/>
          <w:lang w:bidi="ar-SA"/>
        </w:rPr>
        <w:t>الطير أو ما أشبه، ولذا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وجوبي، عند من يرى وجوب الأذان، بل لا يبعد أن يكون فتوى</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11915048_2142443653"/>
      <w:bookmarkStart w:id="34" w:name="_Toc11"/>
      <w:bookmarkEnd w:id="33"/>
      <w:r>
        <w:rPr>
          <w:rtl w:val="true"/>
        </w:rPr>
        <w:t>قراءة القرآن بالمسجلة</w:t>
      </w:r>
      <w:bookmarkEnd w:id="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المسجلة للقرآن يمكن</w:t>
      </w:r>
      <w:r>
        <w:rPr>
          <w:rStyle w:val="FootnoteAnchor"/>
          <w:rtl w:val="true"/>
        </w:rPr>
        <w:footnoteReference w:id="64"/>
      </w:r>
      <w:r>
        <w:rPr>
          <w:rFonts w:ascii="Amiri" w:hAnsi="Amiri" w:eastAsia="Amiri" w:cs="Amiri"/>
          <w:color w:val="111111"/>
          <w:sz w:val="28"/>
          <w:sz w:val="28"/>
          <w:szCs w:val="28"/>
          <w:rtl w:val="true"/>
          <w:lang w:bidi="ar-SA"/>
        </w:rPr>
        <w:t xml:space="preserve"> أن تكون مؤدية للمستحب الذي هو قراءة القرآن في الدار مثلاً، نعم تختلف مراتب الاستحباب بين قراءة الإنسان القرآن بصوت نفسه، أو فتحه للمسجلة التي تقرأه بصوت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في المسجلة، لانطباق عناوين محبوبة عليه،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وذلك للملاك المذكور في المسألة السابقة، وما الفرق بين هذه المسألة والمسألة السابقة؟</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فَاقْرَؤُوا مَا تَيَسَّرَ مِنْهُ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ظاهر في القراءة المباشرة لا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تنطبق عناوين أُخرى على هذا العمل،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استماع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التأثر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يستفاد أنَّ صرف وجود الصوت محبوب، فراجع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القرآن نور، وأنَّه يطرد الشياطين و</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35" w:name="pg15697_168904"/>
    </w:p>
    <w:p>
      <w:pPr>
        <w:pStyle w:val="BookText"/>
        <w:rPr/>
      </w:pPr>
      <w:bookmarkEnd w:id="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المفهوم عرفاً انتشار هذا الصوت ولو بصدى أو طير أو ما أشبه، ولا مانع</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من اختلاف الانصراف في المسألتين الثامنة والتاسعة</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1915050_2142443653"/>
      <w:bookmarkStart w:id="37" w:name="_Toc12"/>
      <w:bookmarkEnd w:id="36"/>
      <w:r>
        <w:rPr>
          <w:rtl w:val="true"/>
        </w:rPr>
        <w:t>الألعاب الأولمبية</w:t>
      </w:r>
      <w:bookmarkEnd w:id="3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الألعاب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الأولمبية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الضرر الكثير</w:t>
      </w:r>
      <w:r>
        <w:rPr>
          <w:rStyle w:val="FootnoteAnchor"/>
          <w:rtl w:val="true"/>
        </w:rPr>
        <w:footnoteReference w:id="68"/>
      </w:r>
      <w:r>
        <w:rPr>
          <w:rFonts w:ascii="Amiri" w:hAnsi="Amiri" w:eastAsia="Amiri" w:cs="Amiri"/>
          <w:color w:val="111111"/>
          <w:sz w:val="28"/>
          <w:sz w:val="28"/>
          <w:szCs w:val="28"/>
          <w:rtl w:val="true"/>
          <w:lang w:bidi="ar-SA"/>
        </w:rPr>
        <w:t xml:space="preserve"> الممنوع منه، وعدم الرهن، نعم تصح الجائزة المتخذة من شخص 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لحرمة الضرر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وحرمة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المستثنيات مما ذكر في كتاب السبق والرماية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أما الجائزة فهي داخلة في إطلاقات أدلة الهبة ونحوها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يترتب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ترك المسجلة تقرأ القرآن دون أن يوجد أحد فهل هو إسراف أو لا؟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صرف وجوده محبوب</w:t>
      </w:r>
      <w:r>
        <w:rPr>
          <w:rFonts w:eastAsia="Amiri" w:cs="Amiri" w:ascii="Amiri" w:hAnsi="Amiri"/>
          <w:color w:val="111111"/>
          <w:sz w:val="28"/>
          <w:szCs w:val="28"/>
          <w:rtl w:val="true"/>
          <w:lang w:bidi="ar-SA"/>
        </w:rPr>
        <w:t>.</w:t>
      </w:r>
    </w:p>
    <w:p>
      <w:pPr>
        <w:pStyle w:val="BookText"/>
        <w:rPr/>
      </w:pP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وزان المسألتين واحد، فالقراءة لا تصدق في المسألتين، لكن يمكن أن يستفاد من الأدلة أنّ صرف الصوت محبوب، فلاحظ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القليل فلا مانع منه؛ لأنّ إضرار الآخرين ولو كان قليلاً غير جائز، إلاّ أنّ ذلك في صورة عدم الرضا، وأمّا مع الرضا فلا مانع</w:t>
      </w:r>
      <w:r>
        <w:rPr>
          <w:rFonts w:eastAsia="Amiri" w:cs="Amiri" w:ascii="Amiri" w:hAnsi="Amiri"/>
          <w:color w:val="111111"/>
          <w:sz w:val="28"/>
          <w:szCs w:val="28"/>
          <w:rtl w:val="true"/>
          <w:lang w:bidi="ar-SA"/>
        </w:rPr>
        <w:t>.</w:t>
      </w:r>
    </w:p>
    <w:p>
      <w:pPr>
        <w:pStyle w:val="BookText"/>
        <w:rPr/>
      </w:pP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فهي نظيرتها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38" w:name="pg15697_168905"/>
    </w:p>
    <w:p>
      <w:pPr>
        <w:pStyle w:val="Heading2"/>
        <w:numPr>
          <w:ilvl w:val="1"/>
          <w:numId w:val="1"/>
        </w:numPr>
        <w:rPr/>
      </w:pPr>
      <w:bookmarkStart w:id="39" w:name="__RefHeading___Toc11915052_2142443653"/>
      <w:bookmarkStart w:id="40" w:name="_Toc13"/>
      <w:bookmarkEnd w:id="38"/>
      <w:bookmarkEnd w:id="39"/>
      <w:r>
        <w:rPr>
          <w:rtl w:val="true"/>
        </w:rPr>
        <w:t>العقود والإيقاعات عبر الهاتف</w:t>
      </w:r>
      <w:bookmarkEnd w:id="4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البيع والشراء والنكاح والطلاق وسائر العقود والإيقاعات خطاباً بالهاتف، إذا كان مجتمعاً لسائر الشروط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فيصح الطلاق فيما إذا كان أحد الشاهدين في النجف الأشرف، والآخر في كربلاء المقدسة، ومجري الصيغة في الكاظمية المشرفة، وكان بينهم الهاتف المثلث، وذلك لإطلاق الأدلة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بعد كون الانصراف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والمجلس في خيار المجلس في البيع ما دام التلفون بينهما متصلاً، فإذا انقطع</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المجلس، وذلك لأنّ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ولم يحصل الافتراق عرفاً ما لم ينقطع الخط، واجتماع وافتراق كل شيء بحسبه</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الناحية العقلائية فالظاهر صحة الجميع، وأمّا شرعاً فللإطلاق، وقد يستدل بالتقرير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التقرير ينصب على النكتة لا خصوص الجري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وأمّا اضطراراً ففيه تأمل، كما لو دفع شخص أحد المتبايعين خارج المجلس، ولعله 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ظاهر في الاختيار، وأمّا مع الاضطرار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يودّعه عند ختام التلفون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41" w:name="pg15697_168906"/>
    </w:p>
    <w:p>
      <w:pPr>
        <w:pStyle w:val="Heading2"/>
        <w:numPr>
          <w:ilvl w:val="1"/>
          <w:numId w:val="1"/>
        </w:numPr>
        <w:rPr/>
      </w:pPr>
      <w:bookmarkStart w:id="42" w:name="__RefHeading___Toc11915054_2142443653"/>
      <w:bookmarkStart w:id="43" w:name="_Toc14"/>
      <w:bookmarkEnd w:id="41"/>
      <w:bookmarkEnd w:id="42"/>
      <w:r>
        <w:rPr>
          <w:rtl w:val="true"/>
        </w:rPr>
        <w:t>شهادة التصوير</w:t>
      </w:r>
      <w:bookmarkEnd w:id="4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w:t>
      </w:r>
      <w:r>
        <w:rPr>
          <w:rStyle w:val="FootnoteAnchor"/>
          <w:rtl w:val="true"/>
        </w:rPr>
        <w:footnoteReference w:id="75"/>
      </w:r>
      <w:r>
        <w:rPr>
          <w:rFonts w:ascii="Amiri" w:hAnsi="Amiri" w:eastAsia="Amiri" w:cs="Amiri"/>
          <w:color w:val="111111"/>
          <w:sz w:val="28"/>
          <w:sz w:val="28"/>
          <w:szCs w:val="28"/>
          <w:rtl w:val="true"/>
          <w:lang w:bidi="ar-SA"/>
        </w:rPr>
        <w:t xml:space="preserve"> الصورة لشرب الخمر أو القمار أو الزنا أو اللواط أو السحق أو القتل أو ما أشبه ذلك بآلة نقطع من ذلك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بعدم التزوير</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ترتيب بعض الآثار، وإن كان في بعضها تأمل 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ترتيب بعض الآثار فللعلم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وهو يكفي في ترتيب بعضها، وأما التأمل في بعضها، بل عدم ترتبها؛ فلأن الزنا واللواط بحاجة إلى شهود أربعة أو اعتراف كذلك، وعلم الحاكم لا يكفي، ولذا لم يرتب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الزنا بعلمهم ولا بالاعتراف حتى ثلاث مرات، مع وضوح أنه يوجب العلم عادة، ولذا نرى</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أن العلم فيها لا ينفع،</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المسألة مبنية على ما ذكر في كتاب القضاء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علم الحاكم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العدم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التفصيل</w:t>
      </w:r>
      <w:r>
        <w:rPr>
          <w:rFonts w:eastAsia="Amiri" w:cs="Amiri" w:ascii="Amiri" w:hAnsi="Amiri"/>
          <w:color w:val="111111"/>
          <w:sz w:val="28"/>
          <w:szCs w:val="28"/>
          <w:rtl w:val="true"/>
          <w:lang w:bidi="ar-SA"/>
        </w:rPr>
        <w:t>.</w:t>
      </w:r>
    </w:p>
    <w:p>
      <w:pPr>
        <w:pStyle w:val="BookText"/>
        <w:rPr/>
      </w:pP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ما يتعلق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حجة مطلقاً، إلاّ إذا كان موضوعياً، ولابد من البحث في كتاب القضاء أنّ علم الحاكم طريقي أو 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العلم مطلقاً حجة أو عن طريق خاص كالشهود مثلاً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جواز عمل الحاكم بعلمه فهذا استثناء بالدليل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يُرتِّبا الأثر على العلم في سائر الإقرارات أيضاً، فلا ينهض هذا دليلاً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44" w:name="pg15697_168907"/>
    </w:p>
    <w:p>
      <w:pPr>
        <w:pStyle w:val="BookText"/>
        <w:rPr/>
      </w:pPr>
      <w:bookmarkEnd w:id="44"/>
      <w:r>
        <w:rPr>
          <w:rFonts w:ascii="Amiri" w:hAnsi="Amiri" w:eastAsia="Amiri" w:cs="Amiri"/>
          <w:color w:val="111111"/>
          <w:sz w:val="28"/>
          <w:sz w:val="28"/>
          <w:szCs w:val="28"/>
          <w:rtl w:val="true"/>
          <w:lang w:bidi="ar-SA"/>
        </w:rPr>
        <w:t>وإنما ينفع في سائر الموارد على قول من يرى حجية علم القاضي، ولو شك في ذلك</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11915056_2142443653"/>
      <w:bookmarkStart w:id="46" w:name="_Toc15"/>
      <w:bookmarkEnd w:id="45"/>
      <w:r>
        <w:rPr>
          <w:rtl w:val="true"/>
        </w:rPr>
        <w:t>المصلي في القمر</w:t>
      </w:r>
      <w:bookmarkEnd w:id="4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 في القمر في حال كون الأرض عموداً فوق الرأس أو تحت القدم يصلي باتجاه الأرض</w:t>
      </w:r>
      <w:r>
        <w:rPr>
          <w:rStyle w:val="FootnoteAnchor"/>
          <w:rtl w:val="true"/>
        </w:rPr>
        <w:footnoteReference w:id="82"/>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وإذا لم يكن له وقت</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يواجه الأرض،</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حجية علم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يصبر حتى يواجه الأرض ثم يصلي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له وقت</w:t>
      </w:r>
      <w:r>
        <w:rPr>
          <w:rFonts w:eastAsia="Amiri" w:cs="Amiri" w:ascii="Amiri" w:hAnsi="Amiri"/>
          <w:color w:val="111111"/>
          <w:sz w:val="28"/>
          <w:szCs w:val="28"/>
          <w:rtl w:val="true"/>
          <w:lang w:bidi="ar-SA"/>
        </w:rPr>
        <w:t>».</w:t>
      </w:r>
    </w:p>
    <w:p>
      <w:pPr>
        <w:pStyle w:val="BookText"/>
        <w:rPr/>
      </w:pP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هنا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البدار لذوي الأعذار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بارتفاع العذر ومع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هنا ما ذكروه في المصلي فوق الكعبة من أنّه ينام ويتجه إلى البيت المعمور</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47" w:name="pg15697_168908"/>
    </w:p>
    <w:p>
      <w:pPr>
        <w:pStyle w:val="BookText"/>
        <w:rPr/>
      </w:pPr>
      <w:bookmarkEnd w:id="47"/>
      <w:r>
        <w:rPr>
          <w:rFonts w:ascii="Amiri" w:hAnsi="Amiri" w:eastAsia="Amiri" w:cs="Amiri"/>
          <w:color w:val="111111"/>
          <w:sz w:val="28"/>
          <w:sz w:val="28"/>
          <w:szCs w:val="28"/>
          <w:rtl w:val="true"/>
          <w:lang w:bidi="ar-SA"/>
        </w:rPr>
        <w:t>يصلي</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أية جهة شاء، والظاهر أنه لا يجب عليه الصلاة إلى أربع</w:t>
      </w: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لا دليل على أكثر من الصلاة الواحدة، بل ذهب</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جمع من الفقهاء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كفاية الصلاة الواحدة دون الأربع في المشتبه، وإنما قال المشهور بالأربع حتى يعلم باتجاه أحدها إلى القبلة، وأما هنا فاحتمال وجوب الصلاة إلى الأربع للعلم باتجاه أحدها إلى القبلة سالبة بانتفاء الموضوع، وأما وجوب الاتجاه إلى الأرض في صورة الإمكان فلأنّه داخل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11915058_2142443653"/>
      <w:bookmarkStart w:id="49" w:name="_Toc16"/>
      <w:bookmarkEnd w:id="48"/>
      <w:r>
        <w:rPr>
          <w:rtl w:val="true"/>
        </w:rPr>
        <w:t>قلع الرحم</w:t>
      </w:r>
      <w:bookmarkEnd w:id="4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قلع الرحم لم يسقط حكم العدة، فإذا وطئت بالحلال</w:t>
      </w:r>
    </w:p>
    <w:p>
      <w:pPr>
        <w:pStyle w:val="BookText"/>
        <w:rPr/>
      </w:pPr>
      <w:r>
        <w:rPr>
          <w:rFonts w:ascii="Amiri" w:hAnsi="Amiri" w:eastAsia="Amiri" w:cs="Amiri"/>
          <w:color w:val="111111"/>
          <w:sz w:val="28"/>
          <w:sz w:val="28"/>
          <w:szCs w:val="28"/>
          <w:rtl w:val="true"/>
          <w:lang w:bidi="ar-SA"/>
        </w:rPr>
        <w:t>ثم إنّه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من تخوم الأرض إلى عنان السماء كفاه في صورة العمود الاتجاه إلى العمود الفرضي، ولو كان فوق رأسه بالضبط كفاه الاتجاه إلى جميع الجهات؛ لأنّه يكون مستقبلاً في كلّ الصور، وكذا لو كان تحت القدم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فعلى هذا المبنى لا سالبة بانتفاء الموضوع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لا تترك بحالٍ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شرطية الاستقبال ساقطة؛ إذ لا قبلة، ولا دليل على الأكثر من الواحدة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وجود قبلةٍ تكفي واحدة، فكيف هنا لا قبلة؟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50" w:name="pg15697_168909"/>
    </w:p>
    <w:p>
      <w:pPr>
        <w:pStyle w:val="BookText"/>
        <w:rPr/>
      </w:pPr>
      <w:bookmarkEnd w:id="50"/>
      <w:r>
        <w:rPr>
          <w:rFonts w:ascii="Amiri" w:hAnsi="Amiri" w:eastAsia="Amiri" w:cs="Amiri"/>
          <w:color w:val="111111"/>
          <w:sz w:val="28"/>
          <w:sz w:val="28"/>
          <w:szCs w:val="28"/>
          <w:rtl w:val="true"/>
          <w:lang w:bidi="ar-SA"/>
        </w:rPr>
        <w:t>وجب عليها أخذ العدة فيما إذا طلقت ونحوه، إذ اختلاط المياه حكمة</w:t>
      </w:r>
      <w:r>
        <w:rPr>
          <w:rStyle w:val="FootnoteAnchor"/>
          <w:rtl w:val="true"/>
        </w:rPr>
        <w:footnoteReference w:id="87"/>
      </w:r>
      <w:r>
        <w:rPr>
          <w:rFonts w:ascii="Amiri" w:hAnsi="Amiri" w:eastAsia="Amiri" w:cs="Amiri"/>
          <w:color w:val="111111"/>
          <w:sz w:val="28"/>
          <w:sz w:val="28"/>
          <w:szCs w:val="28"/>
          <w:rtl w:val="true"/>
          <w:lang w:bidi="ar-SA"/>
        </w:rPr>
        <w:t xml:space="preserve"> وليس بعلة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وقلنا بوجوب العدة لإطلاق الأدلة، ولذا تجب وإن لم ينزل، فيما إذا دخل بها أو وطأ من خلف</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حيث لا ربط بالمياه، إذ لا يكون الحمل من الخلف</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1915060_2142443653"/>
      <w:bookmarkStart w:id="52" w:name="_Toc17"/>
      <w:bookmarkEnd w:id="51"/>
      <w:r>
        <w:rPr>
          <w:rtl w:val="true"/>
        </w:rPr>
        <w:t>ولادة غير الإنسان من الإنسان</w:t>
      </w:r>
      <w:bookmarkEnd w:id="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تولّد من الإنسان شيء حيّ لا يسمى إنساناً، لم يبعد أن</w:t>
      </w:r>
    </w:p>
    <w:p>
      <w:pPr>
        <w:pStyle w:val="BookText"/>
        <w:rPr/>
      </w:pP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الجعل لا علّة المجعول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كلمات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بحثنا في مكان آخر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الدخول في الدبر كالقبل في كلّ الأحكام إلاّ ثلاثة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يحكم بحكم الإنسان، وإذا تولّد من غير الإنسان حي يسمى إنساناً كان محكوماً بحكم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الحكم تابع للموضوع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ثم هل يجوز تركيب الجينات حتى يكون الوالد إنساناً حيواناً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كما فعله الغرب؟ فيه نظر؛ لأنّه من تغيير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خلق اللّه، ولو حصل فإن كان له عقل الإنسان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كان محكوماً به، وإلا فلا حكم عليه، كما أنّه إذا لم يسم إنساناً لم يجز زواجه والزواج به، ولا يرث إلى غير ذلك من الأحكام</w:t>
      </w:r>
      <w:r>
        <w:rPr>
          <w:rFonts w:eastAsia="Amiri" w:cs="Amiri" w:ascii="Amiri" w:hAnsi="Amiri"/>
          <w:color w:val="111111"/>
          <w:sz w:val="28"/>
          <w:szCs w:val="28"/>
          <w:rtl w:val="true"/>
          <w:lang w:bidi="ar-SA"/>
        </w:rPr>
        <w:t>.</w:t>
      </w:r>
    </w:p>
    <w:p>
      <w:pPr>
        <w:pStyle w:val="BookText"/>
        <w:rPr/>
      </w:pP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تابعة للعناوين في استصحاب الرسائل</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الإنسان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صحة النسخة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مزيجاً بين الإنسان والحيوان، كأن يكون له رأس إنسان وبدن سمكة</w:t>
      </w:r>
      <w:r>
        <w:rPr>
          <w:rFonts w:eastAsia="Amiri" w:cs="Amiri" w:ascii="Amiri" w:hAnsi="Amiri"/>
          <w:color w:val="111111"/>
          <w:sz w:val="28"/>
          <w:szCs w:val="28"/>
          <w:rtl w:val="true"/>
          <w:lang w:bidi="ar-SA"/>
        </w:rPr>
        <w:t>.</w:t>
      </w:r>
    </w:p>
    <w:p>
      <w:pPr>
        <w:pStyle w:val="BookText"/>
        <w:rPr/>
      </w:pP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Style w:val="FootnoteAnchor"/>
          <w:rtl w:val="true"/>
        </w:rPr>
        <w:footnoteReference w:id="97"/>
      </w:r>
      <w:r>
        <w:rPr>
          <w:rFonts w:ascii="Amiri" w:hAnsi="Amiri" w:eastAsia="Amiri" w:cs="Amiri"/>
          <w:color w:val="111111"/>
          <w:sz w:val="28"/>
          <w:sz w:val="28"/>
          <w:szCs w:val="28"/>
          <w:rtl w:val="true"/>
          <w:lang w:bidi="ar-SA"/>
        </w:rPr>
        <w:t xml:space="preserve">غير دالة على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حلق اللحية</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الأولى الاستدلال بأنه منكر في أذهان المتشرعة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أو سيأتي المناقشة في ذلك، ولم يقبل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التغيير في مواطن متعددة،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محرم إلاّ ما 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الملاك العقل أو الملاك الصدق العرفي؟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يصدق عليه إنسان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53" w:name="pg15697_168911"/>
    </w:p>
    <w:p>
      <w:pPr>
        <w:pStyle w:val="Heading2"/>
        <w:numPr>
          <w:ilvl w:val="1"/>
          <w:numId w:val="1"/>
        </w:numPr>
        <w:rPr/>
      </w:pPr>
      <w:bookmarkStart w:id="54" w:name="__RefHeading___Toc11915062_2142443653"/>
      <w:bookmarkStart w:id="55" w:name="_Toc18"/>
      <w:bookmarkEnd w:id="53"/>
      <w:bookmarkEnd w:id="54"/>
      <w:r>
        <w:rPr>
          <w:rtl w:val="true"/>
        </w:rPr>
        <w:t>ترفيع السلالات</w:t>
      </w:r>
      <w:bookmarkEnd w:id="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ترفيع سلالة الحيوانات المختلفة بمختلف الوسائل الممكنة، أما ترفيع سلالة الإنسان فلا يجوز إلا بالوسائل الجائزة</w:t>
      </w:r>
      <w:r>
        <w:rPr>
          <w:rStyle w:val="FootnoteAnchor"/>
          <w:rtl w:val="true"/>
        </w:rPr>
        <w:footnoteReference w:id="99"/>
      </w:r>
      <w:r>
        <w:rPr>
          <w:rFonts w:ascii="Amiri" w:hAnsi="Amiri" w:eastAsia="Amiri" w:cs="Amiri"/>
          <w:color w:val="111111"/>
          <w:sz w:val="28"/>
          <w:sz w:val="28"/>
          <w:szCs w:val="28"/>
          <w:rtl w:val="true"/>
          <w:lang w:bidi="ar-SA"/>
        </w:rPr>
        <w:t>، فلا يجور</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تزريق مني رجل قوي في رحم امرأة ليست له زوجة، كما لا يجوز</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تزريق مني المرأة القوية في المرأة الضعيفة لتقوية النسل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لوضوح أنه لا يجوز ذلك إلاّ بالنكاح بأقسامه، والتي منها الملك والتحليل، ولذا نرى أنّه لا يجوز الجمع بين مني رجل وامرأة أجنبيين في أنبوب الاختبار، وإذا فعل ذلك كان محكوماً بحكم ولد الزنا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عدم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ولد الشبهة، كل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ولعل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الملازمة بين العقل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كتناول الأدوية المقوية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الدليل المعتمد هو الارتكاز، وأنه منكر في أذهان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للدليل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لم يتحقّق فكيف تترتب عليه أحكامه؟ وحيث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ولغة تترتب عليه كلّ الأحكام حتى الإرث،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الإرث منصرفة عن مثل ذلك،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ولد الزنا موجود فيه، فتأمل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56" w:name="pg15697_168912"/>
    </w:p>
    <w:p>
      <w:pPr>
        <w:pStyle w:val="Heading2"/>
        <w:numPr>
          <w:ilvl w:val="1"/>
          <w:numId w:val="1"/>
        </w:numPr>
        <w:rPr/>
      </w:pPr>
      <w:bookmarkStart w:id="57" w:name="__RefHeading___Toc11915064_2142443653"/>
      <w:bookmarkStart w:id="58" w:name="_Toc19"/>
      <w:bookmarkEnd w:id="56"/>
      <w:bookmarkEnd w:id="57"/>
      <w:r>
        <w:rPr>
          <w:rtl w:val="true"/>
        </w:rPr>
        <w:t>منع المريض عن الزواج</w:t>
      </w:r>
      <w:bookmarkEnd w:id="5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102"/>
      </w:r>
      <w:r>
        <w:rPr>
          <w:rFonts w:ascii="Amiri" w:hAnsi="Amiri" w:eastAsia="Amiri" w:cs="Amiri"/>
          <w:color w:val="111111"/>
          <w:sz w:val="28"/>
          <w:sz w:val="28"/>
          <w:szCs w:val="28"/>
          <w:rtl w:val="true"/>
          <w:lang w:bidi="ar-SA"/>
        </w:rPr>
        <w:t xml:space="preserve"> منع المريض من الزواج إذا كان موجباً للعدوى</w:t>
      </w:r>
      <w:r>
        <w:rPr>
          <w:rStyle w:val="FootnoteAnchor"/>
          <w:rtl w:val="true"/>
        </w:rPr>
        <w:footnoteReference w:id="103"/>
      </w:r>
      <w:r>
        <w:rPr>
          <w:rFonts w:ascii="Amiri" w:hAnsi="Amiri" w:eastAsia="Amiri" w:cs="Amiri"/>
          <w:color w:val="111111"/>
          <w:sz w:val="28"/>
          <w:sz w:val="28"/>
          <w:szCs w:val="28"/>
          <w:rtl w:val="true"/>
          <w:lang w:bidi="ar-SA"/>
        </w:rPr>
        <w:t xml:space="preserve"> إلى زوجته، أو زوجها أو أولادها، فيما إذا كان المرض ضرراً شديداً يمنع الشارع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Style w:val="FootnoteAnchor"/>
          <w:rtl w:val="true"/>
        </w:rPr>
        <w:footnoteReference w:id="104"/>
      </w:r>
      <w:r>
        <w:rPr>
          <w:rFonts w:ascii="Amiri" w:hAnsi="Amiri" w:eastAsia="Amiri" w:cs="Amiri"/>
          <w:color w:val="111111"/>
          <w:sz w:val="28"/>
          <w:sz w:val="28"/>
          <w:szCs w:val="28"/>
          <w:rtl w:val="true"/>
          <w:lang w:bidi="ar-SA"/>
        </w:rPr>
        <w:t xml:space="preserve"> ولا ضرار في الإسلام</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الزواج</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مقدمة الحرام، ويجوز المنع عن مقدمة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ردع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والردع</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نصفين وألقه في البالوعة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فَخَشِينَا أَن يُرْهِقَهُمَا طُغْيَاناً وَكُفْراً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وقاعدة الأهم والمهم</w:t>
      </w:r>
      <w:r>
        <w:rPr>
          <w:rStyle w:val="FootnoteAnchor"/>
          <w:rtl w:val="true"/>
        </w:rPr>
        <w:footnoteReference w:id="11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احتمل ذلك، إلاّ أنّ الاحتمال منجز في الأُمور الخطيرة، بشرط أن يكون عقلائياً</w:t>
      </w:r>
      <w:r>
        <w:rPr>
          <w:rFonts w:eastAsia="Amiri" w:cs="Amiri" w:ascii="Amiri" w:hAnsi="Amiri"/>
          <w:color w:val="111111"/>
          <w:sz w:val="28"/>
          <w:szCs w:val="28"/>
          <w:rtl w:val="true"/>
          <w:lang w:bidi="ar-SA"/>
        </w:rPr>
        <w:t>.</w:t>
      </w:r>
    </w:p>
    <w:p>
      <w:pPr>
        <w:pStyle w:val="BookText"/>
        <w:rPr/>
      </w:pP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لأنَّ تجويز ذلك حكم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59" w:name="pg15697_168913"/>
    </w:p>
    <w:p>
      <w:pPr>
        <w:pStyle w:val="BookText"/>
        <w:rPr/>
      </w:pPr>
      <w:bookmarkEnd w:id="59"/>
      <w:r>
        <w:rPr>
          <w:rFonts w:ascii="Amiri" w:hAnsi="Amiri" w:eastAsia="Amiri" w:cs="Amiri"/>
          <w:color w:val="111111"/>
          <w:sz w:val="28"/>
          <w:sz w:val="28"/>
          <w:szCs w:val="28"/>
          <w:rtl w:val="true"/>
          <w:lang w:bidi="ar-SA"/>
        </w:rPr>
        <w:t>لا يوجب العدوى، أو كان المقصود من الزواج مجرد المحرمية وما أشبه، أو كان المرض طفيفاً يجوز تحمله شرعاً فلا يجوز المنع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لإطلاق الأدلة، ثم لو حرم الزواج الملامسي، وكان ترك إفراغ المني له أو لها من العسر والحرج</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فهل يجوز الإفراغ بوسائل أخرى كاليد المجسمة والتنويم لرفع العسر، احتمالات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أمكن الإفراغ بسبب الزوج أو الزوجة بدون ضرر العدوى كان مقدماً قطعاً؛ لأنه جائز في نفسه، فلا تصل النوبة إلى الأدلة الثانوية</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1915066_2142443653"/>
      <w:bookmarkStart w:id="61" w:name="_Toc20"/>
      <w:bookmarkEnd w:id="60"/>
      <w:r>
        <w:rPr>
          <w:rtl w:val="true"/>
        </w:rPr>
        <w:t>الأحكام في قالب القانون</w:t>
      </w:r>
      <w:bookmarkEnd w:id="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صب</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الإسلامية في قوالب القوانين المدنية الحديثة، على شرط عدم تغيير الأحكام بالزيادة والنقيصة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المهم الحكم، أما القالب فلا اعتبار به إلاّ ما خرج بالدليل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الحرمة؛ لأنّه منكر في أذهان المتشرعة؛ ولأنّه لو فتح هذا الباب لجاز للشباب غير المتزوجين مثل ذلك؛ ولأنّه لو كان ذلك جائزاً لبان لشدة الابتلاء به، خاصة في أمثال الجنود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يجب إذا كان مقدمة لتطبيق حكم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عقلياً من باب أنّه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كذلك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ملاحظة تطور الفقه من الأصول الأربعمائة إلى الرسائل العملية العقليّة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موسوعة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مثل تغيير ألفاظ القرآن الكريم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62" w:name="pg15697_168914"/>
    </w:p>
    <w:p>
      <w:pPr>
        <w:pStyle w:val="BookText"/>
        <w:rPr/>
      </w:pPr>
      <w:bookmarkEnd w:id="62"/>
      <w:r>
        <w:rPr>
          <w:rFonts w:ascii="Amiri" w:hAnsi="Amiri" w:eastAsia="Amiri" w:cs="Amiri"/>
          <w:color w:val="111111"/>
          <w:sz w:val="28"/>
          <w:sz w:val="28"/>
          <w:szCs w:val="28"/>
          <w:rtl w:val="true"/>
          <w:lang w:bidi="ar-SA"/>
        </w:rPr>
        <w:t>ومن الواضح أنّه يلزم أن يكون الصبُّ بحيث لا يوجب تقييد إطلاق الحكم أو إطلاق مقيّده، بل اللازم التساوي بينهما، لا الثلاثة الأخر من التباين، ومن وجه، والمطلق</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1915068_2142443653"/>
      <w:bookmarkStart w:id="64" w:name="_Toc21"/>
      <w:bookmarkEnd w:id="63"/>
      <w:r>
        <w:rPr>
          <w:rtl w:val="true"/>
        </w:rPr>
        <w:t>تصوير الأموات</w:t>
      </w:r>
      <w:bookmarkEnd w:id="6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تصوير الأموات</w:t>
      </w:r>
      <w:r>
        <w:rPr>
          <w:rStyle w:val="FootnoteAnchor"/>
          <w:rtl w:val="true"/>
        </w:rPr>
        <w:footnoteReference w:id="114"/>
      </w:r>
      <w:r>
        <w:rPr>
          <w:rFonts w:ascii="Amiri" w:hAnsi="Amiri" w:eastAsia="Amiri" w:cs="Amiri"/>
          <w:color w:val="111111"/>
          <w:sz w:val="28"/>
          <w:sz w:val="28"/>
          <w:szCs w:val="28"/>
          <w:rtl w:val="true"/>
          <w:lang w:bidi="ar-SA"/>
        </w:rPr>
        <w:t xml:space="preserve"> بالأشعة، عند حضورهم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أكتوبلازم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بأنّ التصوير والتحضير</w:t>
      </w:r>
      <w:r>
        <w:rPr>
          <w:rStyle w:val="FootnoteAnchor"/>
          <w:rtl w:val="true"/>
        </w:rPr>
        <w:footnoteReference w:id="115"/>
      </w:r>
      <w:r>
        <w:rPr>
          <w:rFonts w:ascii="IRNazanin" w:hAnsi="IRNazanin" w:eastAsia="IRNazanin"/>
          <w:color w:val="111111"/>
          <w:sz w:val="28"/>
          <w:sz w:val="28"/>
          <w:szCs w:val="28"/>
          <w:rtl w:val="true"/>
          <w:lang w:bidi="fa-IR"/>
        </w:rPr>
        <w:t xml:space="preserve"> جائزان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جوازهما؛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فيما إذا لم يكن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اتخذوا شكلاً روحياً، أو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الناظر والمنظور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مماثلين، أو كانا مخالفين وكان النظر لا يحل 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كوجه المرأة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اتخذوا شكلاً بشرياً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كالقالب المثالي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مخالفاً، وكان النظر لما يحرّم النظر إليه، فالنظر إليه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محكوم بقوانين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النظر إليه وما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يحل ومن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باب النكاح</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تصوير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تأتي الإشارة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هو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محذور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الهتك</w:t>
      </w:r>
      <w:r>
        <w:rPr>
          <w:rFonts w:eastAsia="Amiri" w:cs="Amiri" w:ascii="Amiri" w:hAnsi="Amiri"/>
          <w:color w:val="111111"/>
          <w:sz w:val="28"/>
          <w:szCs w:val="28"/>
          <w:rtl w:val="true"/>
          <w:lang w:bidi="ar-SA"/>
        </w:rPr>
        <w:t>».</w:t>
      </w:r>
    </w:p>
    <w:p>
      <w:pPr>
        <w:pStyle w:val="BookText"/>
        <w:rPr/>
      </w:pP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قلنا بحرمة التحضير، فإنّه لا يلازم حرمة التصوير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هناك محذور 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التصوير والتحضير تصرّف في الغير من دون إذنه؟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التصرف لا يشمل</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عرفاً</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كما أنّ الظاهر</w:t>
      </w:r>
    </w:p>
    <w:p>
      <w:pPr>
        <w:pStyle w:val="BookText"/>
        <w:rPr/>
      </w:pP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منصرف عرفاً،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التصرّف منصرف عنه عرفاً، قاله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كونه تصرفاً؛ إذ قد لا يكون تحضيراً، بل ارتباطاً، ولو فرض كونه تحضيراً فلم يُعلم كونه إجبارياً، بل ربما يكون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شخص فيأتي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الثاني لم يعلم كونه تصرفاً أصلاً، والأول تصرف لكنه غير مشمول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يشكل على الثاني بأن الأصل حرمة التصرّف، إلاّ أن يُعلم برضاه، والمفروض أنّ الرضا 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الحرمة في كتاب الخمس في بحث الكنز</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فإنه لم يُعلم كونه تصرفاً أصلاً، فهو مثل توجيه سؤال لشخص فيجيب، أو صنع طعام فيحضر شخص، وسيأتي نظير ذلك في مسألة </w:t>
      </w:r>
      <w:r>
        <w:rPr>
          <w:rFonts w:eastAsia="Amiri" w:cs="Amiri" w:ascii="Amiri" w:hAnsi="Amiri"/>
          <w:color w:val="111111"/>
          <w:sz w:val="28"/>
          <w:szCs w:val="28"/>
          <w:lang w:bidi="ar-SA"/>
        </w:rPr>
        <w:t>37</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التأمّل فيه في مسألة </w:t>
      </w:r>
      <w:r>
        <w:rPr>
          <w:rFonts w:eastAsia="Amiri" w:cs="Amiri" w:ascii="Amiri" w:hAnsi="Amiri"/>
          <w:color w:val="111111"/>
          <w:sz w:val="28"/>
          <w:szCs w:val="28"/>
          <w:lang w:bidi="ar-SA"/>
        </w:rPr>
        <w:t>37</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تصرف فهو مشكل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65" w:name="pg15697_168916"/>
    </w:p>
    <w:p>
      <w:pPr>
        <w:pStyle w:val="BookText"/>
        <w:rPr/>
      </w:pPr>
      <w:bookmarkEnd w:id="65"/>
      <w:r>
        <w:rPr>
          <w:rFonts w:ascii="Amiri" w:hAnsi="Amiri" w:eastAsia="Amiri" w:cs="Amiri"/>
          <w:color w:val="111111"/>
          <w:sz w:val="28"/>
          <w:sz w:val="28"/>
          <w:szCs w:val="28"/>
          <w:rtl w:val="true"/>
          <w:lang w:bidi="ar-SA"/>
        </w:rPr>
        <w:t>جواز تصوير الأموات</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اللحد من الخارج بواسطة الأشعة، إذا لم يكن هتكاً للمؤمن</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 xml:space="preserve">، أما تصوير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لأنه هتك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وكذلك بالنسبة إلى أولادهم وإخوانهم أمثال علي الأكبر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Heading2"/>
        <w:numPr>
          <w:ilvl w:val="1"/>
          <w:numId w:val="1"/>
        </w:numPr>
        <w:rPr/>
      </w:pPr>
      <w:bookmarkStart w:id="66" w:name="__RefHeading___Toc11915070_2142443653"/>
      <w:bookmarkStart w:id="67" w:name="_Toc22"/>
      <w:bookmarkEnd w:id="66"/>
      <w:r>
        <w:rPr>
          <w:rtl w:val="true"/>
        </w:rPr>
        <w:t>المعلبات المستوردة</w:t>
      </w:r>
      <w:bookmarkEnd w:id="6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المعلبات المستوردة من غير بلاد الإسلام يجوز أكلها، إلا إذا كان</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 أو شحماً</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شيئاً من الحرام</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أما المستوردة من بلاد الإسلام فأكلها جائز، إلاّ إذا علم حرمتها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التصوير حقّ من الحقوق لا يجوز إلاّ بإذنه، وبحث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العرفي هل يلازم الحقّ الشرعي؟ وهل أنه حقّ عرفي؟ وهل يكفي إجازة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حقوق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هناك محذور خارجي آخر، كالنظر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ثابتاً، بل قد يكون سبباً لهداية الكثيرين، فقد يجب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كفاية جريان يد المسلم عليه في الحلّيّة إشكال، بل منع، وإن ذهب إلى ذلك بعض، مع احتمال التذكية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كالنخاع الموجود في عظام الحيوان والذي يُقال إنّه يصنع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محتوية على شيء من الحرام، إلاّ إذا استهلك ولم يتنجس فلا إشكال فيه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الدليل في المستثنى والمستثنى منه، والمشهور بين الفقهاء</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عدم لزوم الفحص في الشبهات الموضوعية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ذكرنا في محله أنّ الفحص في الموضوعات 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كالفحص في النصاب والاستطاعة للحج وغيرهما مما ذكرها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باب الطهارة والنجاسة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والحلية والحرمة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لا يلزم الفحص للأدلة الخاصة، وقد ذكرنا في بعض الكتب الفقهية ميزان كون البلد إسلامياً أو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النائيني في رؤية الفجر للصائم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125"/>
      </w:r>
      <w:r>
        <w:rPr>
          <w:rFonts w:ascii="Amiri" w:hAnsi="Amiri" w:eastAsia="Amiri" w:cs="Amiri"/>
          <w:color w:val="111111"/>
          <w:sz w:val="28"/>
          <w:sz w:val="28"/>
          <w:szCs w:val="28"/>
          <w:rtl w:val="true"/>
          <w:lang w:bidi="ar-SA"/>
        </w:rPr>
        <w:t>، وكذا في باب القضايا المالية مطلقاً</w:t>
      </w:r>
      <w:r>
        <w:rPr>
          <w:rFonts w:eastAsia="Amiri" w:cs="Amiri" w:ascii="Amiri" w:hAnsi="Amiri"/>
          <w:color w:val="111111"/>
          <w:sz w:val="28"/>
          <w:szCs w:val="28"/>
          <w:rtl w:val="true"/>
          <w:lang w:bidi="ar-SA"/>
        </w:rPr>
        <w:t>.</w:t>
      </w:r>
    </w:p>
    <w:p>
      <w:pPr>
        <w:pStyle w:val="BookText"/>
        <w:rPr/>
      </w:pP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النجاسة والتنجس معاً؟ الظاهر ذلك، وإلاّ كان ربما يظهر من بعض عبارات الفقه لزوم الفحص في النجاسة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النجاسات</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المأكولات لا مطلقاً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68" w:name="pg15697_168918"/>
    </w:p>
    <w:p>
      <w:pPr>
        <w:pStyle w:val="Heading2"/>
        <w:numPr>
          <w:ilvl w:val="1"/>
          <w:numId w:val="1"/>
        </w:numPr>
        <w:rPr/>
      </w:pPr>
      <w:bookmarkStart w:id="69" w:name="__RefHeading___Toc11915072_2142443653"/>
      <w:bookmarkStart w:id="70" w:name="_Toc23"/>
      <w:bookmarkEnd w:id="68"/>
      <w:bookmarkEnd w:id="69"/>
      <w:r>
        <w:rPr>
          <w:rtl w:val="true"/>
        </w:rPr>
        <w:t>الألعاب السويدية</w:t>
      </w:r>
      <w:bookmarkEnd w:id="7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الألعاب السويدية، وهي رياضة الإنسان بدون آلة، لكن بشرط أن لا يكون فيها مراهنة</w:t>
      </w:r>
      <w:r>
        <w:rPr>
          <w:rStyle w:val="FootnoteAnchor"/>
          <w:rtl w:val="true"/>
        </w:rPr>
        <w:footnoteReference w:id="128"/>
      </w:r>
      <w:r>
        <w:rPr>
          <w:rFonts w:ascii="Amiri" w:hAnsi="Amiri" w:eastAsia="Amiri" w:cs="Amiri"/>
          <w:color w:val="111111"/>
          <w:sz w:val="28"/>
          <w:sz w:val="28"/>
          <w:szCs w:val="28"/>
          <w:rtl w:val="true"/>
          <w:lang w:bidi="ar-SA"/>
        </w:rPr>
        <w:t>، نعم تصح المنحة</w:t>
      </w:r>
      <w:r>
        <w:rPr>
          <w:rStyle w:val="FootnoteAnchor"/>
          <w:rtl w:val="true"/>
        </w:rPr>
        <w:footnoteReference w:id="129"/>
      </w:r>
      <w:r>
        <w:rPr>
          <w:rFonts w:ascii="IRNazanin" w:hAnsi="IRNazanin" w:eastAsia="IRNazanin"/>
          <w:color w:val="111111"/>
          <w:sz w:val="28"/>
          <w:sz w:val="28"/>
          <w:szCs w:val="28"/>
          <w:rtl w:val="true"/>
          <w:lang w:bidi="fa-IR"/>
        </w:rPr>
        <w:t xml:space="preserve"> من شخص 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 المراهنة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في غير الموارد التي ذكرت في كتاب السبق والرماية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11915074_2142443653"/>
      <w:bookmarkStart w:id="72" w:name="_Toc24"/>
      <w:bookmarkEnd w:id="71"/>
      <w:r>
        <w:rPr>
          <w:rtl w:val="true"/>
        </w:rPr>
        <w:t>أول الشهر في القمر</w:t>
      </w:r>
      <w:bookmarkEnd w:id="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شخص على سطح القمر، فالظاهر أنّ أول الشهر بالنسبة إليه هو أول الشهر بالنسبة إلى أهل الأرض في مكة المكرمة</w:t>
      </w:r>
      <w:r>
        <w:rPr>
          <w:rStyle w:val="FootnoteAnchor"/>
          <w:rtl w:val="true"/>
        </w:rPr>
        <w:footnoteReference w:id="130"/>
      </w:r>
      <w:r>
        <w:rPr>
          <w:rFonts w:ascii="Amiri" w:hAnsi="Amiri" w:eastAsia="Amiri" w:cs="Amiri"/>
          <w:color w:val="111111"/>
          <w:sz w:val="28"/>
          <w:sz w:val="28"/>
          <w:szCs w:val="28"/>
          <w:rtl w:val="true"/>
          <w:lang w:bidi="ar-SA"/>
        </w:rPr>
        <w:t>، في صورة اختلاف أول الشهر، بأن كان أول شهر مكة المكرمة مثلاً يوم الجمعة وأول شهر العراق يوم السبت، ويحتمل أن تكون حركة الأرض</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ضرر بالغ، ولا احتمال الضرر البالغ، ولا محذور خارجي، كالغناء وآلات اللّهو والاختلاط المحرّم</w:t>
      </w:r>
      <w:r>
        <w:rPr>
          <w:rFonts w:eastAsia="Amiri" w:cs="Amiri" w:ascii="Amiri" w:hAnsi="Amiri"/>
          <w:color w:val="111111"/>
          <w:sz w:val="28"/>
          <w:szCs w:val="28"/>
          <w:rtl w:val="true"/>
          <w:lang w:bidi="ar-SA"/>
        </w:rPr>
        <w:t>.</w:t>
      </w:r>
    </w:p>
    <w:p>
      <w:pPr>
        <w:pStyle w:val="BookText"/>
        <w:rPr/>
      </w:pP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ما يشمل الهبة والجعالة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نظير هذه المسألة في مسألة</w:t>
      </w:r>
      <w:r>
        <w:rPr>
          <w:rFonts w:eastAsia="Amiri" w:cs="Amiri" w:ascii="Amiri" w:hAnsi="Amiri"/>
          <w:color w:val="111111"/>
          <w:sz w:val="28"/>
          <w:szCs w:val="28"/>
          <w:lang w:bidi="ar-SA"/>
        </w:rPr>
        <w:t>10</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اختيار أي أفق متعارف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معياراً في أول شهر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الظهور فلأنّ الأحكام نزلت على المتعارف</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إذ هو لسان القوم، كما ذكروا في أشبار الكر، والفراسخ، والمدّ والصاع والرطل وما أشبه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خصوصية لمكة أو المدينة المشرفتين، وأمّا الانصراف فهو بدوي</w:t>
      </w:r>
      <w:r>
        <w:rPr>
          <w:rFonts w:eastAsia="Amiri" w:cs="Amiri" w:ascii="Amiri" w:hAnsi="Amiri"/>
          <w:color w:val="111111"/>
          <w:sz w:val="28"/>
          <w:szCs w:val="28"/>
          <w:rtl w:val="true"/>
          <w:lang w:bidi="ar-SA"/>
        </w:rPr>
        <w:t>.</w:t>
      </w:r>
    </w:p>
    <w:p>
      <w:pPr>
        <w:pStyle w:val="BookText"/>
        <w:rPr/>
      </w:pP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الرسائل في القطع</w:t>
      </w:r>
      <w:r>
        <w:rPr>
          <w:rStyle w:val="FootnoteAnchor"/>
          <w:rtl w:val="true"/>
        </w:rPr>
        <w:footnoteReference w:id="137"/>
      </w:r>
      <w:r>
        <w:rPr>
          <w:rFonts w:ascii="Amiri" w:hAnsi="Amiri" w:eastAsia="Amiri" w:cs="Amiri"/>
          <w:color w:val="111111"/>
          <w:sz w:val="28"/>
          <w:sz w:val="28"/>
          <w:szCs w:val="28"/>
          <w:rtl w:val="true"/>
          <w:lang w:bidi="ar-SA"/>
        </w:rPr>
        <w:t xml:space="preserve">، حيث حمله على القطع المتعارف لا قطع القطاع فيما لو كان موضوعياً، وقد مثل لذلك عدة أمثلة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الوصائل</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كلمة المتعارف فيها غموض، فإن أريد منها ما لا ينصرف اللفظ منه، بخلاف غير المتعارف، فله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المتعارف مطلقاً فليس بواضح،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الفرات ودجلة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فهل يصرف ذلك الإطلاق ولا يجعله يشمل ماء النيل مثلاً، أو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هنالك عالم قصير جداً، أفلا يشمله الإطلاق؟</w:t>
      </w:r>
    </w:p>
    <w:p>
      <w:p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والأغم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تجاوزت أصابعه العذار أو قصرت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الشرائع</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73" w:name="pg15697_168920"/>
    </w:p>
    <w:p>
      <w:pPr>
        <w:pStyle w:val="BookText"/>
        <w:rPr/>
      </w:pPr>
      <w:bookmarkEnd w:id="73"/>
      <w:r>
        <w:rPr>
          <w:rFonts w:ascii="Amiri" w:hAnsi="Amiri" w:eastAsia="Amiri" w:cs="Amiri"/>
          <w:color w:val="111111"/>
          <w:sz w:val="28"/>
          <w:sz w:val="28"/>
          <w:szCs w:val="28"/>
          <w:rtl w:val="true"/>
          <w:lang w:bidi="ar-SA"/>
        </w:rPr>
        <w:t>ومكة والمدينة</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نزول الوحي المنصرف من الدليل عند الاختلاف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الاحتمال</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الأرض من القمر كالقمر من الأرض، فكما أنّ القمر معيار الأرض فالأرض معيار القمر، فتأمّل، والأقرب إلى الدليل هو الأول على تأمل</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11915076_2142443653"/>
      <w:bookmarkStart w:id="75" w:name="_Toc25"/>
      <w:bookmarkEnd w:id="74"/>
      <w:r>
        <w:rPr>
          <w:rtl w:val="true"/>
        </w:rPr>
        <w:t>السفر إلى القمر</w:t>
      </w:r>
      <w:bookmarkEnd w:id="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السفر إلى القمر أو إلى كوكب آخر جائز، وإن استلزم فقدان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يصليها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الشرائط والأجزاء، فإنّ الصلاة</w:t>
      </w:r>
      <w:r>
        <w:rPr>
          <w:rStyle w:val="FootnoteAnchor"/>
          <w:rtl w:val="true"/>
        </w:rPr>
        <w:footnoteReference w:id="140"/>
      </w:r>
      <w:r>
        <w:rPr>
          <w:rFonts w:ascii="Amiri" w:hAnsi="Amiri" w:eastAsia="Amiri" w:cs="Amiri"/>
          <w:color w:val="111111"/>
          <w:sz w:val="28"/>
          <w:sz w:val="28"/>
          <w:szCs w:val="28"/>
          <w:rtl w:val="true"/>
          <w:lang w:bidi="ar-SA"/>
        </w:rPr>
        <w:t xml:space="preserve"> تؤتى بالحالة التي يتمكن الإنسان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الجواز إطلاق الأدلة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ويشبه ذلك السفر في الأرض حيث يستلزم السفر فقد الصلاة لبعض الشرائط والأجزاء، كما في الصلاة في السفينة وغيرها، حيث لا يستقر المصلي فيها ولا يحصل الطمأنينة</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ذكروه في الصوم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الآفاق الرحوية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تعينه لو كانت شهورهم متعارفة وفق حركة الأرض،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تعليلاً لجواز السفر، بل لوجوب الإتيان بالصلاة 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إطلاق أدلة السفر بضميمة تعارف فقدان المسافر لبعض الشرائط، مما يدل على أنّ الموضوعين عرضيان، لا طوليان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76" w:name="pg15697_168921"/>
    </w:p>
    <w:p>
      <w:pPr>
        <w:pStyle w:val="BookText"/>
        <w:rPr/>
      </w:pPr>
      <w:bookmarkEnd w:id="76"/>
      <w:r>
        <w:rPr>
          <w:rFonts w:ascii="Amiri" w:hAnsi="Amiri" w:eastAsia="Amiri" w:cs="Amiri"/>
          <w:color w:val="111111"/>
          <w:sz w:val="28"/>
          <w:sz w:val="28"/>
          <w:szCs w:val="28"/>
          <w:rtl w:val="true"/>
          <w:lang w:bidi="ar-SA"/>
        </w:rPr>
        <w:t>عادةً</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 والدليل على جواز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ترضى أن تصلي بصلاة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43"/>
      </w:r>
      <w:r>
        <w:rPr>
          <w:rFonts w:ascii="Amiri" w:hAnsi="Amiri" w:eastAsia="Amiri" w:cs="Amiri"/>
          <w:color w:val="111111"/>
          <w:sz w:val="28"/>
          <w:sz w:val="28"/>
          <w:szCs w:val="28"/>
          <w:rtl w:val="true"/>
          <w:lang w:bidi="ar-SA"/>
        </w:rPr>
        <w:t>بالإضافة إلى السيرة المستمرة</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11915078_2142443653"/>
      <w:bookmarkStart w:id="78" w:name="_Toc26"/>
      <w:bookmarkEnd w:id="77"/>
      <w:r>
        <w:rPr>
          <w:rtl w:val="true"/>
        </w:rPr>
        <w:t>الأحكام الشرعية في الكواكب</w:t>
      </w:r>
      <w:bookmarkEnd w:id="7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لا تختلف، سواء كان الإنسان في الأرض أم في القمر أم في سائر الكواكب، إلاّ الأحكام التي تختلف باختلاف موضوعاتها، مثلاً إذا فرضنا أنّ الشخص في الأرض يحتلم بين الثانية عشرة والخامسة عشرة، وفي القمر يحتلم بين العاشرة والثانية عشرة كان لكل مكان حكم موضوعه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عدم اختلاف الأحكام فلعدم الدليل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على الفرق، ولا يرى العرف خصوصية في الأرض، ويؤيده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بأنا حجج اللّه على جميع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اختلف الموضوع فلكل مكان حكم موضوعه؛</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الأسفار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العمدة لإمكان الخدشة في سائر الأدلة،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فإنّ الخطاب موجه للإنسان، سواء كان في الأرض أم القمر، للإطلاق الأحوالي</w:t>
      </w:r>
      <w:r>
        <w:rPr>
          <w:rFonts w:eastAsia="Amiri" w:cs="Amiri" w:ascii="Amiri" w:hAnsi="Amiri"/>
          <w:color w:val="111111"/>
          <w:sz w:val="28"/>
          <w:szCs w:val="28"/>
          <w:rtl w:val="true"/>
          <w:lang w:bidi="ar-SA"/>
        </w:rPr>
        <w:t>.</w:t>
      </w:r>
    </w:p>
    <w:p>
      <w:pPr>
        <w:pStyle w:val="BookText"/>
        <w:rPr/>
      </w:pP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حجة ولو على صنف آخر غير الإنسان، فالأولى أن يكون حجة على الإنسان في مكان آخر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79" w:name="pg15697_168922"/>
    </w:p>
    <w:p>
      <w:pPr>
        <w:pStyle w:val="BookText"/>
        <w:rPr/>
      </w:pPr>
      <w:bookmarkEnd w:id="79"/>
      <w:r>
        <w:rPr>
          <w:rFonts w:ascii="Amiri" w:hAnsi="Amiri" w:eastAsia="Amiri" w:cs="Amiri"/>
          <w:color w:val="111111"/>
          <w:sz w:val="28"/>
          <w:sz w:val="28"/>
          <w:szCs w:val="28"/>
          <w:rtl w:val="true"/>
          <w:lang w:bidi="ar-SA"/>
        </w:rPr>
        <w:t>لأنّ الأحكام مترتبة على الموضوعات، فكلما تحقق الموضوع تحقق الحكم، إلا إذا كان خارجاً عن المتعارف</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كما إذا فرض احتلام الأطفال الصغار في الكواكب الأُخر، فإنّه لا يحكم ببلوغهم، وكذلك بالنسبة إلى الحيض ونحوه؛ وذلك للفهم العرفي وانصراف الأدلة عن مثله</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1915080_2142443653"/>
      <w:bookmarkStart w:id="81" w:name="_Toc27"/>
      <w:bookmarkEnd w:id="80"/>
      <w:r>
        <w:rPr>
          <w:rtl w:val="true"/>
        </w:rPr>
        <w:t>بيع الأعضاء</w:t>
      </w:r>
      <w:r>
        <w:rPr/>
        <w:t>1</w:t>
      </w:r>
      <w:bookmarkEnd w:id="8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للإنسان أن يبيع بعض أعضاءه في حال حياته،</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ينصرف عنه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وجد كائن آخر في سائر الكواكب فالظاهر شمول الأحكام له لما ذكر في المتن في عموميّة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المصنف الجواز في خمس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كافر حربي؛ إذ لا حرمة للكافر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يجوز ذلك في دينه أو مذهبه، لقاعدة الإلزام، ومن يعتقد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بعد الموت، للأهم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وصيته،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فيه ضرر عظيم، كبيع إحدى الكليتين بلا ضرر، وذلك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هناك أهمية عظمى مما يدخل في قانون الأهم والمهم، كالموت والكلية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ترد عليها شبهة المُثلة، إلاّ إذا باشر الحربي بنفسه بذلك بلا مدخلية للمسلم،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منه إعانة على الإثم، ويرده أنه لا كلية له، إذ قد يكون فعله بنفسه، مع أنّ هذا النوع من الإعانة قد يكون جائزاً، كبيع المختلط بالميتة له، فتأمل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بعد موته، لنفع إنسان آخر، أو لمنفعة أخرى، كما إذا باع عينه، حتى توضع عوض عين عمياء؟ لا إشكال في ذلك إذا كان البائع كافراً حربياً، أما إذا كان مسلماً فبعض العلماء أجاز ذلك بالنسبة إلى بيعه بعد الموت، أما في حال الحياة فالظاهر عدم جواز ذلك، إلا إذا لم يكن ضررٌ</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 أو كان في البيع أهمية عظمى بالنسبة إلى المشتري مما يكون أهم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الإشكال في الكافر الحربي؛ لعدم حرمته، بل يجوز للذمي أيضاً إذا شمله قانون الإلزام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وكذا بالنسبة إلى المخالف لو جاز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جواز ذلك للمسلم لأنه لا يجوز للإنسان أن ينقص نفسه أو يذهب قوة من قواه،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إلا إذا كان أهم، كما إذا لم يجعل للمريض كلية مات، وهذا له كليتان</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حيث يعيش بكلية واحدة، فإنّ الأمر دائر بين موت إنسان ونقص إنسان بعض أعضائه والثاني أولى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كالإجماع المنقول، ولأنه ظلم للنفس،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بجوازه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يتوقف عليه حياة إنسان، بل باعه للمتاجرة؛ وذلك لأنّه ليس إتلافاً للنفس ولا لقوة من القوى، بل هو ضرر غير عظيم، فتأمل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82" w:name="pg15697_168924"/>
    </w:p>
    <w:p>
      <w:pPr>
        <w:pStyle w:val="BookText"/>
        <w:rPr/>
      </w:pPr>
      <w:bookmarkEnd w:id="82"/>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إنقاذ حياة إنسان على إعطاء كلية له فيجب ذلك كما يجب إنقاذ الغريق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ذلك من موارد وجوب الإنقاذ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الفهم العرفي هو المحكّم</w:t>
      </w:r>
      <w:r>
        <w:rPr>
          <w:rStyle w:val="FootnoteAnchor"/>
          <w:rtl w:val="true"/>
        </w:rPr>
        <w:footnoteReference w:id="146"/>
      </w:r>
      <w:r>
        <w:rPr>
          <w:rFonts w:ascii="Amiri" w:hAnsi="Amiri" w:eastAsia="Amiri" w:cs="Amiri"/>
          <w:color w:val="111111"/>
          <w:sz w:val="28"/>
          <w:sz w:val="28"/>
          <w:szCs w:val="28"/>
          <w:rtl w:val="true"/>
          <w:lang w:bidi="ar-SA"/>
        </w:rPr>
        <w:t xml:space="preserve"> في الموضوعات وفي تطبيق الأحكام؛ لأنّ الخطاب موجه إليهم، ويشمله أيضاً تسلط</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على نفسه، حيث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المستفاد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وغيره، أما البيع بعد الموت فأولى، وإشكال التشريح مدفوع بقاعدة الأهم والمهم</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1915082_2142443653"/>
      <w:bookmarkStart w:id="84" w:name="_Toc28"/>
      <w:bookmarkEnd w:id="83"/>
      <w:r>
        <w:rPr>
          <w:rtl w:val="true"/>
        </w:rPr>
        <w:t>بيع غير الأعضاء</w:t>
      </w:r>
      <w:bookmarkEnd w:id="8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غير الأعضاء، كشحم الأمعاء المستغنى عنه</w:t>
      </w:r>
      <w:r>
        <w:rPr>
          <w:rStyle w:val="FootnoteAnchor"/>
          <w:rtl w:val="true"/>
        </w:rPr>
        <w:footnoteReference w:id="149"/>
      </w:r>
      <w:r>
        <w:rPr>
          <w:rFonts w:ascii="Amiri" w:hAnsi="Amiri" w:eastAsia="Amiri" w:cs="Amiri"/>
          <w:color w:val="111111"/>
          <w:sz w:val="28"/>
          <w:sz w:val="28"/>
          <w:szCs w:val="28"/>
          <w:rtl w:val="true"/>
          <w:lang w:bidi="ar-SA"/>
        </w:rPr>
        <w:t>، أو ما أشبه ذلك، الظاهر جوازه في حال الحياة، أما بعد الموت فالكلام فيه كالمسألة السابقة</w:t>
      </w:r>
      <w:r>
        <w:rPr>
          <w:rFonts w:eastAsia="Amiri" w:cs="Amiri" w:ascii="Amiri" w:hAnsi="Amiri"/>
          <w:color w:val="111111"/>
          <w:sz w:val="28"/>
          <w:szCs w:val="28"/>
          <w:rtl w:val="true"/>
          <w:lang w:bidi="ar-SA"/>
        </w:rPr>
        <w:t>.</w:t>
      </w:r>
    </w:p>
    <w:p>
      <w:pPr>
        <w:pStyle w:val="BookText"/>
        <w:rPr/>
      </w:pP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ولأنّه ضرري في حد ذاته فيرتفع بلا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في التبرع بالدم لتلاحظ الفرق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هنالك وجوب شرعي فلا سلطنة، وإن لم يكن فلا حاجة إلى دليل السلطنة، فالعمدة عدم الدليل،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الإنقاذ عن مثل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85" w:name="pg15697_168925"/>
    </w:p>
    <w:p>
      <w:pPr>
        <w:pStyle w:val="BookText"/>
        <w:rPr/>
      </w:pPr>
      <w:bookmarkEnd w:id="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 ذلك بالأولوية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من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11915084_2142443653"/>
      <w:bookmarkStart w:id="87" w:name="_Toc29"/>
      <w:bookmarkEnd w:id="86"/>
      <w:r>
        <w:rPr>
          <w:rtl w:val="true"/>
        </w:rPr>
        <w:t>أخبار الأرواح</w:t>
      </w:r>
      <w:r>
        <w:rPr/>
        <w:t>1</w:t>
      </w:r>
      <w:bookmarkEnd w:id="8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الاعتماد شرعاً على الأخبار التي تأتي بها الأرواح بواسطة التنويم أو التحضير أو نحو ذلك، اللّهم إلاّ إذا حصل القطع في غير ما يحتاج إلى خصوصية خاصة شرعاً</w:t>
      </w:r>
      <w:r>
        <w:rPr>
          <w:rFonts w:eastAsia="Amiri" w:cs="Amiri" w:ascii="Amiri" w:hAnsi="Amiri"/>
          <w:color w:val="111111"/>
          <w:sz w:val="28"/>
          <w:szCs w:val="28"/>
          <w:rtl w:val="true"/>
          <w:lang w:bidi="ar-SA"/>
        </w:rPr>
        <w:t>.</w:t>
      </w:r>
    </w:p>
    <w:p>
      <w:pPr>
        <w:pStyle w:val="BookText"/>
        <w:rPr/>
      </w:pP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ضرر على الميت، أو الأولوية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دليل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حرمته ميتاً كحرمته وهو حي</w:t>
      </w:r>
      <w:r>
        <w:rPr>
          <w:rStyle w:val="FootnoteAnchor"/>
          <w:rtl w:val="true"/>
        </w:rPr>
        <w:footnoteReference w:id="154"/>
      </w:r>
      <w:r>
        <w:rPr>
          <w:rFonts w:ascii="Amiri" w:hAnsi="Amiri" w:eastAsia="Amiri" w:cs="Amiri"/>
          <w:color w:val="111111"/>
          <w:sz w:val="28"/>
          <w:sz w:val="28"/>
          <w:szCs w:val="28"/>
          <w:rtl w:val="true"/>
          <w:lang w:bidi="ar-SA"/>
        </w:rPr>
        <w:t xml:space="preserve">وما أشبه، ويدفع ذلك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يحق للولي بيع أجزاء الميت؟ فيه تأمل، وإن استقرب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المسائل الحديثة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فيكون هذا هو سادس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أيضاً المسألتين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Style w:val="FootnoteAnchor"/>
          <w:rtl w:val="true"/>
        </w:rPr>
        <w:footnoteReference w:id="1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العلم أو الاطمئنان، فلا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القطع فهو حجة؛ لحجية القطع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هنالك خصوصية شرعاً كإثبات الزنا، فلا ينفع القطع لو حصل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88" w:name="pg15697_168926"/>
    </w:p>
    <w:p>
      <w:pPr>
        <w:pStyle w:val="BookText"/>
        <w:rPr/>
      </w:pPr>
      <w:bookmarkEnd w:id="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الاعتبار لعدم جعل حجيتها لا شرعاً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ولا عقلاً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أوجب القطع فهو حجة، إذ حجية القطع ذاتية، إلا ما دلّ الدليل على لزوم كيفية خاصة، من ترتب الحكم على موضوع خاص لا على القطع، مثل احتياج الزنا إلى أربعة شهود أو إقرارات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إلى كون شهادة الميت كشهادة الحيّ في القبول محلّ تأمّل لانصراف الأدلة خصوصاً في الحدود، حيث تدرأ بالشبهات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11915086_2142443653"/>
      <w:bookmarkStart w:id="90" w:name="_Toc30"/>
      <w:bookmarkEnd w:id="89"/>
      <w:r>
        <w:rPr>
          <w:rtl w:val="true"/>
        </w:rPr>
        <w:t>كلب الإجرام</w:t>
      </w:r>
      <w:bookmarkEnd w:id="9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Style w:val="FootnoteAnchor"/>
          <w:rtl w:val="true"/>
        </w:rPr>
        <w:footnoteReference w:id="159"/>
      </w:r>
      <w:r>
        <w:rPr>
          <w:rFonts w:ascii="Amiri" w:hAnsi="Amiri" w:eastAsia="Amiri" w:cs="Amiri"/>
          <w:color w:val="111111"/>
          <w:sz w:val="28"/>
          <w:sz w:val="28"/>
          <w:szCs w:val="28"/>
          <w:rtl w:val="true"/>
          <w:lang w:bidi="ar-SA"/>
        </w:rPr>
        <w:t xml:space="preserve"> الذي يستخدم لكشف المجرم لا يصح الاعتماد عليه، إلا إذا حصل القطع في ما لا يحتاج إلى خصوصية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فيه هو الكلام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معلومية اعتماد العقلاء عليها، وأمّا العقل فلا مدخل له في هذه الأمور، لاحظ الفرق بين حكم العقل وبناء العقلاء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دليلاً جديداً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الشبهة في الموضوع والحكم، بل لو لم يكن الحديث لم يجرِ؛ لأنّ ثبوت الحكم فرع ثبوت الموضوع، والفرض الشك في ثبوته شرعاً بأخبار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الصور الثلاث المتقدمة أيضاً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91" w:name="pg15697_168927"/>
    </w:p>
    <w:p>
      <w:pPr>
        <w:pStyle w:val="Heading2"/>
        <w:numPr>
          <w:ilvl w:val="1"/>
          <w:numId w:val="1"/>
        </w:numPr>
        <w:rPr/>
      </w:pPr>
      <w:bookmarkStart w:id="92" w:name="__RefHeading___Toc11915088_2142443653"/>
      <w:bookmarkStart w:id="93" w:name="_Toc31"/>
      <w:bookmarkEnd w:id="91"/>
      <w:bookmarkEnd w:id="92"/>
      <w:r>
        <w:rPr>
          <w:rtl w:val="true"/>
        </w:rPr>
        <w:t>تعليم الحيوان</w:t>
      </w:r>
      <w:bookmarkEnd w:id="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Style w:val="FootnoteAnchor"/>
          <w:rtl w:val="true"/>
        </w:rPr>
        <w:footnoteReference w:id="161"/>
      </w:r>
      <w:r>
        <w:rPr>
          <w:rFonts w:ascii="Amiri" w:hAnsi="Amiri" w:eastAsia="Amiri" w:cs="Amiri"/>
          <w:color w:val="111111"/>
          <w:sz w:val="28"/>
          <w:sz w:val="28"/>
          <w:szCs w:val="28"/>
          <w:rtl w:val="true"/>
          <w:lang w:bidi="ar-SA"/>
        </w:rPr>
        <w:t xml:space="preserve"> تعليم الحيوانات وتدريبها على بعض الأمور، إلا إذا كان حراماً شرعاً، كتعليمها السرقة والقتل وما أشبه مما يكون داخلاً في الإفساد، فإنه مشمول 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وَيُهْلِكَ</w:t>
      </w:r>
      <w:r>
        <w:rPr>
          <w:rStyle w:val="FootnoteAnchor"/>
          <w:rtl w:val="true"/>
        </w:rPr>
        <w:footnoteReference w:id="162"/>
      </w:r>
      <w:r>
        <w:rPr>
          <w:rFonts w:ascii="Amiri" w:hAnsi="Amiri" w:eastAsia="Amiri" w:cs="Amiri"/>
          <w:color w:val="111111"/>
          <w:sz w:val="28"/>
          <w:sz w:val="28"/>
          <w:szCs w:val="28"/>
          <w:rtl w:val="true"/>
          <w:lang w:bidi="ar-SA"/>
        </w:rPr>
        <w:t xml:space="preserve"> الْحَرْثَ وَالنَّسْلَ</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إلا إذا جاز شرعاً، كتعليمها قتل الكافر الحربي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المستثنى منه والمستثنى واضح، أما المستثنى منه فللإطلاقات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الجائز جائز، وتعليم المحرم محرّم</w:t>
      </w:r>
      <w:r>
        <w:rPr>
          <w:rFonts w:eastAsia="Amiri" w:cs="Amiri" w:ascii="Amiri" w:hAnsi="Amiri"/>
          <w:color w:val="111111"/>
          <w:sz w:val="28"/>
          <w:szCs w:val="28"/>
          <w:rtl w:val="true"/>
          <w:lang w:bidi="ar-SA"/>
        </w:rPr>
        <w:t>.</w:t>
      </w:r>
    </w:p>
    <w:p>
      <w:pPr>
        <w:pStyle w:val="BookText"/>
        <w:rPr/>
      </w:pP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يُحِبُّ الفَسَادَ</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بل تشمله أدلة نفس المحرمات،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السرقة، فإنّ السبب أقوى من المباشر،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الأدلة تشمل الصدور بالواسطة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الغير الطعام النجس</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وكذا عموم أدلة الفساد والإفساد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الواجبات والمحرّمات</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وسيأتي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لذلك ولغيره، في الجملة</w:t>
      </w:r>
      <w:r>
        <w:rPr>
          <w:rFonts w:eastAsia="Amiri" w:cs="Amiri" w:ascii="Amiri" w:hAnsi="Amiri"/>
          <w:color w:val="111111"/>
          <w:sz w:val="28"/>
          <w:szCs w:val="28"/>
          <w:rtl w:val="true"/>
          <w:lang w:bidi="ar-SA"/>
        </w:rPr>
        <w:t>.</w:t>
      </w:r>
    </w:p>
    <w:p>
      <w:pPr>
        <w:pStyle w:val="BookText"/>
        <w:rPr/>
      </w:pP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تُعَلِّمُونَهُنَّ مِمَّا عَلَّمَكُمُ اللّهُ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94" w:name="pg15697_168928"/>
    </w:p>
    <w:p>
      <w:pPr>
        <w:pStyle w:val="BookText"/>
        <w:rPr/>
      </w:pPr>
      <w:bookmarkEnd w:id="94"/>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ولا يكون من تغيير</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المستثنى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ولأن العرف</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الفرق بين السبب والمباشر، ومما 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كلباَ على قتل إنسان فالسبب هو القاتل، وهل يكون القصاص؟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تعليمه القصاص أو إجراء الحدّ كأن يضرب بالسوط، كما أنه يجوز ذلك بالنسبة إلى آلة كالإنسان الآلي، لأن العرف يرون أن الحدّ والقصاص إجراؤهما هو المعيار من غير فرق بين الطرف، فيشمله الإطلاقات</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11915090_2142443653"/>
      <w:bookmarkStart w:id="96" w:name="_Toc32"/>
      <w:bookmarkEnd w:id="95"/>
      <w:r>
        <w:rPr>
          <w:rtl w:val="true"/>
        </w:rPr>
        <w:t>مصادرة الحريات</w:t>
      </w:r>
      <w:bookmarkEnd w:id="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مصادرة الحريات، سواء حرية التجارة أم الزراعة، أم الصناعة أم السفر، أم العمارة أم الإقامة، أم غيرها</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الحريات التي منحها الشارع للإنسان وهي كل تصرف باستثناء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مصادرة الحريات الشعائرية، كالمنع عن الحج والزيارة</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تنقيح المقام أو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طريقي لا موضوعي،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الحدّ بالمعنى الاسم المصدري لا المعنى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المصنف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كثيرة للحريات وكذا في الصياغة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وشبههما فهي أغلظ تحريماً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المستفادة من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الإسلام الحرية في كل شيء إلا ما خرج،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ولأن الناس مسلطون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على أموالهم وأنفسهم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الشعائر أغلظ، لأنه من مشاقة</w:t>
      </w:r>
      <w:r>
        <w:rPr>
          <w:rStyle w:val="FootnoteAnchor"/>
          <w:rtl w:val="true"/>
        </w:rPr>
        <w:footnoteReference w:id="176"/>
      </w:r>
      <w:r>
        <w:rPr>
          <w:rFonts w:ascii="IRNazanin" w:hAnsi="IRNazanin" w:eastAsia="IRNazanin"/>
          <w:color w:val="111111"/>
          <w:sz w:val="28"/>
          <w:sz w:val="28"/>
          <w:szCs w:val="28"/>
          <w:rtl w:val="true"/>
          <w:lang w:bidi="fa-IR"/>
        </w:rPr>
        <w:t xml:space="preserve">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 غير سبيل المؤمنين، كما في الآية المباركة</w:t>
      </w:r>
      <w:r>
        <w:rPr>
          <w:rStyle w:val="FootnoteAnchor"/>
          <w:rtl w:val="true"/>
        </w:rPr>
        <w:footnoteReference w:id="177"/>
      </w:r>
      <w:r>
        <w:rPr>
          <w:rFonts w:ascii="Amiri" w:hAnsi="Amiri" w:eastAsia="Amiri" w:cs="Amiri"/>
          <w:color w:val="111111"/>
          <w:sz w:val="28"/>
          <w:sz w:val="28"/>
          <w:szCs w:val="28"/>
          <w:rtl w:val="true"/>
          <w:lang w:bidi="ar-SA"/>
        </w:rPr>
        <w:t>، مضافاً إلى بعض المحذورات الاُخر الجانبية، ولذا جاز للإنسان خرق</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المنافية للحرية الإسلامية، كقوانين الجمرك والإقامة والجواز وغيرها، لأن القانون حينئذٍ لا احترام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حرمة مصادرة الحريات بين أن يكون المانع فرداً أو دولة</w:t>
      </w:r>
      <w:r>
        <w:rPr>
          <w:rFonts w:eastAsia="Amiri" w:cs="Amiri" w:ascii="Amiri" w:hAnsi="Amiri"/>
          <w:color w:val="111111"/>
          <w:sz w:val="28"/>
          <w:szCs w:val="28"/>
          <w:rtl w:val="true"/>
          <w:lang w:bidi="ar-SA"/>
        </w:rPr>
        <w:t>.</w:t>
      </w:r>
    </w:p>
    <w:p>
      <w:pPr>
        <w:pStyle w:val="BookText"/>
        <w:rPr/>
      </w:pP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إيذاء ولأنه إضرار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أيضاً كذلك، فلعل وجه الأغلظية الارتكاز في أذهان المتشرعة، ففرق بين مَنْ يمنع شخصاً من دخول بلد عادي أو يمنعه من دخول مكة</w:t>
      </w:r>
      <w:r>
        <w:rPr>
          <w:rFonts w:eastAsia="Amiri" w:cs="Amiri" w:ascii="Amiri" w:hAnsi="Amiri"/>
          <w:color w:val="111111"/>
          <w:sz w:val="28"/>
          <w:szCs w:val="28"/>
          <w:rtl w:val="true"/>
          <w:lang w:bidi="ar-SA"/>
        </w:rPr>
        <w:t>.</w:t>
      </w:r>
    </w:p>
    <w:p>
      <w:pPr>
        <w:pStyle w:val="BookText"/>
        <w:rPr/>
      </w:pP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خرق القوانين الوضعية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أوجب ذلك الهرج والمرج فالظاهر حرمته، إلا إذا كان أهم، وإلا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القانون الوضعي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وبحثه موكول إلى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يجب إذا توقف إسقاط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97" w:name="pg15697_168930"/>
    </w:p>
    <w:p>
      <w:pPr>
        <w:pStyle w:val="Heading2"/>
        <w:numPr>
          <w:ilvl w:val="1"/>
          <w:numId w:val="1"/>
        </w:numPr>
        <w:rPr/>
      </w:pPr>
      <w:bookmarkStart w:id="98" w:name="__RefHeading___Toc11915092_2142443653"/>
      <w:bookmarkStart w:id="99" w:name="_Toc33"/>
      <w:bookmarkEnd w:id="97"/>
      <w:bookmarkEnd w:id="98"/>
      <w:r>
        <w:rPr>
          <w:rtl w:val="true"/>
        </w:rPr>
        <w:t>التعذيب لأخذ الاعتراف</w:t>
      </w:r>
      <w:bookmarkEnd w:id="9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التعذيب لأخذ الاعتراف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للنص الخاص والإجماع القطعي ودليل العقل، ومن المعلوم أنه كلما غلظ التعذيب كمّاً وكيفاً كان أشد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يؤخذ الاعتراف؟</w:t>
      </w:r>
    </w:p>
    <w:p>
      <w:pPr>
        <w:pStyle w:val="BookText"/>
        <w:rPr/>
      </w:pPr>
      <w:r>
        <w:rPr>
          <w:rFonts w:ascii="Amiri" w:hAnsi="Amiri" w:eastAsia="Amiri" w:cs="Amiri"/>
          <w:color w:val="111111"/>
          <w:sz w:val="28"/>
          <w:sz w:val="28"/>
          <w:szCs w:val="28"/>
          <w:rtl w:val="true"/>
          <w:lang w:bidi="ar-SA"/>
        </w:rPr>
        <w:t>لأنه يقال</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حقوق اللّه تعالى كالزنا واللواط فلا يجوز أخذ الاعتراف إطلاقاً، وأما بالنسبة إلى حقوق الناس كالسرقة، فيلزم أن يكون الحاكم خبيراً حتى يأخذ الاعتراف من دون إكراه المجرم، كما نراه في قضاء</w:t>
      </w:r>
      <w:r>
        <w:rPr>
          <w:rStyle w:val="FootnoteAnchor"/>
          <w:rtl w:val="true"/>
        </w:rPr>
        <w:footnoteReference w:id="184"/>
      </w:r>
      <w:r>
        <w:rPr>
          <w:rFonts w:ascii="Amiri" w:hAnsi="Amiri" w:eastAsia="Amiri" w:cs="Amiri"/>
          <w:color w:val="111111"/>
          <w:sz w:val="28"/>
          <w:sz w:val="28"/>
          <w:szCs w:val="28"/>
          <w:rtl w:val="true"/>
          <w:lang w:bidi="ar-SA"/>
        </w:rPr>
        <w:t xml:space="preserve">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هنا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 والمهم، ككشف الانتحاريين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سمعة الإسلام وإتمام الحجة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قومك حديثو عهد</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أحوال بعض العلماء كالشفتي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00" w:name="pg15697_168931"/>
    </w:p>
    <w:p>
      <w:pPr>
        <w:pStyle w:val="Heading2"/>
        <w:numPr>
          <w:ilvl w:val="1"/>
          <w:numId w:val="1"/>
        </w:numPr>
        <w:rPr/>
      </w:pPr>
      <w:bookmarkStart w:id="101" w:name="__RefHeading___Toc11915094_2142443653"/>
      <w:bookmarkStart w:id="102" w:name="_Toc34"/>
      <w:bookmarkEnd w:id="100"/>
      <w:bookmarkEnd w:id="101"/>
      <w:r>
        <w:rPr>
          <w:rtl w:val="true"/>
        </w:rPr>
        <w:t>القتل بالكهرباء</w:t>
      </w:r>
      <w:bookmarkEnd w:id="10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قتل من يستحق القتل بغير الطريقة الشرعية، فالقتل بالرصاص أو بالكهرباء أو ما أشبه فيه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قتل السيف الوارد في النص والفتوى كان من باب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أنه أسهل أنواعه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فإذا كان شيء أسهل منه، كالقتل بالرصاص في القلب أو المخ كان أولى؛ لأنّ المعلوم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من طريقة الشارع أنه يرحم الناس</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بعثت بالحنيفية السمحة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 إذا كانت جهة موجبة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الموضوعية لا الطريقية</w:t>
      </w:r>
      <w:r>
        <w:rPr>
          <w:rFonts w:eastAsia="Amiri" w:cs="Amiri" w:ascii="Amiri" w:hAnsi="Amiri"/>
          <w:color w:val="111111"/>
          <w:sz w:val="28"/>
          <w:szCs w:val="28"/>
          <w:rtl w:val="true"/>
          <w:lang w:bidi="ar-SA"/>
        </w:rPr>
        <w:t>.</w:t>
      </w:r>
    </w:p>
    <w:p>
      <w:pPr>
        <w:pStyle w:val="BookText"/>
        <w:rPr/>
      </w:pP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بل لعل هنالك طرقاً أسهل، كخنقه فجأة، أو إعطاء سمّ يجعله ينام بلا إحساس بالألم،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أنه أسهل الأنواع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 الظاهر الموضوعية</w:t>
      </w:r>
      <w:r>
        <w:rPr>
          <w:rFonts w:eastAsia="Amiri" w:cs="Amiri" w:ascii="Amiri" w:hAnsi="Amiri"/>
          <w:color w:val="111111"/>
          <w:sz w:val="28"/>
          <w:szCs w:val="28"/>
          <w:rtl w:val="true"/>
          <w:lang w:bidi="ar-SA"/>
        </w:rPr>
        <w:t>.</w:t>
      </w:r>
    </w:p>
    <w:p>
      <w:pPr>
        <w:pStyle w:val="BookText"/>
        <w:rPr/>
      </w:pP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إلا فيما ورد النص على التشديد</w:t>
      </w:r>
      <w:r>
        <w:rPr>
          <w:rFonts w:eastAsia="Amiri" w:cs="Amiri" w:ascii="Amiri" w:hAnsi="Amiri"/>
          <w:color w:val="111111"/>
          <w:sz w:val="28"/>
          <w:szCs w:val="28"/>
          <w:rtl w:val="true"/>
          <w:lang w:bidi="ar-SA"/>
        </w:rPr>
        <w:t>.</w:t>
      </w:r>
    </w:p>
    <w:p>
      <w:pPr>
        <w:pStyle w:val="BookText"/>
        <w:rPr/>
      </w:pP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المعاقبين في موضع النكال</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عَذَابِي هُوَ الْعَذَابُ الأَلِيمَ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03" w:name="pg15697_168932"/>
    </w:p>
    <w:p>
      <w:pPr>
        <w:pStyle w:val="BookText"/>
        <w:rPr/>
      </w:pPr>
      <w:bookmarkEnd w:id="103"/>
      <w:r>
        <w:rPr>
          <w:rFonts w:ascii="Amiri" w:hAnsi="Amiri" w:eastAsia="Amiri" w:cs="Amiri"/>
          <w:color w:val="111111"/>
          <w:sz w:val="28"/>
          <w:sz w:val="28"/>
          <w:szCs w:val="28"/>
          <w:rtl w:val="true"/>
          <w:lang w:bidi="ar-SA"/>
        </w:rPr>
        <w:t>للتشديد، كالجلد والرجم في موارد نادرة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يبعد أنه يجوز تخدير من وجب قتله حتى لا يشعر بالألم للملاك</w:t>
      </w: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Heading2"/>
        <w:numPr>
          <w:ilvl w:val="1"/>
          <w:numId w:val="1"/>
        </w:numPr>
        <w:rPr/>
      </w:pPr>
      <w:bookmarkStart w:id="104" w:name="__RefHeading___Toc11915096_2142443653"/>
      <w:bookmarkStart w:id="105" w:name="_Toc35"/>
      <w:bookmarkEnd w:id="104"/>
      <w:r>
        <w:rPr>
          <w:rtl w:val="true"/>
        </w:rPr>
        <w:t>الانتحار</w:t>
      </w:r>
      <w:bookmarkEnd w:id="10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الانتحار،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الأدلة الأربعة، وهل يجوز إذا كان من باب الأهم والمهم، كما أنه لو كان يعذب بما لا يتحمّل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أو أنه إذا بقي حياً أخذ منه الاعتراف على أصدقائه المجاهدين، وشكّل ذلك خطراً على الإسلام أو المسلمين، أو أنّ المرأة إذا لم تنتحر أُخذت أسيرة واعتدى</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عليها الأعداء بما لا تتحمّل؟ إذا قُطع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بالأهمية لم يستبعد ذلك، ولو شك في</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إشكال؛ لأنّ دليل القتل ونحوه وارد في مورد العسر فلا يرفعه، فأغلب المحتضرين قد يعانون آلاماً لا تطاق، وكذا المرضى، ومع ذلك لا يقال بجواز الانتحار، وأنّه منكر في أذهان المتشرعة، وتعذيب الظالمين كان من القديم</w:t>
      </w:r>
      <w:r>
        <w:rPr>
          <w:rFonts w:eastAsia="Amiri" w:cs="Amiri" w:ascii="Amiri" w:hAnsi="Amiri"/>
          <w:color w:val="111111"/>
          <w:sz w:val="28"/>
          <w:szCs w:val="28"/>
          <w:rtl w:val="true"/>
          <w:lang w:bidi="ar-SA"/>
        </w:rPr>
        <w:t>.</w:t>
      </w:r>
    </w:p>
    <w:p>
      <w:pPr>
        <w:pStyle w:val="BookText"/>
        <w:rPr/>
      </w:pP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الخطر على الإسلام، وسيأتي في 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الجواز للعسر والحرج الشديدين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06" w:name="pg15697_168933"/>
    </w:p>
    <w:p>
      <w:pPr>
        <w:pStyle w:val="BookText"/>
        <w:rPr/>
      </w:pPr>
      <w:bookmarkEnd w:id="106"/>
      <w:r>
        <w:rPr>
          <w:rFonts w:ascii="Amiri" w:hAnsi="Amiri" w:eastAsia="Amiri" w:cs="Amiri"/>
          <w:color w:val="111111"/>
          <w:sz w:val="28"/>
          <w:sz w:val="28"/>
          <w:szCs w:val="28"/>
          <w:rtl w:val="true"/>
          <w:lang w:bidi="ar-SA"/>
        </w:rPr>
        <w:t>الحكم أو الموضوع فالأصل</w:t>
      </w:r>
      <w:r>
        <w:rPr>
          <w:rStyle w:val="FootnoteAnchor"/>
          <w:rtl w:val="true"/>
        </w:rPr>
        <w:footnoteReference w:id="202"/>
      </w:r>
      <w:r>
        <w:rPr>
          <w:rFonts w:ascii="IRNazanin" w:hAnsi="IRNazanin" w:eastAsia="IRNazanin"/>
          <w:color w:val="111111"/>
          <w:sz w:val="28"/>
          <w:sz w:val="28"/>
          <w:szCs w:val="28"/>
          <w:rtl w:val="true"/>
          <w:lang w:bidi="fa-IR"/>
        </w:rPr>
        <w:t xml:space="preserve"> هنا عدم الجواز، ومن هذا الباب</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الزوج أو الأب أو من أشبه، لها أو له، لئلاّ يقع أو تقع في الأمر السابق، وكذلك بالنسبة إلى إرادتهم انتهاك عصمة الولد، فتأمّل</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1915098_2142443653"/>
      <w:bookmarkStart w:id="108" w:name="_Toc36"/>
      <w:bookmarkEnd w:id="107"/>
      <w:r>
        <w:rPr>
          <w:rtl w:val="true"/>
        </w:rPr>
        <w:t>رصاصة الرحمة</w:t>
      </w:r>
      <w:bookmarkEnd w:id="10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يجوز للإنسان أن يقتل نفسه، فيما علم بموته بعد زمان، كالمبتلى بالسرطان الذي يعلم بأنه يموت بعد ساعة، وإن كان في أشد الألم والمرض، إلا إذا كان عسراً شديداً</w:t>
      </w:r>
      <w:r>
        <w:rPr>
          <w:rStyle w:val="FootnoteAnchor"/>
          <w:rtl w:val="true"/>
        </w:rPr>
        <w:footnoteReference w:id="203"/>
      </w:r>
      <w:r>
        <w:rPr>
          <w:rFonts w:ascii="IRNazanin" w:hAnsi="IRNazanin" w:eastAsia="IRNazanin"/>
          <w:color w:val="111111"/>
          <w:sz w:val="28"/>
          <w:sz w:val="28"/>
          <w:szCs w:val="28"/>
          <w:rtl w:val="true"/>
          <w:lang w:bidi="fa-IR"/>
        </w:rPr>
        <w:t xml:space="preserve"> علم من الشرع أنّ القتل جائز لأجله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المستثنى منه والمستثنى كالسابق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فلعموم</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لإطلاق الدليل وعمومه، أو أنّه أصل عقلائي، كأصالة حرمة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الخمس، المال، الكنز</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الكلام فيه من المسألة السابقة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 الأدلة الأربعة، كما سبق في المسألة السابقة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09" w:name="pg15697_168934"/>
    </w:p>
    <w:p>
      <w:pPr>
        <w:pStyle w:val="BookText"/>
        <w:rPr/>
      </w:pPr>
      <w:bookmarkEnd w:id="109"/>
      <w:r>
        <w:rPr>
          <w:rFonts w:ascii="Amiri" w:hAnsi="Amiri" w:eastAsia="Amiri" w:cs="Amiri"/>
          <w:color w:val="111111"/>
          <w:sz w:val="28"/>
          <w:sz w:val="28"/>
          <w:szCs w:val="28"/>
          <w:rtl w:val="true"/>
          <w:lang w:bidi="ar-SA"/>
        </w:rPr>
        <w:t>وأما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فلحكومة</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العسر والحرج، إذا كان شديداً لا يتحمل، ويأتي نفس الكلام في قطع الإنسان عضو نفسه أو إسقاطه قوة من قواه، كما إذا أجبر على اللواط أو الزنا، فيقطع موضعه تفادياً إذا كان من الأهم والمهم، وإذا جاز له قطع عضوه جاز للآخر قطعه له بطلب منه؛ إذ مثله مثل الطبيب</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له النظر إلى المرأة أو العورة إذا جاز للمريض ذلك، فإنّ الاضطرار في المقام يتعدى إلى الآخر وإن لم يكن الآخر مضطراً، إذ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اضطرار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بعض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1915100_2142443653"/>
      <w:bookmarkStart w:id="111" w:name="_Toc37"/>
      <w:bookmarkEnd w:id="110"/>
      <w:r>
        <w:rPr>
          <w:rtl w:val="true"/>
        </w:rPr>
        <w:t>استكشاف السرائر والمحارم</w:t>
      </w:r>
      <w:bookmarkEnd w:id="11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استكشاف سرائر الناس النفسية والخارجية بواسطة الأشعة أو التنويم؟ الظاهر لا، إلا إذا كان هناك جهة مهمة، وهذا بالنسبة إلى غير المحرّم، أما المحرّم فلا يجوز قطعاً، كما لو نظر إلى عورة الغير أو إلى الأجنبية بواسطة الأشعة، ويجوز استكشاف سرائر الكافر الحربي، وفيما إذا كان في ذلك أهمية 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لا يجوز كشف السرائر النفسية والخارجية؛ لأنها من</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النظر فيه مما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النكاح، في مستثنيات حرمة النظر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أجاز له وحرّم على الآخر لم يرتفع الاضطرار، وكان حكماً ضررياً منفياً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التصرف</w:t>
      </w:r>
      <w:r>
        <w:rPr>
          <w:rStyle w:val="FootnoteAnchor"/>
          <w:rtl w:val="true"/>
        </w:rPr>
        <w:footnoteReference w:id="213"/>
      </w:r>
      <w:r>
        <w:rPr>
          <w:rFonts w:ascii="Amiri" w:hAnsi="Amiri" w:eastAsia="Amiri" w:cs="Amiri"/>
          <w:color w:val="111111"/>
          <w:sz w:val="28"/>
          <w:sz w:val="28"/>
          <w:szCs w:val="28"/>
          <w:rtl w:val="true"/>
          <w:lang w:bidi="ar-SA"/>
        </w:rPr>
        <w:t xml:space="preserve"> في الغير، وينافي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ascii="Amiri" w:hAnsi="Amiri" w:eastAsia="Amiri" w:cs="Amiri"/>
          <w:color w:val="111111"/>
          <w:sz w:val="28"/>
          <w:sz w:val="28"/>
          <w:szCs w:val="28"/>
          <w:rtl w:val="true"/>
          <w:lang w:bidi="ar-SA"/>
        </w:rPr>
        <w:t>، أما النظر إلى العورة فدليله واضح، وهو إطلاق أدلة حرمة النظر إلى عورة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الكافر الحربي فلا احترام له، ولذا جاز كشف سريرته، أما عورته وعورتها، فهو محرّم أيضاً لإطلاق الأدلة، وبعض الروايات المجوزة للنظر إلى عورتهم أقرب إلى الكناية</w:t>
      </w:r>
      <w:r>
        <w:rPr>
          <w:rStyle w:val="FootnoteAnchor"/>
          <w:rtl w:val="true"/>
        </w:rPr>
        <w:footnoteReference w:id="216"/>
      </w:r>
      <w:r>
        <w:rPr>
          <w:rFonts w:ascii="Amiri" w:hAnsi="Amiri" w:eastAsia="Amiri" w:cs="Amiri"/>
          <w:color w:val="111111"/>
          <w:sz w:val="28"/>
          <w:sz w:val="28"/>
          <w:szCs w:val="28"/>
          <w:rtl w:val="true"/>
          <w:lang w:bidi="ar-SA"/>
        </w:rPr>
        <w:t>، لا إلى الحكم، أي أنهم كالحيوان في عدم الاحترام، لا أنه يجوز النظر إليها، وكذا في الكافر الذمي، وليس المورد من قانون الإلزام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إيذاء وإضرار، ولو في الجملة، وأنه كشف 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المحرمات</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له عقدان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إيجابي وسلبي،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مسلط، ولا سلطة للآخر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إذ هو خلاف الظاهر، والأولى الاستدلال بإعراض المشهور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مباحث التخلي</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علم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كارتكاز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القواعد الفقهية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12" w:name="pg15697_168936"/>
    </w:p>
    <w:p>
      <w:pPr>
        <w:pStyle w:val="Heading2"/>
        <w:numPr>
          <w:ilvl w:val="1"/>
          <w:numId w:val="1"/>
        </w:numPr>
        <w:rPr/>
      </w:pPr>
      <w:bookmarkStart w:id="113" w:name="__RefHeading___Toc11915102_2142443653"/>
      <w:bookmarkStart w:id="114" w:name="_Toc38"/>
      <w:bookmarkEnd w:id="112"/>
      <w:bookmarkEnd w:id="113"/>
      <w:r>
        <w:rPr>
          <w:rtl w:val="true"/>
        </w:rPr>
        <w:t>الاستعلام من الأرواح</w:t>
      </w:r>
      <w:bookmarkEnd w:id="11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Style w:val="FootnoteAnchor"/>
          <w:rtl w:val="true"/>
        </w:rPr>
        <w:footnoteReference w:id="225"/>
      </w:r>
      <w:r>
        <w:rPr>
          <w:rFonts w:ascii="Amiri" w:hAnsi="Amiri" w:eastAsia="Amiri" w:cs="Amiri"/>
          <w:color w:val="111111"/>
          <w:sz w:val="28"/>
          <w:sz w:val="28"/>
          <w:szCs w:val="28"/>
          <w:rtl w:val="true"/>
          <w:lang w:bidi="ar-SA"/>
        </w:rPr>
        <w:t xml:space="preserve"> بجواز التحضير والتنويم يجوز الاستعلام عن الأرواح عن الأمور العلمية وشبهها، كما لو سئل عن علماء الفيزياء عن الأشعة التي تصل إلى المجرات الأخر في ثوان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استعلام أسئلة الامتحانات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جواز التحضير والتنويم والاستعلام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لإطلاق أدلة حلية كل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يجوز للإنسان السؤال عنهم في مثل السرقات وما أشبه، ولكن لا يجوز ترتيب الأثر إلا بالطرق الشرعية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11915104_2142443653"/>
      <w:bookmarkStart w:id="116" w:name="_Toc39"/>
      <w:bookmarkEnd w:id="115"/>
      <w:r>
        <w:rPr>
          <w:rtl w:val="true"/>
        </w:rPr>
        <w:t>أصوات الأموات</w:t>
      </w:r>
      <w:bookmarkEnd w:id="11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أخذ أصوات الأموات بواسطة التنويم والتحضير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بجوازهما</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أخذ خطوطهم كما تعارف في بعض البلاد، حيث ينصب القلم على السلة المتعلقة بالروح، فيكتب</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أو سيأتي الحديث عن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هنالك طريق خاص، وأمّا لو كان القطع طريقياً وحصل القطع جاز ترتيب الأثر،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السرقة مثلاً،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الجواز في مسألة </w:t>
      </w:r>
      <w:r>
        <w:rPr>
          <w:rFonts w:eastAsia="Amiri" w:cs="Amiri" w:ascii="Amiri" w:hAnsi="Amiri"/>
          <w:color w:val="111111"/>
          <w:sz w:val="28"/>
          <w:szCs w:val="28"/>
          <w:lang w:bidi="ar-SA"/>
        </w:rPr>
        <w:t>19</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17" w:name="pg15697_168937"/>
    </w:p>
    <w:p>
      <w:pPr>
        <w:pStyle w:val="BookText"/>
        <w:rPr/>
      </w:pPr>
      <w:bookmarkEnd w:id="117"/>
      <w:r>
        <w:rPr>
          <w:rFonts w:ascii="Amiri" w:hAnsi="Amiri" w:eastAsia="Amiri" w:cs="Amiri"/>
          <w:color w:val="111111"/>
          <w:sz w:val="28"/>
          <w:sz w:val="28"/>
          <w:szCs w:val="28"/>
          <w:rtl w:val="true"/>
          <w:lang w:bidi="ar-SA"/>
        </w:rPr>
        <w:t>كما لو كان الإنسان حياً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كل شيء لك حلال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تصرف</w:t>
      </w:r>
      <w:r>
        <w:rPr>
          <w:rStyle w:val="FootnoteAnchor"/>
          <w:rtl w:val="true"/>
        </w:rPr>
        <w:footnoteReference w:id="231"/>
      </w:r>
      <w:r>
        <w:rPr>
          <w:rFonts w:ascii="Amiri" w:hAnsi="Amiri" w:eastAsia="Amiri" w:cs="Amiri"/>
          <w:color w:val="111111"/>
          <w:sz w:val="28"/>
          <w:sz w:val="28"/>
          <w:szCs w:val="28"/>
          <w:rtl w:val="true"/>
          <w:lang w:bidi="ar-SA"/>
        </w:rPr>
        <w:t xml:space="preserve"> في الغير وهو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منصرف</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عن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بأذية الأموات</w:t>
      </w:r>
      <w:r>
        <w:rPr>
          <w:rStyle w:val="FootnoteAnchor"/>
          <w:rtl w:val="true"/>
        </w:rPr>
        <w:footnoteReference w:id="235"/>
      </w:r>
      <w:r>
        <w:rPr>
          <w:rFonts w:ascii="Amiri" w:hAnsi="Amiri" w:eastAsia="Amiri" w:cs="Amiri"/>
          <w:color w:val="111111"/>
          <w:sz w:val="28"/>
          <w:sz w:val="28"/>
          <w:szCs w:val="28"/>
          <w:rtl w:val="true"/>
          <w:lang w:bidi="ar-SA"/>
        </w:rPr>
        <w:t xml:space="preserve"> بذلك لم يجز؛ لأنّه داخل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 ميتاً كحرمته وهو حي</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11915106_2142443653"/>
      <w:bookmarkStart w:id="119" w:name="_Toc40"/>
      <w:bookmarkEnd w:id="118"/>
      <w:r>
        <w:rPr>
          <w:rtl w:val="true"/>
        </w:rPr>
        <w:t>الجرائم والموازين العلمية</w:t>
      </w:r>
      <w:bookmarkEnd w:id="11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العلمية</w:t>
      </w:r>
      <w:r>
        <w:rPr>
          <w:rStyle w:val="FootnoteAnchor"/>
          <w:rtl w:val="true"/>
        </w:rPr>
        <w:footnoteReference w:id="237"/>
      </w:r>
      <w:r>
        <w:rPr>
          <w:rFonts w:ascii="Amiri" w:hAnsi="Amiri" w:eastAsia="Amiri" w:cs="Amiri"/>
          <w:color w:val="111111"/>
          <w:sz w:val="28"/>
          <w:sz w:val="28"/>
          <w:szCs w:val="28"/>
          <w:rtl w:val="true"/>
          <w:lang w:bidi="ar-SA"/>
        </w:rPr>
        <w:t xml:space="preserve"> الموصلة إلى اكتشاف الجرائم، إذا</w:t>
      </w:r>
    </w:p>
    <w:p>
      <w:pPr>
        <w:pStyle w:val="BookText"/>
        <w:rPr/>
      </w:pP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لم يعلم كونه تصرفاً،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هنالك تفاصيل</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تفصيله في 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تأمل للإطلاق</w:t>
      </w:r>
      <w:r>
        <w:rPr>
          <w:rFonts w:eastAsia="Amiri" w:cs="Amiri" w:ascii="Amiri" w:hAnsi="Amiri"/>
          <w:color w:val="111111"/>
          <w:sz w:val="28"/>
          <w:szCs w:val="28"/>
          <w:rtl w:val="true"/>
          <w:lang w:bidi="ar-SA"/>
        </w:rPr>
        <w:t>!</w:t>
      </w:r>
    </w:p>
    <w:p>
      <w:pPr>
        <w:pStyle w:val="BookText"/>
        <w:rPr/>
      </w:pP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حرمته ميتاً </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يدل على أنه لا فرق،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العناوين المحرمة، ككشف أسرار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ثلاث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سبق الكلام حول مثل ذلك في 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20" w:name="pg15697_168938"/>
    </w:p>
    <w:p>
      <w:pPr>
        <w:pStyle w:val="BookText"/>
        <w:rPr/>
      </w:pPr>
      <w:bookmarkEnd w:id="120"/>
      <w:r>
        <w:rPr>
          <w:rFonts w:ascii="IRNazanin" w:hAnsi="IRNazanin" w:eastAsia="IRNazanin"/>
          <w:color w:val="111111"/>
          <w:sz w:val="28"/>
          <w:sz w:val="28"/>
          <w:szCs w:val="28"/>
          <w:rtl w:val="true"/>
          <w:lang w:bidi="fa-IR"/>
        </w:rPr>
        <w:t>أورثت القطع</w:t>
      </w:r>
      <w:r>
        <w:rPr>
          <w:rStyle w:val="FootnoteAnchor"/>
          <w:rtl w:val="true"/>
        </w:rPr>
        <w:footnoteReference w:id="246"/>
      </w:r>
      <w:r>
        <w:rPr>
          <w:rFonts w:ascii="Amiri" w:hAnsi="Amiri" w:eastAsia="Amiri" w:cs="Amiri"/>
          <w:color w:val="111111"/>
          <w:sz w:val="28"/>
          <w:sz w:val="28"/>
          <w:szCs w:val="28"/>
          <w:rtl w:val="true"/>
          <w:lang w:bidi="ar-SA"/>
        </w:rPr>
        <w:t xml:space="preserve"> ولم يكن للشارع وجهة خاصة في كشف الجريمة، جاز العمل بتلك الموازين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ذكرنا وجه المستثنى منه والمستثنى في مسألة سابقة، ويمكن أن يقال بالتفكيك بين مثل استرداد السرقة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فيجوز بسبب العلم، وبين مثل قطع اليد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فلا يجوز من باب أنّ الحدود تُدرأ بالشبهات</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1915108_2142443653"/>
      <w:bookmarkStart w:id="122" w:name="_Toc41"/>
      <w:bookmarkEnd w:id="121"/>
      <w:r>
        <w:rPr>
          <w:rtl w:val="true"/>
        </w:rPr>
        <w:t>المصارعة والملاكمة</w:t>
      </w:r>
      <w:bookmarkEnd w:id="12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المصارعة الحرة والملاكمة جائزتان، إذا لم تسببا أضراراً زائدة يحرمها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الجواز للإطلاقات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 والحرمة في الضرر الكثير؛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يشمل مثل ذلك، أمّا الأضرار الخفيفة فقد ذكرنا في</w:t>
      </w:r>
    </w:p>
    <w:p>
      <w:pPr>
        <w:pStyle w:val="BookText"/>
        <w:rPr/>
      </w:pP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الاطمئنان</w:t>
      </w:r>
      <w:r>
        <w:rPr>
          <w:rFonts w:eastAsia="IRNazanin" w:cs="IRNazanin"/>
          <w:color w:val="111111"/>
          <w:sz w:val="28"/>
          <w:szCs w:val="28"/>
          <w:rtl w:val="true"/>
          <w:lang w:bidi="fa-IR"/>
        </w:rPr>
        <w:t>.</w:t>
      </w:r>
    </w:p>
    <w:p>
      <w:pPr>
        <w:pStyle w:val="BookText"/>
        <w:rPr/>
      </w:pP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التقاص</w:t>
      </w:r>
      <w:r>
        <w:rPr>
          <w:rFonts w:eastAsia="IRNazanin" w:cs="IRNazanin"/>
          <w:color w:val="111111"/>
          <w:sz w:val="28"/>
          <w:szCs w:val="28"/>
          <w:rtl w:val="true"/>
          <w:lang w:bidi="fa-IR"/>
        </w:rPr>
        <w:t>.</w:t>
      </w:r>
    </w:p>
    <w:p>
      <w:pPr>
        <w:pStyle w:val="BookText"/>
        <w:rPr/>
      </w:pP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دليله، وأنّ القطع هنالك موضوعي أو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كل شيء لك حلال</w:t>
      </w:r>
      <w:r>
        <w:rPr>
          <w:rStyle w:val="FootnoteAnchor"/>
          <w:rtl w:val="true"/>
        </w:rPr>
        <w:footnoteReference w:id="251"/>
      </w:r>
      <w:r>
        <w:rPr>
          <w:rFonts w:ascii="IRNazanin" w:hAnsi="IRNazanin" w:eastAsia="IRNazanin"/>
          <w:color w:val="111111"/>
          <w:sz w:val="28"/>
          <w:sz w:val="28"/>
          <w:szCs w:val="28"/>
          <w:rtl w:val="true"/>
          <w:lang w:bidi="fa-IR"/>
        </w:rPr>
        <w:t>، والناس مسلطون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مسألة</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23" w:name="pg15697_168939"/>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مشمول له، وذلك للفهم العرفي والأدلة الخاصة</w:t>
      </w:r>
      <w:r>
        <w:rPr>
          <w:rStyle w:val="FootnoteAnchor"/>
          <w:rtl w:val="true"/>
        </w:rPr>
        <w:footnoteReference w:id="257"/>
      </w:r>
      <w:r>
        <w:rPr>
          <w:rFonts w:ascii="Amiri" w:hAnsi="Amiri" w:eastAsia="Amiri" w:cs="Amiri"/>
          <w:color w:val="111111"/>
          <w:sz w:val="28"/>
          <w:sz w:val="28"/>
          <w:szCs w:val="28"/>
          <w:rtl w:val="true"/>
          <w:lang w:bidi="ar-SA"/>
        </w:rPr>
        <w:t>، سواء بالنسبة إلى ضرر الإنسان نفسه أم إضرار غيره برضاه</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11915110_2142443653"/>
      <w:bookmarkStart w:id="125" w:name="_Toc42"/>
      <w:bookmarkEnd w:id="124"/>
      <w:r>
        <w:rPr>
          <w:rtl w:val="true"/>
        </w:rPr>
        <w:t>الاسبرتو</w:t>
      </w:r>
      <w:bookmarkEnd w:id="1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الاسبرتو والكولونيا، وكل ما لم يثبت نجاسته محكوم بالطهارة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بتفصيل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لنا بعد السؤال عن أهل الخبرة</w:t>
      </w:r>
      <w:r>
        <w:rPr>
          <w:rFonts w:eastAsia="Amiri" w:cs="Amiri" w:ascii="Amiri" w:hAnsi="Amiri"/>
          <w:color w:val="111111"/>
          <w:sz w:val="28"/>
          <w:szCs w:val="28"/>
          <w:rtl w:val="true"/>
          <w:lang w:bidi="ar-SA"/>
        </w:rPr>
        <w:t>.</w:t>
      </w:r>
    </w:p>
    <w:p>
      <w:pPr>
        <w:pStyle w:val="BookText"/>
        <w:rPr/>
      </w:pP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كإضرار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الشعائر الحسينية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لفحص، أما على مبنى المشهور من عدم وجوب الفحص في الشبهات الموضوعية فواضح، وأما على مبنى المصنف</w:t>
      </w:r>
      <w:r>
        <w:rPr>
          <w:rStyle w:val="FootnoteAnchor"/>
          <w:rtl w:val="true"/>
        </w:rPr>
        <w:footnoteReference w:id="262"/>
      </w:r>
      <w:r>
        <w:rPr>
          <w:rFonts w:ascii="Amiri" w:hAnsi="Amiri" w:eastAsia="Amiri" w:cs="Amiri"/>
          <w:color w:val="111111"/>
          <w:sz w:val="28"/>
          <w:sz w:val="28"/>
          <w:szCs w:val="28"/>
          <w:rtl w:val="true"/>
          <w:lang w:bidi="ar-SA"/>
        </w:rPr>
        <w:t>فلكونه يرتبط بباب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26" w:name="pg15697_168940"/>
    </w:p>
    <w:p>
      <w:pPr>
        <w:pStyle w:val="Heading2"/>
        <w:numPr>
          <w:ilvl w:val="1"/>
          <w:numId w:val="1"/>
        </w:numPr>
        <w:rPr/>
      </w:pPr>
      <w:bookmarkStart w:id="127" w:name="__RefHeading___Toc11915112_2142443653"/>
      <w:bookmarkStart w:id="128" w:name="_Toc43"/>
      <w:bookmarkEnd w:id="126"/>
      <w:bookmarkEnd w:id="127"/>
      <w:r>
        <w:rPr>
          <w:rtl w:val="true"/>
        </w:rPr>
        <w:t>المعدة الاصطناعية</w:t>
      </w:r>
      <w:bookmarkEnd w:id="12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للإنسان معدة من المطاط، وكان بعضه خارج البطن وحدثت فيها القرقرة، لم يكن ذلك مبطلاً لوضوئه وغسله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لانصراف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أدلة خروج الريح المبطل عن مثل ذلك، كانصراف أدلة خروج البول أو الغائط المبطل عنه، وكذلك إذا فرض مثل ذلك في المني، إلا إذا صار الموضع معتاداً فالأحوط أن يكون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الطهارة والنجاسة،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التفصيل بين النجاسة والمتنجس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النجاسات</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وذلك لخروج الريح ونحوه من البدن، ولو قيل بالانصراف فلا فرق بين المعتاد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الريح والبول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هل تشمل الخروج خارج البدن في نحو ما ذكر أو لا؟ فإمّا أن يقال بالشمول أو لا، أمّا التفصيل فلا يخلو من تأمل،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الوضوء من العروة</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من الكتاب هذا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29" w:name="pg15697_168941"/>
    </w:p>
    <w:p>
      <w:pPr>
        <w:pStyle w:val="Heading2"/>
        <w:numPr>
          <w:ilvl w:val="1"/>
          <w:numId w:val="1"/>
        </w:numPr>
        <w:rPr/>
      </w:pPr>
      <w:bookmarkStart w:id="130" w:name="__RefHeading___Toc11915114_2142443653"/>
      <w:bookmarkStart w:id="131" w:name="_Toc44"/>
      <w:bookmarkEnd w:id="129"/>
      <w:bookmarkEnd w:id="130"/>
      <w:r>
        <w:rPr>
          <w:rtl w:val="true"/>
        </w:rPr>
        <w:t>القحف المطاطي</w:t>
      </w:r>
      <w:bookmarkEnd w:id="1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القحف المطاطي الذي يوضع</w:t>
      </w:r>
      <w:r>
        <w:rPr>
          <w:rStyle w:val="FootnoteAnchor"/>
          <w:rtl w:val="true"/>
        </w:rPr>
        <w:footnoteReference w:id="268"/>
      </w:r>
      <w:r>
        <w:rPr>
          <w:rFonts w:ascii="Amiri" w:hAnsi="Amiri" w:eastAsia="Amiri" w:cs="Amiri"/>
          <w:color w:val="111111"/>
          <w:sz w:val="28"/>
          <w:sz w:val="28"/>
          <w:szCs w:val="28"/>
          <w:rtl w:val="true"/>
          <w:lang w:bidi="ar-SA"/>
        </w:rPr>
        <w:t xml:space="preserve"> للرأس، يمسح عليه مثل الجبيرة، ويغسل في حالة الغسل جبيرةً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لشمول أدلة الجبيرة له، نعم إذا وضع في بعض الرأس بما يمكن مسح البعض السالم لم تصل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النوبة إلى الجبيرة، وهكذا حال القدم لوحدة الدليل فيهما، ولا يخفى أن الجبيرة عرفية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ولا يلزم الدقة الكثيرة، فلا إشكال فيما لو كان الجبيرة أكبر من الجرح قليلاً، بحيث يتسامح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بحوث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لو كان ممكناً يجب؛ لإمكان الوضوء الاختياري، فلا تصل النوبة للاضطراري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لتفويت الأمر لو كان بعد دخول الوقت، وكذا لو قيل بالواجب المعلق،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تفويت لغرض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فعل ذلك عصياناً وتوضأ جبيرة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المسألة في موقع آخر</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وراجع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للمجنب قبل الفجر لو أخَّر الغسل عمداً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الوضوء الاختياري ممكن</w:t>
      </w:r>
      <w:r>
        <w:rPr>
          <w:rFonts w:eastAsia="Amiri" w:cs="Amiri" w:ascii="Amiri" w:hAnsi="Amiri"/>
          <w:color w:val="111111"/>
          <w:sz w:val="28"/>
          <w:szCs w:val="28"/>
          <w:rtl w:val="true"/>
          <w:lang w:bidi="ar-SA"/>
        </w:rPr>
        <w:t>.</w:t>
      </w:r>
    </w:p>
    <w:p>
      <w:pPr>
        <w:pStyle w:val="BookText"/>
        <w:rPr/>
      </w:pP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مبنى قبول التسامحات العرفية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1</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العدم فلظاهر أدلة الجبيرة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32" w:name="pg15697_168942"/>
    </w:p>
    <w:p>
      <w:pPr>
        <w:pStyle w:val="Heading2"/>
        <w:numPr>
          <w:ilvl w:val="1"/>
          <w:numId w:val="1"/>
        </w:numPr>
        <w:rPr/>
      </w:pPr>
      <w:bookmarkStart w:id="133" w:name="__RefHeading___Toc11915116_2142443653"/>
      <w:bookmarkStart w:id="134" w:name="_Toc45"/>
      <w:bookmarkEnd w:id="132"/>
      <w:bookmarkEnd w:id="133"/>
      <w:r>
        <w:rPr>
          <w:rtl w:val="true"/>
        </w:rPr>
        <w:t>وصل الشعر</w:t>
      </w:r>
      <w:bookmarkEnd w:id="1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وصل الشعر، سواء كان شعراً اصطناعياً أو واقعياً، وسواء كان للرجل أو للمرأة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وأما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الواصلة والمستوصلة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فمحمول على معنى آخر أو الكراهة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وإذا كان الشعر المقطوع للمرأة الأجنبية، لم يكن به بأس</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بعد أن كان خرج</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p>
    <w:p>
      <w:pPr>
        <w:pStyle w:val="BookText"/>
        <w:rPr/>
      </w:pP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اللعن لا يدل على الحرمة، وإن كان فيه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حرمة حلق اللحية من مصباح الفقاهة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العروة، النكاح، أحكام النظر</w:t>
      </w:r>
      <w:r>
        <w:rPr>
          <w:rStyle w:val="FootnoteAnchor"/>
          <w:rtl w:val="true"/>
        </w:rPr>
        <w:footnoteReference w:id="280"/>
      </w:r>
      <w:r>
        <w:rPr>
          <w:rFonts w:ascii="Amiri" w:hAnsi="Amiri" w:eastAsia="Amiri" w:cs="Amiri"/>
          <w:color w:val="111111"/>
          <w:sz w:val="28"/>
          <w:sz w:val="28"/>
          <w:szCs w:val="28"/>
          <w:rtl w:val="true"/>
          <w:lang w:bidi="ar-SA"/>
        </w:rPr>
        <w:t xml:space="preserve">، وراجع هنا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 في مقلته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صدق شعرها بالجزّ</w:t>
      </w:r>
      <w:r>
        <w:rPr>
          <w:rStyle w:val="FootnoteAnchor"/>
          <w:rtl w:val="true"/>
        </w:rPr>
        <w:footnoteReference w:id="281"/>
      </w:r>
      <w:r>
        <w:rPr>
          <w:rFonts w:ascii="Amiri" w:hAnsi="Amiri" w:eastAsia="Amiri" w:cs="Amiri"/>
          <w:color w:val="111111"/>
          <w:sz w:val="28"/>
          <w:sz w:val="28"/>
          <w:szCs w:val="28"/>
          <w:rtl w:val="true"/>
          <w:lang w:bidi="ar-SA"/>
        </w:rPr>
        <w:t>،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النظر إلى شعر الأجنبية؛ ولذا ذكرنا في بعض المسائل أنه لا يجوز النظر إلى باروكة المرأة الأجنبية لأنها من زينتها</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بخلاف النظر إلى شعرها بعد القطع والوصل بشعر رجل أو ما أشبه؛ لأنّ دليل حرمة النظر إلى شعرها منصرف</w:t>
      </w:r>
      <w:r>
        <w:rPr>
          <w:rFonts w:eastAsia="Times New Roman" w:cs="Times New Roman" w:ascii="Times New Roman" w:hAnsi="Times New Roman"/>
          <w:color w:val="111111"/>
          <w:sz w:val="28"/>
          <w:szCs w:val="28"/>
          <w:lang w:val="en-US" w:bidi="en-US"/>
        </w:rPr>
        <w:t>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عين كافر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للوصل حتى يجوز النظر، بل بمجرد الجز يخرج عن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كثوبها الملوّن الذي يعتبر زينة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شعرها ويدها؟ راجع للفرق العروة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استصحبت الحرمة،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بتبدل الموضوع أو احتمال تبدله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في احتمال التبدل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وحدة القضيتين في الاستصحاب</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35" w:name="pg15697_168944"/>
    </w:p>
    <w:p>
      <w:pPr>
        <w:pStyle w:val="BookText"/>
        <w:rPr/>
      </w:pPr>
      <w:bookmarkEnd w:id="13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1915118_2142443653"/>
      <w:bookmarkStart w:id="137" w:name="_Toc46"/>
      <w:bookmarkEnd w:id="136"/>
      <w:r>
        <w:rPr>
          <w:rtl w:val="true"/>
        </w:rPr>
        <w:t>ولادة الرجل</w:t>
      </w:r>
      <w:bookmarkEnd w:id="13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 الرجل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أعلنت ذلك بعض الصحف والإذاعات، وكما يشبهه ما ورد في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التوارث</w:t>
      </w:r>
      <w:r>
        <w:rPr>
          <w:rStyle w:val="FootnoteAnchor"/>
          <w:rtl w:val="true"/>
        </w:rPr>
        <w:footnoteReference w:id="288"/>
      </w:r>
      <w:r>
        <w:rPr>
          <w:rFonts w:ascii="Amiri" w:hAnsi="Amiri" w:eastAsia="Amiri" w:cs="Amiri"/>
          <w:color w:val="111111"/>
          <w:sz w:val="28"/>
          <w:sz w:val="28"/>
          <w:szCs w:val="28"/>
          <w:rtl w:val="true"/>
          <w:lang w:bidi="ar-SA"/>
        </w:rPr>
        <w:t xml:space="preserve"> يكون بينهما، إن لم يكن عن سفاح، وهل إنّ الرجل الوالد، أب وأم؟ احتمالان، ولا إشكال في كون البنت المولودة محرمة</w:t>
      </w:r>
      <w:r>
        <w:rPr>
          <w:rStyle w:val="FootnoteAnchor"/>
          <w:rtl w:val="true"/>
        </w:rPr>
        <w:footnoteReference w:id="289"/>
      </w:r>
      <w:r>
        <w:rPr>
          <w:rFonts w:ascii="IRNazanin" w:hAnsi="IRNazanin" w:eastAsia="IRNazanin"/>
          <w:color w:val="111111"/>
          <w:sz w:val="28"/>
          <w:sz w:val="28"/>
          <w:szCs w:val="28"/>
          <w:rtl w:val="true"/>
          <w:lang w:bidi="fa-IR"/>
        </w:rPr>
        <w:t xml:space="preserve"> على الأب الوالد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الاستحالة ولو شك فيها، في العروة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السطر الأخير في صفحة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حرمة لعدم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شعرها، لكن الدليل منصرف،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يخلو من كونه أباً أو أماً أو كليهما، والكل وارث</w:t>
      </w:r>
      <w:r>
        <w:rPr>
          <w:rFonts w:eastAsia="Amiri" w:cs="Amiri" w:ascii="Amiri" w:hAnsi="Amiri"/>
          <w:color w:val="111111"/>
          <w:sz w:val="28"/>
          <w:szCs w:val="28"/>
          <w:rtl w:val="true"/>
          <w:lang w:bidi="ar-SA"/>
        </w:rPr>
        <w:t>.</w:t>
      </w:r>
    </w:p>
    <w:p>
      <w:pPr>
        <w:pStyle w:val="BookText"/>
        <w:rPr/>
      </w:pP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ولد الزنا محرم أيضاً فكيف بهذه؟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38" w:name="pg15697_168945"/>
    </w:p>
    <w:p>
      <w:pPr>
        <w:pStyle w:val="BookText"/>
        <w:rPr/>
      </w:pPr>
      <w:bookmarkEnd w:id="1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والأقرب من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لأنّ رحم الرجل حينئذٍ كرحم المرأة، وبقية المسألة واضحة، وذلك للصدق العرفي، ومنه يعرف العكس</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بأن حصل للمرأة ماء الرجل فرضاً</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1915120_2142443653"/>
      <w:bookmarkStart w:id="140" w:name="_Toc47"/>
      <w:bookmarkEnd w:id="139"/>
      <w:r>
        <w:rPr>
          <w:rtl w:val="true"/>
        </w:rPr>
        <w:t>تبديل الرحم</w:t>
      </w:r>
      <w:bookmarkEnd w:id="14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رحم المرأة إلى امرأة أخرى، لا إشكال في أن الولد يكون للزوج والمرأة المنقول إليها، ولا يحرم وطي الزوجة على زوجها إذا بدلت رحمها، وأما المرأة التي نقل منها رحمها فلا ترتبط بالأحكام الشرعية المربوطة بالمرأة المنقول إليها الرحم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الرحم صار عضواً للمرأة المنتقل إليها، وكذا في كل الأعضاء حتى العضو التناسلي، كما لو فرض زرع ذكر الغير لرجل، فإنّه لا يحرم على زوجته، وحتى لو فرض أنّه كان ممسوحاً قبل ذلك؛ وذلك لكون العضو الجديد يعدّ عرفاً من نفس الإنسان، كما يحرم على زوجة الأول النظر إليه بعدما صار من أجزاء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أُلحق عضو من حيوان نجس العين، أو الكافر بالإنسان المسلم فمحكوم بالطهارة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فرض تبديل رأس الإنسان ففي كونه للمنتقل إليه أو عنه إشكال، كما ذكرناه في بابه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الظاهر عرفاً أنّه أب، والرحم غير مؤثر، فهو كأنابيب الاختبار، وكنقل الطفل من رحم امرأة إلى امرأة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يعبر عنه باستئجار الرحم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كالكلام في سابقه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41" w:name="pg15697_168946"/>
    </w:p>
    <w:p>
      <w:pPr>
        <w:pStyle w:val="Heading2"/>
        <w:numPr>
          <w:ilvl w:val="1"/>
          <w:numId w:val="1"/>
        </w:numPr>
        <w:rPr/>
      </w:pPr>
      <w:bookmarkStart w:id="142" w:name="__RefHeading___Toc11915122_2142443653"/>
      <w:bookmarkStart w:id="143" w:name="_Toc48"/>
      <w:bookmarkEnd w:id="141"/>
      <w:bookmarkEnd w:id="142"/>
      <w:r>
        <w:rPr>
          <w:rtl w:val="true"/>
        </w:rPr>
        <w:t>قلع الرحم</w:t>
      </w:r>
      <w:bookmarkEnd w:id="14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إلى إجراء عملية قلع الرحم جاز، أما في غير هذه الصورة فالظاهر عدم 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مع الاضطرار مقتضى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مما حرم اللّه إلا وقد أحله لمن اضطر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أما بدون الاضطرار فداخل في إطلاق عدم جواز قطع عضو، أو إزالة عضو أو قوة،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كما سبق الإلماع إليه، وكذا الحكم في قطع العضو للرجل، أو إسقاط قوة من قواه</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11915124_2142443653"/>
      <w:bookmarkStart w:id="145" w:name="_Toc49"/>
      <w:bookmarkEnd w:id="144"/>
      <w:r>
        <w:rPr>
          <w:rtl w:val="true"/>
        </w:rPr>
        <w:t>إنسان وحيوان</w:t>
      </w:r>
      <w:bookmarkEnd w:id="1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 للإنسان شيء بين البشر وغيره، كما لو كان جسمه جسم البشر، ورأسه رأس البقر،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أذاعت الإذاعات في ولادة كان نصفها سمكاً ونصفها في طرف الرجلين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أحكامه في نفسه ولغيره تابع للصدق، فإن صدق أنه إنسان جاز زواجه، وكان مكلفاً بالتكاليف وغيرها، وإن لم يصدق أنه إنسان لم يحكم بأحكام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الحكم تابع لموضوعه، فكلما تحقق الموضوع تحقق الحكم، وإن اختلف العرف فرضاً، أو شك في الصدق، فالأصل عدم الحرمة بالنسبة إلى ما يحرم على الإنسان وللإنسان، أما المحرم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اللواط؛ إذ يحرم حتى بالحيوان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محرم مطلقاً إنساناً وحيواناً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46" w:name="pg15697_168947"/>
    </w:p>
    <w:p>
      <w:pPr>
        <w:pStyle w:val="Heading2"/>
        <w:numPr>
          <w:ilvl w:val="1"/>
          <w:numId w:val="1"/>
        </w:numPr>
        <w:rPr/>
      </w:pPr>
      <w:bookmarkStart w:id="147" w:name="__RefHeading___Toc11915126_2142443653"/>
      <w:bookmarkStart w:id="148" w:name="_Toc50"/>
      <w:bookmarkEnd w:id="146"/>
      <w:bookmarkEnd w:id="147"/>
      <w:r>
        <w:rPr>
          <w:rtl w:val="true"/>
        </w:rPr>
        <w:t>حيوان وإنسان</w:t>
      </w:r>
      <w:bookmarkEnd w:id="1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الولد المذكور مولوداً لغير الإنسان، كان الحكم كالمسألة السابقة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الدليل فيهما واحد، فلا فرق في الولادة للإنسان أو للحيوان، أو بواسطة الأنبوب، كما إذا مزج مني حيوان وإنسان في أنبوب فخرج شيء بين الإنسان والحيوان جسماً أو عقلاً، كما إذا ولد حيوان يعقل عقل الإنسان ويتكلم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الأقوى عدم جواز هذا المزج؛ لأنه من تغيير خلق اللّه</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11915128_2142443653"/>
      <w:bookmarkStart w:id="150" w:name="_Toc51"/>
      <w:bookmarkEnd w:id="149"/>
      <w:r>
        <w:rPr>
          <w:rtl w:val="true"/>
        </w:rPr>
        <w:t>تركيب الإنسان بالحيوان</w:t>
      </w:r>
      <w:bookmarkEnd w:id="15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تركيب نصف الإنسان بنصف الحيوان في عملية جراحية، كما لو خيط رأس البقر بجسم الإنسان كان الحكم تابعاً للصدق العرفي، وإن شك في الصدق فالمتبع الأصول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هذا التركيب اختياراً؟ الأقوى عدم الجواز، والحكم تابع لموضوعه، وفي صورة الشك حيث لا دليل اجتهادي في المقام فالمرجع الأصول العملية، كما هو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حدث ذلك بلا عملية جراحية، كالمعجزة وغضب اللّه تعالى مثلاً، كما حدث في إحدى البلاد بالنسبة إلى مَنْ استهزأ بعزاء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2"/>
        <w:numPr>
          <w:ilvl w:val="1"/>
          <w:numId w:val="1"/>
        </w:numPr>
        <w:rPr/>
      </w:pPr>
      <w:bookmarkStart w:id="151" w:name="__RefHeading___Toc11915130_2142443653"/>
      <w:bookmarkStart w:id="152" w:name="_Toc52"/>
      <w:bookmarkEnd w:id="151"/>
      <w:r>
        <w:rPr>
          <w:rtl w:val="true"/>
        </w:rPr>
        <w:t>تكبير الجسم وتصغيره</w:t>
      </w:r>
      <w:bookmarkEnd w:id="1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للإنسان أن يكبر جسمه أو يصغره بمقدار خارج عن المتعارف، سواء في الطول والقصر، أم السمنة والهزال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لو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53" w:name="pg15697_168948"/>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المستثنى منه فلإطلاق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 المستثنى فلقوله تعالى حكاية عن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وَلآمُرَنَّهُمْ فَلَيُغَيِّرُنَّ خَلْقَ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ولعله لذلك لا يجوز أن يجعل الرجل نفسه مرأة وبالعكس، أمّا فعل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فهو لا يقاس عليه، لأن الإعجاز أمر اللّه،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أنه تعالى يميت بالغرق والحرق وما أشبه، ولا يجوز للإنسان ذلك بالنسبة إلى المجرم</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11915132_2142443653"/>
      <w:bookmarkStart w:id="155" w:name="_Toc53"/>
      <w:bookmarkEnd w:id="154"/>
      <w:r>
        <w:rPr>
          <w:rtl w:val="true"/>
        </w:rPr>
        <w:t>الطبيب وعملية الولادة</w:t>
      </w:r>
      <w:bookmarkEnd w:id="1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الحامل لتوليد الرجل لها جاز، لكن الرجل إنما يجوز له إذا لم تكن هناك طبيبة مستعدة للمباشرة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المستثنى منه للاضطرار المبيح لما حرمه اللّه سبحانه نصاً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56" w:name="pg15697_168949"/>
    </w:p>
    <w:p>
      <w:pPr>
        <w:pStyle w:val="BookText"/>
        <w:rPr/>
      </w:pPr>
      <w:bookmarkEnd w:id="156"/>
      <w:r>
        <w:rPr>
          <w:rFonts w:ascii="IRNazanin" w:hAnsi="IRNazanin" w:eastAsia="IRNazanin"/>
          <w:color w:val="111111"/>
          <w:sz w:val="28"/>
          <w:sz w:val="28"/>
          <w:szCs w:val="28"/>
          <w:rtl w:val="true"/>
          <w:lang w:bidi="fa-IR"/>
        </w:rPr>
        <w:t>وفتوى</w:t>
      </w:r>
      <w:r>
        <w:rPr>
          <w:rStyle w:val="FootnoteAnchor"/>
          <w:rtl w:val="true"/>
        </w:rPr>
        <w:footnoteReference w:id="294"/>
      </w:r>
      <w:r>
        <w:rPr>
          <w:rFonts w:ascii="Amiri" w:hAnsi="Amiri" w:eastAsia="Amiri" w:cs="Amiri"/>
          <w:color w:val="111111"/>
          <w:sz w:val="28"/>
          <w:sz w:val="28"/>
          <w:szCs w:val="28"/>
          <w:rtl w:val="true"/>
          <w:lang w:bidi="ar-SA"/>
        </w:rPr>
        <w:t>، والمستثنى لأنّه حينئذٍ لا اضطرار حسب الفرض، ومنه يعلم أنه لو اضطر الرجل إلى فحص الطبيب فما دام أمكن الرجل لا يجوز الطبيبة، وهكذا في اللمس والنظر</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11915134_2142443653"/>
      <w:bookmarkStart w:id="158" w:name="_Toc54"/>
      <w:bookmarkEnd w:id="157"/>
      <w:r>
        <w:rPr>
          <w:rtl w:val="true"/>
        </w:rPr>
        <w:t>اليد الزائدة</w:t>
      </w:r>
      <w:bookmarkEnd w:id="15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إجراء العملية الجراحية لقطع اليد الزائدة وما أشبه، وإن كان لا يجوز ذلك بالنسبة إلى اليد الأصلية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يجوز بالنسبة إلى الأصلية لأنه من الضرر، الذي لا يجوز للإنسان ارتكابه، سواء كان إسقاط قوّة، أم إسقاط عضو، أما في اليد الزائدة فليس ذلك من إسقاط العضو، فيشمله دليل الحلية، وكذلك بالنسبة إلى بقية الأعضاء كالرجل والأصابع، أما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له رأسان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عرفاً إنسانين فلا يجوز قطعاً، ولو كان إنساناً واحداً فاحتمالان</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11915136_2142443653"/>
      <w:bookmarkStart w:id="160" w:name="_Toc55"/>
      <w:bookmarkEnd w:id="159"/>
      <w:r>
        <w:rPr>
          <w:rtl w:val="true"/>
        </w:rPr>
        <w:t>قراءة الصحف</w:t>
      </w:r>
      <w:bookmarkEnd w:id="16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قراءة المجلات والجرائد المتعارفة في هذا الزمان، بشرط أن يكون القارئ واثقاً بعدم تأثير باطلها في ذهنه، فيما إذا كان الباطل مما نهى الإسلام عن الاعتقاد به أو عن قراءته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للإطلاقات في المستثنى والمستثنى منه، ومثل المجلات والجرائد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والنشرات وما تبثه الإذاعات والتلفزيونات، والأشرطة والفيديوات وما أشبه؛ لوحدة الملاك والدليل، هذا في غير المحرم منها كصور النساء والغناء وما أشبه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61" w:name="pg15697_168950"/>
    </w:p>
    <w:p>
      <w:pPr>
        <w:pStyle w:val="Heading2"/>
        <w:numPr>
          <w:ilvl w:val="1"/>
          <w:numId w:val="1"/>
        </w:numPr>
        <w:rPr/>
      </w:pPr>
      <w:bookmarkStart w:id="162" w:name="__RefHeading___Toc11915138_2142443653"/>
      <w:bookmarkStart w:id="163" w:name="_Toc56"/>
      <w:bookmarkEnd w:id="161"/>
      <w:bookmarkEnd w:id="162"/>
      <w:r>
        <w:rPr>
          <w:rtl w:val="true"/>
        </w:rPr>
        <w:t>الصلاة في الطائرة</w:t>
      </w:r>
      <w:bookmarkEnd w:id="1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الصلاة في الطائرة في الهواء، والغواصة تحت الماء، والقطار في الصحراء وما أشبه، إذا تمكن من الإتيان بجميع الشرائط والآداب، وإلا فالصحة خاصة بصورة الاضطرار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المستثنى والمستثنى منه حسب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للإنسان ركوب الوسائل المذكورة وإن علم ابتلائه حال الصلاة بذلك، كما ذكروه في كتاب الحج</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11915140_2142443653"/>
      <w:bookmarkStart w:id="165" w:name="_Toc57"/>
      <w:bookmarkEnd w:id="164"/>
      <w:r>
        <w:rPr>
          <w:rtl w:val="true"/>
        </w:rPr>
        <w:t>موت السمك في الغواصة</w:t>
      </w:r>
      <w:bookmarkEnd w:id="16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حلية السمك موته خارج البحر، بل يحل إذا مات خارج الماء ولو في الغواصة السابحة في أعماق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دليل الحل يشمله؛ إذ المراد نصاً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وفتوى عدم الموت داخل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هل يحل إذا مات في مائع آخر كاللبن والاسبرتو وما أشبه؟ الأحوط الترك، وإن كان يحتمل الحل،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حياته</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المعلل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66" w:name="pg15697_168951"/>
    </w:p>
    <w:p>
      <w:pPr>
        <w:pStyle w:val="BookText"/>
        <w:rPr/>
      </w:pPr>
      <w:bookmarkEnd w:id="166"/>
      <w:r>
        <w:rPr>
          <w:rFonts w:ascii="Amiri" w:hAnsi="Amiri" w:eastAsia="Amiri" w:cs="Amiri"/>
          <w:color w:val="111111"/>
          <w:sz w:val="28"/>
          <w:sz w:val="28"/>
          <w:szCs w:val="28"/>
          <w:rtl w:val="true"/>
          <w:lang w:bidi="ar-SA"/>
        </w:rPr>
        <w:t>في الأخبار، ولو مات ونصفه فقط خارج الماء الاحتياط حرمة الجميع؛ إذ المنصرف من الأدلة كونه بجميعه خارج الماء، من غير فرق بين أن يكون الرأس في الماء أو العقب فيه،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رأس السمك من الماء فقط يصدق عرفاً أنه مات خارج الماء</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11915142_2142443653"/>
      <w:bookmarkStart w:id="168" w:name="_Toc58"/>
      <w:bookmarkEnd w:id="167"/>
      <w:r>
        <w:rPr>
          <w:rtl w:val="true"/>
        </w:rPr>
        <w:t>المكياج</w:t>
      </w:r>
      <w:bookmarkEnd w:id="1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المكياج الذي يوجب التجميل أو التقبيح أو تغيير الإنسان حتى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إلا إذا كان هناك وجه للحرمة، كما لو كان داخلاً في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فَلَيُغَيِّرُنَّ خَلْقَ اللّهِ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الأدلة في غير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إلحاق شيء عرضي بالوجه أو اليد مثلاً بحيث يتصور أنه منه لا يضر؛ لأنه ليس من تغيير الخلق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تدليساً لا يجوز</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11915144_2142443653"/>
      <w:bookmarkStart w:id="170" w:name="_Toc59"/>
      <w:bookmarkEnd w:id="169"/>
      <w:r>
        <w:rPr>
          <w:rtl w:val="true"/>
        </w:rPr>
        <w:t>علاج الحيض</w:t>
      </w:r>
      <w:bookmarkEnd w:id="17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الدواء الموجب لتطويل الحيض أو تقصيره، أو إيجاده أو قطعه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الدليل، ولا يكون من تغيير خلق اللّه المحرّم، فكلما تحقق الموضوع تحقق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التطويل الأكثر من عشرة أو أقل من ثلاثة ليس منه، ويؤيده في قطع الحيض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أخت ابن يقطين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171" w:name="pg15697_168952"/>
    </w:p>
    <w:p>
      <w:pPr>
        <w:pStyle w:val="BookText"/>
        <w:rPr/>
      </w:pPr>
      <w:bookmarkEnd w:id="171"/>
      <w:r>
        <w:rPr>
          <w:rFonts w:ascii="Amiri" w:hAnsi="Amiri" w:eastAsia="Amiri" w:cs="Amiri"/>
          <w:color w:val="111111"/>
          <w:sz w:val="28"/>
          <w:sz w:val="28"/>
          <w:szCs w:val="28"/>
          <w:rtl w:val="true"/>
          <w:lang w:bidi="ar-SA"/>
        </w:rPr>
        <w:t>في باب الحج</w:t>
      </w:r>
      <w:r>
        <w:rPr>
          <w:rStyle w:val="FootnoteAnchor"/>
          <w:rtl w:val="true"/>
        </w:rPr>
        <w:footnoteReference w:id="297"/>
      </w:r>
      <w:r>
        <w:rPr>
          <w:rFonts w:ascii="Amiri" w:hAnsi="Amiri" w:eastAsia="Amiri" w:cs="Amiri"/>
          <w:color w:val="111111"/>
          <w:sz w:val="28"/>
          <w:sz w:val="28"/>
          <w:szCs w:val="28"/>
          <w:rtl w:val="true"/>
          <w:lang w:bidi="ar-SA"/>
        </w:rPr>
        <w:t xml:space="preserve">، ومثل الحيض الكلام في الاستحاضة أو في المني بالنسبة إلى تقليله أو تكثيره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Heading2"/>
        <w:numPr>
          <w:ilvl w:val="1"/>
          <w:numId w:val="1"/>
        </w:numPr>
        <w:rPr/>
      </w:pPr>
      <w:bookmarkStart w:id="172" w:name="__RefHeading___Toc11915146_2142443653"/>
      <w:bookmarkStart w:id="173" w:name="_Toc60"/>
      <w:bookmarkEnd w:id="172"/>
      <w:r>
        <w:rPr>
          <w:rtl w:val="true"/>
        </w:rPr>
        <w:t>النظر في القبر</w:t>
      </w:r>
      <w:bookmarkEnd w:id="17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النظر بواسطة الأشعة في القبور لمشاهدة الأموات، أو لمشاهدة أرواح الأموات، كما ذكروا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اسبرتزم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هناك وجه تحريم خارجي، كالنظر إلى المرأة الأجنبية، أو ما أوجب هتك الميت المسلم أو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المستثنى منه لإطلاق الدليل الدال على الحلية، والمستثنى لحصول العناوين الخاصة المحرّمة، ومنه النظر إلى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إليهم في قبورهم لعدم استبعاد أن يكون ذلك هتكاً عرفياً</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11915148_2142443653"/>
      <w:bookmarkStart w:id="175" w:name="_Toc61"/>
      <w:bookmarkEnd w:id="174"/>
      <w:r>
        <w:rPr>
          <w:rtl w:val="true"/>
        </w:rPr>
        <w:t>النظر إلى روح الميت</w:t>
      </w:r>
      <w:bookmarkEnd w:id="1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النظر إلى روح الميت المتجسد كالنظر إلى جسمه في حرمة نظر الشخص إلى رجل أو امرأة يحرم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الدليل، فإن قالب المثال هو نفس ذلك الإنسان، فتأمل،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76" w:name="pg15697_168953"/>
    </w:p>
    <w:p>
      <w:pPr>
        <w:pStyle w:val="BookText"/>
        <w:rPr/>
      </w:pPr>
      <w:bookmarkEnd w:id="176"/>
      <w:r>
        <w:rPr>
          <w:rFonts w:ascii="Amiri" w:hAnsi="Amiri" w:eastAsia="Amiri" w:cs="Amiri"/>
          <w:color w:val="111111"/>
          <w:sz w:val="28"/>
          <w:sz w:val="28"/>
          <w:szCs w:val="28"/>
          <w:rtl w:val="true"/>
          <w:lang w:bidi="ar-SA"/>
        </w:rPr>
        <w:t>وكذلك الكلام في العورة</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11915150_2142443653"/>
      <w:bookmarkStart w:id="178" w:name="_Toc62"/>
      <w:bookmarkEnd w:id="177"/>
      <w:r>
        <w:rPr>
          <w:rtl w:val="true"/>
        </w:rPr>
        <w:t>إيجاد السكر</w:t>
      </w:r>
      <w:bookmarkEnd w:id="17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إيجاد السكر في النفس ولو بواسطة التزريق أو الأشعة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وكذلك المستفاد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أسكر كثيره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والإطلاقات، والمناط، والعلة في حرمة السكر يشمل ذلك</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11915152_2142443653"/>
      <w:bookmarkStart w:id="180" w:name="_Toc63"/>
      <w:bookmarkEnd w:id="179"/>
      <w:r>
        <w:rPr>
          <w:rtl w:val="true"/>
        </w:rPr>
        <w:t>الأشعة المؤذية</w:t>
      </w:r>
      <w:bookmarkEnd w:id="1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تسليط الأشعة المؤذية إلى إنسان محترم، فإنه عدوان يحرمه الإسلام، وكذا إذا كان التسليط تصرفاً فيه وإن لم يكن مؤذياً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 دليل حرمة الأذى،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ضاراً 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بالإنسان المحترم أعم من المسلم، فلا يجوز إيذاء الذمي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آذى ذمياً فقد آذاني</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xml:space="preserve">ولا الكافر المحايد، بل مطلق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الحرمة،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إما أخ لك في الدين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81" w:name="pg15697_168954"/>
    </w:p>
    <w:p>
      <w:pPr>
        <w:pStyle w:val="BookText"/>
        <w:rPr/>
      </w:pPr>
      <w:bookmarkEnd w:id="181"/>
      <w:r>
        <w:rPr>
          <w:rFonts w:ascii="Amiri" w:hAnsi="Amiri" w:eastAsia="Amiri" w:cs="Amiri"/>
          <w:color w:val="111111"/>
          <w:sz w:val="28"/>
          <w:sz w:val="28"/>
          <w:szCs w:val="28"/>
          <w:rtl w:val="true"/>
          <w:lang w:bidi="ar-SA"/>
        </w:rPr>
        <w:t>أو نظير لك في الخلق</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إيذاء الحيوان أيضاً، إلا لأمر أهم كالاختبارات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Heading2"/>
        <w:numPr>
          <w:ilvl w:val="1"/>
          <w:numId w:val="1"/>
        </w:numPr>
        <w:rPr/>
      </w:pPr>
      <w:bookmarkStart w:id="182" w:name="__RefHeading___Toc11915154_2142443653"/>
      <w:bookmarkStart w:id="183" w:name="_Toc64"/>
      <w:bookmarkEnd w:id="182"/>
      <w:r>
        <w:rPr>
          <w:rtl w:val="true"/>
        </w:rPr>
        <w:t>تحول الرجل إلى امرأة</w:t>
      </w:r>
      <w:bookmarkEnd w:id="18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تحول الرجل إلى امرأة أو تحولت المرأة رجلاً، فقد يكون ذلك تحولاً حقيقة، كما اتفق في قصة إعجاز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ولا إشكال في آن أحكام المحول إليه يترتب عليه، وقد يكون التحويل صورة، كما إذا أجرى من هو في صورة امرأة عملية فظهر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يبقى على حاله السابق، وإذا كان أجرى أحكاماً مخالفة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عليه أن يرتب من الآن أحكام واقعه على نفسه، مثلاً إذا كان قد أخذ نصيب المرأة في الإرث، ثم ظهر أنه ذكر كان له الحق في أن يأخذ نصيب الذكر، وهكذا العكس، ولو كان زوجة ظهر بطلان نكاحه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تحوّل حقيقي، وظاهر رواية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ينهه عن مباشرة زوجته إنهما يبقيان زوجين، وإن كان في الظهور خفاء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84" w:name="pg15697_168955"/>
    </w:p>
    <w:p>
      <w:pPr>
        <w:pStyle w:val="BookText"/>
        <w:rPr/>
      </w:pPr>
      <w:bookmarkEnd w:id="184"/>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التحول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كشف عن الجهل، والأحكام تابعة للواقع لا للخيال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ولو لم يصل بزعم الحيض أعادها، ولو ليط به بزعم الرجولة فظهرت الأنوثة ترتب حد الزنا لا حد اللواط، وحل أخذ بنتها وأمها وأختها إلى غير ذلك من الأحكام</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11915156_2142443653"/>
      <w:bookmarkStart w:id="186" w:name="_Toc65"/>
      <w:bookmarkEnd w:id="185"/>
      <w:r>
        <w:rPr>
          <w:rtl w:val="true"/>
        </w:rPr>
        <w:t>آية السجدة</w:t>
      </w:r>
      <w:bookmarkEnd w:id="1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السجدة باستماع آية السجدة من الهاتف والمذياع والمسجلة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للصدق العرفي، والانصراف بدوي، فإنه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عَلَيْهِمُ الْقُرْآنُ لا يَسْجُدُونَ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وَأَنصِتُواْ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وما أشبه ذلك، مثل ما أنه لو فتحت المسجلة كان للقارئ ثواب التلاوة، ولو من باب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أن عكسه كذلك في الكفر والسب ونحوهما، ولا تخفى أن مراتب الثواب والعقاب تختلف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استأجره لقراءة القرآن، فيجب عليه أن يقرأ بنفسه، ولا تكفي المسجّلة للانصراف؛ ولكونه خلاف مرتكز المستأجر</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11915158_2142443653"/>
      <w:bookmarkStart w:id="188" w:name="_Toc66"/>
      <w:bookmarkEnd w:id="187"/>
      <w:r>
        <w:rPr>
          <w:rtl w:val="true"/>
        </w:rPr>
        <w:t>الذهب والحرير الاصطناعي</w:t>
      </w:r>
      <w:bookmarkEnd w:id="18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للرجال لبس الحرير الاصطناعي؛ لأنه ليس بحرير، كما يجوز لهم لبس الذهب الاصطناعي،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لبسه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89" w:name="pg15697_168956"/>
    </w:p>
    <w:p>
      <w:pPr>
        <w:pStyle w:val="BookText"/>
        <w:rPr/>
      </w:pPr>
      <w:bookmarkEnd w:id="189"/>
      <w:r>
        <w:rPr>
          <w:rFonts w:ascii="Amiri" w:hAnsi="Amiri" w:eastAsia="Amiri" w:cs="Amiri"/>
          <w:color w:val="111111"/>
          <w:sz w:val="28"/>
          <w:sz w:val="28"/>
          <w:szCs w:val="28"/>
          <w:rtl w:val="true"/>
          <w:lang w:bidi="ar-SA"/>
        </w:rPr>
        <w:t>للرجال؛ لأنه ليس بذهب أصلاً، والذهب الطبيعي الذي يبيّض بالوسائل والذي يسمى بالذهب الأبيض محكوم بأحكام بالذهب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الذهب الأصفر لا ينسلخ عن الذهبية بتحوير لونه، كما أن الفضة كذلك؛ وذلك لأن الحكم تابع لموضوعه لا لصفات الموضوع، ومثله في الحكم الجلد الاصطناعي المستورد من بلاد الكفار</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11915160_2142443653"/>
      <w:bookmarkStart w:id="191" w:name="_Toc67"/>
      <w:bookmarkEnd w:id="190"/>
      <w:r>
        <w:rPr>
          <w:rtl w:val="true"/>
        </w:rPr>
        <w:t>إعادة البكارة</w:t>
      </w:r>
      <w:bookmarkEnd w:id="19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استعملت المرأة دواءً عادت بكارتها كاملة كالأول، جاز أن تظهر نفسها في مظهر البكر عند العقد، ولا حق للزوج، اللّهم إلا إذا كان شرط الزوج البكر الأصلي بحيث لم تفتض أصلاً، فإن الإظهار المذكور حينئذٍ يكون غشاً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الحكمين في المستثنى والمستثنى منه واضح، ولا فرق في الشرط بين الارتكازي واللفظي، والظاهر أن دليل اشتراط إجازة الأب في البكر منصرف إلى البكارة الأصلية، فلا حاجة إلى إجازته في البكارة الثانية، أما البكارة الاصطناعية دون نموّ الغشاء فلا يخرج الأمر عن كون المرأة ثيباً</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11915162_2142443653"/>
      <w:bookmarkStart w:id="193" w:name="_Toc68"/>
      <w:bookmarkEnd w:id="192"/>
      <w:r>
        <w:rPr>
          <w:rtl w:val="true"/>
        </w:rPr>
        <w:t>تقليل مدة الحمل</w:t>
      </w:r>
      <w:bookmarkEnd w:id="1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يجوز أن تقلل المرأة مدة الحمل، كأن تجعلها أربعة أشهر باستعمال دواء يوجب اكتمال الجنين قبل الموعد الطبيعي، كما أنه يجوز أن تزيد مدة الحمل، كأن تجعلها سنتين مثلاً، وقاعدة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بالنسبة إلى الأمر الطبيعي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على الجواز أصالة الحل والعمومات والإطلاقات، إلا ما كان ضرراً على الطفل أو عليها، ويجوز ذلك بالنسبة للحيوانات أيضاً،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194" w:name="pg15697_168957"/>
    </w:p>
    <w:p>
      <w:pPr>
        <w:pStyle w:val="BookText"/>
        <w:rPr/>
      </w:pPr>
      <w:bookmarkEnd w:id="194"/>
      <w:r>
        <w:rPr>
          <w:rFonts w:ascii="Amiri" w:hAnsi="Amiri" w:eastAsia="Amiri" w:cs="Amiri"/>
          <w:color w:val="111111"/>
          <w:sz w:val="28"/>
          <w:sz w:val="28"/>
          <w:szCs w:val="28"/>
          <w:rtl w:val="true"/>
          <w:lang w:bidi="ar-SA"/>
        </w:rPr>
        <w:t>وكذلك النباتات، والحكم في وجوب الزكاة والخمس تابع للموضوع،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شيئاً يعطي السنبل الحب في ظرف شهر، أو في ظرف سنة كان حكم الزكاة في الشهر وفي السنة للصدق، وكذلك بالنسبة إلى التمر والزبيب وغيرها</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11915164_2142443653"/>
      <w:bookmarkStart w:id="196" w:name="_Toc69"/>
      <w:bookmarkEnd w:id="195"/>
      <w:r>
        <w:rPr>
          <w:rtl w:val="true"/>
        </w:rPr>
        <w:t>تطويل العمر</w:t>
      </w:r>
      <w:bookmarkEnd w:id="1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يجوز تطويل العمر، كأن يجعل الإنسان عمره مائتي سنة مثلاً، أما تقصير العمر بدون أن يقتل الإنسان نفسه، بواسطة دواء، أو لسبب عدم التغذّي الكامل مثلاً، أو لسبب السكن في بلاد يقصر عمر الإنسان فيها، فهل يجوز أم لا، أم يفصّل في المسألة ؟ احتمالات، وإن كان الظاهر عدم جواز الأولين، وجواز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جواز التطويل فلأصالة الحل،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ولكونه محبوباً شرعاً، وفي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وتمدّ في 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وأما التقصير، فإن كان عرفاً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يجوز، كما في الأولين، وإن لم يصدق عليه عرفاً فجائز كالثالث، ومنه يعلم جواز التدخين والابتداء به، وإن سبب أمراضاً أو كان يقصر العمر؛ لأن العرف لا يعتني بمثل هذا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تطويل العمر وتقصيره في الحيوانات والنباتات فجائز، إلا لو كان ضرراً أو إيذاءً محرمين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97" w:name="pg15697_168958"/>
    </w:p>
    <w:p>
      <w:pPr>
        <w:pStyle w:val="Heading2"/>
        <w:numPr>
          <w:ilvl w:val="1"/>
          <w:numId w:val="1"/>
        </w:numPr>
        <w:rPr/>
      </w:pPr>
      <w:bookmarkStart w:id="198" w:name="__RefHeading___Toc11915166_2142443653"/>
      <w:bookmarkStart w:id="199" w:name="_Toc70"/>
      <w:bookmarkEnd w:id="197"/>
      <w:bookmarkEnd w:id="198"/>
      <w:r>
        <w:rPr>
          <w:rtl w:val="true"/>
        </w:rPr>
        <w:t>المعيار وزن الأرض</w:t>
      </w:r>
      <w:bookmarkEnd w:id="19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المعيار في وزن ما يعتبر فيه الوزن، كالكر وكمقدار النصاب وما أشبه ذلك، هو وزن الأرض، فلو كان ألف ومائتا رطل في الحساب على الأرض يساوي مائتي رطل في القمر، أو ألفي رطل في المريخ، كان اللازم اعتبار وزن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المنصرف من الأدلة، فإن الخطاب موجه إلى أهل الأرض، والملاك فهمهم، كما سبق شبهه في أوقات الصلاة والصوم وغير ذلك، فلو ذهبنا بكر ماء من هنا إلى القمر لم يسقط عن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يحتمل كون المعيار في كل مكان بحسبه، فإذا صار ألف ومائتا رطل الأرض ألف رطل الفضاء لم يكن هناك كراً، ولو انعكس بأن صار ألف رطل الأرض ومائتي رطل في الفضاء صار كراً، وطريق الاحتياط واضح</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11915168_2142443653"/>
      <w:bookmarkStart w:id="201" w:name="_Toc71"/>
      <w:bookmarkEnd w:id="200"/>
      <w:r>
        <w:rPr>
          <w:rtl w:val="true"/>
        </w:rPr>
        <w:t>القبر المكشوف</w:t>
      </w:r>
      <w:bookmarkEnd w:id="2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لا يجوز وضع الزجاج الموجب لرؤية جثة الميت في القبر، إذا كان موجباً لهتكه، وكان الميت محترماً، أما إذا لم يكن موجباً للهتك ففي الجواز احتمالان، ولا يبعد 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صورة الهتك فلما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 ميتاً كحرمته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 لو لم يكن هتكاً فلا يبعد الجواز؛ لإطلاق دليل الحل، وتعارف كون القبر مستوراً لا يوجب حرمة غير ذلك، كما لا يمنع عن القبر ذي الطوابق وإن لم يكن متعارفاً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202" w:name="pg15697_168959"/>
    </w:p>
    <w:p>
      <w:pPr>
        <w:pStyle w:val="BookText"/>
        <w:rPr/>
      </w:pPr>
      <w:bookmarkEnd w:id="202"/>
      <w:r>
        <w:rPr>
          <w:rFonts w:ascii="Amiri" w:hAnsi="Amiri" w:eastAsia="Amiri" w:cs="Amiri"/>
          <w:color w:val="111111"/>
          <w:sz w:val="28"/>
          <w:sz w:val="28"/>
          <w:szCs w:val="28"/>
          <w:rtl w:val="true"/>
          <w:lang w:bidi="ar-SA"/>
        </w:rPr>
        <w:t>وهذا في الميت المحرم، أما غير المحرم كالحربي مثلاً، أو من يشمله قانون الإلزام فلا إشكال فيه</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11915170_2142443653"/>
      <w:bookmarkStart w:id="204" w:name="_Toc72"/>
      <w:bookmarkEnd w:id="203"/>
      <w:r>
        <w:rPr>
          <w:rtl w:val="true"/>
        </w:rPr>
        <w:t>تحنيط الميت</w:t>
      </w:r>
      <w:bookmarkEnd w:id="20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تحنيط الإنسان والحيوان ليبقى سليماً من الآفات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يتوقف جواز تحنيط الإنسان على أن لا يكون موجباً لشق بطنه وإخراج أمعائه وما أشبه، أما إذا أجاز الحي ذلك بأن يفعل به بعد موته فلا يبعد جوازه، كما أن التحنيط تصرّف لا يجوز إلا بإجازة نفس الميت حال حياته، أو إجازة الولي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الجواز للإطلاقات، وإنما لا يبعد جوازه عند إجازته قبل موته، لأن مثله جائز حال الحياة بإجازته، وإنما لا يبعد جوازه عند إجازته قبل موته لأن مثله جائز حال الحياة بإجازته،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 ميتاً كحرمته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أكثر، وإنما جاز حال الحياة لأنه ليس من نقص عضو أو ذهاب قوّة مما يشمله دليل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الأمعاء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فيما فرض أنه إذا لم يكن منه، ثم يضاف أنه بعد الموت لا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احتياج التحنيط إلى الإجازة فلأنه تصرف في الغير، ولا يصح إلا بإجازته، أما إجازة الوارث فلولايته على الميت، وإن كانت المسألة بحاجة إلى دقّة أكثر، فتأمل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205" w:name="pg15697_168960"/>
    </w:p>
    <w:p>
      <w:pPr>
        <w:pStyle w:val="Heading2"/>
        <w:numPr>
          <w:ilvl w:val="1"/>
          <w:numId w:val="1"/>
        </w:numPr>
        <w:rPr/>
      </w:pPr>
      <w:bookmarkStart w:id="206" w:name="__RefHeading___Toc11915172_2142443653"/>
      <w:bookmarkStart w:id="207" w:name="_Toc73"/>
      <w:bookmarkEnd w:id="205"/>
      <w:bookmarkEnd w:id="206"/>
      <w:r>
        <w:rPr>
          <w:rtl w:val="true"/>
        </w:rPr>
        <w:t>اضمحلال الميت بالدواء</w:t>
      </w:r>
      <w:bookmarkEnd w:id="2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إلقاء دواء على الميت يوجب سرعة اضمحلاله فيما إذا لم يكن ذلك هتكاً له، وإن كان هتكاً لم يجز، أما دفنه في مكان يوجب سرعة الاضمحلال، كالمكان المرطوب أو ما أشبه إذا لم يكن هتكاً له، فلا إشكال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يشكل لمنافاته 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حرمته ميتاً كحرمته حياً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قيل لا منافاة وقد فرض أنه ليس بهتك فالجواز هو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ذلك بالنسبة إلى مَنْ لا حرمة له، أو مَنْ تشمله قاعدة الإلزام، أما جواز الدفن في مثل المكان الرطب فلعدم الدليل على الحرمة، ولإطلاق أدلة الدفن</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11915174_2142443653"/>
      <w:bookmarkStart w:id="209" w:name="_Toc74"/>
      <w:bookmarkEnd w:id="208"/>
      <w:r>
        <w:rPr>
          <w:rtl w:val="true"/>
        </w:rPr>
        <w:t>إحراق الميتة وقاية</w:t>
      </w:r>
      <w:bookmarkEnd w:id="2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بقاء الميت موجباً لانتشار المرض، ولم يكن علاج الأمر إلا بإحراقه، كما قد يتفق نادراً بالنسبة إلى الكوارث، مثلاً يموت في كارثة مائة ألف إنسان، بحيث لا يمكن دفنهم، ويكون بقاؤهم موجباً للوباء، فالظاهر أنه يجوز الإحراق إذا لم يمكن علاج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الأمر حينئذٍ دائر بين الأهم والمهمل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 أما العلاج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المسألة القادمة</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210" w:name="pg15697_168961"/>
    </w:p>
    <w:p>
      <w:pPr>
        <w:pStyle w:val="BookText"/>
        <w:rPr/>
      </w:pPr>
      <w:bookmarkEnd w:id="210"/>
      <w:r>
        <w:rPr>
          <w:rFonts w:ascii="Amiri" w:hAnsi="Amiri" w:eastAsia="Amiri" w:cs="Amiri"/>
          <w:color w:val="111111"/>
          <w:sz w:val="28"/>
          <w:sz w:val="28"/>
          <w:szCs w:val="28"/>
          <w:rtl w:val="true"/>
          <w:lang w:bidi="ar-SA"/>
        </w:rPr>
        <w:t>أمكن</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يساوي الإحراق تخيّر، وإلا قدم أكثرهما إرفاقاً وجوباً، إذا كان طرفه ممنوعاً شرعاً لدى المقايسة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11915176_2142443653"/>
      <w:bookmarkStart w:id="212" w:name="_Toc75"/>
      <w:bookmarkEnd w:id="211"/>
      <w:r>
        <w:rPr>
          <w:rtl w:val="true"/>
        </w:rPr>
        <w:t>الإتلاف في الوباء</w:t>
      </w:r>
      <w:bookmarkEnd w:id="21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306"/>
      </w:r>
      <w:r>
        <w:rPr>
          <w:rFonts w:ascii="Amiri" w:hAnsi="Amiri" w:eastAsia="Amiri" w:cs="Amiri"/>
          <w:color w:val="111111"/>
          <w:sz w:val="28"/>
          <w:sz w:val="28"/>
          <w:szCs w:val="28"/>
          <w:rtl w:val="true"/>
          <w:lang w:bidi="ar-SA"/>
        </w:rPr>
        <w:t xml:space="preserve"> بإتلاف الجنس المشتبه به الذي له مالية، فيما إذا كان بعض تلك الأموال خطراً على المجتمع، كما إذا كان في أيام الوباء بعض الألبان موجباً للوباء، فإنه يجوز للحاكم الشرعي</w:t>
      </w:r>
      <w:r>
        <w:rPr>
          <w:rStyle w:val="FootnoteAnchor"/>
          <w:rtl w:val="true"/>
        </w:rPr>
        <w:footnoteReference w:id="307"/>
      </w:r>
      <w:r>
        <w:rPr>
          <w:rFonts w:ascii="Amiri" w:hAnsi="Amiri" w:eastAsia="Amiri" w:cs="Amiri"/>
          <w:color w:val="111111"/>
          <w:sz w:val="28"/>
          <w:sz w:val="28"/>
          <w:szCs w:val="28"/>
          <w:rtl w:val="true"/>
          <w:lang w:bidi="ar-SA"/>
        </w:rPr>
        <w:t xml:space="preserve"> إتلاف جميع الألبان المشتبه بها، نعم الظاهر وجوب تعويض ما كان صالحاً</w:t>
      </w:r>
    </w:p>
    <w:p>
      <w:pPr>
        <w:pStyle w:val="BookText"/>
        <w:rPr/>
      </w:pPr>
      <w:r>
        <w:rPr>
          <w:rFonts w:ascii="Amiri" w:hAnsi="Amiri" w:eastAsia="Amiri" w:cs="Amiri"/>
          <w:color w:val="111111"/>
          <w:sz w:val="28"/>
          <w:sz w:val="28"/>
          <w:szCs w:val="28"/>
          <w:rtl w:val="true"/>
          <w:lang w:bidi="ar-SA"/>
        </w:rPr>
        <w:t>الإنقاذ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كأحواض التيزاب مثلاً، أو دواء يوجب الاضمحلال، كما سبق في المسألة السابقة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بمقدار يحرم عند المقايسة، مثلاً، ومفسدة أحدهما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فالتفاوت بينهما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فرضنا أنّ هذا المقدار من المفسدة يوجب الحرمة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بحث في مسألة الإجزاء</w:t>
      </w:r>
      <w:r>
        <w:rPr>
          <w:rStyle w:val="FootnoteAnchor"/>
          <w:rtl w:val="true"/>
        </w:rPr>
        <w:footnoteReference w:id="312"/>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مسألة الترتب</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جواز بالمعنى الأعم، فيجتمع مع الوجوب</w:t>
      </w:r>
      <w:r>
        <w:rPr>
          <w:rFonts w:eastAsia="Amiri" w:cs="Amiri" w:ascii="Amiri" w:hAnsi="Amiri"/>
          <w:color w:val="111111"/>
          <w:sz w:val="28"/>
          <w:szCs w:val="28"/>
          <w:rtl w:val="true"/>
          <w:lang w:bidi="ar-SA"/>
        </w:rPr>
        <w:t>.</w:t>
      </w:r>
    </w:p>
    <w:p>
      <w:pPr>
        <w:pStyle w:val="BookText"/>
        <w:rPr/>
      </w:pP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لعدول المؤمنين، ومع العدم لفساقهم، على التفصيل المذكور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المكان لبنان أحدهما المشتبه به يوجب الوباء، فإنه يجب تعويض لبن واحد كان صحيحاً في الواقع، فإن كانا لمالك واحد أعطي العوض له، وإن كانا لمالكين قسم عوض واحد بينهما، كما قالوا في مسألة درهمي الودعي ونحوه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الإتلاف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حيث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يشمل الإيجابي أيضاً</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أبواب المكاسب</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مقدار الصالح فهل تجري البراءة عن الأكثر؛ لأنّه شك في الضمان، أو تحكم قاعدة الاحترام في الأموال؟ وحيث لا حرمة، للأهم أو للضرر، يظل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الخمس، في بحث الكنوز التي لا يعلم أن لها مالكاً أو لا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مقدمة للإنقاذ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يشمله حتى على المبنى الآخر، حيث إنّ حرمة الإتلاف</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إعطاء البدل فلاحترام</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الناس،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لم يكن ضاراً، وبيت المال وضع لمثل هذه الأِشياء، ولا منافاة</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الحكم الوضعي بالضمان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التكليفي بوجوب الإتلاف، وكذلك في سائر</w:t>
      </w:r>
    </w:p>
    <w:p>
      <w:pPr>
        <w:pStyle w:val="BookText"/>
        <w:rPr/>
      </w:pPr>
      <w:r>
        <w:rPr>
          <w:rFonts w:ascii="IRNazanin" w:hAnsi="IRNazanin" w:eastAsia="IRNazanin"/>
          <w:color w:val="111111"/>
          <w:sz w:val="28"/>
          <w:sz w:val="28"/>
          <w:szCs w:val="28"/>
          <w:rtl w:val="true"/>
          <w:lang w:bidi="fa-IR"/>
        </w:rPr>
        <w:t>ترتفع بالضرر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الإيجاب قد يراد به الجواز، وقد يراد به إثبات الوجوب، والمقام من قبيل الثاني، فلابد من القول بشمول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وأما اللبن الموبوء واقعاً فلا مالية له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الماتن على أنّ الإذن تكليفاً ظاهر في رفع الضمان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استلزم الأمر بالمعروف الإتلاف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كتاب الأمر بالمعروف من الفقه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المتلف فرداً ولم يكن هنالك بيت المال فهل يضمن؟ الأمر فيه إشكال؛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والسبيل نكرة في سياق النفي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213" w:name="pg15697_168964"/>
    </w:p>
    <w:p>
      <w:pPr>
        <w:pStyle w:val="BookText"/>
        <w:rPr/>
      </w:pPr>
      <w:bookmarkEnd w:id="213"/>
      <w:r>
        <w:rPr>
          <w:rFonts w:ascii="Amiri" w:hAnsi="Amiri" w:eastAsia="Amiri" w:cs="Amiri"/>
          <w:color w:val="111111"/>
          <w:sz w:val="28"/>
          <w:sz w:val="28"/>
          <w:szCs w:val="28"/>
          <w:rtl w:val="true"/>
          <w:lang w:bidi="ar-SA"/>
        </w:rPr>
        <w:t>الموارد مثل أن يأخذ حبل الناس لإنقاذ الغريق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التقسيم في المشتبه فلقاعدة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11915178_2142443653"/>
      <w:bookmarkStart w:id="215" w:name="_Toc76"/>
      <w:bookmarkEnd w:id="214"/>
      <w:r>
        <w:rPr>
          <w:rtl w:val="true"/>
        </w:rPr>
        <w:t>العمال العاطلون</w:t>
      </w:r>
      <w:bookmarkEnd w:id="21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321"/>
      </w:r>
      <w:r>
        <w:rPr>
          <w:rFonts w:ascii="Amiri" w:hAnsi="Amiri" w:eastAsia="Amiri" w:cs="Amiri"/>
          <w:color w:val="111111"/>
          <w:sz w:val="28"/>
          <w:sz w:val="28"/>
          <w:szCs w:val="28"/>
          <w:rtl w:val="true"/>
          <w:lang w:bidi="ar-SA"/>
        </w:rPr>
        <w:t xml:space="preserve"> على بيت المال إدارة أمور العمال العاطلين</w:t>
      </w:r>
    </w:p>
    <w:p>
      <w:pPr>
        <w:pStyle w:val="BookText"/>
        <w:rPr/>
      </w:pPr>
      <w:r>
        <w:rPr>
          <w:rFonts w:ascii="Amiri" w:hAnsi="Amiri" w:eastAsia="Amiri" w:cs="Amiri"/>
          <w:color w:val="111111"/>
          <w:sz w:val="28"/>
          <w:sz w:val="28"/>
          <w:szCs w:val="28"/>
          <w:rtl w:val="true"/>
          <w:lang w:bidi="ar-SA"/>
        </w:rPr>
        <w:t>فيشمل الضمان أيضاً، فتأمل أو راجع ما ذكر في ذيل هذه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وكأكل المخمصة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المال المشتبه بالحرام</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للتعرف على سائر الاحتمالات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كون هذه للتقسيم لا أنها مصارف،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الزكاة</w:t>
      </w:r>
      <w:r>
        <w:rPr>
          <w:rStyle w:val="FootnoteAnchor"/>
          <w:rtl w:val="true"/>
        </w:rPr>
        <w:footnoteReference w:id="32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216" w:name="pg15697_168965"/>
    </w:p>
    <w:p>
      <w:pPr>
        <w:pStyle w:val="BookText"/>
        <w:rPr/>
      </w:pPr>
      <w:bookmarkEnd w:id="216"/>
      <w:r>
        <w:rPr>
          <w:rFonts w:ascii="Amiri" w:hAnsi="Amiri" w:eastAsia="Amiri" w:cs="Amiri"/>
          <w:color w:val="111111"/>
          <w:sz w:val="28"/>
          <w:sz w:val="28"/>
          <w:szCs w:val="28"/>
          <w:rtl w:val="true"/>
          <w:lang w:bidi="ar-SA"/>
        </w:rPr>
        <w:t>الذين لا يجدون قوتاً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بيت المال وضع للفقراء المساكين ومن أشبه، بل لجميع مصالح المسلمين، ويصح للدولة جعل التأمين لكن برضا المؤمّن، كما يجوز للشركة ونحوها ذلك؛ لأنها معاملة عقلائية، ولم يردع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الشارع عنها، ومن أهم ما يؤمّن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ذلك النقابات الحرة التابعة للأحزاب الحرة</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11915180_2142443653"/>
      <w:bookmarkStart w:id="218" w:name="_Toc77"/>
      <w:bookmarkEnd w:id="217"/>
      <w:r>
        <w:rPr>
          <w:rtl w:val="true"/>
        </w:rPr>
        <w:t>التكتّل والتحزب</w:t>
      </w:r>
      <w:bookmarkEnd w:id="21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التكتل لأجل خدمة الإسلام، والتنظيم لأجل خدمة الإسلام</w:t>
      </w:r>
    </w:p>
    <w:p>
      <w:pPr>
        <w:pStyle w:val="BookText"/>
        <w:rPr/>
      </w:pPr>
      <w:r>
        <w:rPr>
          <w:rFonts w:ascii="IRNazanin" w:hAnsi="IRNazanin" w:eastAsia="IRNazanin"/>
          <w:color w:val="111111"/>
          <w:sz w:val="28"/>
          <w:sz w:val="28"/>
          <w:szCs w:val="28"/>
          <w:rtl w:val="true"/>
          <w:lang w:bidi="fa-IR"/>
        </w:rPr>
        <w:t>والخمس</w:t>
      </w:r>
      <w:r>
        <w:rPr>
          <w:rStyle w:val="FootnoteAnchor"/>
          <w:rtl w:val="true"/>
        </w:rPr>
        <w:footnoteReference w:id="326"/>
      </w:r>
      <w:r>
        <w:rPr>
          <w:rFonts w:ascii="Amiri" w:hAnsi="Amiri" w:eastAsia="Amiri" w:cs="Amiri"/>
          <w:color w:val="111111"/>
          <w:sz w:val="28"/>
          <w:sz w:val="28"/>
          <w:szCs w:val="28"/>
          <w:rtl w:val="true"/>
          <w:lang w:bidi="ar-SA"/>
        </w:rPr>
        <w:t>، في أنّه هل يجب البسط على الأصناف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هنالك عنوان 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كثورة العاطلين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به</w:t>
      </w:r>
      <w:r>
        <w:rPr>
          <w:rFonts w:eastAsia="Amiri" w:cs="Amiri" w:ascii="Amiri" w:hAnsi="Amiri"/>
          <w:color w:val="111111"/>
          <w:sz w:val="28"/>
          <w:szCs w:val="28"/>
          <w:rtl w:val="true"/>
          <w:lang w:bidi="ar-SA"/>
        </w:rPr>
        <w:t>.</w:t>
      </w:r>
    </w:p>
    <w:p>
      <w:pPr>
        <w:pStyle w:val="BookText"/>
        <w:rPr/>
      </w:pP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 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بل يشمله الحكم عند اندراجه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عنه عند ارتفاع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بناء على كون اللام للجنس أو للاستغراق،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تفصيل البحث في كتاب المكاسب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الحريات، حتى يكون الكل حرّاً في العمل والتجارة، وكذا إلغاء الحدود الجغرافية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جائزان، بل واجبان</w:t>
      </w:r>
      <w:r>
        <w:rPr>
          <w:rStyle w:val="FootnoteAnchor"/>
          <w:rtl w:val="true"/>
        </w:rPr>
        <w:footnoteReference w:id="329"/>
      </w:r>
      <w:r>
        <w:rPr>
          <w:rFonts w:ascii="Amiri" w:hAnsi="Amiri" w:eastAsia="Amiri" w:cs="Amiri"/>
          <w:color w:val="111111"/>
          <w:sz w:val="28"/>
          <w:sz w:val="28"/>
          <w:szCs w:val="28"/>
          <w:rtl w:val="true"/>
          <w:lang w:bidi="ar-SA"/>
        </w:rPr>
        <w:t xml:space="preserve"> إذا توقفت الخدمة الواجبة عليهما،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أما التكتل بالمفهوم الحزبي الغربي، فالظاهر عدم جوازه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الحزب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بالمفهوم الغربي عبارة عن الحزب الذي يضع القوانين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المخالفة للإسلام، أما الحزب الإسلامي والوطني الذي ليس له مبدأ يخالف الإسلام، وإنما يريد خدمة البلاد والعباد فكلاهما جائزان، وذلك للإطلاقات، والوجوب في صورة توقف الخدمة الواجبة عليها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لأنّ ما</w:t>
      </w:r>
    </w:p>
    <w:p>
      <w:pPr>
        <w:pStyle w:val="BookText"/>
        <w:rPr/>
      </w:pP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لأنّ الوجوب المقدمي عقلي، وسيأتي من الماتن الإشارة لذلك</w:t>
      </w:r>
      <w:r>
        <w:rPr>
          <w:rFonts w:eastAsia="Amiri" w:cs="Amiri" w:ascii="Amiri" w:hAnsi="Amiri"/>
          <w:color w:val="111111"/>
          <w:sz w:val="28"/>
          <w:szCs w:val="28"/>
          <w:rtl w:val="true"/>
          <w:lang w:bidi="ar-SA"/>
        </w:rPr>
        <w:t>.</w:t>
      </w:r>
    </w:p>
    <w:p>
      <w:pPr>
        <w:pStyle w:val="BookText"/>
        <w:rPr/>
      </w:pP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الأحزاب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من الفقه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الإسلام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قيادته قيادة لا يرتضيها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يرتضي بكونها قائدة، أو تكون مقدمة للفساد والانحراف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التوقف</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19" w:name="pg15697_168967"/>
    </w:p>
    <w:p>
      <w:pPr>
        <w:pStyle w:val="BookText"/>
        <w:rPr/>
      </w:pPr>
      <w:bookmarkEnd w:id="219"/>
      <w:r>
        <w:rPr>
          <w:rFonts w:ascii="Amiri" w:hAnsi="Amiri" w:eastAsia="Amiri" w:cs="Amiri"/>
          <w:color w:val="111111"/>
          <w:sz w:val="28"/>
          <w:sz w:val="28"/>
          <w:szCs w:val="28"/>
          <w:rtl w:val="true"/>
          <w:lang w:bidi="ar-SA"/>
        </w:rPr>
        <w:t>يتوقف عليه وجود الواجب المطلق واجب عقلاً</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11915182_2142443653"/>
      <w:bookmarkStart w:id="221" w:name="_Toc78"/>
      <w:bookmarkEnd w:id="220"/>
      <w:r>
        <w:rPr>
          <w:rtl w:val="true"/>
        </w:rPr>
        <w:t>المهاترات الإعلامية</w:t>
      </w:r>
      <w:bookmarkEnd w:id="22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المهاترات</w:t>
      </w:r>
      <w:r>
        <w:rPr>
          <w:rStyle w:val="FootnoteAnchor"/>
          <w:rtl w:val="true"/>
        </w:rPr>
        <w:footnoteReference w:id="336"/>
      </w:r>
      <w:r>
        <w:rPr>
          <w:rFonts w:ascii="Amiri" w:hAnsi="Amiri" w:eastAsia="Amiri" w:cs="Amiri"/>
          <w:color w:val="111111"/>
          <w:sz w:val="28"/>
          <w:sz w:val="28"/>
          <w:szCs w:val="28"/>
          <w:rtl w:val="true"/>
          <w:lang w:bidi="ar-SA"/>
        </w:rPr>
        <w:t xml:space="preserve"> الصحفية والإذاعية، إلا إذا كانت داخلة في الأمر بالمعروف</w:t>
      </w:r>
      <w:r>
        <w:rPr>
          <w:rStyle w:val="FootnoteAnchor"/>
          <w:rtl w:val="true"/>
        </w:rPr>
        <w:footnoteReference w:id="337"/>
      </w:r>
      <w:r>
        <w:rPr>
          <w:rFonts w:ascii="Amiri" w:hAnsi="Amiri" w:eastAsia="Amiri" w:cs="Amiri"/>
          <w:color w:val="111111"/>
          <w:sz w:val="28"/>
          <w:sz w:val="28"/>
          <w:szCs w:val="28"/>
          <w:rtl w:val="true"/>
          <w:lang w:bidi="ar-SA"/>
        </w:rPr>
        <w:t xml:space="preserve"> والنهي عن المنكر، أو كانت رداً للاعتداء</w:t>
      </w:r>
      <w:r>
        <w:rPr>
          <w:rStyle w:val="FootnoteAnchor"/>
          <w:rtl w:val="true"/>
        </w:rPr>
        <w:footnoteReference w:id="338"/>
      </w:r>
      <w:r>
        <w:rPr>
          <w:rFonts w:ascii="Amiri" w:hAnsi="Amiri" w:eastAsia="Amiri" w:cs="Amiri"/>
          <w:color w:val="111111"/>
          <w:sz w:val="28"/>
          <w:sz w:val="28"/>
          <w:szCs w:val="28"/>
          <w:rtl w:val="true"/>
          <w:lang w:bidi="ar-SA"/>
        </w:rPr>
        <w:t>، أو كانت لحفظ الناس عن الضلالة</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المستثنى منه والمستثنى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لكن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المهاترة لم يرد ظاهراً في الروايات، فالموضوع للجواز سائر العناوين المحرّمة، كالسبّ والغيبة والنميمة والتهمة وما أشبه</w:t>
      </w:r>
      <w:r>
        <w:rPr>
          <w:rFonts w:eastAsia="Amiri" w:cs="Amiri" w:ascii="Amiri" w:hAnsi="Amiri"/>
          <w:color w:val="111111"/>
          <w:sz w:val="28"/>
          <w:szCs w:val="28"/>
          <w:rtl w:val="true"/>
          <w:lang w:bidi="ar-SA"/>
        </w:rPr>
        <w:t>.</w:t>
      </w:r>
    </w:p>
    <w:p>
      <w:pPr>
        <w:pStyle w:val="BookText"/>
        <w:rPr/>
      </w:pP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التدرج</w:t>
      </w:r>
      <w:r>
        <w:rPr>
          <w:rFonts w:eastAsia="Amiri" w:cs="Amiri" w:ascii="Amiri" w:hAnsi="Amiri"/>
          <w:color w:val="111111"/>
          <w:sz w:val="28"/>
          <w:szCs w:val="28"/>
          <w:rtl w:val="true"/>
          <w:lang w:bidi="ar-SA"/>
        </w:rPr>
        <w:t>.</w:t>
      </w:r>
    </w:p>
    <w:p>
      <w:pPr>
        <w:pStyle w:val="BookText"/>
        <w:rPr/>
      </w:pP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لمثل ذلك، فمَنْ سبّك تستطيع أن ترد عليه بالمثل، وقد قاله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آقا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مشمولاً للردع عن المنكر،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باهتوهم</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وتعليله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يطمعوا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222" w:name="pg15697_168968"/>
    </w:p>
    <w:p>
      <w:pPr>
        <w:pStyle w:val="BookText"/>
        <w:rPr/>
      </w:pPr>
      <w:bookmarkEnd w:id="222"/>
      <w:r>
        <w:rPr>
          <w:rFonts w:ascii="IRNazanin" w:hAnsi="IRNazanin" w:eastAsia="IRNazanin"/>
          <w:color w:val="111111"/>
          <w:sz w:val="28"/>
          <w:sz w:val="28"/>
          <w:szCs w:val="28"/>
          <w:rtl w:val="true"/>
          <w:lang w:bidi="fa-IR"/>
        </w:rPr>
        <w:t>اللازم</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أيضاً ملاحظة مثل الإغماض والعفو وما أشبه مما 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وعملاً،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عيرك أحد بما ليس فيك فلا تعيره بما فيه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عيرك أخوك المسلم بما يعلم فيك فلا تعيره بما تعلم فيه، يكون لك أجراً وعليه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نظمه الشاعر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مكارم الأخلاق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ثلاثة منحصرة</w:t>
      </w:r>
    </w:p>
    <w:p>
      <w:pPr>
        <w:pStyle w:val="BookText"/>
        <w:rPr/>
      </w:pPr>
      <w:r>
        <w:rPr>
          <w:rFonts w:ascii="Amiri" w:hAnsi="Amiri" w:eastAsia="Amiri" w:cs="Amiri"/>
          <w:color w:val="111111"/>
          <w:sz w:val="28"/>
          <w:sz w:val="28"/>
          <w:szCs w:val="28"/>
          <w:rtl w:val="true"/>
          <w:lang w:bidi="ar-SA"/>
        </w:rPr>
        <w:t>لين الكلام والسخا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والعفو عند المقدرة</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11915184_2142443653"/>
      <w:bookmarkStart w:id="224" w:name="_Toc79"/>
      <w:bookmarkEnd w:id="223"/>
      <w:r>
        <w:rPr>
          <w:rtl w:val="true"/>
        </w:rPr>
        <w:t>الخنافس</w:t>
      </w:r>
      <w:bookmarkEnd w:id="22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شعر الرأس بشكل الخنافس، إذا كان فيه تشبّه</w:t>
      </w:r>
      <w:r>
        <w:rPr>
          <w:rStyle w:val="FootnoteAnchor"/>
          <w:rtl w:val="true"/>
        </w:rPr>
        <w:footnoteReference w:id="347"/>
      </w:r>
      <w:r>
        <w:rPr>
          <w:rFonts w:ascii="Amiri" w:hAnsi="Amiri" w:eastAsia="Amiri" w:cs="Amiri"/>
          <w:color w:val="111111"/>
          <w:sz w:val="28"/>
          <w:sz w:val="28"/>
          <w:szCs w:val="28"/>
          <w:rtl w:val="true"/>
          <w:lang w:bidi="ar-SA"/>
        </w:rPr>
        <w:t xml:space="preserve"> بالكفار كان مشكلاً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للنهي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عن التشبّه بهم، ولو كان تشبهاً بهم ثم صار متعارفاً عند</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يفيد الاستحباب لا الوجوب، كما أنّ من اللازم ملاحظة المفاسد المترتبة على ذلك، ولو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 سمعة الإسلام أو المسلمين،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صاحبه محرّم أو كان مقدمة لمحرم</w:t>
      </w:r>
      <w:r>
        <w:rPr>
          <w:rFonts w:eastAsia="Amiri" w:cs="Amiri" w:ascii="Amiri" w:hAnsi="Amiri"/>
          <w:color w:val="111111"/>
          <w:sz w:val="28"/>
          <w:szCs w:val="28"/>
          <w:rtl w:val="true"/>
          <w:lang w:bidi="ar-SA"/>
        </w:rPr>
        <w:t>.</w:t>
      </w:r>
    </w:p>
    <w:p>
      <w:pPr>
        <w:pStyle w:val="BookText"/>
        <w:rPr/>
      </w:pP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الواجبات والمحرمات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لترى أنّ التشبه بهم حرام أو لا</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المصلي</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المسلمين بحيث لا يصدق أنه من التشبّه بالكفّار فلا بأس به</w:t>
      </w:r>
      <w:r>
        <w:rPr>
          <w:rStyle w:val="FootnoteAnchor"/>
          <w:rtl w:val="true"/>
        </w:rPr>
        <w:footnoteReference w:id="352"/>
      </w:r>
      <w:r>
        <w:rPr>
          <w:rFonts w:ascii="Amiri" w:hAnsi="Amiri" w:eastAsia="Amiri" w:cs="Amiri"/>
          <w:color w:val="111111"/>
          <w:sz w:val="28"/>
          <w:sz w:val="28"/>
          <w:szCs w:val="28"/>
          <w:rtl w:val="true"/>
          <w:lang w:bidi="ar-SA"/>
        </w:rPr>
        <w:t xml:space="preserve">، نعم إذا صار نوع من وضع الشعر متعارفاً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تشبّه بالكافر أو المرأة</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يستبعد أفضليته</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 الآخر لما ذكرناه في كتاب</w:t>
      </w:r>
    </w:p>
    <w:p>
      <w:pPr>
        <w:pStyle w:val="BookText"/>
        <w:rPr/>
      </w:pPr>
      <w:r>
        <w:rPr>
          <w:rFonts w:ascii="Amiri" w:hAnsi="Amiri" w:eastAsia="Amiri" w:cs="Amiri"/>
          <w:color w:val="111111"/>
          <w:sz w:val="28"/>
          <w:sz w:val="28"/>
          <w:szCs w:val="28"/>
          <w:rtl w:val="true"/>
          <w:lang w:bidi="ar-SA"/>
        </w:rPr>
        <w:t>وفي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لباس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حلق الحلية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لتبعية الأحكام للموضوعات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أمثلة في انقلاب المكيل موزوناً وبالعكس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لم يكن محرماً كان مبغوضاً على الأقل، إما مكروهاً شرعاً، أو مرجوحاً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لو تعارض المستحب الشرعي مع الطريقة العرفية، وراجع مسألة حلق الشعر وتوفيره، وأن أيهما أفضل للشاب وللشيخ</w:t>
      </w:r>
      <w:r>
        <w:rPr>
          <w:rStyle w:val="FootnoteAnchor"/>
          <w:rtl w:val="true"/>
        </w:rPr>
        <w:footnoteReference w:id="356"/>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25" w:name="pg15697_168970"/>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والسنن</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 xml:space="preserve">، وينسب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كنت في بلدة غريباً فعاشر بآدابها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11915186_2142443653"/>
      <w:bookmarkStart w:id="227" w:name="_Toc80"/>
      <w:bookmarkEnd w:id="226"/>
      <w:r>
        <w:rPr>
          <w:rtl w:val="true"/>
        </w:rPr>
        <w:t>تقصير المرأة شعرها</w:t>
      </w:r>
      <w:bookmarkEnd w:id="22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w:t>
      </w:r>
      <w:r>
        <w:rPr>
          <w:rStyle w:val="FootnoteAnchor"/>
          <w:rtl w:val="true"/>
        </w:rPr>
        <w:footnoteReference w:id="359"/>
      </w:r>
      <w:r>
        <w:rPr>
          <w:rFonts w:ascii="Amiri" w:hAnsi="Amiri" w:eastAsia="Amiri" w:cs="Amiri"/>
          <w:color w:val="111111"/>
          <w:sz w:val="28"/>
          <w:sz w:val="28"/>
          <w:szCs w:val="28"/>
          <w:rtl w:val="true"/>
          <w:lang w:bidi="ar-SA"/>
        </w:rPr>
        <w:t xml:space="preserve"> المرأة شعرها إذا لم تصر</w:t>
      </w:r>
      <w:r>
        <w:rPr>
          <w:rStyle w:val="FootnoteAnchor"/>
          <w:rtl w:val="true"/>
        </w:rPr>
        <w:footnoteReference w:id="360"/>
      </w:r>
      <w:r>
        <w:rPr>
          <w:rFonts w:ascii="Amiri" w:hAnsi="Amiri" w:eastAsia="Amiri" w:cs="Amiri"/>
          <w:color w:val="111111"/>
          <w:sz w:val="28"/>
          <w:sz w:val="28"/>
          <w:szCs w:val="28"/>
          <w:rtl w:val="true"/>
          <w:lang w:bidi="ar-SA"/>
        </w:rPr>
        <w:t xml:space="preserve"> شبيهة بالكفّار ولا بالرجال لم يكن به بأس، وكذلك في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يوفّر، وأنّ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يمكن أنه يقال في كثير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الشارع شكلاً معيناً كالعمامة، فيأتي بحث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عنوان آخر، وهو مذكور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المصلي</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بآداب أربابها، وأول الشعر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التقصير، وإلا فالحلق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المرأة شعرها في الواجبات والمحرمات</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حرمتهما، وقد سبق بعض الكلام في المسألة السابقة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228" w:name="pg15697_168971"/>
    </w:p>
    <w:p>
      <w:pPr>
        <w:pStyle w:val="BookText"/>
        <w:rPr/>
      </w:pPr>
      <w:bookmarkEnd w:id="2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المستثنى منه والمستثنى حسب إطلاقات الأدلة، ويأتي هنا ما ذكرناه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11915188_2142443653"/>
      <w:bookmarkStart w:id="230" w:name="_Toc81"/>
      <w:bookmarkEnd w:id="229"/>
      <w:r>
        <w:rPr>
          <w:rtl w:val="true"/>
        </w:rPr>
        <w:t>تزويج الجن والروح</w:t>
      </w:r>
      <w:bookmarkEnd w:id="23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w:t>
      </w:r>
      <w:r>
        <w:rPr>
          <w:rStyle w:val="FootnoteAnchor"/>
          <w:rtl w:val="true"/>
        </w:rPr>
        <w:footnoteReference w:id="366"/>
      </w:r>
      <w:r>
        <w:rPr>
          <w:rFonts w:ascii="Amiri" w:hAnsi="Amiri" w:eastAsia="Amiri" w:cs="Amiri"/>
          <w:color w:val="111111"/>
          <w:sz w:val="28"/>
          <w:sz w:val="28"/>
          <w:szCs w:val="28"/>
          <w:rtl w:val="true"/>
          <w:lang w:bidi="ar-SA"/>
        </w:rPr>
        <w:t xml:space="preserve"> تزويج الإنسان من الجن إن أمكن، لاحتمال انصراف الأدلة من مثل ذلك، وكذلك بالنسبة إلى تزويج الروح</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مطلقاً مشتركة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بين الجن والإنسان لإطلاقات القرآن والسنة، لكن الفقهاء لم يبحثوا ذلك في مختلف الأبواب، كأبواب الطهارة والنجاسة والإرث والنكاح والطلاق أو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حرمة التذاد الإنسان رجلاً أو امرأة بالجن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والمحرمات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التشبه</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المصلي</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 والانصراف بدوي، والإطلاقات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لمس الرجل للجنّية، فهل يجوز له اللمس؟ الظاهر شمول أدلة حرمة لمس الأجنبية له، وكذا حرمة النظر للأجنبيّة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أن لا يكون فيه ضرر فاحش، واحتمال الضرر الكبير كافٍ للتحريم العقلي، أو الشرعي بناءً على استفادته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مكلفاً، أما بعد الموت فمشكل،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لإطلاقات أدلة النكاح</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31" w:name="pg15697_168972"/>
    </w:p>
    <w:p>
      <w:pPr>
        <w:pStyle w:val="BookText"/>
        <w:rPr/>
      </w:pPr>
      <w:bookmarkEnd w:id="231"/>
      <w:r>
        <w:rPr>
          <w:rFonts w:ascii="Amiri" w:hAnsi="Amiri" w:eastAsia="Amiri" w:cs="Amiri"/>
          <w:color w:val="111111"/>
          <w:sz w:val="28"/>
          <w:sz w:val="28"/>
          <w:szCs w:val="28"/>
          <w:rtl w:val="true"/>
          <w:lang w:bidi="ar-SA"/>
        </w:rPr>
        <w:t xml:space="preserve">بدون 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11915190_2142443653"/>
      <w:bookmarkStart w:id="233" w:name="_Toc82"/>
      <w:bookmarkEnd w:id="232"/>
      <w:r>
        <w:rPr>
          <w:rtl w:val="true"/>
        </w:rPr>
        <w:t>مزاوجة الحيوان</w:t>
      </w:r>
      <w:bookmarkEnd w:id="23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للرجل المجامعة مع الحيوان، ذكراً أو أنثى، كذلك لا يجوز للمرأة أن تجمع بالحيوان الذكر أو تساحق الحيوان الأنثى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سبحانه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حفظ الفرج مطلقاً</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وحرمة إثارة الشهوة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وبحث أنّ اللذة مطلقاً محرمة، وراجع الواجبات والمحرمات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الإثارة</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في حدّ من فعل مثل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الآية خاصة بالرجال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تشمل النساء أيضاً؛ لأنّ الذين تغليب،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يشملهن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مَلَكَتْ 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ملك اليمين لا يحلّ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ذلك بقاء الاشتراك في الكيف، فتأمل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234" w:name="pg15697_168973"/>
    </w:p>
    <w:p>
      <w:pPr>
        <w:pStyle w:val="BookText"/>
        <w:rPr/>
      </w:pPr>
      <w:bookmarkEnd w:id="234"/>
      <w:r>
        <w:rPr>
          <w:rFonts w:ascii="Amiri" w:hAnsi="Amiri" w:eastAsia="Amiri" w:cs="Amiri"/>
          <w:color w:val="111111"/>
          <w:sz w:val="28"/>
          <w:sz w:val="28"/>
          <w:szCs w:val="28"/>
          <w:rtl w:val="true"/>
          <w:lang w:bidi="ar-SA"/>
        </w:rPr>
        <w:t>أوْ مَا مَلَكَتْ أَيْمَانُهُمْ</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إلى غير ذلك من متواتر الروايات والإجماعات</w:t>
      </w:r>
      <w:r>
        <w:rPr>
          <w:rFonts w:eastAsia="Amiri" w:cs="Amiri" w:ascii="Amiri" w:hAnsi="Amiri"/>
          <w:color w:val="111111"/>
          <w:sz w:val="28"/>
          <w:szCs w:val="28"/>
          <w:rtl w:val="true"/>
          <w:lang w:bidi="ar-SA"/>
        </w:rPr>
        <w:t>.</w:t>
      </w:r>
    </w:p>
    <w:p>
      <w:pPr>
        <w:pStyle w:val="Heading2"/>
        <w:numPr>
          <w:ilvl w:val="1"/>
          <w:numId w:val="1"/>
        </w:numPr>
        <w:rPr/>
      </w:pPr>
      <w:bookmarkStart w:id="235" w:name="__RefHeading___Toc11915192_2142443653"/>
      <w:bookmarkStart w:id="236" w:name="_Toc83"/>
      <w:bookmarkEnd w:id="235"/>
      <w:r>
        <w:rPr>
          <w:rtl w:val="true"/>
        </w:rPr>
        <w:t>الأشعة القاتلة</w:t>
      </w:r>
      <w:bookmarkEnd w:id="23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الصيد إذا مات بسبب تسليط الأشعة القاتلة</w:t>
      </w:r>
      <w:r>
        <w:rPr>
          <w:rStyle w:val="FootnoteAnchor"/>
          <w:rtl w:val="true"/>
        </w:rPr>
        <w:footnoteReference w:id="382"/>
      </w:r>
      <w:r>
        <w:rPr>
          <w:rFonts w:ascii="IRNazanin" w:hAnsi="IRNazanin" w:eastAsia="IRNazanin"/>
          <w:color w:val="111111"/>
          <w:sz w:val="28"/>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الصيد كسائر الذبائح لا تحل إلا بالطرق الشرعية المذكورة في كتاب الصيد والذباحة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7" w:name="__RefHeading___Toc11915194_2142443653"/>
      <w:bookmarkStart w:id="238" w:name="_Toc84"/>
      <w:bookmarkEnd w:id="237"/>
      <w:r>
        <w:rPr>
          <w:rtl w:val="true"/>
        </w:rPr>
        <w:t>ردّ الاعتداء</w:t>
      </w:r>
      <w:bookmarkEnd w:id="2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سقاه سماً بحيث صار سبباً لمرضه، فهل يجوز أن يفعل المسقى بالساقي مثل ذلك، يحتمل الجواز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الاعتداء</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 </w:t>
      </w:r>
      <w:r>
        <w:rPr>
          <w:rStyle w:val="FootnoteAnchor"/>
          <w:rtl w:val="true"/>
        </w:rPr>
        <w:footnoteReference w:id="385"/>
      </w:r>
      <w:r>
        <w:rPr>
          <w:rStyle w:val="FootnoteAnchor"/>
          <w:rtl w:val="true"/>
        </w:rPr>
        <w:footnoteReference w:id="3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بسائر الوسائل المتعارفة حالياً، كالسم مثلاً، إلا ما انطبق عليه الشروط المقررة</w:t>
      </w:r>
      <w:r>
        <w:rPr>
          <w:rFonts w:eastAsia="Amiri" w:cs="Amiri" w:ascii="Amiri" w:hAnsi="Amiri"/>
          <w:color w:val="111111"/>
          <w:sz w:val="28"/>
          <w:szCs w:val="28"/>
          <w:rtl w:val="true"/>
          <w:lang w:bidi="ar-SA"/>
        </w:rPr>
        <w:t>.</w:t>
      </w:r>
    </w:p>
    <w:p>
      <w:pPr>
        <w:pStyle w:val="BookText"/>
        <w:rPr/>
      </w:pP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أخرجه خارج الماء ومات في الخارج فهو مبني على أنّ السمك هل يجب أن يموت حتف أنفه، أو يحل ولو خنقه أو قطعه بالسكين أو شواه أو نحو ذلك؟</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لإطلاقها، وكذا نظائرها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الروايات الشريفة ليلاحظ هل ورد فيها تقييد أو 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وكذلك في غير ذلك من أقسام الاعتداء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المقابلة بالمثل قطعاً، كموارد القصاص في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 لا يجوز قطعاً مثل اللواط بمن لاط به، أو السحق بمن سحقت بها جبراً، أو التقبيل لمن لا يجوز تقبيله بدون اختيار إلى غير ذلك، وما يحتمل الجواز والعدم، وحينئذٍ لو شك فيه أنّه داخل في آية الاعتداء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وما أشبه أم لا؟ 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يجوز الأخف؟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الجائز،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ضربه عشرة فيضربه سوطاً</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وذلك للأولوية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الجائز،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 يده من المرفق فقطع يد المعتدي من الزند</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 أو قتل ولده فسبب شلل القاتل</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إلى غير ذلك، وذلك للانصراف، وصورة الشك</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ملحقة بالقسم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الكم، ومثله في الكيف، كأن يضربه أخف، وكذا في الأين والمتى ونحوهما، كأن يضربه في الهواء المعتدل لا في شدة البرد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الجائز، وعرفاً هو مستساغ ومشمول للأولوية العرفية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كونه من الأخف؛ إذ يظل يعاني من المرض طيلة حياته؛ ولذا قد يفضل الكثير الموت على التعذيب أو الشلل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الإلحاق الأولوي يحتاج إلى القطع ولو العرفي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239" w:name="pg15697_168975"/>
    </w:p>
    <w:p>
      <w:pPr>
        <w:pStyle w:val="Heading2"/>
        <w:numPr>
          <w:ilvl w:val="1"/>
          <w:numId w:val="1"/>
        </w:numPr>
        <w:rPr/>
      </w:pPr>
      <w:bookmarkStart w:id="240" w:name="__RefHeading___Toc11915196_2142443653"/>
      <w:bookmarkStart w:id="241" w:name="_Toc85"/>
      <w:bookmarkEnd w:id="239"/>
      <w:bookmarkEnd w:id="240"/>
      <w:r>
        <w:rPr>
          <w:rtl w:val="true"/>
        </w:rPr>
        <w:t>المعقمات لا تطهّر</w:t>
      </w:r>
      <w:bookmarkEnd w:id="24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أثر النجس بالمعقمات لم يطهر، وإن كان بحيث علمنا بأنه لم يبق له أثر؛ وذلك لاحتمال</w:t>
      </w:r>
      <w:r>
        <w:rPr>
          <w:rStyle w:val="FootnoteAnchor"/>
          <w:rtl w:val="true"/>
        </w:rPr>
        <w:footnoteReference w:id="391"/>
      </w:r>
      <w:r>
        <w:rPr>
          <w:rFonts w:ascii="Amiri" w:hAnsi="Amiri" w:eastAsia="Amiri" w:cs="Amiri"/>
          <w:color w:val="111111"/>
          <w:sz w:val="28"/>
          <w:sz w:val="28"/>
          <w:szCs w:val="28"/>
          <w:rtl w:val="true"/>
          <w:lang w:bidi="ar-SA"/>
        </w:rPr>
        <w:t xml:space="preserve"> أن تكون المطهرات المذكورة في الشريعة حكمة لضرب القانون لا علّة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فاللازم اتباع إطلاق الأدلة، كما في كل مورد يحتمل فيه اختلاف العلل، 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بالعلية، وما نعلم بأنه حكمة، كاختلاط المياه في العدة، وما يشك في ذلك</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طهره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محكماً، كما سوف يشير إليه</w:t>
      </w:r>
      <w:r>
        <w:rPr>
          <w:rFonts w:eastAsia="Amiri" w:cs="Amiri" w:ascii="Amiri" w:hAnsi="Amiri"/>
          <w:color w:val="111111"/>
          <w:sz w:val="28"/>
          <w:szCs w:val="28"/>
          <w:rtl w:val="true"/>
          <w:lang w:bidi="ar-SA"/>
        </w:rPr>
        <w:t>.</w:t>
      </w:r>
    </w:p>
    <w:p>
      <w:pPr>
        <w:pStyle w:val="BookText"/>
        <w:rPr/>
      </w:pP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حكمة للجعل لا للمجعول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مباحث القطع</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إن كان منصوصاً فظاهر أنّه علة لا حكمة، وكثرة الاستعمال في الحكمة لا يبرر إلغاء الظهور، كما أنّ كثرة استعمال صيغة الأمر في الندب لا يبرر إلغاء ظهورها 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والمعالم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فهل يعتبر علة أو حكمة؟ مقتضى إطلاق الدليل اعتباره حكمة،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242" w:name="pg15697_168976"/>
    </w:p>
    <w:p>
      <w:pPr>
        <w:pStyle w:val="Heading2"/>
        <w:numPr>
          <w:ilvl w:val="1"/>
          <w:numId w:val="1"/>
        </w:numPr>
        <w:rPr/>
      </w:pPr>
      <w:bookmarkStart w:id="243" w:name="__RefHeading___Toc11915198_2142443653"/>
      <w:bookmarkStart w:id="244" w:name="_Toc86"/>
      <w:bookmarkEnd w:id="242"/>
      <w:bookmarkEnd w:id="243"/>
      <w:r>
        <w:rPr>
          <w:rtl w:val="true"/>
        </w:rPr>
        <w:t>إضرار الآخرين مادياً</w:t>
      </w:r>
      <w:bookmarkEnd w:id="24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يجوز أن يعمل الإنسان عملاً يوجب ضرر الآخر مادياً</w:t>
      </w:r>
      <w:r>
        <w:rPr>
          <w:rStyle w:val="FootnoteAnchor"/>
          <w:rtl w:val="true"/>
        </w:rPr>
        <w:footnoteReference w:id="397"/>
      </w:r>
      <w:r>
        <w:rPr>
          <w:rFonts w:ascii="Amiri" w:hAnsi="Amiri" w:eastAsia="Amiri" w:cs="Amiri"/>
          <w:color w:val="111111"/>
          <w:sz w:val="28"/>
          <w:sz w:val="28"/>
          <w:szCs w:val="28"/>
          <w:rtl w:val="true"/>
          <w:lang w:bidi="ar-SA"/>
        </w:rPr>
        <w:t>، إذا لم نعلم برضاية</w:t>
      </w:r>
      <w:r>
        <w:rPr>
          <w:rStyle w:val="FootnoteAnchor"/>
          <w:rtl w:val="true"/>
        </w:rPr>
        <w:footnoteReference w:id="398"/>
      </w:r>
      <w:r>
        <w:rPr>
          <w:rFonts w:ascii="Amiri" w:hAnsi="Amiri" w:eastAsia="Amiri" w:cs="Amiri"/>
          <w:color w:val="111111"/>
          <w:sz w:val="28"/>
          <w:sz w:val="28"/>
          <w:szCs w:val="28"/>
          <w:rtl w:val="true"/>
          <w:lang w:bidi="ar-SA"/>
        </w:rPr>
        <w:t>الطرف، كما إذا أرسل إليه رسالة بدون إلصاق الطابع بالرسالة، مما يعلم أن البريد يأخذ من الطرف الثمن، ولا يتمكن الطرف من إرجاع الرسالة، حتى لا يتضرر، أما إذا كان الطرف قادراً على القبول والرد، لم يكن الإرسال بدون الطابع 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المستثنى منه لإطلاق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والمستثنى لأنه ليس بضرر، فإنه يتمكن من رد الرسالة، فلا ضرر عليه، فإذا اختار القبول كان من تقبّل الضرر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علة، ولعل الأصول العملية تختلف، ولكن هل للدليل إطلاق مع وجود ما يحتمل القرينة؟ إذ لو كانت القرينة 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 لعدم اختلاط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الدليل ظاهراً في الإطلاق أو العموم، وحينئذٍ يكون المرجع الأصول العملية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مباحث الظهور، ومباحث الإطلاق والعموم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مختلفة،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فتح دكاناً مقابل دكانه كان إضراراً لكنه جائز، فلابد من البحث والتمييز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الإضرار مطلقاً حرام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كالدكان والخطيب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بالسيرة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ليست إضراراً عرفاً، فتأمل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245" w:name="pg15697_168977"/>
    </w:p>
    <w:p>
      <w:pPr>
        <w:pStyle w:val="Heading2"/>
        <w:numPr>
          <w:ilvl w:val="1"/>
          <w:numId w:val="1"/>
        </w:numPr>
        <w:rPr/>
      </w:pPr>
      <w:bookmarkStart w:id="246" w:name="__RefHeading___Toc11915200_2142443653"/>
      <w:bookmarkStart w:id="247" w:name="_Toc87"/>
      <w:bookmarkEnd w:id="245"/>
      <w:bookmarkEnd w:id="246"/>
      <w:r>
        <w:rPr>
          <w:rtl w:val="true"/>
        </w:rPr>
        <w:t>النفس الاصطناعي</w:t>
      </w:r>
      <w:bookmarkEnd w:id="24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401"/>
      </w:r>
      <w:r>
        <w:rPr>
          <w:rFonts w:ascii="Amiri" w:hAnsi="Amiri" w:eastAsia="Amiri" w:cs="Amiri"/>
          <w:color w:val="111111"/>
          <w:sz w:val="28"/>
          <w:sz w:val="28"/>
          <w:szCs w:val="28"/>
          <w:rtl w:val="true"/>
          <w:lang w:bidi="ar-SA"/>
        </w:rPr>
        <w:t xml:space="preserve"> إيصال النفس الاصطناعي للحي المحتضر، إذا كان يرجى شفاؤه، أما إذا علمنا بأنه يموت بكل حال، والتنفس الاصطناعي يؤخر موته ساعات مثلاً، ففي وجوب ذلك وعدم وجوبه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إعطاء النفس الاصطناعي لمن يرجى شفاؤه فلأنه من الإنقاذ</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ومن الضروري وجوب إنقاذ المريض ونحوه، ويدل عليه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الوجوب في المستثنى فلأنه لا دليل على لزوم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تأخير الحياة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تطرأ عناوين ثانوية ترفع الوجوب، كما لو كان ضررٌ كثيرٌ، بأن احتاج إلى مال كثير، أو بيع بيته، أو بيع كليته، وقد سبق أنّ أدلة الإنقاذ لا تشمل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ملاحظة أنّ أدلة الإنقاذ تشمله أو لا، وأنه هل هنالك معارض أو لا؟</w:t>
      </w:r>
    </w:p>
    <w:p>
      <w:pPr>
        <w:pStyle w:val="BookText"/>
        <w:rPr/>
      </w:pP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الاحتمالي،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في مثل المقام منجّز لكونه من الثلاثة المهمة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إذ إطلاق أدلة الإنقاذ تشمله، وما الفرق بين تأخير موته ساعات أو سنوات؟ إلا أن يقال بالانصراف في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سيأتي آخر المسألة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248" w:name="pg15697_168978"/>
    </w:p>
    <w:p>
      <w:pPr>
        <w:pStyle w:val="BookText"/>
        <w:rPr/>
      </w:pPr>
      <w:bookmarkEnd w:id="248"/>
      <w:r>
        <w:rPr>
          <w:rFonts w:ascii="IRNazanin" w:hAnsi="IRNazanin" w:eastAsia="IRNazanin"/>
          <w:color w:val="111111"/>
          <w:sz w:val="28"/>
          <w:sz w:val="28"/>
          <w:szCs w:val="28"/>
          <w:rtl w:val="true"/>
          <w:lang w:bidi="fa-IR"/>
        </w:rPr>
        <w:t>ساعات</w:t>
      </w: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إلا في مثل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قاتل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ليؤخّروا</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الموت ساعات، وإذا لم يكن دليل لم يكن وجه للوجوب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المحتضر إلى مصلاّه لتعجيل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بموته</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كالمبتلى بالسرطان لا يجوز التعجيل بوفاته، كقتله بالأدوية وغير ذلك، وذلك للإطلاقات،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9" w:name="__RefHeading___Toc11915202_2142443653"/>
      <w:bookmarkStart w:id="250" w:name="_Toc88"/>
      <w:bookmarkEnd w:id="249"/>
      <w:r>
        <w:rPr>
          <w:rtl w:val="true"/>
        </w:rPr>
        <w:t>العملية الجراحية</w:t>
      </w:r>
      <w:bookmarkEnd w:id="25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إجراء العمليات الجراحية لوقاية الحياة، أو لوقاية عضو أو قوة من قواه من السقوط، أو لوقاية الإنسان عن المرض الموجب للضرر المتزايد</w:t>
      </w:r>
      <w:r>
        <w:rPr>
          <w:rStyle w:val="FootnoteAnchor"/>
          <w:rtl w:val="true"/>
        </w:rPr>
        <w:footnoteReference w:id="406"/>
      </w:r>
      <w:r>
        <w:rPr>
          <w:rFonts w:ascii="Amiri" w:hAnsi="Amiri" w:eastAsia="Amiri" w:cs="Amiri"/>
          <w:color w:val="111111"/>
          <w:sz w:val="28"/>
          <w:sz w:val="28"/>
          <w:szCs w:val="28"/>
          <w:rtl w:val="true"/>
          <w:lang w:bidi="ar-SA"/>
        </w:rPr>
        <w:t>، أما ما عدا ذلك فلا وجوب لإجراء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يفصل بين وضع الأجهزة فلا يجب، وبين رفعها بعد وضعها فلا يجوز؛ لأنه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وارداً بالدقة، إلا أنّه لا فرق بينها عرفاً،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 ذلك هو الملاك في عملهم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ما يكون بفعله تعالى وما يكون بفعل الإنسان، ولعله لذلك اعتبره مؤيداً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من المصنف الجواز في صورة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عسراً شديداً علم من الشرع أن القتل جائز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الذي لم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51" w:name="pg15697_168979"/>
    </w:p>
    <w:p>
      <w:pPr>
        <w:pStyle w:val="BookText"/>
        <w:rPr/>
      </w:pPr>
      <w:bookmarkEnd w:id="2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لوجوب حفظ النفس والعضو والقوة، فإنّ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ذلك ولو بالملازمة العرفية، ويدل عليه ما ذكروه في باب الطهارة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تبدل الأول إلى التراب وسقوط الثاني،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ومنه يعلم حال الضرر المتزايد، أما الضرر القليل فيجوز تحمّله، كما ذكرناه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ضعف العضو أو القوة مدة، ثم رجوعها إلى الحالة الطبيعية</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11915204_2142443653"/>
      <w:bookmarkStart w:id="253" w:name="_Toc89"/>
      <w:bookmarkEnd w:id="252"/>
      <w:r>
        <w:rPr>
          <w:rtl w:val="true"/>
        </w:rPr>
        <w:t>حفظ الصحة بالعملية</w:t>
      </w:r>
      <w:bookmarkEnd w:id="2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على الرجل أو اليد مثلاً من جراء عدم قطع الإصبع، في المجذوم، أو خيف على الحياة من جرّاء عدم قطع الرجل أو اليد، مثلاً، وجب أجراء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لقانون الأهم والمهم،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وكذا لو توقفت الحياة على فقد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الخوف لا القطع بالضرر، كما في الصوم والحج والطهارة المائية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لو كان المعيار القطع كان إلقاءً</w:t>
      </w:r>
      <w:r>
        <w:rPr>
          <w:rStyle w:val="FootnoteAnchor"/>
          <w:rtl w:val="true"/>
        </w:rPr>
        <w:footnoteReference w:id="4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أدلة الخوف في باب الصوم والطهارة المائية ونحوهما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254" w:name="pg15697_168980"/>
    </w:p>
    <w:p>
      <w:pPr>
        <w:pStyle w:val="BookText"/>
        <w:rPr/>
      </w:pPr>
      <w:bookmarkEnd w:id="254"/>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الشارع في الضرر، إذ كثيراً ما يكون خوف بدون القطع ويقع فيه، وتفصيله في الفقه والأصول</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5" w:name="__RefHeading___Toc11915206_2142443653"/>
      <w:bookmarkStart w:id="256" w:name="_Toc90"/>
      <w:bookmarkEnd w:id="255"/>
      <w:r>
        <w:rPr>
          <w:rtl w:val="true"/>
        </w:rPr>
        <w:t>إزالة البكارة</w:t>
      </w:r>
      <w:bookmarkEnd w:id="2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للبكر إزالة بكارة نفسها بالإصبع أو العملية أو القفزة؟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تزوجت ولم يذهب الزوج بعد بكارتها لم يجز لها ذلك؛ لأنّها صارت من حق الزوج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لأنه تصرّف في نفسها، وليس من إزهاق روح أو قطع عضو أو إذهاب قوة، فمنتهى الأمر أن يكون ضرراً يسيراً، ومثله جائز لقاعدة السلطنة، وعدم الجواز؛ لأنه إضرار بالعنوان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لكن الأول أقرب إلى الصناعة، وإن كان الأحوط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الجواز في صورة الزواج؛ فلأنه صار حق الزوج فلا يجوز لها</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منفياً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في الرفع على القطع بالضرر ضرري، والضرر منفي،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ينبغي أن يلاحظ أنّ الخوف موضوعي أو طريقي؟</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كلياً، خصوصاً في بعض بلاد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الضرر يسيراً 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بعملية جراحية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تريد أن تتزوج فلا يحصل ذلك الإضرار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الأولى الاستدلال بأنه منكر في أذهان المتشرعة، فتأمل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257" w:name="pg15697_168981"/>
    </w:p>
    <w:p>
      <w:pPr>
        <w:pStyle w:val="BookText"/>
        <w:rPr/>
      </w:pPr>
      <w:bookmarkEnd w:id="257"/>
      <w:r>
        <w:rPr>
          <w:rFonts w:ascii="Amiri" w:hAnsi="Amiri" w:eastAsia="Amiri" w:cs="Amiri"/>
          <w:color w:val="111111"/>
          <w:sz w:val="28"/>
          <w:sz w:val="28"/>
          <w:szCs w:val="28"/>
          <w:rtl w:val="true"/>
          <w:lang w:bidi="ar-SA"/>
        </w:rPr>
        <w:t>التصرف فيه، فإنّ العرف يراه حقاً له</w:t>
      </w:r>
      <w:r>
        <w:rPr>
          <w:rStyle w:val="FootnoteAnchor"/>
          <w:rtl w:val="true"/>
        </w:rPr>
        <w:footnoteReference w:id="412"/>
      </w:r>
      <w:r>
        <w:rPr>
          <w:rFonts w:ascii="Amiri" w:hAnsi="Amiri" w:eastAsia="Amiri" w:cs="Amiri"/>
          <w:color w:val="111111"/>
          <w:sz w:val="28"/>
          <w:sz w:val="28"/>
          <w:szCs w:val="28"/>
          <w:rtl w:val="true"/>
          <w:lang w:bidi="ar-SA"/>
        </w:rPr>
        <w:t>، وربما يقال بالأمرين في البضع محل اختتان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للزوج رفع البكارة بالإصبع ونحوه؟ لا يبعد ذلك إذا لم يتمكن من رفعها بالمتعارف، أما إذا تمكن فاحتمال العدم من جهة أنه نوع إهانة</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إلا إذا كان برضاها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شرطت الزوجة عدم إزالة بكارتها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أو دواماً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فأزالها فعل حراماً وكان عليه الدية</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11915208_2142443653"/>
      <w:bookmarkStart w:id="259" w:name="_Toc91"/>
      <w:bookmarkEnd w:id="258"/>
      <w:r>
        <w:rPr>
          <w:rtl w:val="true"/>
        </w:rPr>
        <w:t>السينماءات المفزعة</w:t>
      </w:r>
      <w:bookmarkEnd w:id="2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السينماءات التي توجب الخوف والفزع الضارين ضرراً بالغاً، وكذلك التمثيليات المشابهة، لاستعراض الأمور الهائلة، لا يجوز؛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أوجب الخوف أو الضرر غير البالغ فلا إشكال فيه، وذلك لما ذكر من انصراف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الأدلة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في حدّ ذاته ليس 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ولوجود الدليل الخارجي، كعمل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راجع الشعائر</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 وراجع المسألة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وكما لا يجوز حضورها لما ذكر، لا يجوز عرضها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بعض يخاف خوفاً شديداً ضاراً وبعض لا يخاف، حرم الحضور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 إحداث</w:t>
      </w:r>
      <w:r>
        <w:rPr>
          <w:rStyle w:val="FootnoteAnchor"/>
          <w:rtl w:val="true"/>
        </w:rPr>
        <w:footnoteReference w:id="418"/>
      </w:r>
      <w:r>
        <w:rPr>
          <w:rFonts w:ascii="Amiri" w:hAnsi="Amiri" w:eastAsia="Amiri" w:cs="Amiri"/>
          <w:color w:val="111111"/>
          <w:sz w:val="28"/>
          <w:sz w:val="28"/>
          <w:szCs w:val="28"/>
          <w:rtl w:val="true"/>
          <w:lang w:bidi="ar-SA"/>
        </w:rPr>
        <w:t xml:space="preserve"> الأصوات المزعجة أو ما أشبه ذلك، ومع الاضطرار في المزعجات يجب التنبيه، كمرور الطائرات الخارقة لحاجب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إعطاء الغرامة للتخويف بغير حق</w:t>
      </w:r>
      <w:r>
        <w:rPr>
          <w:rStyle w:val="FootnoteAnchor"/>
          <w:rtl w:val="true"/>
        </w:rPr>
        <w:footnoteReference w:id="419"/>
      </w:r>
      <w:r>
        <w:rPr>
          <w:rFonts w:ascii="Amiri" w:hAnsi="Amiri" w:eastAsia="Amiri" w:cs="Amiri"/>
          <w:color w:val="111111"/>
          <w:sz w:val="28"/>
          <w:sz w:val="28"/>
          <w:szCs w:val="28"/>
          <w:rtl w:val="true"/>
          <w:lang w:bidi="ar-SA"/>
        </w:rPr>
        <w:t>؛ لأنه تصرف غير جائز، فاللازم تداركه وضعاً بالغرامة</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وتكليفاً بالاستغفار،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الإيذاء محرم مطلقاً، وليس كالسابق</w:t>
      </w:r>
      <w:r>
        <w:rPr>
          <w:rFonts w:eastAsia="Amiri" w:cs="Amiri" w:ascii="Amiri" w:hAnsi="Amiri"/>
          <w:color w:val="111111"/>
          <w:sz w:val="28"/>
          <w:szCs w:val="28"/>
          <w:rtl w:val="true"/>
          <w:lang w:bidi="ar-SA"/>
        </w:rPr>
        <w:t>.</w:t>
      </w:r>
    </w:p>
    <w:p>
      <w:pPr>
        <w:pStyle w:val="BookText"/>
        <w:rPr/>
      </w:pP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أيضاً؛ إذ لا فرق في ترتب الأثر الوضعي بين أن يكون محقاً أو لا، كأكل المخمصة، وقد تأمل المصنف في كتاب الأمر بالمعروف</w:t>
      </w:r>
      <w:r>
        <w:rPr>
          <w:rStyle w:val="FootnoteAnchor"/>
          <w:rtl w:val="true"/>
        </w:rPr>
        <w:footnoteReference w:id="422"/>
      </w:r>
      <w:r>
        <w:rPr>
          <w:rFonts w:ascii="Amiri" w:hAnsi="Amiri" w:eastAsia="Amiri" w:cs="Amiri"/>
          <w:color w:val="111111"/>
          <w:sz w:val="28"/>
          <w:sz w:val="28"/>
          <w:szCs w:val="28"/>
          <w:rtl w:val="true"/>
          <w:lang w:bidi="ar-SA"/>
        </w:rPr>
        <w:t xml:space="preserve">في ذلك،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أو للملازمة العرفية، إلا أنّ المشهور لم يرتضوا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وجوب الاستغفار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عليها ظاهراً؛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عليه لا ضرر بناءً على 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غير 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ولحكم العقلاء، وللأولوية من أرش الخدش، فتأمل وراجع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260" w:name="pg15697_168983"/>
    </w:p>
    <w:p>
      <w:pPr>
        <w:pStyle w:val="BookText"/>
        <w:rPr/>
      </w:pPr>
      <w:bookmarkEnd w:id="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غمز</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الآخر الأرش</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xml:space="preserve">، ويؤيده إعطاء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للتخويف في قصة قتل خالد بن الوليد بعض المسلمين وإخافة ذويهم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1" w:name="__RefHeading___Toc11915210_2142443653"/>
      <w:bookmarkStart w:id="262" w:name="_Toc92"/>
      <w:bookmarkEnd w:id="261"/>
      <w:r>
        <w:rPr>
          <w:rtl w:val="true"/>
        </w:rPr>
        <w:t>الإنسان الجديد</w:t>
      </w:r>
      <w:bookmarkEnd w:id="26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الإنسان قطعاً، ثم رجعت إليه الحياة بالتنفّس الاصطناعي</w:t>
      </w:r>
      <w:r>
        <w:rPr>
          <w:rStyle w:val="FootnoteAnchor"/>
          <w:rtl w:val="true"/>
        </w:rPr>
        <w:footnoteReference w:id="4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إنسان جديد لا يحكم بأن</w:t>
      </w:r>
    </w:p>
    <w:p>
      <w:pPr>
        <w:pStyle w:val="BookText"/>
        <w:rPr/>
      </w:pP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بالدعاء مثلاً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المال السابق له، ولا الزوجة السابقة زوجته، أو إنسان قديم؟ احتمالان</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أما بالنسبة إلى الأقرباء ونحوهم فالظاهر أنه محكوم بحكم الإنسان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أنه هو الإنسان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المعجزات من إحياء الأموات، حيث لم يذكر أنهم تزوجوا نساءهم وأزواجهم بعقد جديد، كما في قصة أرميا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ومعجزة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بالنسبة إلى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انقطع</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الحالة السابقة، فهو موضوع جديد، فيجوز له تزويج الخامسة فوراً وهكذا جاز لها التزويج بعد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يفصل بين أن تزوجت زوجته أم لا، أو قسم ماله أو لا، تنظيراً بإسلام الوارث بعد تقسيم المال فتأمّل</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عرفاً الإنسان القديم نفسه، فيكون محكوماً بأحكامه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 كذلك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لأنّه قياس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263" w:name="pg15697_168985"/>
    </w:p>
    <w:p>
      <w:pPr>
        <w:pStyle w:val="Heading2"/>
        <w:numPr>
          <w:ilvl w:val="1"/>
          <w:numId w:val="1"/>
        </w:numPr>
        <w:rPr/>
      </w:pPr>
      <w:bookmarkStart w:id="264" w:name="__RefHeading___Toc11915212_2142443653"/>
      <w:bookmarkStart w:id="265" w:name="_Toc93"/>
      <w:bookmarkEnd w:id="263"/>
      <w:bookmarkEnd w:id="264"/>
      <w:r>
        <w:rPr>
          <w:rtl w:val="true"/>
        </w:rPr>
        <w:t>تبديد القمر</w:t>
      </w:r>
      <w:bookmarkEnd w:id="26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أمكن تبديد القمر بالوسائل العلمية، كالقنابل الهيدروجينية لم يجز؛ لأنّ المستفاد من الأدلة أنّ الهرج والمرج في الأمور النظامية لا يجوز، فكيف بالأمور الكونية المسببة للأضرار</w:t>
      </w:r>
      <w:r>
        <w:rPr>
          <w:rStyle w:val="FootnoteAnchor"/>
          <w:rtl w:val="true"/>
        </w:rPr>
        <w:footnoteReference w:id="429"/>
      </w:r>
      <w:r>
        <w:rPr>
          <w:rFonts w:ascii="Amiri" w:hAnsi="Amiri" w:eastAsia="Amiri" w:cs="Amiri"/>
          <w:color w:val="111111"/>
          <w:sz w:val="28"/>
          <w:sz w:val="28"/>
          <w:szCs w:val="28"/>
          <w:rtl w:val="true"/>
          <w:lang w:bidi="ar-SA"/>
        </w:rPr>
        <w:t xml:space="preserve"> البالغة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حال كل نافع للإنسان بما هو إنسان، فلا يكفي أن يرضى بذلك جيل واحد، أو فرض رضاية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أجيال، إذ هو لكل الأجيال، وهل يأتي ذلك فيما إذا أريد تغيير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البحار من مكان إلى مكان آخر، أو الجبال أو الغابات، أو تبديد قسم منها؟ لا يبعد المنع لنفس العلة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إلا في صورة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وأنه حقٌّ لكل الأجيال، بدليل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في الآيات الكريمة، وراجع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بحث أنه لا يحق لجيل أن يستبد بجميع الخيرات، كالنفط</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 إلا مع الضرر العظيم، ولا يعد ذلك تصرفاً في حق الأجيال عرفاً،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البالغ للأجيال القادمة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266" w:name="pg15697_168986"/>
    </w:p>
    <w:p>
      <w:pPr>
        <w:pStyle w:val="Heading2"/>
        <w:numPr>
          <w:ilvl w:val="1"/>
          <w:numId w:val="1"/>
        </w:numPr>
        <w:rPr/>
      </w:pPr>
      <w:bookmarkStart w:id="267" w:name="__RefHeading___Toc11915214_2142443653"/>
      <w:bookmarkStart w:id="268" w:name="_Toc94"/>
      <w:bookmarkEnd w:id="266"/>
      <w:bookmarkEnd w:id="267"/>
      <w:r>
        <w:rPr>
          <w:rtl w:val="true"/>
        </w:rPr>
        <w:t>الحيوانات القليلة الوجود</w:t>
      </w:r>
      <w:bookmarkEnd w:id="2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للدولة الإسلامية منع اصطياد الحيوانات القليلة الوجود للإبقاء على نسلها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تفعله الحكومات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الأقوى حقها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في المنع؛ لأنه نوع من الفساد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في الأرض عرفاً،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قضية السفينة في الطوفان، وإن كان الفعل أعم من الوجوب، وراجع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النفقات من النكاح، نفقات الحيوان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مشمول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وَيَسْعَوْنَ فِي الأَرْضِ فَسَاداً</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لتفسيره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قطاع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الشريفة</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مشمول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الفَسَادَ</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آيات وردت فيها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والإفساد</w:t>
      </w:r>
      <w:r>
        <w:rPr>
          <w:rStyle w:val="FootnoteAnchor"/>
          <w:rtl w:val="true"/>
        </w:rPr>
        <w:footnoteReference w:id="441"/>
      </w:r>
      <w:r>
        <w:rPr>
          <w:rFonts w:ascii="IRNazanin" w:hAnsi="IRNazanin" w:eastAsia="IRNazanin"/>
          <w:color w:val="111111"/>
          <w:sz w:val="28"/>
          <w:sz w:val="28"/>
          <w:szCs w:val="28"/>
          <w:rtl w:val="true"/>
          <w:lang w:bidi="fa-IR"/>
        </w:rPr>
        <w:t>، والمحرمات، بحث</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269" w:name="pg15697_168987"/>
    </w:p>
    <w:p>
      <w:pPr>
        <w:pStyle w:val="BookText"/>
        <w:rPr/>
      </w:pPr>
      <w:bookmarkEnd w:id="269"/>
      <w:r>
        <w:rPr>
          <w:rFonts w:ascii="Amiri" w:hAnsi="Amiri" w:eastAsia="Amiri" w:cs="Amiri"/>
          <w:color w:val="111111"/>
          <w:sz w:val="28"/>
          <w:sz w:val="28"/>
          <w:szCs w:val="28"/>
          <w:rtl w:val="true"/>
          <w:lang w:bidi="ar-SA"/>
        </w:rPr>
        <w:t>ولقوله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وَيُهْلِكَ الْحَرْثَ وَالنَّسْلَ</w:t>
      </w:r>
      <w:r>
        <w:rPr>
          <w:rFonts w:eastAsia="Amiri" w:cs="Amiri" w:ascii="Amiri" w:hAnsi="Amiri"/>
          <w:color w:val="111111"/>
          <w:sz w:val="28"/>
          <w:szCs w:val="28"/>
          <w:rtl w:val="true"/>
          <w:lang w:bidi="ar-SA"/>
        </w:rPr>
        <w:t>}</w:t>
      </w:r>
      <w:r>
        <w:rPr>
          <w:rStyle w:val="FootnoteAnchor"/>
          <w:rtl w:val="true"/>
        </w:rPr>
        <w:footnoteReference w:id="442"/>
      </w:r>
      <w:r>
        <w:rPr>
          <w:rStyle w:val="FootnoteAnchor"/>
          <w:rtl w:val="true"/>
        </w:rPr>
        <w:footnoteReference w:id="443"/>
      </w:r>
      <w:r>
        <w:rPr>
          <w:rFonts w:ascii="Amiri" w:hAnsi="Amiri" w:eastAsia="Amiri" w:cs="Amiri"/>
          <w:color w:val="111111"/>
          <w:sz w:val="28"/>
          <w:sz w:val="28"/>
          <w:szCs w:val="28"/>
          <w:rtl w:val="true"/>
          <w:lang w:bidi="ar-SA"/>
        </w:rPr>
        <w:t>أما الوجه الآخر فهو الجواز لأصالة حل كل شيء إلا ما خرج، وليس هذا من المستثنى، ومما تقدم يظهر عدم جواز ذلك للإنسان نفسه</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11915216_2142443653"/>
      <w:bookmarkStart w:id="271" w:name="_Toc95"/>
      <w:bookmarkEnd w:id="270"/>
      <w:r>
        <w:rPr>
          <w:rtl w:val="true"/>
        </w:rPr>
        <w:t>تلحيم العظام</w:t>
      </w:r>
      <w:bookmarkEnd w:id="27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تلحيم العظام المخلّفة في الحفريات للحيوانات المنقرضة حتى يرجع جسم الحيوان؟ إن قلنا بأنّ صنع المجسمة جائز إلا للعبادة، كما ربما قيل بذلك، لم يكن به بأس، وإلا ففي الجواز احتمالان، والجواز أقرب الاحتمالين إذا كان سبباً</w:t>
      </w:r>
      <w:r>
        <w:rPr>
          <w:rStyle w:val="FootnoteAnchor"/>
          <w:rtl w:val="true"/>
        </w:rPr>
        <w:footnoteReference w:id="444"/>
      </w:r>
      <w:r>
        <w:rPr>
          <w:rFonts w:ascii="Amiri" w:hAnsi="Amiri" w:eastAsia="Amiri" w:cs="Amiri"/>
          <w:color w:val="111111"/>
          <w:sz w:val="28"/>
          <w:sz w:val="28"/>
          <w:szCs w:val="28"/>
          <w:rtl w:val="true"/>
          <w:lang w:bidi="ar-SA"/>
        </w:rPr>
        <w:t xml:space="preserve"> لكشف علمي ينفع الإنسان في تقدم الحضارة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في الفقه جواز صنع المجسمة لغير العبادة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غاية الأمر الكراهية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أفتى بذلك أيضاً جماعة من الفقهاء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الفساد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قضية خارجية فلا تفيد العموم، والفساد منصرف عن أمثال ذلك في أذهان المتشرعة،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كونه محترماً فذلك لا يفيد في الجواز</w:t>
      </w:r>
      <w:r>
        <w:rPr>
          <w:rFonts w:eastAsia="Amiri" w:cs="Amiri" w:ascii="Amiri" w:hAnsi="Amiri"/>
          <w:color w:val="111111"/>
          <w:sz w:val="28"/>
          <w:szCs w:val="28"/>
          <w:rtl w:val="true"/>
          <w:lang w:bidi="ar-SA"/>
        </w:rPr>
        <w:t>.</w:t>
      </w:r>
    </w:p>
    <w:p>
      <w:pPr>
        <w:pStyle w:val="BookText"/>
        <w:rPr/>
      </w:pP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تترتب عليه مفسدة خارجية كإضلال الناس</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272" w:name="pg15697_168988"/>
    </w:p>
    <w:p>
      <w:pPr>
        <w:pStyle w:val="BookText"/>
        <w:rPr/>
      </w:pPr>
      <w:bookmarkEnd w:id="272"/>
      <w:r>
        <w:rPr>
          <w:rFonts w:ascii="Amiri" w:hAnsi="Amiri" w:eastAsia="Amiri" w:cs="Amiri"/>
          <w:color w:val="111111"/>
          <w:sz w:val="28"/>
          <w:sz w:val="28"/>
          <w:szCs w:val="28"/>
          <w:rtl w:val="true"/>
          <w:lang w:bidi="ar-SA"/>
        </w:rPr>
        <w:t xml:space="preserve">ومن ذلك ينشأ فرع آخر، وهو أنه هل يجوز صنع الإنسان الشبيه بالميت من المواد، كما صنع البوذيون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لحوم ثلاثة آلاف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نقلته بعض الصحف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الجواز لغير العبادة من لحم حيوان أو مطاط أو ما أشبه، لا من لحم الإنسان؛ لأنه تمثيل</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بالكلب العقور، إلا إذا كانت من أجزاء فصلت عن الجسم بعملية جراحية، وفيه أيضاً إشكال</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أيضاً جعل ذلك الإنسان المصنوع يتكلم بواسطة المسجلة وما أشبه إن لم يوجب فتنة وضلالاً</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11915218_2142443653"/>
      <w:bookmarkStart w:id="274" w:name="_Toc96"/>
      <w:bookmarkEnd w:id="273"/>
      <w:r>
        <w:rPr>
          <w:rtl w:val="true"/>
        </w:rPr>
        <w:t>الآثار القديمة</w:t>
      </w:r>
      <w:bookmarkEnd w:id="2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القديمة التي لا يملكها أحد إذا استولى عليها إنسان أو سلطة تكون له،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 إلى المباحات</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فيجوز للمتسلّط أن يمنع الناس عن مشاهدته والدخول فيه، إلا بأجر، ونحو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مقتضى تسلّط الناس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على أموالهم، فما تفعله بعض الحكومات</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جارٍ حتى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لحم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فالجواز محل تأمل، إلا أن يفصله من الميت والحي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لأنه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 ميتاً كحرمته وهو حي</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لوجوب 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كونه ماله، والموضوع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لا يتكفل موضوعه،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275" w:name="pg15697_168989"/>
    </w:p>
    <w:p>
      <w:pPr>
        <w:pStyle w:val="BookText"/>
        <w:rPr/>
      </w:pPr>
      <w:bookmarkEnd w:id="275"/>
      <w:r>
        <w:rPr>
          <w:rFonts w:ascii="Amiri" w:hAnsi="Amiri" w:eastAsia="Amiri" w:cs="Amiri"/>
          <w:color w:val="111111"/>
          <w:sz w:val="28"/>
          <w:sz w:val="28"/>
          <w:szCs w:val="28"/>
          <w:rtl w:val="true"/>
          <w:lang w:bidi="ar-SA"/>
        </w:rPr>
        <w:t>من أخذ ذلك الأثر من الواجد بالقوة لا شرعية له، نعم يصح الاشتراء منه أو ما أشبه مما يرضى به</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11915220_2142443653"/>
      <w:bookmarkStart w:id="277" w:name="_Toc97"/>
      <w:bookmarkEnd w:id="276"/>
      <w:r>
        <w:rPr>
          <w:rtl w:val="true"/>
        </w:rPr>
        <w:t>حضور متاحف الفراعنة</w:t>
      </w:r>
      <w:bookmarkEnd w:id="2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حضور المتاحف التي وضعت فيها الأجساد القديمة، كأجساد الفراعنة في مصر، أو أجساد الشخصيات في الزجاجات، كما في بعض البلاد، حيث حفظوا أجساد شخصياتهم، ووضعوها في الزجاج لأجل النظر والعبرة</w:t>
      </w:r>
      <w:r>
        <w:rPr>
          <w:rStyle w:val="FootnoteAnchor"/>
          <w:rtl w:val="true"/>
        </w:rPr>
        <w:footnoteReference w:id="452"/>
      </w:r>
      <w:r>
        <w:rPr>
          <w:rFonts w:ascii="Amiri" w:hAnsi="Amiri" w:eastAsia="Amiri" w:cs="Amiri"/>
          <w:color w:val="111111"/>
          <w:sz w:val="28"/>
          <w:sz w:val="28"/>
          <w:szCs w:val="28"/>
          <w:rtl w:val="true"/>
          <w:lang w:bidi="ar-SA"/>
        </w:rPr>
        <w:t>، أما نظر الرجل إلى المرأة المحنطة وبالعكس، فحاله حال النظر إلى الأحياء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المستثنى منه لإطلاق الأدلة، وحتى إذا قلنا بوجوب الدفن فذلك غير مانع عن النظر، والمستثنى لإطلاق أدلة المنع عن النظر إلا إذا كان المنظور إليه كافراً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فإنه يجوز النظر إليه بالقدر المقرّر في كتاب</w:t>
      </w:r>
    </w:p>
    <w:p>
      <w:pPr>
        <w:pStyle w:val="BookText"/>
        <w:rPr/>
      </w:pPr>
      <w:r>
        <w:rPr>
          <w:rFonts w:ascii="Amiri" w:hAnsi="Amiri" w:eastAsia="Amiri" w:cs="Amiri"/>
          <w:color w:val="111111"/>
          <w:sz w:val="28"/>
          <w:sz w:val="28"/>
          <w:szCs w:val="28"/>
          <w:rtl w:val="true"/>
          <w:lang w:bidi="ar-SA"/>
        </w:rPr>
        <w:t>فالأولى الاستدلال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لا يسبقه إليه مسلم فهو أحق به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المالية تثبت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أن يمنع يثبت بقاعدة التسلط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يكون محذور خارجي كالإضلال والضلال</w:t>
      </w:r>
      <w:r>
        <w:rPr>
          <w:rFonts w:eastAsia="Amiri" w:cs="Amiri" w:ascii="Amiri" w:hAnsi="Amiri"/>
          <w:color w:val="111111"/>
          <w:sz w:val="28"/>
          <w:szCs w:val="28"/>
          <w:rtl w:val="true"/>
          <w:lang w:bidi="ar-SA"/>
        </w:rPr>
        <w:t>.</w:t>
      </w:r>
    </w:p>
    <w:p>
      <w:pPr>
        <w:pStyle w:val="BookText"/>
        <w:rPr/>
      </w:pP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المسلم بالمقدار الجائز، كالوجه والكفين في المرأة، وما تعارف في الرجل، على تفصيل مذكور في كتاب النكاح</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278" w:name="pg15697_168990"/>
    </w:p>
    <w:p>
      <w:pPr>
        <w:pStyle w:val="BookText"/>
        <w:rPr/>
      </w:pPr>
      <w:bookmarkEnd w:id="278"/>
      <w:r>
        <w:rPr>
          <w:rFonts w:ascii="Amiri" w:hAnsi="Amiri" w:eastAsia="Amiri" w:cs="Amiri"/>
          <w:color w:val="111111"/>
          <w:sz w:val="28"/>
          <w:sz w:val="28"/>
          <w:szCs w:val="28"/>
          <w:rtl w:val="true"/>
          <w:lang w:bidi="ar-SA"/>
        </w:rPr>
        <w:t>النكاح من النظر إلى الكفّار</w:t>
      </w:r>
      <w:r>
        <w:rPr>
          <w:rStyle w:val="FootnoteAnchor"/>
          <w:rtl w:val="true"/>
        </w:rPr>
        <w:footnoteReference w:id="458"/>
      </w:r>
      <w:r>
        <w:rPr>
          <w:rFonts w:ascii="Amiri" w:hAnsi="Amiri" w:eastAsia="Amiri" w:cs="Amiri"/>
          <w:color w:val="111111"/>
          <w:sz w:val="28"/>
          <w:sz w:val="28"/>
          <w:szCs w:val="28"/>
          <w:rtl w:val="true"/>
          <w:lang w:bidi="ar-SA"/>
        </w:rPr>
        <w:t>، وحكم اللمس</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ذكر هناك</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11915222_2142443653"/>
      <w:bookmarkStart w:id="280" w:name="_Toc98"/>
      <w:bookmarkEnd w:id="279"/>
      <w:r>
        <w:rPr>
          <w:rtl w:val="true"/>
        </w:rPr>
        <w:t>إيقاف الشمس</w:t>
      </w:r>
      <w:bookmarkEnd w:id="2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إيقاف الأرض، أو الشمس كما يحتمله العلم الحديث، مما يسبب إضرار</w:t>
      </w:r>
      <w:r>
        <w:rPr>
          <w:rStyle w:val="FootnoteAnchor"/>
          <w:rtl w:val="true"/>
        </w:rPr>
        <w:footnoteReference w:id="459"/>
      </w:r>
      <w:r>
        <w:rPr>
          <w:rFonts w:ascii="Amiri" w:hAnsi="Amiri" w:eastAsia="Amiri" w:cs="Amiri"/>
          <w:color w:val="111111"/>
          <w:sz w:val="28"/>
          <w:sz w:val="28"/>
          <w:szCs w:val="28"/>
          <w:rtl w:val="true"/>
          <w:lang w:bidi="ar-SA"/>
        </w:rPr>
        <w:t xml:space="preserve"> أهل الأرض، لم يجز؛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تصرف كوني يكون كذلك ويأتي فيه الضمان بشروطه</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11915224_2142443653"/>
      <w:bookmarkStart w:id="282" w:name="_Toc99"/>
      <w:bookmarkEnd w:id="281"/>
      <w:r>
        <w:rPr>
          <w:rtl w:val="true"/>
        </w:rPr>
        <w:t>الأمراض المعدية</w:t>
      </w:r>
      <w:bookmarkEnd w:id="28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460"/>
      </w:r>
      <w:r>
        <w:rPr>
          <w:rFonts w:ascii="Amiri" w:hAnsi="Amiri" w:eastAsia="Amiri" w:cs="Amiri"/>
          <w:color w:val="111111"/>
          <w:sz w:val="28"/>
          <w:sz w:val="28"/>
          <w:szCs w:val="28"/>
          <w:rtl w:val="true"/>
          <w:lang w:bidi="ar-SA"/>
        </w:rPr>
        <w:t xml:space="preserve"> للمريض الذي لمرضه عدوى أن يبقى في</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منكر في أذهان المتشرعة وكذا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منصرفة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الانصراف فكونه منكراً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إضراراً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التفصيل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تعارف، كالمزكوم يحضر المجامع العامة، وقد جرت عليه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حق له في التسبيب في غير ذلك كأن يقبله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تجرِ عليه السيرة، كالمصاب بالجذام يحضر المجامع العامة، فإنّ الظاهر حرمته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المجتمع، مما يسبب العدوى</w:t>
      </w:r>
      <w:r>
        <w:rPr>
          <w:rStyle w:val="FootnoteAnchor"/>
          <w:rtl w:val="true"/>
        </w:rPr>
        <w:footnoteReference w:id="463"/>
      </w:r>
      <w:r>
        <w:rPr>
          <w:rFonts w:ascii="Amiri" w:hAnsi="Amiri" w:eastAsia="Amiri" w:cs="Amiri"/>
          <w:color w:val="111111"/>
          <w:sz w:val="28"/>
          <w:sz w:val="28"/>
          <w:szCs w:val="28"/>
          <w:rtl w:val="true"/>
          <w:lang w:bidi="ar-SA"/>
        </w:rPr>
        <w:t xml:space="preserve"> إلى الآخرين، وإن كان الضرر الذي يصاب به الآخر طفيفاً، مثلاً كحمى يوم؛ لأنه لا يجوز الإضرار بالغير ولو قليلاً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في الكتب الفقهية يشمل ثلاثة أمور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تشريع الضرر غير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لا يحق له أن يضرر نفسه ضرراً بالغاً، وإنما قيدناه بالبالغ؛ لأنّ غير البالغ جائز، ولذا</w:t>
      </w:r>
      <w:r>
        <w:rPr>
          <w:rStyle w:val="FootnoteAnchor"/>
          <w:rtl w:val="true"/>
        </w:rPr>
        <w:footnoteReference w:id="464"/>
      </w:r>
      <w:r>
        <w:rPr>
          <w:rFonts w:ascii="IRNazanin" w:hAnsi="IRNazanin" w:eastAsia="IRNazanin"/>
          <w:color w:val="111111"/>
          <w:sz w:val="28"/>
          <w:sz w:val="28"/>
          <w:szCs w:val="28"/>
          <w:rtl w:val="true"/>
          <w:lang w:bidi="fa-IR"/>
        </w:rPr>
        <w:t xml:space="preserve"> وقف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العبادة حتى تورّمت قدماهما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حق السلطنة على نفسه، فله حق أن يمشي في السوق، والآخرون إن أحبوا فليبتعدوا عنه، ويدل عليه أنّ المزكومين يخرجون عادة ولا يعتكفون في البيوت، ولو كان محرماً لفعله الأولياء والصالحون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حق له أن يكون مسبباً، كأن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وراجع تفصيل الهامش</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جامع؟ وهل أنّ استخدام اللفظ في الجامع عُرفي؟</w:t>
      </w:r>
    </w:p>
    <w:p>
      <w:pPr>
        <w:pStyle w:val="BookText"/>
        <w:rPr/>
      </w:pP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دليلان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سبقت الإشارة لذلك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 وراجع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83" w:name="pg15697_168992"/>
    </w:p>
    <w:p>
      <w:pPr>
        <w:pStyle w:val="BookText"/>
        <w:rPr/>
      </w:pPr>
      <w:bookmarkEnd w:id="283"/>
      <w:r>
        <w:rPr>
          <w:rFonts w:ascii="IRNazanin" w:hAnsi="IRNazanin" w:eastAsia="IRNazanin"/>
          <w:color w:val="111111"/>
          <w:sz w:val="28"/>
          <w:sz w:val="28"/>
          <w:szCs w:val="28"/>
          <w:rtl w:val="true"/>
          <w:lang w:bidi="fa-IR"/>
        </w:rPr>
        <w:t>الثالث</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لا يحق له أن يضرر الآخرين ولو ضرراً غير بالغ إلا برضاهم، وإذا أضرهم بالغاً أو غير بالغ بغير رضاهم كان عليه الغرامة</w:t>
      </w: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 إلا في موارد القصاص ونحوه</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11915226_2142443653"/>
      <w:bookmarkStart w:id="285" w:name="_Toc100"/>
      <w:bookmarkEnd w:id="284"/>
      <w:r>
        <w:rPr>
          <w:rtl w:val="true"/>
        </w:rPr>
        <w:t>تلحيم الأعضاء</w:t>
      </w:r>
      <w:bookmarkEnd w:id="28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تلحيم بعض أجزاء الإنسان بلحم أو عظم، كما لو لحم وجهه أو يده بما يسبب صحته وجماله، أو لحم إصبعه الناقصة عظمة،</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أيضاً من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لو قيل بالمفهوم فإنّ معناه أنّ الآخرين لا سلطنة 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لو قيل بالمفهوم،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الولاية، فالآخرون لا ولاية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الإيذاء</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التحديد الشرعي يدل على نفي الغرامة عما عدا الموارد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بعظمة أخرى حتى تساوي سائر الأصابع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يجوز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لإطلاق أدلة الحل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بل التجميل غير المحرّم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مستحب، فإنّ اللّه جميل ويحب الجمال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ولا فرق بين أن يكون اللحم أو العظم من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جائزاً أخذه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حيوان أو مواد صناعية كالبلاستيك</w:t>
      </w:r>
      <w:r>
        <w:rPr>
          <w:rFonts w:eastAsia="Amiri" w:cs="Amiri" w:ascii="Amiri" w:hAnsi="Amiri"/>
          <w:color w:val="111111"/>
          <w:sz w:val="28"/>
          <w:szCs w:val="28"/>
          <w:rtl w:val="true"/>
          <w:lang w:bidi="ar-SA"/>
        </w:rPr>
        <w:t>.</w:t>
      </w:r>
    </w:p>
    <w:p>
      <w:pPr>
        <w:pStyle w:val="BookText"/>
        <w:rPr/>
      </w:pP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سبق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تغيير خلق نفسه محرم،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نوعان، أو هو منصرف عن مثل ذلك، أو السيرة قائمة على جواز مثل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الأطباء السابقون يفعلونه فراجع</w:t>
      </w:r>
      <w:r>
        <w:rPr>
          <w:rStyle w:val="FootnoteAnchor"/>
          <w:rtl w:val="true"/>
        </w:rPr>
        <w:footnoteReference w:id="478"/>
      </w: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يستدل بإقرار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لأعمال الأطباء، وهذا مبتنٍ على نكتة ارتكازية من شأنها أن تسري إلى ما نحن فيه، فيكون إمضاءً لتلك النكتة،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الأصول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w:t>
      </w:r>
      <w:r>
        <w:rPr>
          <w:rStyle w:val="FootnoteAnchor"/>
          <w:rtl w:val="true"/>
        </w:rPr>
        <w:footnoteReference w:id="479"/>
      </w:r>
      <w:r>
        <w:rPr>
          <w:rFonts w:ascii="Amiri" w:hAnsi="Amiri" w:eastAsia="Amiri" w:cs="Amiri"/>
          <w:color w:val="111111"/>
          <w:sz w:val="28"/>
          <w:sz w:val="28"/>
          <w:szCs w:val="28"/>
          <w:rtl w:val="true"/>
          <w:lang w:bidi="ar-SA"/>
        </w:rPr>
        <w:t>، وحجية السيرة</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إصلاح البدن وعلم الأبدان والطب</w:t>
      </w:r>
      <w:r>
        <w:rPr>
          <w:rFonts w:eastAsia="Amiri" w:cs="Amiri" w:ascii="Amiri" w:hAnsi="Amiri"/>
          <w:color w:val="111111"/>
          <w:sz w:val="28"/>
          <w:szCs w:val="28"/>
          <w:rtl w:val="true"/>
          <w:lang w:bidi="ar-SA"/>
        </w:rPr>
        <w:t>.</w:t>
      </w:r>
    </w:p>
    <w:p>
      <w:pPr>
        <w:pStyle w:val="BookText"/>
        <w:rPr/>
      </w:pP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تجميل محترم، كتجميل المرأة السافرة نفسها،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مستحب لكنّ إبداءه محرم؟ فهو كالتعطر،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الحرام حرام،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286" w:name="pg15697_168994"/>
    </w:p>
    <w:p>
      <w:pPr>
        <w:pStyle w:val="Heading2"/>
        <w:numPr>
          <w:ilvl w:val="1"/>
          <w:numId w:val="1"/>
        </w:numPr>
        <w:rPr/>
      </w:pPr>
      <w:bookmarkStart w:id="287" w:name="__RefHeading___Toc11915228_2142443653"/>
      <w:bookmarkStart w:id="288" w:name="_Toc101"/>
      <w:bookmarkEnd w:id="286"/>
      <w:bookmarkEnd w:id="287"/>
      <w:r>
        <w:rPr>
          <w:rtl w:val="true"/>
        </w:rPr>
        <w:t>تشويه الإنسان</w:t>
      </w:r>
      <w:bookmarkEnd w:id="28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جواز ما يشوّه خلقة الإنسان، كالتركيب بين إنسانين، أو بين إنسان وبعض أجزاء إنسان آخر حتى يصبح ذا أربع أيادٍ أو ثلاث أرجل، فإنه من تغيير خلق</w:t>
      </w:r>
      <w:r>
        <w:rPr>
          <w:rStyle w:val="FootnoteAnchor"/>
          <w:rtl w:val="true"/>
        </w:rPr>
        <w:footnoteReference w:id="482"/>
      </w:r>
      <w:r>
        <w:rPr>
          <w:rFonts w:ascii="Amiri" w:hAnsi="Amiri" w:eastAsia="Amiri" w:cs="Amiri"/>
          <w:color w:val="111111"/>
          <w:sz w:val="28"/>
          <w:sz w:val="28"/>
          <w:szCs w:val="28"/>
          <w:rtl w:val="true"/>
          <w:lang w:bidi="ar-SA"/>
        </w:rPr>
        <w:t xml:space="preserve">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التوصيل النافع جائز كتبديل البيضة أو الكلية أو ما أشبه ذلك للإطلاقات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 وقد تقرّر في العلم الحديث حسب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تغيير أكثر من عشرين جزءاً في الإنسان، فهم يحسبون أن أجزاء الإنسان كأجزاء السيارة في قطع الغيار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w:t>
      </w:r>
    </w:p>
    <w:p>
      <w:pPr>
        <w:pStyle w:val="Heading2"/>
        <w:numPr>
          <w:ilvl w:val="1"/>
          <w:numId w:val="1"/>
        </w:numPr>
        <w:rPr/>
      </w:pPr>
      <w:bookmarkStart w:id="289" w:name="__RefHeading___Toc11915230_2142443653"/>
      <w:bookmarkStart w:id="290" w:name="_Toc102"/>
      <w:bookmarkEnd w:id="289"/>
      <w:r>
        <w:rPr>
          <w:rtl w:val="true"/>
        </w:rPr>
        <w:t>تركيب الحيوانات</w:t>
      </w:r>
      <w:bookmarkEnd w:id="29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بتركيب الحيوان وإن صار حيواناً جديداً، كما لو ركب رأس القرد على جسد الكلب أو العكس، كما لا بأس بتوصيل</w:t>
      </w:r>
    </w:p>
    <w:p>
      <w:pPr>
        <w:pStyle w:val="BookText"/>
        <w:rPr/>
      </w:pPr>
      <w:r>
        <w:rPr>
          <w:rFonts w:ascii="Amiri" w:hAnsi="Amiri" w:eastAsia="Amiri" w:cs="Amiri"/>
          <w:color w:val="111111"/>
          <w:sz w:val="28"/>
          <w:sz w:val="28"/>
          <w:szCs w:val="28"/>
          <w:rtl w:val="true"/>
          <w:lang w:bidi="ar-SA"/>
        </w:rPr>
        <w:t>ومقدمة المكروه مكروهة،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التأمل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 مصباح الفقاهة،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اللحية</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منكر في أذهان المتشرعة</w:t>
      </w:r>
      <w:r>
        <w:rPr>
          <w:rFonts w:eastAsia="Amiri" w:cs="Amiri" w:ascii="Amiri" w:hAnsi="Amiri"/>
          <w:color w:val="111111"/>
          <w:sz w:val="28"/>
          <w:szCs w:val="28"/>
          <w:rtl w:val="true"/>
          <w:lang w:bidi="ar-SA"/>
        </w:rPr>
        <w:t>.</w:t>
      </w:r>
    </w:p>
    <w:p>
      <w:pPr>
        <w:pStyle w:val="BookText"/>
        <w:rPr/>
      </w:pP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سبق في المسألة الماضية</w:t>
      </w:r>
      <w:r>
        <w:rPr>
          <w:rStyle w:val="FootnoteAnchor"/>
          <w:rtl w:val="true"/>
        </w:rPr>
        <w:footnoteReference w:id="486"/>
      </w: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حيوانين، كما لو خاط</w:t>
      </w:r>
      <w:r>
        <w:rPr>
          <w:rStyle w:val="FootnoteAnchor"/>
          <w:rtl w:val="true"/>
        </w:rPr>
        <w:footnoteReference w:id="487"/>
      </w:r>
      <w:r>
        <w:rPr>
          <w:rFonts w:ascii="Amiri" w:hAnsi="Amiri" w:eastAsia="Amiri" w:cs="Amiri"/>
          <w:color w:val="111111"/>
          <w:sz w:val="28"/>
          <w:sz w:val="28"/>
          <w:szCs w:val="28"/>
          <w:rtl w:val="true"/>
          <w:lang w:bidi="ar-SA"/>
        </w:rPr>
        <w:t xml:space="preserve"> كلباً بقرد، حتى أصبحا حيواناً واحداً ذا رأسين وثمان أيد وأرجل، لكن بشرط أن لا يكون ذلك إيذاءً محرماً للحيوان ولا يوجب محرّماً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المستثنى منه لإطلاق أدلة الحل إلا إذا صدق عرفاً أنه من تغيير خلق اللّه والمستثنى؛ لأن إيذاء الحيوان غير جائز، وقد ذكرنا ذلك في كتاب النكاح في باب نفقة الحيوان، نعم ذلك في غير الإيذاء المتعارف، كالحمل عليه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أو ضربه العادي لبطئه في المشي أو ما أشبه، كما لو توقف</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اكتشاف علمي</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أو طبي عليه، وأما 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خوف القصاص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خلق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فسرناه بما فسره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كله بالمقدار المتعارف، وأنّ الأكثر ففيه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نفقات النكاح</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أصل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أهم، وإلا فالإيذاء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المحرّمات، بحث الإيذاء</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لا يجوز المساوي؛ لأنّ الحرام لا يجوز ارتكابه إلا لأهم، وإلا فلا مسوغ لفعله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للقصاص مراتب، وبعضها يتحقق ولو كان الفعل مباحاً، كالعتاب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291" w:name="pg15697_168996"/>
    </w:p>
    <w:p>
      <w:pPr>
        <w:pStyle w:val="BookText"/>
        <w:rPr/>
      </w:pPr>
      <w:bookmarkEnd w:id="291"/>
      <w:r>
        <w:rPr>
          <w:rFonts w:ascii="Amiri" w:hAnsi="Amiri" w:eastAsia="Amiri" w:cs="Amiri"/>
          <w:color w:val="111111"/>
          <w:sz w:val="28"/>
          <w:sz w:val="28"/>
          <w:szCs w:val="28"/>
          <w:rtl w:val="true"/>
          <w:lang w:bidi="ar-SA"/>
        </w:rPr>
        <w:t>فهو للتنبيه</w:t>
      </w: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 لا لأنه محرم كما لا يخفى</w:t>
      </w:r>
      <w:r>
        <w:rPr>
          <w:rFonts w:eastAsia="Amiri" w:cs="Amiri" w:ascii="Amiri" w:hAnsi="Amiri"/>
          <w:color w:val="111111"/>
          <w:sz w:val="28"/>
          <w:szCs w:val="28"/>
          <w:rtl w:val="true"/>
          <w:lang w:bidi="ar-SA"/>
        </w:rPr>
        <w:t>.</w:t>
      </w:r>
    </w:p>
    <w:p>
      <w:pPr>
        <w:pStyle w:val="Heading2"/>
        <w:numPr>
          <w:ilvl w:val="1"/>
          <w:numId w:val="1"/>
        </w:numPr>
        <w:rPr/>
      </w:pPr>
      <w:bookmarkStart w:id="292" w:name="__RefHeading___Toc11915232_2142443653"/>
      <w:bookmarkStart w:id="293" w:name="_Toc103"/>
      <w:bookmarkEnd w:id="292"/>
      <w:r>
        <w:rPr>
          <w:rtl w:val="true"/>
        </w:rPr>
        <w:t>ما يسبب الاحتلام</w:t>
      </w:r>
      <w:bookmarkEnd w:id="2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 أو شرب شيء يسبب الاحتلام في المنام، فإنه ليس من الاستمناء</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عليه إطلاق أدلة الحل، ولا يكون عرفاً استمناءً، كما يجوز أكل</w:t>
      </w:r>
    </w:p>
    <w:p>
      <w:pPr>
        <w:pStyle w:val="BookText"/>
        <w:rPr/>
      </w:pPr>
      <w:r>
        <w:rPr>
          <w:rFonts w:ascii="Amiri" w:hAnsi="Amiri" w:eastAsia="Amiri" w:cs="Amiri"/>
          <w:color w:val="111111"/>
          <w:sz w:val="28"/>
          <w:sz w:val="28"/>
          <w:szCs w:val="28"/>
          <w:rtl w:val="true"/>
          <w:lang w:bidi="ar-SA"/>
        </w:rPr>
        <w:t>مثلاً، لكنه خلاف ظاهر لفظ القصاص،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والأولى ملاحظة سند الرواية</w:t>
      </w:r>
      <w:r>
        <w:rPr>
          <w:rStyle w:val="FootnoteAnchor"/>
          <w:rtl w:val="true"/>
        </w:rPr>
        <w:footnoteReference w:id="4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وراجع نفقات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إثارة للشهوة،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حرام مطلقاً ولو في المنام حرم،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تهييج الشهوة في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التشبيب بالغلام في المكاسب المحرمة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يقال بجريان السيرة على ذلك، حيث إنّ الناس يأكلون الأطعمة المقوية ليلاً مما يعلم علماً عادياً بأنه يخرج منه المني، ولو كان ذلك محرماً للزم التنبيه عليه،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294" w:name="pg15697_168997"/>
    </w:p>
    <w:p>
      <w:pPr>
        <w:pStyle w:val="BookText"/>
        <w:rPr/>
      </w:pPr>
      <w:bookmarkEnd w:id="294"/>
      <w:r>
        <w:rPr>
          <w:rFonts w:ascii="Amiri" w:hAnsi="Amiri" w:eastAsia="Amiri" w:cs="Amiri"/>
          <w:color w:val="111111"/>
          <w:sz w:val="28"/>
          <w:sz w:val="28"/>
          <w:szCs w:val="28"/>
          <w:rtl w:val="true"/>
          <w:lang w:bidi="ar-SA"/>
        </w:rPr>
        <w:t>أو شرب شيء يسبب عدم الاحتلام فيمن عادته الاحتلام لذلك الدليل، وكذلك الحال في رد الحيض أو منعه، وقد أشرنا إليه سابقاً</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11915234_2142443653"/>
      <w:bookmarkStart w:id="296" w:name="_Toc104"/>
      <w:bookmarkEnd w:id="295"/>
      <w:r>
        <w:rPr>
          <w:rtl w:val="true"/>
        </w:rPr>
        <w:t>الزكاة في الأوراق</w:t>
      </w:r>
      <w:bookmarkEnd w:id="2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النقدية</w:t>
      </w:r>
      <w:r>
        <w:rPr>
          <w:rStyle w:val="FootnoteAnchor"/>
          <w:rtl w:val="true"/>
        </w:rPr>
        <w:footnoteReference w:id="498"/>
      </w:r>
      <w:r>
        <w:rPr>
          <w:rFonts w:ascii="Amiri" w:hAnsi="Amiri" w:eastAsia="Amiri" w:cs="Amiri"/>
          <w:color w:val="111111"/>
          <w:sz w:val="28"/>
          <w:sz w:val="28"/>
          <w:szCs w:val="28"/>
          <w:rtl w:val="true"/>
          <w:lang w:bidi="ar-SA"/>
        </w:rPr>
        <w:t xml:space="preserve"> ليست من الأموال الزكوية، فلا تجب فيها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كانت حوالة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على النقدين كان في أصلها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الزكاة لا في نفسها، والقول بأنها حوالة يرده أنه لو احترقت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المحترق عنده إلى المحيل، بخلاف ما إذا كان ورق الحوالة، حيث يرجع إليه، وهذا لأصالة الحل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وعدم اللزوم، والاقتصار على ما ذكره الشارع</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الزكاة</w:t>
      </w:r>
      <w:r>
        <w:rPr>
          <w:rStyle w:val="FootnoteAnchor"/>
          <w:rtl w:val="true"/>
        </w:rPr>
        <w:footnoteReference w:id="500"/>
      </w:r>
      <w:r>
        <w:rPr>
          <w:rFonts w:ascii="Amiri" w:hAnsi="Amiri" w:eastAsia="Amiri" w:cs="Amiri"/>
          <w:color w:val="111111"/>
          <w:sz w:val="28"/>
          <w:sz w:val="28"/>
          <w:szCs w:val="28"/>
          <w:rtl w:val="true"/>
          <w:lang w:bidi="ar-SA"/>
        </w:rPr>
        <w:t>، وإنّ الألفاظ موضوعة على نحو القضية الحقيقية أو الخارجية، ومعنى النقدين، والروايات الواردة في أنه ليس فيما عدا ما ذكر 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لها قيمة ذاتية عند العرف،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موضوعية، وإن كانت تحتاج إلى الرصيد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التملك،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يذهب ويَمتلك النقدين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حل التصرف في مقدار الزكاة المفروضة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هنالك روايات في أنّه ليس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كانت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للأوراق النقدية فلاحظ</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297" w:name="pg15697_168998"/>
    </w:p>
    <w:p>
      <w:pPr>
        <w:pStyle w:val="Heading2"/>
        <w:numPr>
          <w:ilvl w:val="1"/>
          <w:numId w:val="1"/>
        </w:numPr>
        <w:rPr/>
      </w:pPr>
      <w:bookmarkStart w:id="298" w:name="__RefHeading___Toc11915236_2142443653"/>
      <w:bookmarkStart w:id="299" w:name="_Toc105"/>
      <w:bookmarkEnd w:id="297"/>
      <w:bookmarkEnd w:id="298"/>
      <w:r>
        <w:rPr>
          <w:rtl w:val="true"/>
        </w:rPr>
        <w:t>السباحة الطويلة</w:t>
      </w:r>
      <w:bookmarkEnd w:id="29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السباحة الطويلة الموجبة لفوات الصلاة الاختيارية؟ الظاهر العدم</w:t>
      </w:r>
      <w:r>
        <w:rPr>
          <w:rStyle w:val="FootnoteAnchor"/>
          <w:rtl w:val="true"/>
        </w:rPr>
        <w:footnoteReference w:id="501"/>
      </w:r>
      <w:r>
        <w:rPr>
          <w:rFonts w:ascii="Amiri" w:hAnsi="Amiri" w:eastAsia="Amiri" w:cs="Amiri"/>
          <w:color w:val="111111"/>
          <w:sz w:val="28"/>
          <w:sz w:val="28"/>
          <w:szCs w:val="28"/>
          <w:rtl w:val="true"/>
          <w:lang w:bidi="ar-SA"/>
        </w:rPr>
        <w:t>، نعم لو سبح وآل الوقت إلى التمام وجبت الصلاة عليه في حال السباحة بما تيسّر</w:t>
      </w:r>
      <w:r>
        <w:rPr>
          <w:rStyle w:val="FootnoteAnchor"/>
          <w:rtl w:val="true"/>
        </w:rPr>
        <w:footnoteReference w:id="502"/>
      </w:r>
      <w:r>
        <w:rPr>
          <w:rFonts w:ascii="Amiri" w:hAnsi="Amiri" w:eastAsia="Amiri" w:cs="Amiri"/>
          <w:color w:val="111111"/>
          <w:sz w:val="28"/>
          <w:sz w:val="28"/>
          <w:szCs w:val="28"/>
          <w:rtl w:val="true"/>
          <w:lang w:bidi="ar-SA"/>
        </w:rPr>
        <w:t xml:space="preserve"> إذا لم يتمكن من الخروج لأداء الصلاة الكاملة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تفويت عمدي باختيار مقدمته، وتفصيل الكلام مذكور في بحث السفر في السفينة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0" w:name="__RefHeading___Toc11915238_2142443653"/>
      <w:bookmarkStart w:id="301" w:name="_Toc106"/>
      <w:bookmarkEnd w:id="300"/>
      <w:r>
        <w:rPr>
          <w:rtl w:val="true"/>
        </w:rPr>
        <w:t>أقسام المسابقات</w:t>
      </w:r>
      <w:bookmarkEnd w:id="3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المسابقة على الدراجة أو السيارة أو الطيارة، حال السباحة في المسألة السابقة، إلا أنه إذا تمكن من النزول وجب، كما أن السابح إذا تمكن من ترك السباحة والإتيان بالصلاة التامة في سفينة أو نحوها وجب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المسألة كالمسألة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منه ومستثنى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لو فوّت</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يُسأل عن الفرق بينه وبين السفر الموجب لفقدان الطهارة المائية أو للطهورين، وكذا لو أمرض نفسه فلم يستطع الصوم،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الموضوعان عرضيان وهنا طوليان،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الأدلة والسيرة جواز السفر دون السباحة</w:t>
      </w:r>
      <w:r>
        <w:rPr>
          <w:rFonts w:eastAsia="Amiri" w:cs="Amiri" w:ascii="Amiri" w:hAnsi="Amiri"/>
          <w:color w:val="111111"/>
          <w:sz w:val="28"/>
          <w:szCs w:val="28"/>
          <w:rtl w:val="true"/>
          <w:lang w:bidi="ar-SA"/>
        </w:rPr>
        <w:t>.</w:t>
      </w:r>
    </w:p>
    <w:p>
      <w:pPr>
        <w:pStyle w:val="BookText"/>
        <w:rPr/>
      </w:pP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اللاحقة</w:t>
      </w:r>
      <w:r>
        <w:rPr>
          <w:rStyle w:val="FootnoteAnchor"/>
          <w:rtl w:val="true"/>
        </w:rPr>
        <w:footnoteReference w:id="505"/>
      </w:r>
      <w:r>
        <w:rPr>
          <w:rFonts w:ascii="Amiri" w:hAnsi="Amiri" w:eastAsia="Amiri" w:cs="Amiri"/>
          <w:color w:val="111111"/>
          <w:sz w:val="28"/>
          <w:sz w:val="28"/>
          <w:szCs w:val="28"/>
          <w:rtl w:val="true"/>
          <w:lang w:bidi="ar-SA"/>
        </w:rPr>
        <w:t>في الإجزاء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302" w:name="pg15697_168999"/>
    </w:p>
    <w:p>
      <w:pPr>
        <w:pStyle w:val="BookText"/>
        <w:rPr/>
      </w:pPr>
      <w:bookmarkEnd w:id="302"/>
      <w:r>
        <w:rPr>
          <w:rFonts w:ascii="Amiri" w:hAnsi="Amiri" w:eastAsia="Amiri" w:cs="Amiri"/>
          <w:color w:val="111111"/>
          <w:sz w:val="28"/>
          <w:sz w:val="28"/>
          <w:szCs w:val="28"/>
          <w:rtl w:val="true"/>
          <w:lang w:bidi="ar-SA"/>
        </w:rPr>
        <w:t>بالاختيار بعض الأجزاء والشرائط وأتى بالتكليف الاضطراري صحت صلاته، وإن عوقب بسبب المقدمة المفوتة، حاله حال ما إذا أخّر الصلاة حتى لا يتمكن إلا من الحمد فقط، بدون السورة، فإنها صحيحة وإن كان معاقباً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3" w:name="__RefHeading___Toc11915240_2142443653"/>
      <w:bookmarkStart w:id="304" w:name="_Toc107"/>
      <w:bookmarkEnd w:id="303"/>
      <w:r>
        <w:rPr>
          <w:rtl w:val="true"/>
        </w:rPr>
        <w:t>إثارة النعرات</w:t>
      </w:r>
      <w:bookmarkEnd w:id="30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507"/>
      </w:r>
      <w:r>
        <w:rPr>
          <w:rFonts w:ascii="Amiri" w:hAnsi="Amiri" w:eastAsia="Amiri" w:cs="Amiri"/>
          <w:color w:val="111111"/>
          <w:sz w:val="28"/>
          <w:sz w:val="28"/>
          <w:szCs w:val="28"/>
          <w:rtl w:val="true"/>
          <w:lang w:bidi="ar-SA"/>
        </w:rPr>
        <w:t xml:space="preserve"> إثارة كل ما يدعو إلى التفرقة من النعرات العرقية واللونية والإقليمية ونحوها، فإن الميزان هو الإيمان والتقوى، كما لا يجوز ترتيب الآثار على هذه النعرات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سبحانه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وكل أقسام</w:t>
      </w:r>
    </w:p>
    <w:p>
      <w:pPr>
        <w:pStyle w:val="BookText"/>
        <w:rPr/>
      </w:pP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 غسل الجنابة حتى قرب الفجر فإنّه يتيمم ويصح صومه</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العقوبة قد يقال بالتفصيل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الشروع بعد دخول الوقت فهو محرم؛ لأنه تفويت للواجب بعد وجوبه، وقبل الوقت فالعقوبة مبنية على التعليق، أو القول بالمقدمات المفوتة، أو القول بحرمة تفويت أغراض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 الأصول</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التفرقة بكل أنواعها محرمة؟</w:t>
      </w:r>
    </w:p>
    <w:p>
      <w:pPr>
        <w:pStyle w:val="BookText"/>
        <w:rPr/>
      </w:pP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بالبحث عن أدلة أخرى أوضح دلالةً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تعزى بعزاء</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النعرات تنافي هذه الآية ورواية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سواء كأسنان المشط</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w:t>
      </w:r>
      <w:r>
        <w:rPr>
          <w:rStyle w:val="FootnoteAnchor"/>
          <w:rtl w:val="true"/>
        </w:rPr>
        <w:footnoteReference w:id="514"/>
      </w:r>
      <w:r>
        <w:rPr>
          <w:rFonts w:ascii="Amiri" w:hAnsi="Amiri" w:eastAsia="Amiri" w:cs="Amiri"/>
          <w:color w:val="111111"/>
          <w:sz w:val="28"/>
          <w:sz w:val="28"/>
          <w:szCs w:val="28"/>
          <w:rtl w:val="true"/>
          <w:lang w:bidi="ar-SA"/>
        </w:rPr>
        <w:t xml:space="preserve"> للإنسان أن يحب بلده وقبيلته ولسانه وما أشبه بدون إدخاله ذلك في الحرام، أما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الإيمان</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فالظاهر أنه وطن الإسلام لا الوطن الجغرافي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فلا يجوز وضع الحدود</w:t>
      </w:r>
      <w:r>
        <w:rPr>
          <w:rStyle w:val="FootnoteAnchor"/>
          <w:rtl w:val="true"/>
        </w:rPr>
        <w:footnoteReference w:id="517"/>
      </w:r>
      <w:r>
        <w:rPr>
          <w:rFonts w:ascii="Amiri" w:hAnsi="Amiri" w:eastAsia="Amiri" w:cs="Amiri"/>
          <w:color w:val="111111"/>
          <w:sz w:val="28"/>
          <w:sz w:val="28"/>
          <w:szCs w:val="28"/>
          <w:rtl w:val="true"/>
          <w:lang w:bidi="ar-SA"/>
        </w:rPr>
        <w:t xml:space="preserve"> ما بين البلاد الإسلامية، ويجب إزالتها، كما أنه لا يجوز أن يخاطب المسلم أخاه بالأجنبي</w:t>
      </w:r>
      <w:r>
        <w:rPr>
          <w:rStyle w:val="FootnoteAnchor"/>
          <w:rtl w:val="true"/>
        </w:rPr>
        <w:footnoteReference w:id="518"/>
      </w:r>
      <w:r>
        <w:rPr>
          <w:rFonts w:ascii="Amiri" w:hAnsi="Amiri" w:eastAsia="Amiri" w:cs="Amiri"/>
          <w:color w:val="111111"/>
          <w:sz w:val="28"/>
          <w:sz w:val="28"/>
          <w:szCs w:val="28"/>
          <w:rtl w:val="true"/>
          <w:lang w:bidi="ar-SA"/>
        </w:rPr>
        <w:t>، وإن كان</w:t>
      </w:r>
    </w:p>
    <w:p>
      <w:pPr>
        <w:pStyle w:val="BookText"/>
        <w:rPr/>
      </w:pP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خيراً له من كذا</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المؤمن على المؤمن</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رواية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المسافر، وما المانع من حب الوطن بالمعنى الجغرافي؟</w:t>
      </w:r>
      <w:r>
        <w:rPr>
          <w:rStyle w:val="FootnoteAnchor"/>
          <w:rtl w:val="true"/>
        </w:rPr>
        <w:footnoteReference w:id="525"/>
      </w:r>
    </w:p>
    <w:p>
      <w:pPr>
        <w:pStyle w:val="BookText"/>
        <w:rPr/>
      </w:pP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خلاف الحرية والسلطنة، وراجع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العشّار</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ترتب محذور خارجي على ذلك كالإيذاء ونحوه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305" w:name="pg15697_169001"/>
    </w:p>
    <w:p>
      <w:pPr>
        <w:pStyle w:val="BookText"/>
        <w:rPr/>
      </w:pPr>
      <w:bookmarkEnd w:id="305"/>
      <w:r>
        <w:rPr>
          <w:rFonts w:ascii="Amiri" w:hAnsi="Amiri" w:eastAsia="Amiri" w:cs="Amiri"/>
          <w:color w:val="111111"/>
          <w:sz w:val="28"/>
          <w:sz w:val="28"/>
          <w:szCs w:val="28"/>
          <w:rtl w:val="true"/>
          <w:lang w:bidi="ar-SA"/>
        </w:rPr>
        <w:t>من بلد 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6" w:name="__RefHeading___Toc11915242_2142443653"/>
      <w:bookmarkStart w:id="307" w:name="_Toc108"/>
      <w:bookmarkEnd w:id="306"/>
      <w:r>
        <w:rPr>
          <w:rtl w:val="true"/>
        </w:rPr>
        <w:t>حقن الإبر للصائم</w:t>
      </w:r>
      <w:bookmarkEnd w:id="3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حقن الإبر المقوية</w:t>
      </w:r>
      <w:r>
        <w:rPr>
          <w:rStyle w:val="FootnoteAnchor"/>
          <w:rtl w:val="true"/>
        </w:rPr>
        <w:footnoteReference w:id="531"/>
      </w:r>
      <w:r>
        <w:rPr>
          <w:rFonts w:ascii="IRNazanin" w:hAnsi="IRNazanin" w:eastAsia="IRNazanin"/>
          <w:color w:val="111111"/>
          <w:sz w:val="28"/>
          <w:sz w:val="28"/>
          <w:szCs w:val="28"/>
          <w:rtl w:val="true"/>
          <w:lang w:bidi="fa-IR"/>
        </w:rPr>
        <w:t xml:space="preserve"> للصائم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الدليل أنما دلّ على الأكل والشرب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وليست الإبرة منهما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فائدتهما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التنقيع في الماء الموجب لرفع العطش وما أشبه</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فهل يقال بحرمته على الصائم، أما حس الصائم بألم الجوع والعطش وما أشبه فهو حكمة</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 على ثلاثة أنواع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جوازها كلها</w:t>
      </w:r>
      <w:r>
        <w:rPr>
          <w:rFonts w:eastAsia="Amiri" w:cs="Amiri" w:ascii="Amiri" w:hAnsi="Amiri"/>
          <w:color w:val="111111"/>
          <w:sz w:val="28"/>
          <w:szCs w:val="28"/>
          <w:rtl w:val="true"/>
          <w:lang w:bidi="ar-SA"/>
        </w:rPr>
        <w:t>.</w:t>
      </w:r>
    </w:p>
    <w:p>
      <w:pPr>
        <w:pStyle w:val="BookText"/>
        <w:rPr/>
      </w:pP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والاحتقان، وليست الإبرة احتقاناً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كالذهاب إلى منطقة باردة جداً بحيث لا يحسّ بألم الصوم أبداً، أو النوم من الفجر إلى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الواضح أنّه لا يجب ذلك، ويجوز رفعه، مثل ما سبق قبل قليل،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أطعمة ترفع العطش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 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فهم المتشرعة دليل على أنّه حكمة لا علة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308" w:name="pg15697_169002"/>
    </w:p>
    <w:p>
      <w:pPr>
        <w:pStyle w:val="Heading2"/>
        <w:numPr>
          <w:ilvl w:val="1"/>
          <w:numId w:val="1"/>
        </w:numPr>
        <w:rPr/>
      </w:pPr>
      <w:bookmarkStart w:id="309" w:name="__RefHeading___Toc11915244_2142443653"/>
      <w:bookmarkStart w:id="310" w:name="_Toc109"/>
      <w:bookmarkEnd w:id="308"/>
      <w:bookmarkEnd w:id="309"/>
      <w:r>
        <w:rPr>
          <w:rtl w:val="true"/>
        </w:rPr>
        <w:t>حقن الإبر المنشطة</w:t>
      </w:r>
      <w:bookmarkEnd w:id="31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534"/>
      </w:r>
      <w:r>
        <w:rPr>
          <w:rFonts w:ascii="IRNazanin" w:hAnsi="IRNazanin" w:eastAsia="IRNazanin"/>
          <w:color w:val="111111"/>
          <w:sz w:val="28"/>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استخدام العلل في الروايات وهي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يفقدها ظهورها في العلية، وفيه نظر مذكور في قول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تضاعيف، في بحث الأوامر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العجز الجنسي متعارف كثيراً، وكانت أدويته في الطب القديم متوفرة، وكانت المسألة محل الابتلاء كثيراً، والكثير ما كانوا يعملونها، فلو كان واجباً للزم التنبيه، باعتبار أنّه عدم تفويت بغرض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السيرة العقلائية</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للزوم الأمر بالمعروف، وحيث لم ينبه يكشف عن عدم الوجوب، وإن كان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p>
    <w:p>
      <w:pPr>
        <w:pStyle w:val="BookText"/>
        <w:rPr/>
      </w:pP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لها إسقاط هذا الحق، فإنّ الحقوق قابلة للإسقاط، وليس حكماً</w:t>
      </w:r>
      <w:r>
        <w:rPr>
          <w:rFonts w:eastAsia="Amiri" w:cs="Amiri" w:ascii="Amiri" w:hAnsi="Amiri"/>
          <w:color w:val="111111"/>
          <w:sz w:val="28"/>
          <w:szCs w:val="28"/>
          <w:rtl w:val="true"/>
          <w:lang w:bidi="ar-SA"/>
        </w:rPr>
        <w:t>.</w:t>
      </w:r>
    </w:p>
    <w:p>
      <w:pPr>
        <w:pStyle w:val="BookText"/>
        <w:rPr/>
      </w:pP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أن يزرق إبرة لذلك، إذا لم يستطع القيام لولا ذلك، وما فرقه عن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الفقه، الصلاة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الموضوعين إن كانا عرضيين لم يجب العلاج، وإن كانا طوليين وجب العلاج، وهل كل أنواع الطولية كذلك؟</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311" w:name="pg15697_169003"/>
    </w:p>
    <w:p>
      <w:pPr>
        <w:pStyle w:val="BookText"/>
        <w:rPr/>
      </w:pPr>
      <w:bookmarkEnd w:id="311"/>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الإبر المنشطة للحالة الجنسية بالنسبة للزوج الذي لا يقدر على أداء واجبه الشرعي تجاه زوجته، فإنّ لها الحق في كل أربعة أشهر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إنا ذكرنا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احتياج المرأة إلى أكثر من ذلك يجب على الزوج ذلك؛ لأنه من المعاشرة بالمعروف</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وإنما تجب التقوية؛ لأنها مقدمة الواجب</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وهي واجبة عقلاً</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11915246_2142443653"/>
      <w:bookmarkStart w:id="313" w:name="_Toc110"/>
      <w:bookmarkEnd w:id="312"/>
      <w:r>
        <w:rPr>
          <w:rtl w:val="true"/>
        </w:rPr>
        <w:t>الامتيازات</w:t>
      </w:r>
      <w:bookmarkEnd w:id="31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إعطاء الامتياز إلى شركة أو فرد، فيما الناس فيه سواسية، أو فيما ينافي</w:t>
      </w:r>
      <w:r>
        <w:rPr>
          <w:rStyle w:val="FootnoteAnchor"/>
          <w:rtl w:val="true"/>
        </w:rPr>
        <w:footnoteReference w:id="543"/>
      </w:r>
      <w:r>
        <w:rPr>
          <w:rFonts w:ascii="Amiri" w:hAnsi="Amiri" w:eastAsia="Amiri" w:cs="Amiri"/>
          <w:color w:val="111111"/>
          <w:sz w:val="28"/>
          <w:sz w:val="28"/>
          <w:szCs w:val="28"/>
          <w:rtl w:val="true"/>
          <w:lang w:bidi="ar-SA"/>
        </w:rPr>
        <w:t xml:space="preserve">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عدم الحرج والضرر ونحوهما وإلا رفع الوجوب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من الفقه، وكتاب المباني بحث الصوم، وراجع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بالطريقة المتداولة المعروفة، وراجع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بمعروف</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والإمساك مع التطلُّب ليس طبق الطريقة التي يقبلها العرف أو المتشرعة،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التحديد الشرعي بأربعة أشهر مخصص لذلك،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عن الأول أنّ الأول كإعطاء امتياز استخراج معدن لشركة،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إعطاء امتياز رفع البيوت في المدينة لفرد خاص أو طبقة خاصة، وكذا عدم السماح للأفراد ببناء البيوت على البحر، أو في المنطقة الفلانية التي يسكنها الأمراء</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314" w:name="pg15697_169004"/>
    </w:p>
    <w:p>
      <w:pPr>
        <w:pStyle w:val="BookText"/>
        <w:rPr/>
      </w:pPr>
      <w:bookmarkEnd w:id="3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إعطاء الامتياز لشركة أو فرد فقط دون الآخرين خلاف حرية الناس</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وخلاف تسلّطهم على أموالهم، وقد قررنا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حرية كل أحد محدودة بحدود الشريعة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والتي منها أن لا تزاحم حرية الآخرين، كل في إطاره</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11915248_2142443653"/>
      <w:bookmarkStart w:id="316" w:name="_Toc111"/>
      <w:bookmarkEnd w:id="315"/>
      <w:r>
        <w:rPr>
          <w:rtl w:val="true"/>
        </w:rPr>
        <w:t>الحيوان بين حيوانين</w:t>
      </w:r>
      <w:bookmarkEnd w:id="31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زرقت</w:t>
      </w:r>
      <w:r>
        <w:rPr>
          <w:rStyle w:val="FootnoteAnchor"/>
          <w:rtl w:val="true"/>
        </w:rPr>
        <w:footnoteReference w:id="547"/>
      </w:r>
      <w:r>
        <w:rPr>
          <w:rFonts w:ascii="Amiri" w:hAnsi="Amiri" w:eastAsia="Amiri" w:cs="Amiri"/>
          <w:color w:val="111111"/>
          <w:sz w:val="28"/>
          <w:sz w:val="28"/>
          <w:szCs w:val="28"/>
          <w:rtl w:val="true"/>
          <w:lang w:bidi="ar-SA"/>
        </w:rPr>
        <w:t xml:space="preserve"> أنثى الكلب أو الخنزير بنطفة حيوان آخر، أو بالعكس، فالولد إن سمي باسم الكلب أو الخنزير كان نجساً، وإلا كان طاهراً، وكذلك بالنسبة للحيوان المتولد بين حيوان حلال اللحم وبين حيوان حرام اللحم، أما إذا لم يسم باسم أحدهما بل صار حيواناً لا شبيه له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حليته، كما أنه طاهر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فيما إذا كان شبيهاً بأحد الحيوانين مما يصدق عليه اسم ذلك الحيوان، حيث يتحقق الموضوع، والحكم تابع له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أما إذا لم يصدق</w:t>
      </w:r>
    </w:p>
    <w:p>
      <w:pPr>
        <w:pStyle w:val="BookText"/>
        <w:rPr/>
      </w:pPr>
      <w:r>
        <w:rPr>
          <w:rFonts w:ascii="Amiri" w:hAnsi="Amiri" w:eastAsia="Amiri" w:cs="Amiri"/>
          <w:color w:val="111111"/>
          <w:sz w:val="28"/>
          <w:sz w:val="28"/>
          <w:szCs w:val="28"/>
          <w:rtl w:val="true"/>
          <w:lang w:bidi="ar-SA"/>
        </w:rPr>
        <w:t>مثلاً، إلاّ أنّ مرجعه إلى الأول، لكن مع مزيد قاعدة السلطنة، وكذا لبس ثوب معين أو شكل خاص</w:t>
      </w:r>
      <w:r>
        <w:rPr>
          <w:rFonts w:eastAsia="Amiri" w:cs="Amiri" w:ascii="Amiri" w:hAnsi="Amiri"/>
          <w:color w:val="111111"/>
          <w:sz w:val="28"/>
          <w:szCs w:val="28"/>
          <w:rtl w:val="true"/>
          <w:lang w:bidi="ar-SA"/>
        </w:rPr>
        <w:t>.</w:t>
      </w:r>
    </w:p>
    <w:p>
      <w:pPr>
        <w:pStyle w:val="BookText"/>
        <w:rPr/>
      </w:pP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الطهارة في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الموضوعات بالنسبة للمحمولات كالعلل بالنسبة للمعلولات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اسم أحدهما، بل اسم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شيء لك حلال</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يشمله، 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الحيوان؛ لأنّ الحل منه محصور في ما ذكرته الروايات وما عداه ليس بحلال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والبحث في ذلك طويل مذكور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 تزريق نطفة سمكة ذات فلس بسمكة ليست بذات فلس،</w:t>
      </w:r>
    </w:p>
    <w:p>
      <w:pPr>
        <w:pStyle w:val="BookText"/>
        <w:rPr/>
      </w:pPr>
      <w:r>
        <w:rPr>
          <w:rFonts w:ascii="Amiri" w:hAnsi="Amiri" w:eastAsia="Amiri" w:cs="Amiri"/>
          <w:color w:val="111111"/>
          <w:sz w:val="28"/>
          <w:sz w:val="28"/>
          <w:szCs w:val="28"/>
          <w:rtl w:val="true"/>
          <w:lang w:bidi="ar-SA"/>
        </w:rPr>
        <w:t xml:space="preserve">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في الروايات</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إضافي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الأصول</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وراجع بحث أصالة الحرمة في اللحوم في اللمعة</w:t>
      </w:r>
      <w:r>
        <w:rPr>
          <w:rStyle w:val="FootnoteAnchor"/>
          <w:rtl w:val="true"/>
        </w:rPr>
        <w:footnoteReference w:id="558"/>
      </w:r>
      <w:r>
        <w:rPr>
          <w:rFonts w:ascii="Amiri" w:hAnsi="Amiri" w:eastAsia="Amiri" w:cs="Amiri"/>
          <w:color w:val="111111"/>
          <w:sz w:val="28"/>
          <w:sz w:val="28"/>
          <w:szCs w:val="28"/>
          <w:rtl w:val="true"/>
          <w:lang w:bidi="ar-SA"/>
        </w:rPr>
        <w:t>وغيرها، في الأصول</w:t>
      </w:r>
      <w:r>
        <w:rPr>
          <w:rStyle w:val="FootnoteAnchor"/>
          <w:rtl w:val="true"/>
        </w:rPr>
        <w:footnoteReference w:id="559"/>
      </w:r>
      <w:r>
        <w:rPr>
          <w:rFonts w:ascii="IRNazanin" w:hAnsi="IRNazanin" w:eastAsia="IRNazanin"/>
          <w:color w:val="111111"/>
          <w:sz w:val="28"/>
          <w:sz w:val="28"/>
          <w:szCs w:val="28"/>
          <w:rtl w:val="true"/>
          <w:lang w:bidi="fa-IR"/>
        </w:rPr>
        <w:t>والفقه</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والرمح والسهم ونحوها ممّا اشتمل على نصل بلا خلاف في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مضافاً إلى أصالة الحرمة المستفادة من الصحاح المستفيضة وغيرها من المعتبرة، الدالّة عليها في الصيد الذي لا يعلم زهاق روحه بالآلة المعتبرة وإن كان له جارحة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317" w:name="pg15697_169006"/>
    </w:p>
    <w:p>
      <w:pPr>
        <w:pStyle w:val="BookText"/>
        <w:rPr/>
      </w:pPr>
      <w:bookmarkEnd w:id="317"/>
      <w:r>
        <w:rPr>
          <w:rFonts w:ascii="Amiri" w:hAnsi="Amiri" w:eastAsia="Amiri" w:cs="Amiri"/>
          <w:color w:val="111111"/>
          <w:sz w:val="28"/>
          <w:sz w:val="28"/>
          <w:szCs w:val="28"/>
          <w:rtl w:val="true"/>
          <w:lang w:bidi="ar-SA"/>
        </w:rPr>
        <w:t>أما إذا كان كلتاهما ذات فلس، والولد ليس بها فهل يحل نظراً لأبويه أو لا نظراً لنفسه؟ لا يبعد الثاني</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ومنه يعلم العكس</w:t>
      </w:r>
      <w:r>
        <w:rPr>
          <w:rFonts w:eastAsia="Amiri" w:cs="Amiri" w:ascii="Amiri" w:hAnsi="Amiri"/>
          <w:color w:val="111111"/>
          <w:sz w:val="28"/>
          <w:szCs w:val="28"/>
          <w:rtl w:val="true"/>
          <w:lang w:bidi="ar-SA"/>
        </w:rPr>
        <w:t>.</w:t>
      </w:r>
    </w:p>
    <w:p>
      <w:pPr>
        <w:pStyle w:val="Heading2"/>
        <w:numPr>
          <w:ilvl w:val="1"/>
          <w:numId w:val="1"/>
        </w:numPr>
        <w:rPr/>
      </w:pPr>
      <w:bookmarkStart w:id="318" w:name="__RefHeading___Toc11915250_2142443653"/>
      <w:bookmarkStart w:id="319" w:name="_Toc112"/>
      <w:bookmarkEnd w:id="318"/>
      <w:r>
        <w:rPr>
          <w:rtl w:val="true"/>
        </w:rPr>
        <w:t>تحديد الأسعار</w:t>
      </w:r>
      <w:bookmarkEnd w:id="31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السلطة للأسعار لا يوجب السعر المقرر، بل المتبع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سلطة 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السلطة الشرعية بشروطها الإسلامية واجبة الاتباع، بخلاف غير الشرعية، فإن قوانينها غير لازم الاتباع حتى في المرور ونحوه، بل الميزان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القواعد الأولية أو الثانوية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وقد ذكرنا ذلك في بعض كتبنا، وبحث التسعير قد ذكره الفقهاء في باب الاحتكار وغيره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0" w:name="__RefHeading___Toc11915252_2142443653"/>
      <w:bookmarkStart w:id="321" w:name="_Toc113"/>
      <w:bookmarkEnd w:id="320"/>
      <w:r>
        <w:rPr>
          <w:rtl w:val="true"/>
        </w:rPr>
        <w:t>الانتصار على الأعداء</w:t>
      </w:r>
      <w:bookmarkEnd w:id="32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انتصار المسلمين على الأعداء في الحرب</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لتبعية الأحكام للعناوين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 سمعة الدين أو المذهب، أو الضرر المتوجه إلى نفس الشخص بالمخالفة إذا كان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احتمال الضرر كالعلم بالضرر؟ فيه بحث، والظاهر أنه منجز في الأمور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الحرب من باب الجهاد أو من باب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الهجوم بالطائرات أو ما أشبه، مما يسبب قتل الأبرياء جاز، وذلك للمعاملة</w:t>
      </w:r>
      <w:r>
        <w:rPr>
          <w:rStyle w:val="FootnoteAnchor"/>
          <w:rtl w:val="true"/>
        </w:rPr>
        <w:footnoteReference w:id="563"/>
      </w:r>
      <w:r>
        <w:rPr>
          <w:rFonts w:ascii="IRNazanin" w:hAnsi="IRNazanin" w:eastAsia="IRNazanin"/>
          <w:color w:val="111111"/>
          <w:sz w:val="28"/>
          <w:sz w:val="28"/>
          <w:szCs w:val="28"/>
          <w:rtl w:val="true"/>
          <w:lang w:bidi="fa-IR"/>
        </w:rPr>
        <w:t xml:space="preserve"> بالمثل</w:t>
      </w:r>
      <w:r>
        <w:rPr>
          <w:rStyle w:val="FootnoteAnchor"/>
          <w:rtl w:val="true"/>
        </w:rPr>
        <w:footnoteReference w:id="564"/>
      </w:r>
      <w:r>
        <w:rPr>
          <w:rFonts w:ascii="Amiri" w:hAnsi="Amiri" w:eastAsia="Amiri" w:cs="Amiri"/>
          <w:color w:val="111111"/>
          <w:sz w:val="28"/>
          <w:sz w:val="28"/>
          <w:szCs w:val="28"/>
          <w:rtl w:val="true"/>
          <w:lang w:bidi="ar-SA"/>
        </w:rPr>
        <w:t>، فإنهم أيضاً يهاجمون ويقتل بسبب هجومهم الأبرياء، بالإضافة إلى أن الانتصار واجب أهم</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فإنّ في تسليط الأعداء إضراراً أكبر، بل الانتصار واجب ولو بقتل المسلم، كما ذكروا ذلك في باب الجهاد فيما لو تترس الكفار بالمسلمين</w:t>
      </w:r>
      <w:r>
        <w:rPr>
          <w:rStyle w:val="FootnoteAnchor"/>
          <w:rtl w:val="true"/>
        </w:rPr>
        <w:footnoteReference w:id="565"/>
      </w:r>
      <w:r>
        <w:rPr>
          <w:rFonts w:ascii="Amiri" w:hAnsi="Amiri" w:eastAsia="Amiri" w:cs="Amiri"/>
          <w:color w:val="111111"/>
          <w:sz w:val="28"/>
          <w:sz w:val="28"/>
          <w:szCs w:val="28"/>
          <w:rtl w:val="true"/>
          <w:lang w:bidi="ar-SA"/>
        </w:rPr>
        <w:t>، لكن اللازم بالعمل بذلك بقدر أقصى الضرورة، فإنّ الضرورات تقدر بقدرها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بعد تنقيح الموضوع دقيقاً بسبب الخبراء، والمعرفة بالأهمية، وإجازة شورى الفقهاء، والظاهر</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وتعويض الأضرار التي نجمت من قتل الأبرياء أو نقص عضو أو قوة منهم أو تلف المال، وإذا</w:t>
      </w:r>
    </w:p>
    <w:p>
      <w:pPr>
        <w:pStyle w:val="BookText"/>
        <w:rPr/>
      </w:pP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ثلاث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بالمثل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التترس بالمسلم، أو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من المسائل</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فهو مثل اللواط بابن زيد إذا لاط بابن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أن يلاحظ مسألة سمعة الإسلام والمذهب، وموازنة الأهمية مع لحاظ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ذكروه في مسألة التترس، وإن كان مبنى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الجواز التكليفي يلازم عدم الضمان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الأمر بالمعروف من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322" w:name="pg15697_169008"/>
    </w:p>
    <w:p>
      <w:pPr>
        <w:pStyle w:val="BookText"/>
        <w:rPr/>
      </w:pPr>
      <w:bookmarkEnd w:id="322"/>
      <w:r>
        <w:rPr>
          <w:rFonts w:ascii="IRNazanin" w:hAnsi="IRNazanin" w:eastAsia="IRNazanin"/>
          <w:color w:val="111111"/>
          <w:sz w:val="28"/>
          <w:sz w:val="28"/>
          <w:szCs w:val="28"/>
          <w:rtl w:val="true"/>
          <w:lang w:bidi="fa-IR"/>
        </w:rPr>
        <w:t>تردد الأمر</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العمل بقاعدة العلم الإجمالي في غير الماليات، وبقاعدة العدل</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الماليات</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11915254_2142443653"/>
      <w:bookmarkStart w:id="324" w:name="_Toc114"/>
      <w:bookmarkEnd w:id="323"/>
      <w:r>
        <w:rPr>
          <w:rtl w:val="true"/>
        </w:rPr>
        <w:t>شهر العسل</w:t>
      </w:r>
      <w:bookmarkEnd w:id="32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للعروسين الذهاب إلى شهر العسل</w:t>
      </w:r>
      <w:r>
        <w:rPr>
          <w:rStyle w:val="FootnoteAnchor"/>
          <w:rtl w:val="true"/>
        </w:rPr>
        <w:footnoteReference w:id="569"/>
      </w:r>
      <w:r>
        <w:rPr>
          <w:rFonts w:ascii="IRNazanin" w:hAnsi="IRNazanin" w:eastAsia="IRNazanin"/>
          <w:color w:val="111111"/>
          <w:sz w:val="28"/>
          <w:sz w:val="28"/>
          <w:szCs w:val="28"/>
          <w:rtl w:val="true"/>
          <w:lang w:bidi="fa-IR"/>
        </w:rPr>
        <w:t xml:space="preserve"> بشرط</w:t>
      </w:r>
      <w:r>
        <w:rPr>
          <w:rStyle w:val="FootnoteAnchor"/>
          <w:rtl w:val="true"/>
        </w:rPr>
        <w:footnoteReference w:id="570"/>
      </w:r>
      <w:r>
        <w:rPr>
          <w:rFonts w:ascii="Amiri" w:hAnsi="Amiri" w:eastAsia="Amiri" w:cs="Amiri"/>
          <w:color w:val="111111"/>
          <w:sz w:val="28"/>
          <w:sz w:val="28"/>
          <w:szCs w:val="28"/>
          <w:rtl w:val="true"/>
          <w:lang w:bidi="ar-SA"/>
        </w:rPr>
        <w:t xml:space="preserve"> أن لا يعملا محرماً، ولا يستلزم ذلك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نعلم أنّه قتل زيد أو عمرو بسبب ذلك فننصف الدية بينهما نصفين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الحلال المختلط بالحرام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قاعدة عقلائية،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ودرهما الودعي</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وإن كانت واضحة، إلاّ أنّ كثرة الابتلاء بها أوجب ذكرها وكثرة الاختلاط بالمحرّمات في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شرطاً لأصل الجواز، بل هو محرم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استلزم محرماً كان مقدمة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حرام شرعاً؟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325" w:name="pg15697_169009"/>
    </w:p>
    <w:p>
      <w:pPr>
        <w:pStyle w:val="BookText"/>
        <w:rPr/>
      </w:pPr>
      <w:bookmarkEnd w:id="3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الحلية، والشرط واضح الوجه، وإذا كان السفر حلالاً فصلاتهم قصر، وإذا كان حراماً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فتمام، حسب القاعدة في باب صلاة المسافر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6" w:name="__RefHeading___Toc11915256_2142443653"/>
      <w:bookmarkStart w:id="327" w:name="_Toc115"/>
      <w:bookmarkEnd w:id="326"/>
      <w:r>
        <w:rPr>
          <w:rtl w:val="true"/>
        </w:rPr>
        <w:t>المريض المضطر</w:t>
      </w:r>
      <w:bookmarkEnd w:id="32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للمريض المضطر أن ينام في المستشفى، وإن كان يباشره الأجنبي بما هو حرام في حال الاختيار، كأن تدلّك جسده الممرضة أو يولدها الدكتور أو 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اللازم الاقتصار على الضرورة كماّ وكيفاً، فإنّ الضرورات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تقدر بقدرها، وقال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تزويج الممرضة أو تزوج المريضة بالطبيب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ونحوه وجب، لكن الظاهر عدم الوجوب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وإذا قيل بالوجوب فإنما هو فيما إذا لم يكن عسراً وحرجاً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وإلا لا وجه له، ولذا لم يتعارف ذلك بالنسبة إلى الأطباء والمجبرين لا قديماً ولا حديثاً،</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بكونه حراماً في نفسه أو بكون غايته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الأكثر من ذلك ليس 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على هذا المبنى لو أمكن طلاقها من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عسر وحرج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الأدلة عنه، وقيام السيرة القطعية على خلاف ذلك،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على العدم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ضرراً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328" w:name="pg15697_169010"/>
    </w:p>
    <w:p>
      <w:pPr>
        <w:pStyle w:val="BookText"/>
        <w:rPr/>
      </w:pPr>
      <w:bookmarkEnd w:id="328"/>
      <w:r>
        <w:rPr>
          <w:rFonts w:ascii="Amiri" w:hAnsi="Amiri" w:eastAsia="Amiri" w:cs="Amiri"/>
          <w:color w:val="111111"/>
          <w:sz w:val="28"/>
          <w:sz w:val="28"/>
          <w:szCs w:val="28"/>
          <w:rtl w:val="true"/>
          <w:lang w:bidi="ar-SA"/>
        </w:rPr>
        <w:t>بل يؤيده</w:t>
      </w: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الممرضات</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 مع أنه لا شك في استلزام التمريض اللمس، وإذا أمكن اللمس للتمريخ ونحوه بالقفاز ونحوه تقدم على اللمس المجرد</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329" w:name="__RefHeading___Toc11915258_2142443653"/>
      <w:bookmarkStart w:id="330" w:name="_Toc116"/>
      <w:bookmarkEnd w:id="329"/>
      <w:r>
        <w:rPr>
          <w:rtl w:val="true"/>
        </w:rPr>
        <w:t>الذبح في المحقنة</w:t>
      </w:r>
      <w:bookmarkEnd w:id="33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ذبح الحيوان في المحقنة كما هو المتعارف في بعض البلاد إذا اجتمع فيه شرائط الذبح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الذبح بدونها لا خصوصية له، ولم نستبعد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يكون رأس الحيوان إلى الأعلى</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بشرائطه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الأسفل، وإنما الشرط استقبال القبلة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وكذلك ذات اليمين وذات الشمال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لذلك، أو لأنّه تاريخ لم يثبت 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لعلهن كنّ متزوجات، أو كان عملهن لا يستلزم اللمس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النظر مباشرةً أو بالمرآة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النكاح</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هل يجب تقديم المحارم على الأجانب أو لا، 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الأموات في الفقه، كتاب الطهارة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الأسفل</w:t>
      </w:r>
      <w:r>
        <w:rPr>
          <w:rFonts w:eastAsia="IRNazanin" w:cs="IRNazanin"/>
          <w:color w:val="111111"/>
          <w:sz w:val="28"/>
          <w:szCs w:val="28"/>
          <w:rtl w:val="true"/>
          <w:lang w:bidi="fa-IR"/>
        </w:rPr>
        <w:t>.</w:t>
      </w:r>
    </w:p>
    <w:p>
      <w:pPr>
        <w:pStyle w:val="BookText"/>
        <w:rPr/>
      </w:pP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لم يخرج الدم المتعارف كان المتبقي من الدم نجساً</w:t>
      </w:r>
      <w:r>
        <w:rPr>
          <w:rFonts w:eastAsia="Amiri" w:cs="Amiri" w:ascii="Amiri" w:hAnsi="Amiri"/>
          <w:color w:val="111111"/>
          <w:sz w:val="28"/>
          <w:szCs w:val="28"/>
          <w:rtl w:val="true"/>
          <w:lang w:bidi="ar-SA"/>
        </w:rPr>
        <w:t>.</w:t>
      </w:r>
    </w:p>
    <w:p>
      <w:pPr>
        <w:pStyle w:val="BookText"/>
        <w:rPr/>
      </w:pP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الشروط المقررة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331" w:name="pg15697_169011"/>
    </w:p>
    <w:p>
      <w:pPr>
        <w:pStyle w:val="Heading2"/>
        <w:numPr>
          <w:ilvl w:val="1"/>
          <w:numId w:val="1"/>
        </w:numPr>
        <w:rPr/>
      </w:pPr>
      <w:bookmarkStart w:id="332" w:name="__RefHeading___Toc11915260_2142443653"/>
      <w:bookmarkStart w:id="333" w:name="_Toc117"/>
      <w:bookmarkEnd w:id="331"/>
      <w:bookmarkEnd w:id="332"/>
      <w:r>
        <w:rPr>
          <w:rtl w:val="true"/>
        </w:rPr>
        <w:t>حلق ما عدا الذقن</w:t>
      </w:r>
      <w:bookmarkEnd w:id="33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w:t>
      </w:r>
      <w:r>
        <w:rPr>
          <w:rStyle w:val="FootnoteAnchor"/>
          <w:rtl w:val="true"/>
        </w:rPr>
        <w:footnoteReference w:id="582"/>
      </w:r>
      <w:r>
        <w:rPr>
          <w:rFonts w:ascii="Amiri" w:hAnsi="Amiri" w:eastAsia="Amiri" w:cs="Amiri"/>
          <w:color w:val="111111"/>
          <w:sz w:val="28"/>
          <w:sz w:val="28"/>
          <w:szCs w:val="28"/>
          <w:rtl w:val="true"/>
          <w:lang w:bidi="ar-SA"/>
        </w:rPr>
        <w:t xml:space="preserve"> في اللحية حلق العارضين وإبقاء الذقن، كما لا يكفي حلق الذقن وإبقاء العارضين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حلق ما فوق اللحية وما تحت الذقن، كما هو المتعارف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اللحية عرفاً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هي المجموع، وأما جواز حلق ما فوق اللحية وما تحت الذقن فلعدم الصدق</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11915262_2142443653"/>
      <w:bookmarkStart w:id="335" w:name="_Toc118"/>
      <w:bookmarkEnd w:id="334"/>
      <w:r>
        <w:rPr>
          <w:rtl w:val="true"/>
        </w:rPr>
        <w:t>أقسام الحلق</w:t>
      </w:r>
      <w:bookmarkEnd w:id="3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الحلق المحرم بين كونه بآلة يدوية، أو كهربائية،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مقدمها فلا</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فلا تصلح للاستدلال للخصم؛ إذ هي في الأخذ من اللحية لا اللحية، ومن للتبعيض، فتدل على حكم استحبابي، وإن استدل للوجوب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ملاحظة معناها لغةً، وفي تعارض العرف واللغة المحكم هو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 في ظواهر الألفاظ في الأصول</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والسيرة والارتكاز دليل على أنّ اللحية هي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336" w:name="pg15697_169012"/>
    </w:p>
    <w:p>
      <w:pPr>
        <w:pStyle w:val="BookText"/>
        <w:rPr/>
      </w:pPr>
      <w:bookmarkEnd w:id="336"/>
      <w:r>
        <w:rPr>
          <w:rFonts w:ascii="Amiri" w:hAnsi="Amiri" w:eastAsia="Amiri" w:cs="Amiri"/>
          <w:color w:val="111111"/>
          <w:sz w:val="28"/>
          <w:sz w:val="28"/>
          <w:szCs w:val="28"/>
          <w:rtl w:val="true"/>
          <w:lang w:bidi="ar-SA"/>
        </w:rPr>
        <w:t>أو نتف، أو قص، أو استعمال دواء، أو حرق، أو غير ذلك، فإنّ الواجب إعفاء اللحية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قال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ربي أمرني بإعفاء لحيتي وقص شاربي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الصدق العرفي كما في أمثال ذلك</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11915264_2142443653"/>
      <w:bookmarkStart w:id="338" w:name="_Toc119"/>
      <w:bookmarkEnd w:id="337"/>
      <w:r>
        <w:rPr>
          <w:rtl w:val="true"/>
        </w:rPr>
        <w:t>لحية الكوسج</w:t>
      </w:r>
      <w:bookmarkEnd w:id="3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Style w:val="FootnoteAnchor"/>
          <w:rtl w:val="true"/>
        </w:rPr>
        <w:footnoteReference w:id="588"/>
      </w:r>
      <w:r>
        <w:rPr>
          <w:rFonts w:ascii="Amiri" w:hAnsi="Amiri" w:eastAsia="Amiri" w:cs="Amiri"/>
          <w:color w:val="111111"/>
          <w:sz w:val="28"/>
          <w:sz w:val="28"/>
          <w:szCs w:val="28"/>
          <w:rtl w:val="true"/>
          <w:lang w:bidi="ar-SA"/>
        </w:rPr>
        <w:t xml:space="preserve"> على الكوسج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عديم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دواء</w:t>
      </w:r>
    </w:p>
    <w:p>
      <w:pPr>
        <w:pStyle w:val="BookText"/>
        <w:rPr/>
      </w:pP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الرواية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مصباح الفقاهة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والدليل هي السيرة، أو الروايات المجبور ضعفها بالعمل، فيصح استدلال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ولأنّه من المنكرات في ذهن المتشرعة، أو للرواية السابقة،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المصباح</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المحرم حلق الحية، أو الأخذ منها، فالموضوع اللحية، ولا يجب تحصيل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اللحية على فرض نباتها لا يجوز حلقها، وأمّا إنباتها فلم ينهض دليل على الوجوب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339" w:name="pg15697_169013"/>
    </w:p>
    <w:p>
      <w:pPr>
        <w:pStyle w:val="BookText"/>
        <w:rPr/>
      </w:pPr>
      <w:bookmarkEnd w:id="339"/>
      <w:r>
        <w:rPr>
          <w:rFonts w:ascii="Amiri" w:hAnsi="Amiri" w:eastAsia="Amiri" w:cs="Amiri"/>
          <w:color w:val="111111"/>
          <w:sz w:val="28"/>
          <w:sz w:val="28"/>
          <w:szCs w:val="28"/>
          <w:rtl w:val="true"/>
          <w:lang w:bidi="ar-SA"/>
        </w:rPr>
        <w:t>لإخراج اللحية، والأمرد لا يجوز</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استعمال دواء يوجب عدم خروج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دليل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على الوجوب في الكوسج، ولذا فالاحتياط في المسألة الثانية أقرب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إلى الاستحباب، والمرأة المزوجة إذا أخرجت اللحية وجب عليها إزالتها؛ لأنها من التهيؤ</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اللازم للزوج، نعم إذا رضي الزوج لم يجب عليها؛ لأن الحق لا يعدوهما</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11915266_2142443653"/>
      <w:bookmarkStart w:id="341" w:name="_Toc120"/>
      <w:bookmarkEnd w:id="340"/>
      <w:r>
        <w:rPr>
          <w:rtl w:val="true"/>
        </w:rPr>
        <w:t>لحية المرأة</w:t>
      </w:r>
      <w:bookmarkEnd w:id="34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نبتت اللحية في وجه المرأة جاز لها حلقها أو إزالتها بسبب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الأدلة لا تشملها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ويعرف من الحكم السابق أنه إذا تناثر شعر</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أدلة حرمة الحلق لا تأتي هنا، ولا ارتكاز بأنّه منكر في أذهان المتشرعة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الأدلة السابقة لا تدل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حلق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فهل هو جائز؟ والجواب بالفرق؛ لأنّ هذا له لحية فاللازم إعفاؤها، بخلاف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الحلق كل يوم خلاف ارتكاز المتشرعة، أما الدواء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النكاح،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المنفرات</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342" w:name="pg15697_169014"/>
    </w:p>
    <w:p>
      <w:pPr>
        <w:pStyle w:val="BookText"/>
        <w:rPr/>
      </w:pPr>
      <w:bookmarkEnd w:id="342"/>
      <w:r>
        <w:rPr>
          <w:rFonts w:ascii="Amiri" w:hAnsi="Amiri" w:eastAsia="Amiri" w:cs="Amiri"/>
          <w:color w:val="111111"/>
          <w:sz w:val="28"/>
          <w:sz w:val="28"/>
          <w:szCs w:val="28"/>
          <w:rtl w:val="true"/>
          <w:lang w:bidi="ar-SA"/>
        </w:rPr>
        <w:t>رأس المرأة المزوجة وجب عليها السعي لعلاجه إلا إذا رضي الزوج</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حيث إنّ الحق لا يعدوهما</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11915268_2142443653"/>
      <w:bookmarkStart w:id="344" w:name="_Toc121"/>
      <w:bookmarkEnd w:id="343"/>
      <w:r>
        <w:rPr>
          <w:rtl w:val="true"/>
        </w:rPr>
        <w:t>تعليب الذبائح</w:t>
      </w:r>
      <w:bookmarkEnd w:id="34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594"/>
      </w:r>
      <w:r>
        <w:rPr>
          <w:rFonts w:ascii="Amiri" w:hAnsi="Amiri" w:eastAsia="Amiri" w:cs="Amiri"/>
          <w:color w:val="111111"/>
          <w:sz w:val="28"/>
          <w:sz w:val="28"/>
          <w:szCs w:val="28"/>
          <w:rtl w:val="true"/>
          <w:lang w:bidi="ar-SA"/>
        </w:rPr>
        <w:t xml:space="preserve"> تعليب</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الذبائح الموجودة في منى إذا بقيت بلا مصرف، مما يوجب فسادها، أما إذا أمكن صرفها في الموارد الثلاثة</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المقررة، فاللازم رضاية</w:t>
      </w:r>
      <w:r>
        <w:rPr>
          <w:rFonts w:eastAsia="Times New Roman" w:cs="Times New Roman" w:ascii="Times New Roman" w:hAnsi="Times New Roman"/>
          <w:color w:val="111111"/>
          <w:sz w:val="28"/>
          <w:szCs w:val="28"/>
          <w:lang w:val="en-US" w:bidi="en-US"/>
        </w:rPr>
        <w:t>4</w:t>
      </w:r>
      <w:r>
        <w:rPr>
          <w:rStyle w:val="FootnoteAnchor"/>
          <w:rtl w:val="true"/>
        </w:rPr>
        <w:footnoteReference w:id="595"/>
      </w:r>
      <w:r>
        <w:rPr>
          <w:rFonts w:ascii="Amiri" w:hAnsi="Amiri" w:eastAsia="Amiri" w:cs="Amiri"/>
          <w:color w:val="111111"/>
          <w:sz w:val="28"/>
          <w:sz w:val="28"/>
          <w:szCs w:val="28"/>
          <w:rtl w:val="true"/>
          <w:lang w:bidi="ar-SA"/>
        </w:rPr>
        <w:t>أصحابها الشرعيين بالتعليب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أنّه تشبه بالرجال أو لا؟ أمّا رضا الزوج فليس ملاكاً،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داخل في إزالة المنفرات ولو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البحث أنه هل يجب دفع الثمن إليهم؟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حقاً لهم، وحيث لم تصل العين إليهم لابد من دفع الثمن، بعد استثناء مؤونة التعليب ونحوه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وإخراجها خارج الحرم، فإنّ صرفها داخل الحرم جائز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يأكل الناسك شيئاً من الذبيحة، ويهدي قسماً منها إلى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وكيله، ويتصدق بالقسم الآخر على المؤمن الفقير أو وكيله، وأن يكون مقدار كل من الهدية والصدقة ثلث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أن لا يخرج شيئاً مما ذبحه من لحم الهدي عند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الرضا كافٍ أو لابد من التملك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أو بالتوكيل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التعليب؟</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في قوة التوكيل، أو هو أمر عقلائي لم يردع عنه الشارع، فتأمل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345" w:name="pg15697_169015"/>
    </w:p>
    <w:p>
      <w:pPr>
        <w:pStyle w:val="BookText"/>
        <w:rPr/>
      </w:pPr>
      <w:bookmarkEnd w:id="3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المستثنى منه لا يلزم رضى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أصحابها؛ إذ الأمر دائر حسب الفرض بين التعليب والإسراف، وليس من حق المالك الإسراف</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 وكذا في كل مورد مشابه، كما إذا دار أمر طعام الناس بين التلف إسرافاً وبين صرفه في مصرف جائز،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يشمل المحرم</w:t>
      </w:r>
      <w:r>
        <w:rPr>
          <w:rFonts w:eastAsia="Amiri" w:cs="Amiri" w:ascii="Amiri" w:hAnsi="Amiri"/>
          <w:color w:val="111111"/>
          <w:sz w:val="28"/>
          <w:szCs w:val="28"/>
          <w:rtl w:val="true"/>
          <w:lang w:bidi="ar-SA"/>
        </w:rPr>
        <w:t>.</w:t>
      </w:r>
    </w:p>
    <w:p>
      <w:pPr>
        <w:pStyle w:val="Heading2"/>
        <w:numPr>
          <w:ilvl w:val="1"/>
          <w:numId w:val="1"/>
        </w:numPr>
        <w:rPr/>
      </w:pPr>
      <w:bookmarkStart w:id="346" w:name="__RefHeading___Toc11915270_2142443653"/>
      <w:bookmarkStart w:id="347" w:name="_Toc122"/>
      <w:bookmarkEnd w:id="346"/>
      <w:r>
        <w:rPr>
          <w:rtl w:val="true"/>
        </w:rPr>
        <w:t>وضع الميت في الثلاجة</w:t>
      </w:r>
      <w:bookmarkEnd w:id="34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بوضع الميت الإنساني في الثلاجات، لأجل نقله أو ما أشبه ذلك، بشرط أن لا يكون هتكاً له، ولا يوجب تأخير دفنه عن المتعارف الجائز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الوضع في الثلاجة؛ لإطلاق أدلة الحل، ومثل الثلاجة غيرها إذا فرض</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أما التأخير عن الدفن المقرر شرعاً فلا يجوز؛ إذ المستفاد من الشرع لزوم الدفن حسب المتعارف، فلو وضع في الثلاجة سنة اعتباطاً كان مشكلاً، نعم لا يبعد الجواز لبعض الأغراض العقلائية مما يشك في شمول دليل الحرمة له، أما إذا وصّى</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بعدم الوضع في الثلاجة أو لم يرض الولي فلا يجوز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نوع من ردع المنكر للحيلولة دون وقوعه خارجاً، وقد ذكرنا المسألة في مكان آخر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كالسرداب البارد جداً، مثل السرداب المتعارف في النجف الأشرف</w:t>
      </w:r>
      <w:r>
        <w:rPr>
          <w:rFonts w:eastAsia="Amiri" w:cs="Amiri" w:ascii="Amiri" w:hAnsi="Amiri"/>
          <w:color w:val="111111"/>
          <w:sz w:val="28"/>
          <w:szCs w:val="28"/>
          <w:rtl w:val="true"/>
          <w:lang w:bidi="ar-SA"/>
        </w:rPr>
        <w:t>.</w:t>
      </w:r>
    </w:p>
    <w:p>
      <w:pPr>
        <w:pStyle w:val="BookText"/>
        <w:rPr/>
      </w:pP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وصايا الميت نافذة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348" w:name="pg15697_169016"/>
    </w:p>
    <w:p>
      <w:pPr>
        <w:pStyle w:val="Heading2"/>
        <w:numPr>
          <w:ilvl w:val="1"/>
          <w:numId w:val="1"/>
        </w:numPr>
        <w:rPr/>
      </w:pPr>
      <w:bookmarkStart w:id="349" w:name="__RefHeading___Toc11915272_2142443653"/>
      <w:bookmarkStart w:id="350" w:name="_Toc123"/>
      <w:bookmarkEnd w:id="348"/>
      <w:bookmarkEnd w:id="349"/>
      <w:r>
        <w:rPr>
          <w:rtl w:val="true"/>
        </w:rPr>
        <w:t>حبوب الذكاء</w:t>
      </w:r>
      <w:bookmarkEnd w:id="35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حبوب الذكاء، أما استعمال حبوب البلادة فلا يجوز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جواز حبوب الذكاء فلأنه ازدياد في الخلق زيادة حسنة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حاله حال تسمين البدن أو تنشيطه أو تقوية نور العين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حبوب البلادة فالموقت منها جائز، فهو كتغميض العين مؤقتاً أو حقن المضعف كذلك، أما ما يوجب البلادة الدائمة فهو من إسقاط القوة فيشمله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Heading2"/>
        <w:numPr>
          <w:ilvl w:val="1"/>
          <w:numId w:val="1"/>
        </w:numPr>
        <w:rPr/>
      </w:pPr>
      <w:bookmarkStart w:id="351" w:name="__RefHeading___Toc11915274_2142443653"/>
      <w:bookmarkStart w:id="352" w:name="_Toc124"/>
      <w:bookmarkEnd w:id="351"/>
      <w:r>
        <w:rPr>
          <w:rtl w:val="true"/>
        </w:rPr>
        <w:t>الفائض من الحاج</w:t>
      </w:r>
      <w:bookmarkEnd w:id="3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للحكومة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 أن تمنع الزائد</w:t>
      </w:r>
      <w:r>
        <w:rPr>
          <w:rStyle w:val="FootnoteAnchor"/>
          <w:rtl w:val="true"/>
        </w:rPr>
        <w:footnoteReference w:id="599"/>
      </w:r>
      <w:r>
        <w:rPr>
          <w:rFonts w:ascii="Amiri" w:hAnsi="Amiri" w:eastAsia="Amiri" w:cs="Amiri"/>
          <w:color w:val="111111"/>
          <w:sz w:val="28"/>
          <w:sz w:val="28"/>
          <w:szCs w:val="28"/>
          <w:rtl w:val="true"/>
          <w:lang w:bidi="ar-SA"/>
        </w:rPr>
        <w:t xml:space="preserve"> من الحجاج فيما إذا كان العدد الزائد ضرراً بالغاً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جواز نظيره في مسألة </w:t>
      </w:r>
      <w:r>
        <w:rPr>
          <w:rFonts w:eastAsia="Amiri" w:cs="Amiri" w:ascii="Amiri" w:hAnsi="Amiri"/>
          <w:color w:val="111111"/>
          <w:sz w:val="28"/>
          <w:szCs w:val="28"/>
          <w:lang w:bidi="ar-SA"/>
        </w:rPr>
        <w:t>98</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أدلة تغيير خلقه تعالى لا تشمله، وتشمله عمومات أدلة التداوي والعلاج، وكذا أدلة السلطنة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لكل مراتب البلادة 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لها الحق في أن تمنع واجب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يحج من قبل وكان مستطيعاً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تمنع من حج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لها أن تمنع مَنْ لم يحج من قبل للوجوب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جملة منهم، مثلاً إذا لم تستوعب إدارة الصحة ورعاية الحاج أكثر من عدة مليون حاج، جاز للحكومة أن تمنع الأكثر من ذلك، لكن الواجب السعي لاستيعاب الحج أكبر عدد 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الجواز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وحينئذٍ فاللازم تحكيم القرعة بالنسبة إلى الطالبين إذ 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مقدم لقاعدة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فيما إذا سبق إلى المكان لا إذا سبق إلى الطلب، إذ السبق إلى الطلب لا يصدق</w:t>
      </w:r>
      <w:r>
        <w:rPr>
          <w:rStyle w:val="FootnoteAnchor"/>
          <w:rtl w:val="true"/>
        </w:rPr>
        <w:footnoteReference w:id="603"/>
      </w:r>
      <w:r>
        <w:rPr>
          <w:rFonts w:ascii="Amiri" w:hAnsi="Amiri" w:eastAsia="Amiri" w:cs="Amiri"/>
          <w:color w:val="111111"/>
          <w:sz w:val="28"/>
          <w:sz w:val="28"/>
          <w:szCs w:val="28"/>
          <w:rtl w:val="true"/>
          <w:lang w:bidi="ar-SA"/>
        </w:rPr>
        <w:t xml:space="preserve">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فتأمل، واللازم</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مقدمة للاستطاعة، وتحصيل الاستطاعة غير لازم، فليس الحج واجباً عليهم إلاّ بعد الإجازة،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وللأهم والمهم</w:t>
      </w:r>
      <w:r>
        <w:rPr>
          <w:rFonts w:eastAsia="IRNazanin" w:cs="IRNazanin"/>
          <w:color w:val="111111"/>
          <w:sz w:val="28"/>
          <w:szCs w:val="28"/>
          <w:rtl w:val="true"/>
          <w:lang w:bidi="fa-IR"/>
        </w:rPr>
        <w:t>.</w:t>
      </w:r>
    </w:p>
    <w:p>
      <w:pPr>
        <w:pStyle w:val="BookText"/>
        <w:rPr/>
      </w:pP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إذ عرفاً يصدق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هل كل حق عرفي هو حق شرعي أيضاً؟</w:t>
      </w:r>
    </w:p>
    <w:p>
      <w:pPr>
        <w:pStyle w:val="BookText"/>
        <w:rPr/>
      </w:pPr>
      <w:r>
        <w:rPr>
          <w:rFonts w:ascii="Amiri" w:hAnsi="Amiri" w:eastAsia="Amiri" w:cs="Amiri"/>
          <w:color w:val="111111"/>
          <w:sz w:val="28"/>
          <w:sz w:val="28"/>
          <w:szCs w:val="28"/>
          <w:rtl w:val="true"/>
          <w:lang w:bidi="ar-SA"/>
        </w:rPr>
        <w:t xml:space="preserve">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وتأمل العم ظاهراً فيه لعدم الدليل، ولعل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يتوى حق امرئ</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 ولأنه ظلم عرفاً فيشمله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لأنّه مقتضى قاعدة العدل والإنصاف، أو لأنّ خلافه ظلم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لازم، فهو كمتولٍ تستوعب مدرسته ألف طالب، فلا يجب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جهة القرعة</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الحاج على النسب المعينة،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قطران متساويان في عدد السكان وأراد الحج من كل قطر مائة ألف والحج لا يستوعب منهما إلا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يسمح لكل منهما بخمسين ألف ويقرع بين مائة ألف لكل منهما،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السعي للاستيعاب الأكثر، فلأن الحاكم وضع لمصالح الناس</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الدينية والدنيوية، والحج من أهم المصالح ديناً،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وقد كتبنا دراسة حول إمكان استيعاب الحج عشرة ملايين</w:t>
      </w:r>
      <w:r>
        <w:rPr>
          <w:rFonts w:eastAsia="Times New Roman" w:cs="Times New Roman" w:ascii="Times New Roman" w:hAnsi="Times New Roman"/>
          <w:color w:val="111111"/>
          <w:sz w:val="28"/>
          <w:szCs w:val="28"/>
          <w:lang w:val="en-US" w:bidi="en-US"/>
        </w:rPr>
        <w:t>7</w:t>
      </w:r>
      <w:r>
        <w:rPr>
          <w:rStyle w:val="FootnoteAnchor"/>
          <w:rtl w:val="true"/>
        </w:rPr>
        <w:footnoteReference w:id="611"/>
      </w:r>
      <w:r>
        <w:rPr>
          <w:rFonts w:ascii="Amiri" w:hAnsi="Amiri" w:eastAsia="Amiri" w:cs="Amiri"/>
          <w:color w:val="111111"/>
          <w:sz w:val="28"/>
          <w:sz w:val="28"/>
          <w:szCs w:val="28"/>
          <w:rtl w:val="true"/>
          <w:lang w:bidi="ar-SA"/>
        </w:rPr>
        <w:t>، لكن اللازم</w:t>
      </w:r>
    </w:p>
    <w:p>
      <w:pPr>
        <w:pStyle w:val="BookText"/>
        <w:rPr/>
      </w:pPr>
      <w:r>
        <w:rPr>
          <w:rFonts w:ascii="Amiri" w:hAnsi="Amiri" w:eastAsia="Amiri" w:cs="Amiri"/>
          <w:color w:val="111111"/>
          <w:sz w:val="28"/>
          <w:sz w:val="28"/>
          <w:szCs w:val="28"/>
          <w:rtl w:val="true"/>
          <w:lang w:bidi="ar-SA"/>
        </w:rPr>
        <w:t xml:space="preserve">أن يوزعهم على جميع المناطق، بل يستطيع أن يجعلهم كلهم من منطقة واحدة، ونظيره ما ذكروه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يجب البسط على الأصناف أو الأفراد، فراجع</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مجهوليته، ولا مشكل كي تجري القرعة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وجوب تحقيق جميع مراتب المصلحة لجميع الناس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بأنّه مقدمة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والإرشاد، ومقدمة الواجب واجبة عقلاً،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أخرى في خمسين مليوناً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353" w:name="pg15697_169019"/>
    </w:p>
    <w:p>
      <w:pPr>
        <w:pStyle w:val="BookText"/>
        <w:rPr/>
      </w:pPr>
      <w:bookmarkEnd w:id="353"/>
      <w:r>
        <w:rPr>
          <w:rFonts w:ascii="Amiri" w:hAnsi="Amiri" w:eastAsia="Amiri" w:cs="Amiri"/>
          <w:color w:val="111111"/>
          <w:sz w:val="28"/>
          <w:sz w:val="28"/>
          <w:szCs w:val="28"/>
          <w:rtl w:val="true"/>
          <w:lang w:bidi="ar-SA"/>
        </w:rPr>
        <w:t>ثم من لم تخرج القرعة باسمه لا يستقر عليه الحج إن مات عام الاستطاعة؛ لعدم تخلية السرب، كل ذلك فيما لو كانت الحكومة شرعية، وإلا فلا حق لها في ذلك، وقد ذكرنا مواصفات الحكومة الشرعية في بعض كتبنا الفقهية</w:t>
      </w:r>
      <w:r>
        <w:rPr>
          <w:rFonts w:eastAsia="Amiri" w:cs="Amiri" w:ascii="Amiri" w:hAnsi="Amiri"/>
          <w:color w:val="111111"/>
          <w:sz w:val="28"/>
          <w:szCs w:val="28"/>
          <w:rtl w:val="true"/>
          <w:lang w:bidi="ar-SA"/>
        </w:rPr>
        <w:t>.</w:t>
      </w:r>
    </w:p>
    <w:p>
      <w:pPr>
        <w:pStyle w:val="Heading2"/>
        <w:numPr>
          <w:ilvl w:val="1"/>
          <w:numId w:val="1"/>
        </w:numPr>
        <w:rPr/>
      </w:pPr>
      <w:bookmarkStart w:id="354" w:name="__RefHeading___Toc11915276_2142443653"/>
      <w:bookmarkStart w:id="355" w:name="_Toc125"/>
      <w:bookmarkEnd w:id="354"/>
      <w:r>
        <w:rPr>
          <w:rtl w:val="true"/>
        </w:rPr>
        <w:t>تضرر الحاج</w:t>
      </w:r>
      <w:bookmarkEnd w:id="3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زيادة الحاج موجبة للضرر البالغ، جاز للحكومة الشرعية أن تمنع حجاجها عن الحج إلى مكة المكرمة، كما إذا توفر عدة ملايين حاج في السنة، ولم يتحمل الحج أكثر من ذلك، فإنه يجوز</w:t>
      </w:r>
      <w:r>
        <w:rPr>
          <w:rStyle w:val="FootnoteAnchor"/>
          <w:rtl w:val="true"/>
        </w:rPr>
        <w:footnoteReference w:id="613"/>
      </w:r>
      <w:r>
        <w:rPr>
          <w:rFonts w:ascii="Amiri" w:hAnsi="Amiri" w:eastAsia="Amiri" w:cs="Amiri"/>
          <w:color w:val="111111"/>
          <w:sz w:val="28"/>
          <w:sz w:val="28"/>
          <w:szCs w:val="28"/>
          <w:rtl w:val="true"/>
          <w:lang w:bidi="ar-SA"/>
        </w:rPr>
        <w:t xml:space="preserve"> للحكومة الشرعية أن تمنع حجاجها عن الحج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إحالة الأمر إلى الخبراء في مختلف شؤون الزيادة ليعرف القدر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على الناس التقيد؟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تكن الحكومة شرعية فلا قيمة لمنعها، فيجوز لكل أحدٍ الذهاب، إلا إذا كان ذلك ضرراً أو نحوه، فالمانع أدلة لا ضرر، كخرق قوانين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شرعية فاللازم الإطاعة، وإن لم يكن ضرراً؛ لأنّ الضرر علة للجعل لا للمجعول، وإطاعة الحاكم لازمة كإطاعة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 عليهم كالراد على اللّه تعالى</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إمّا يوكل الأمر لاختيار المكلف،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ضرر فلا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ضرر؛ إذ إيكال الأمر إلى المكلفين يكون ذريعة للمخالفة أو غير ذلك، كإيكال الأمر للمكلف في باب قوانين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356" w:name="pg15697_169020"/>
    </w:p>
    <w:p>
      <w:pPr>
        <w:pStyle w:val="BookText"/>
        <w:rPr/>
      </w:pPr>
      <w:bookmarkEnd w:id="3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وقد عرفت أنّ الحكومة الشرعية مكلفة بمراعاة مصلحة الناس</w:t>
      </w:r>
      <w:r>
        <w:rPr>
          <w:rFonts w:eastAsia="Amiri" w:cs="Amiri" w:ascii="Amiri" w:hAnsi="Amiri"/>
          <w:color w:val="111111"/>
          <w:sz w:val="28"/>
          <w:szCs w:val="28"/>
          <w:rtl w:val="true"/>
          <w:lang w:bidi="ar-SA"/>
        </w:rPr>
        <w:t>.</w:t>
      </w:r>
    </w:p>
    <w:p>
      <w:pPr>
        <w:pStyle w:val="Heading2"/>
        <w:numPr>
          <w:ilvl w:val="1"/>
          <w:numId w:val="1"/>
        </w:numPr>
        <w:rPr/>
      </w:pPr>
      <w:bookmarkStart w:id="357" w:name="__RefHeading___Toc11915278_2142443653"/>
      <w:bookmarkStart w:id="358" w:name="_Toc126"/>
      <w:bookmarkEnd w:id="357"/>
      <w:r>
        <w:rPr>
          <w:rtl w:val="true"/>
        </w:rPr>
        <w:t>فقد الاستطاعة</w:t>
      </w:r>
      <w:bookmarkEnd w:id="35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تبق استطاعة الشخص حتى العام الآتي، في مسألتي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 الحج؛ لأنه بالتمكن في عام المنع، لا يكون الإنسان مستطيعاً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تخلية 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الواجب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على المستطيع أن يعطي مالاً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 اشتراء بطاقة من يستحب له الحج، أما من يجب عليه فلا يجوز</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له بيع بطاقته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علماً ولو لما لا ضرر فيه، وحينئذٍ تجب إطاعته بمقتضى أدلة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طاعة الحاكم في الموضوعات،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الموضوعات الخاصة لا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w:t>
      </w:r>
      <w:r>
        <w:rPr>
          <w:rFonts w:eastAsia="Amiri" w:cs="Amiri" w:ascii="Amiri" w:hAnsi="Amiri"/>
          <w:color w:val="111111"/>
          <w:sz w:val="28"/>
          <w:szCs w:val="28"/>
          <w:rtl w:val="true"/>
          <w:lang w:bidi="ar-SA"/>
        </w:rPr>
        <w:t>)</w:t>
      </w:r>
      <w:r>
        <w:rPr>
          <w:rStyle w:val="FootnoteAnchor"/>
          <w:rtl w:val="true"/>
        </w:rPr>
        <w:footnoteReference w:id="616"/>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وللأهم والمهم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مقدمة وجودية للواجب، وليس تحصيلاً للاستطاعة، فهو كطي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فالظاهر الإجزاء لمَنْ اشترى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تكليفي لا وضعي،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والشراء محّرم؛ لأنّه تعاون على الإثم، إلا أنّه لا يخل بحجه، فتأمل، لأنه وفر مقدمة محرمة لا أنّ العمل محرّم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359" w:name="pg15697_169021"/>
    </w:p>
    <w:p>
      <w:pPr>
        <w:pStyle w:val="Heading2"/>
        <w:numPr>
          <w:ilvl w:val="1"/>
          <w:numId w:val="1"/>
        </w:numPr>
        <w:rPr/>
      </w:pPr>
      <w:bookmarkStart w:id="360" w:name="__RefHeading___Toc11915280_2142443653"/>
      <w:bookmarkStart w:id="361" w:name="_Toc127"/>
      <w:bookmarkEnd w:id="359"/>
      <w:bookmarkEnd w:id="360"/>
      <w:r>
        <w:rPr>
          <w:rtl w:val="true"/>
        </w:rPr>
        <w:t>العلامة على القبلة</w:t>
      </w:r>
      <w:bookmarkEnd w:id="3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 أن تعمل الحكومة في مكة المكرمة سفينة</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كهربائية فوق الكعبة المكرمة، بحيث يراها أهل الآفاق البعيدة، الممكن رؤيتهم لها، وكذلك تعمل كل حكومة فوق بلدها سفينة مسامتة لسفينة الكعبة حتى تعرف سمت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كان من الخير؛ لأن الآفاق يرون خط الكعبة بالدقة، وهو يوجب التدقيق في أمر القبلة؛ وإن كان ظاهر الدليل كفاية السمت العرفي، كما ذكرناه في الفقه، وإذا وصل الأمر إلى الطرف الآخر من الكرة الأرضية فالمعيار أقرب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الخطوط المتعددة إلى الكعبة في اتجاه الصلاة وغيرها، لا بخرق الأرض من سطح الأرض</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11915282_2142443653"/>
      <w:bookmarkStart w:id="363" w:name="_Toc128"/>
      <w:bookmarkEnd w:id="362"/>
      <w:r>
        <w:rPr>
          <w:rtl w:val="true"/>
        </w:rPr>
        <w:t>الوقوف في المشاعر</w:t>
      </w:r>
      <w:bookmarkEnd w:id="3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الازدحام في الحج كثيراً، بحيث لم يتمكن الحاج من الوقوف في عرفات والمشعر، مرّ بهما مروراً في بعض</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الموقف، وسكن في خارجهما، والأحوط السكنى في الأقرب فالأقرب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مجسمة كالكعبة أو إشارات ضوئية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كان يبني عليه الناس من قديم الأيام، ولم يردع عن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يلاحظون خط السير الأرضي، لا عمق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تساويا أو تساوت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الإمكان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364" w:name="pg15697_169022"/>
    </w:p>
    <w:p>
      <w:pPr>
        <w:pStyle w:val="BookText"/>
        <w:rPr/>
      </w:pPr>
      <w:bookmarkEnd w:id="3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المرور لأنه الميسور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 والأقرب فالأقرب لما في بعض الروايات من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يقفون خارج تلك المواضع مما انصرافه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إلى الأقرب فالأقرب، لكن العرفي منه لا الدقي</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11915284_2142443653"/>
      <w:bookmarkStart w:id="366" w:name="_Toc129"/>
      <w:bookmarkEnd w:id="365"/>
      <w:r>
        <w:rPr>
          <w:rtl w:val="true"/>
        </w:rPr>
        <w:t>الطواف أبعد من المطاف</w:t>
      </w:r>
      <w:bookmarkEnd w:id="36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الطواف أبعد من مقدار ستة وعشرين ذراعاً</w:t>
      </w:r>
      <w:r>
        <w:rPr>
          <w:rStyle w:val="FootnoteAnchor"/>
          <w:rtl w:val="true"/>
        </w:rPr>
        <w:footnoteReference w:id="618"/>
      </w:r>
      <w:r>
        <w:rPr>
          <w:rFonts w:ascii="Amiri" w:hAnsi="Amiri" w:eastAsia="Amiri" w:cs="Amiri"/>
          <w:color w:val="111111"/>
          <w:sz w:val="28"/>
          <w:sz w:val="28"/>
          <w:szCs w:val="28"/>
          <w:rtl w:val="true"/>
          <w:lang w:bidi="ar-SA"/>
        </w:rPr>
        <w:t xml:space="preserve"> خصوصاً في حال الاضطرار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لورود الرواية بذلك، فتحمل الرواية المحددة على الأفضل، كما مقتضى الجمع</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بين مثل هاتين الطائفتين، وعلى هذا فلو اتسع المسجد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أكثر كان المطاف أكبر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الواجب انحلالي، كما يظهر لمن خرج من عرفات، فإنه يجب الرجوع، وكلما استطاع وجب، فهو مثل الصلوات المتعددة، لا مثل صوم شهر رمضان، ومنه يظهر أنّ الحكم كذلك حتى لو لم نقبل بقاعدة الميسور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تقريباً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المناسك</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اللازم الاتساع، أو لو فرض أنّه انهدم حائط المسجد جاز أن يطوف</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367" w:name="pg15697_169023"/>
    </w:p>
    <w:p>
      <w:pPr>
        <w:pStyle w:val="Heading2"/>
        <w:numPr>
          <w:ilvl w:val="1"/>
          <w:numId w:val="1"/>
        </w:numPr>
        <w:rPr/>
      </w:pPr>
      <w:bookmarkStart w:id="368" w:name="__RefHeading___Toc11915286_2142443653"/>
      <w:bookmarkStart w:id="369" w:name="_Toc130"/>
      <w:bookmarkEnd w:id="367"/>
      <w:bookmarkEnd w:id="368"/>
      <w:r>
        <w:rPr>
          <w:rtl w:val="true"/>
        </w:rPr>
        <w:t>الطواف فوق الكعبة</w:t>
      </w:r>
      <w:bookmarkEnd w:id="36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الطواف والسعي</w:t>
      </w:r>
      <w:r>
        <w:rPr>
          <w:rStyle w:val="FootnoteAnchor"/>
          <w:rtl w:val="true"/>
        </w:rPr>
        <w:footnoteReference w:id="621"/>
      </w:r>
      <w:r>
        <w:rPr>
          <w:rFonts w:ascii="Amiri" w:hAnsi="Amiri" w:eastAsia="Amiri" w:cs="Amiri"/>
          <w:color w:val="111111"/>
          <w:sz w:val="28"/>
          <w:sz w:val="28"/>
          <w:szCs w:val="28"/>
          <w:rtl w:val="true"/>
          <w:lang w:bidi="ar-SA"/>
        </w:rPr>
        <w:t xml:space="preserve"> والوقوف والرمي فوق وتحت الكعبة والمسعى والموقف</w:t>
      </w:r>
      <w:r>
        <w:rPr>
          <w:rStyle w:val="FootnoteAnchor"/>
          <w:rtl w:val="true"/>
        </w:rPr>
        <w:footnoteReference w:id="622"/>
      </w:r>
      <w:r>
        <w:rPr>
          <w:rFonts w:ascii="Amiri" w:hAnsi="Amiri" w:eastAsia="Amiri" w:cs="Amiri"/>
          <w:color w:val="111111"/>
          <w:sz w:val="28"/>
          <w:sz w:val="28"/>
          <w:szCs w:val="28"/>
          <w:rtl w:val="true"/>
          <w:lang w:bidi="ar-SA"/>
        </w:rPr>
        <w:t xml:space="preserve"> والجمرة</w:t>
      </w:r>
      <w:r>
        <w:rPr>
          <w:rStyle w:val="FootnoteAnchor"/>
          <w:rtl w:val="true"/>
        </w:rPr>
        <w:footnoteReference w:id="623"/>
      </w:r>
      <w:r>
        <w:rPr>
          <w:rFonts w:ascii="Amiri" w:hAnsi="Amiri" w:eastAsia="Amiri" w:cs="Amiri"/>
          <w:color w:val="111111"/>
          <w:sz w:val="28"/>
          <w:sz w:val="28"/>
          <w:szCs w:val="28"/>
          <w:rtl w:val="true"/>
          <w:lang w:bidi="ar-SA"/>
        </w:rPr>
        <w:t>، لكن بالحدود المقررة، والاحتياط اختصاص ذلك بحالة الاضطرار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للصدق</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ولأن الكعبة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من تخوم الأرض إلى عنان السماء، وعلى هذا فيجوز الطواف مورّباً أو بعضه في العلوّ وبعضه في الوسط وبعضه في السفل، وكذلك في سائر المواقف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الأطراف الخارجة مع صدق الطواف عرفاً؟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بِهِمَا</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عالياً جداً، بحيث لا يصدق الوقوف بعرفات ونحوها</w:t>
      </w:r>
      <w:r>
        <w:rPr>
          <w:rFonts w:eastAsia="Amiri" w:cs="Amiri" w:ascii="Amiri" w:hAnsi="Amiri"/>
          <w:color w:val="111111"/>
          <w:sz w:val="28"/>
          <w:szCs w:val="28"/>
          <w:rtl w:val="true"/>
          <w:lang w:bidi="ar-SA"/>
        </w:rPr>
        <w:t>.</w:t>
      </w:r>
    </w:p>
    <w:p>
      <w:pPr>
        <w:pStyle w:val="BookText"/>
        <w:rPr/>
      </w:pP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لعدم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التأمل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ملاحظة دليل الطواف، ودليل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من تخوم أو القبلة من تخوم</w:t>
      </w:r>
      <w:r>
        <w:rPr>
          <w:rStyle w:val="FootnoteAnchor"/>
          <w:rtl w:val="true"/>
        </w:rPr>
        <w:footnoteReference w:id="628"/>
      </w:r>
      <w:r>
        <w:rPr>
          <w:rFonts w:ascii="Amiri" w:hAnsi="Amiri" w:eastAsia="Amiri" w:cs="Amiri"/>
          <w:color w:val="111111"/>
          <w:sz w:val="28"/>
          <w:sz w:val="28"/>
          <w:szCs w:val="28"/>
          <w:rtl w:val="true"/>
          <w:lang w:bidi="ar-SA"/>
        </w:rPr>
        <w:t>، فإذا كان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الأخير ظاهراً في استقبال الصلاة لا الطواف،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البيت من تخوم الأرض عن الفقيه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370" w:name="pg15697_169024"/>
    </w:p>
    <w:p>
      <w:pPr>
        <w:pStyle w:val="Heading2"/>
        <w:numPr>
          <w:ilvl w:val="1"/>
          <w:numId w:val="1"/>
        </w:numPr>
        <w:rPr/>
      </w:pPr>
      <w:bookmarkStart w:id="371" w:name="__RefHeading___Toc11915288_2142443653"/>
      <w:bookmarkStart w:id="372" w:name="_Toc131"/>
      <w:bookmarkEnd w:id="370"/>
      <w:bookmarkEnd w:id="371"/>
      <w:r>
        <w:rPr>
          <w:rtl w:val="true"/>
        </w:rPr>
        <w:t>حبس الحيض</w:t>
      </w:r>
      <w:bookmarkEnd w:id="3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شربت المرأة دواءً أوجب حبس الحيض</w:t>
      </w:r>
      <w:r>
        <w:rPr>
          <w:rStyle w:val="FootnoteAnchor"/>
          <w:rtl w:val="true"/>
        </w:rPr>
        <w:footnoteReference w:id="630"/>
      </w:r>
      <w:r>
        <w:rPr>
          <w:rFonts w:ascii="Amiri" w:hAnsi="Amiri" w:eastAsia="Amiri" w:cs="Amiri"/>
          <w:color w:val="111111"/>
          <w:sz w:val="28"/>
          <w:sz w:val="28"/>
          <w:szCs w:val="28"/>
          <w:rtl w:val="true"/>
          <w:lang w:bidi="ar-SA"/>
        </w:rPr>
        <w:t xml:space="preserve"> كانت بحكم الطاهر في أعمال حجها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للإطلاق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والنص الخاص، ومنه يعلم أنها إذا أدرّت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الحيض كان في حكم الحائض في الأحكام، فإن الحكم تابع للموضوع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يصدق في الطابق الثاني ونحوه أنّه طاف حول الكعبة،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رفعت الكعبة بحيث حاذت الطابق الثاني وغيره صدق أنّه طاف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والكعبة ليس لها حدّ، بل منوطة بالصدق العرفي، فهو كتوسعة المسجد الحرام، أو توسعة البلدان الأربعة، أو توسعة أية مدينة أو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يخرج مطلقاً،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قطعه خلال الثلاثة،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طريقي لا موضوعي، فمع العلم بكونه حيضاً لا يضر القطع، لكن ظاهر النص والفتوى الموضوعية فتأمل، فهو مثل الحيض قبل البلوغ أو بعد سن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قطعه بعد الثلاثة وعلمت بأنّه لا يخرج ولو قطرة منه خلال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تشمله أدلة الطهارة والطاهرة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تابعة للعناوين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ذلك، بأن يفعل الإنسان عملاً يوجب انتقاله من العمل الاختياري إلى الاضطراري؟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العنوانين طوليان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كانا عرضيين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والحضر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373" w:name="pg15697_169025"/>
    </w:p>
    <w:p>
      <w:pPr>
        <w:pStyle w:val="Heading2"/>
        <w:numPr>
          <w:ilvl w:val="1"/>
          <w:numId w:val="1"/>
        </w:numPr>
        <w:rPr/>
      </w:pPr>
      <w:bookmarkStart w:id="374" w:name="__RefHeading___Toc11915290_2142443653"/>
      <w:bookmarkStart w:id="375" w:name="_Toc132"/>
      <w:bookmarkEnd w:id="373"/>
      <w:bookmarkEnd w:id="374"/>
      <w:r>
        <w:rPr>
          <w:rtl w:val="true"/>
        </w:rPr>
        <w:t>الهستيريا في الصلاة</w:t>
      </w:r>
      <w:bookmarkEnd w:id="3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المبتلى بمرض الضحك، تصح صلاته</w:t>
      </w:r>
      <w:r>
        <w:rPr>
          <w:rStyle w:val="FootnoteAnchor"/>
          <w:rtl w:val="true"/>
        </w:rPr>
        <w:footnoteReference w:id="632"/>
      </w:r>
      <w:r>
        <w:rPr>
          <w:rFonts w:ascii="Amiri" w:hAnsi="Amiri" w:eastAsia="Amiri" w:cs="Amiri"/>
          <w:color w:val="111111"/>
          <w:sz w:val="28"/>
          <w:sz w:val="28"/>
          <w:szCs w:val="28"/>
          <w:rtl w:val="true"/>
          <w:lang w:bidi="ar-SA"/>
        </w:rPr>
        <w:t xml:space="preserve"> مع الضحك، إلا إذا قدر أن يمنع نفسه بقدر إتيانه بالصلاة، ومثل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والحركة المنافية للاطمئنان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للاضطرار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ودليل</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له فترة فيقطع فيها الضحك أو يقل تعينت الصلاة فيها، راجع بحث السلس</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جواز البدار لذوي الأعذار بحث في محله، مع احتمال الانقطاع</w:t>
      </w:r>
      <w:r>
        <w:rPr>
          <w:rFonts w:eastAsia="Amiri" w:cs="Amiri" w:ascii="Amiri" w:hAnsi="Amiri"/>
          <w:color w:val="111111"/>
          <w:sz w:val="28"/>
          <w:szCs w:val="28"/>
          <w:rtl w:val="true"/>
          <w:lang w:bidi="ar-SA"/>
        </w:rPr>
        <w:t>.</w:t>
      </w:r>
    </w:p>
    <w:p>
      <w:pPr>
        <w:pStyle w:val="BookText"/>
        <w:rPr/>
      </w:pP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الأولى الاستدلال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الصلاة بحال</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مما يستفاد منه صحة الصلاة، وراجع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 إجزاء الاضطراري عن الواقعي 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دليل الاضطرار يثبت الجواز، أو الصحة أيضاً؟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376" w:name="pg15697_169026"/>
    </w:p>
    <w:p>
      <w:pPr>
        <w:pStyle w:val="BookText"/>
        <w:rPr/>
      </w:pPr>
      <w:bookmarkEnd w:id="376"/>
      <w:r>
        <w:rPr>
          <w:rFonts w:ascii="Amiri" w:hAnsi="Amiri" w:eastAsia="Amiri" w:cs="Amiri"/>
          <w:color w:val="111111"/>
          <w:sz w:val="28"/>
          <w:sz w:val="28"/>
          <w:szCs w:val="28"/>
          <w:rtl w:val="true"/>
          <w:lang w:bidi="ar-SA"/>
        </w:rPr>
        <w:t>الميسور</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والتنظير بالسلس للملاك</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وكذلك حال كثير النوم</w:t>
      </w: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 بأن يغفو في صلاته مرّات</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11915292_2142443653"/>
      <w:bookmarkStart w:id="378" w:name="_Toc133"/>
      <w:bookmarkEnd w:id="377"/>
      <w:r>
        <w:rPr>
          <w:rtl w:val="true"/>
        </w:rPr>
        <w:t>الفصول العشائرية</w:t>
      </w:r>
      <w:bookmarkEnd w:id="37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العشائرية إن أمكن تطبيقها</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الموازين الشرعية جازت،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فصل الدية بمائة دينار وبنت، ورضي الطرفان صلحاً ورضيت البنت</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وإن لم يمكن تطبيقها على الموازين الشرعية لم يجز، لكن اللازم السعي لإلغاء الفصول العشائرية المتعارفة في بعض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حكم اللّه هو اللازم اتباعه، نعم يمكن التصالح فإنه طريق شرعي أيضاً، أما لزوم الإلغاء فهو لئلا يكون للناس بتلك الفصول علاقة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القول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تجديد الطهارة لا على ما في بحث المسلوس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إن اعتبرت بعنوان حكم كان محرّماً مطلقاً، وإن اعتبرت بعنوان صلح كانت محلّلة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فتفصيل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ولزوم الإلغاء يحتاج إلى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كقاضي التحكيم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ووليها إن كانت بكراً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يؤدي كثيراً إلى تجاوز أحكام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مقدمة للحرام، أو سبباً لتصور أنّه حكم اللّه تعالى، أو في قبال حكم اللّه تعالى، فتأمل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379" w:name="pg15697_169027"/>
    </w:p>
    <w:p>
      <w:pPr>
        <w:pStyle w:val="BookText"/>
        <w:rPr/>
      </w:pPr>
      <w:bookmarkEnd w:id="379"/>
      <w:r>
        <w:rPr>
          <w:rFonts w:ascii="Amiri" w:hAnsi="Amiri" w:eastAsia="Amiri" w:cs="Amiri"/>
          <w:color w:val="111111"/>
          <w:sz w:val="28"/>
          <w:sz w:val="28"/>
          <w:szCs w:val="28"/>
          <w:rtl w:val="true"/>
          <w:lang w:bidi="ar-SA"/>
        </w:rPr>
        <w:t>ويكون الحكم لله وحده،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0" w:name="__RefHeading___Toc11915294_2142443653"/>
      <w:bookmarkStart w:id="381" w:name="_Toc134"/>
      <w:bookmarkEnd w:id="380"/>
      <w:r>
        <w:rPr>
          <w:rtl w:val="true"/>
        </w:rPr>
        <w:t>صبغ الأظافر</w:t>
      </w:r>
      <w:bookmarkEnd w:id="38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 الذي له جسمية</w:t>
      </w:r>
      <w:r>
        <w:rPr>
          <w:rStyle w:val="FootnoteAnchor"/>
          <w:rtl w:val="true"/>
        </w:rPr>
        <w:footnoteReference w:id="638"/>
      </w:r>
      <w:r>
        <w:rPr>
          <w:rFonts w:ascii="Amiri" w:hAnsi="Amiri" w:eastAsia="Amiri" w:cs="Amiri"/>
          <w:color w:val="111111"/>
          <w:sz w:val="28"/>
          <w:sz w:val="28"/>
          <w:szCs w:val="28"/>
          <w:rtl w:val="true"/>
          <w:lang w:bidi="ar-SA"/>
        </w:rPr>
        <w:t xml:space="preserve"> ويستفاد منه لتجميل الأظافر لا يصح الوضوء والغسل معه، فاللازم إزالته حال الوضوء والاغتسال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الإزالة لأنه حائل، وكذلك حال الصبغ الذي يستفاد لتجمل شفار العين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أو شعر الرأس إذا كان حائلاً، وأما الصبغ الذي ليس حائلاً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في صبغ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صبغت بالحائل ولم يمكن إزالته مسحت عليه؛ لأنه بمنزلة الجبيرة سواء كان وضعه حلالاً أم حراماً</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2" w:name="__RefHeading___Toc11915296_2142443653"/>
      <w:bookmarkStart w:id="383" w:name="_Toc135"/>
      <w:bookmarkEnd w:id="382"/>
      <w:r>
        <w:rPr>
          <w:rtl w:val="true"/>
        </w:rPr>
        <w:t>المشتبه بالجلد</w:t>
      </w:r>
      <w:bookmarkEnd w:id="38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المجلوب من بلاد الكفر الذي لا يعلم أنه جلد</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حائلاً عرفاً بحيث لم يمس الماء البشرة في نظر العرف</w:t>
      </w:r>
      <w:r>
        <w:rPr>
          <w:rFonts w:eastAsia="Amiri" w:cs="Amiri" w:ascii="Amiri" w:hAnsi="Amiri"/>
          <w:color w:val="111111"/>
          <w:sz w:val="28"/>
          <w:szCs w:val="28"/>
          <w:rtl w:val="true"/>
          <w:lang w:bidi="ar-SA"/>
        </w:rPr>
        <w:t>.</w:t>
      </w:r>
    </w:p>
    <w:p>
      <w:pPr>
        <w:pStyle w:val="BookText"/>
        <w:rPr/>
      </w:pP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محله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الإشارة إلى أنّه لو أتى بما أوجب الاضطرار صحّ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الجنب الغسل إلى قريب الفجر</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ليس بجلد</w:t>
      </w:r>
      <w:r>
        <w:rPr>
          <w:rStyle w:val="FootnoteAnchor"/>
          <w:rtl w:val="true"/>
        </w:rPr>
        <w:footnoteReference w:id="644"/>
      </w:r>
      <w:r>
        <w:rPr>
          <w:rFonts w:ascii="IRNazanin" w:hAnsi="IRNazanin" w:eastAsia="IRNazanin"/>
          <w:color w:val="111111"/>
          <w:sz w:val="28"/>
          <w:sz w:val="28"/>
          <w:szCs w:val="28"/>
          <w:rtl w:val="true"/>
          <w:lang w:bidi="fa-IR"/>
        </w:rPr>
        <w:t xml:space="preserve"> إذا فحص</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ولم يعلم حقيقته، جازت المعاملة عليه واستعماله</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لقاعدتي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والطهارة</w:t>
      </w:r>
      <w:r>
        <w:rPr>
          <w:rFonts w:eastAsia="Amiri" w:cs="Amiri" w:ascii="Amiri" w:hAnsi="Amiri"/>
          <w:color w:val="111111"/>
          <w:sz w:val="28"/>
          <w:szCs w:val="28"/>
          <w:rtl w:val="true"/>
          <w:lang w:bidi="ar-SA"/>
        </w:rPr>
        <w:t>.</w:t>
      </w:r>
    </w:p>
    <w:p>
      <w:pPr>
        <w:pStyle w:val="BookText"/>
        <w:rPr/>
      </w:pP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الحكم بالطهارة لو علم أنّه جلد طبيعي، لكن لم يعلم أنّه من حيوان دافق الدم أو غير الدافق، فإنّه طاهر ولو كان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 صناعي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أنّه طبيعي أو صناعي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 جلد طبيعي من حيوان دمه دافق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 طبيعي من حيوان دمه غير دافق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أنّه دافق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الموضوعية لا يلزم الفحص على المشهور، وفي خصوص الطهارة والنجاسة لا يلزم الفحص حتى على مبنى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النجاسة والتنجس</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الميتة حرام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اللباس المشكوك بحوث طويلة، وألّفت رسائل خاصة لذلك، راجع العروة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الماهوت</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384" w:name="pg15697_169029"/>
    </w:p>
    <w:p>
      <w:pPr>
        <w:pStyle w:val="Heading2"/>
        <w:numPr>
          <w:ilvl w:val="1"/>
          <w:numId w:val="1"/>
        </w:numPr>
        <w:rPr/>
      </w:pPr>
      <w:bookmarkStart w:id="385" w:name="__RefHeading___Toc11915298_2142443653"/>
      <w:bookmarkStart w:id="386" w:name="_Toc136"/>
      <w:bookmarkEnd w:id="384"/>
      <w:bookmarkEnd w:id="385"/>
      <w:r>
        <w:rPr>
          <w:rtl w:val="true"/>
        </w:rPr>
        <w:t>السفر إلى الفضاء</w:t>
      </w:r>
      <w:bookmarkEnd w:id="3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الفضاء في حكم السفر إلى نقاط الأرض، في الإقامة الموجبة لإتمام الصلاة والصوم وغيرها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الأدلة وصدق السفر، فإنه لا يختلف في السفر، العمودي والأفقي، صعوداً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ونزولاً ومورّباً كما ذكرناه في الفقه</w:t>
      </w:r>
      <w:r>
        <w:rPr>
          <w:rFonts w:eastAsia="Amiri" w:cs="Amiri" w:ascii="Amiri" w:hAnsi="Amiri"/>
          <w:color w:val="111111"/>
          <w:sz w:val="28"/>
          <w:szCs w:val="28"/>
          <w:rtl w:val="true"/>
          <w:lang w:bidi="ar-SA"/>
        </w:rPr>
        <w:t>.</w:t>
      </w:r>
    </w:p>
    <w:p>
      <w:pPr>
        <w:pStyle w:val="Heading2"/>
        <w:numPr>
          <w:ilvl w:val="1"/>
          <w:numId w:val="1"/>
        </w:numPr>
        <w:rPr/>
      </w:pPr>
      <w:bookmarkStart w:id="387" w:name="__RefHeading___Toc11915300_2142443653"/>
      <w:bookmarkStart w:id="388" w:name="_Toc137"/>
      <w:bookmarkEnd w:id="387"/>
      <w:r>
        <w:rPr>
          <w:rtl w:val="true"/>
        </w:rPr>
        <w:t>حركة القمر ليست سفراً</w:t>
      </w:r>
      <w:bookmarkEnd w:id="38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القمر لا تعد سفراً، فإذا استوطن الإنسان القمر، كان في حكم المقيم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لانصراف أدلة السفر عن حركته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نعم لو كانت في الفضاء أجرام صغيرة جداً بحيث يعد حركتها سفراً عرفاً كان في حكمه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أما إذا سكنها إنسان شهراً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كان من قبيل</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كجريان حكم الوطن الاتخاذي، ومثل كثير السفر وعمله السفر وفي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عدم خفاء الجدران؛ إذ القياس الحركة الطبيعية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العروة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كحركة الأرض، ولو فرض كونه سفراً كان كثير السفر أو ممن بيته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الحاشية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الملاك الشهر أو صدق العنوان؟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389" w:name="pg15697_169030"/>
    </w:p>
    <w:p>
      <w:pPr>
        <w:pStyle w:val="BookText"/>
        <w:rPr/>
      </w:pPr>
      <w:bookmarkEnd w:id="389"/>
      <w:r>
        <w:rPr>
          <w:rFonts w:ascii="Amiri" w:hAnsi="Amiri" w:eastAsia="Amiri" w:cs="Amiri"/>
          <w:color w:val="111111"/>
          <w:sz w:val="28"/>
          <w:sz w:val="28"/>
          <w:szCs w:val="28"/>
          <w:rtl w:val="true"/>
          <w:lang w:bidi="ar-SA"/>
        </w:rPr>
        <w:t>كثير السفر</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لدوام حركتها</w:t>
      </w:r>
      <w:r>
        <w:rPr>
          <w:rFonts w:eastAsia="Amiri" w:cs="Amiri" w:ascii="Amiri" w:hAnsi="Amiri"/>
          <w:color w:val="111111"/>
          <w:sz w:val="28"/>
          <w:szCs w:val="28"/>
          <w:rtl w:val="true"/>
          <w:lang w:bidi="ar-SA"/>
        </w:rPr>
        <w:t>.</w:t>
      </w:r>
    </w:p>
    <w:p>
      <w:pPr>
        <w:pStyle w:val="Heading2"/>
        <w:numPr>
          <w:ilvl w:val="1"/>
          <w:numId w:val="1"/>
        </w:numPr>
        <w:rPr/>
      </w:pPr>
      <w:bookmarkStart w:id="390" w:name="__RefHeading___Toc11915302_2142443653"/>
      <w:bookmarkStart w:id="391" w:name="_Toc138"/>
      <w:bookmarkEnd w:id="390"/>
      <w:r>
        <w:rPr>
          <w:rtl w:val="true"/>
        </w:rPr>
        <w:t>حركة القمر الصناعي</w:t>
      </w:r>
      <w:bookmarkEnd w:id="39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الإنسان في غواصة أو قمر صناعي دائم السير، صار حاله حال كثير السفر</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ولو كان ساكناً تارة ومتحركاً أخرى كان كسائر الناس في حكم السفر والحضر</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11915304_2142443653"/>
      <w:bookmarkStart w:id="393" w:name="_Toc139"/>
      <w:bookmarkEnd w:id="392"/>
      <w:r>
        <w:rPr>
          <w:rtl w:val="true"/>
        </w:rPr>
        <w:t>بيع الكمبيالة</w:t>
      </w:r>
      <w:bookmarkEnd w:id="3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للإنسان كمبيالة بمبلغ مائة دينار مثلاً، جاز بيعها بأقل، فإنه من بيع الدين بأقل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ذلك من الربا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لكن بشرط أن يكون الدين واقعياً لا مجاملياً، وإلا كان من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هذا العنوان متعلق لحكم شرعي، أمّا لو قلنا الملاك عمله السفر، أو في السفر، أو بيته معه كانت هي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الحاشية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ممن بيته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يبيع نفس الورقة، إذا كانت لها مالية عرفاً، فإنّه ذهب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ليست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بيع؛ لأنّ للورقة اعتباراً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لا يقع على نفس الورقة، بل باعتبار الدين، فلا تلاحظ نفس الورقة، بل الملحوظ نفس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احتال للفرار من الربا دخل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الحيل الشرعية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394" w:name="pg15697_169031"/>
    </w:p>
    <w:p>
      <w:pPr>
        <w:pStyle w:val="Heading2"/>
        <w:numPr>
          <w:ilvl w:val="1"/>
          <w:numId w:val="1"/>
        </w:numPr>
        <w:rPr/>
      </w:pPr>
      <w:bookmarkStart w:id="395" w:name="__RefHeading___Toc11915306_2142443653"/>
      <w:bookmarkStart w:id="396" w:name="_Toc140"/>
      <w:bookmarkEnd w:id="394"/>
      <w:bookmarkEnd w:id="395"/>
      <w:r>
        <w:rPr>
          <w:rtl w:val="true"/>
        </w:rPr>
        <w:t>اللبن المزرّق</w:t>
      </w:r>
      <w:bookmarkEnd w:id="3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زرّقت المرأة اللبن بما خرج من ثديها، بحيث لم يعد لبناً لها، لم يوجب ذلك اللبن الرضاع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لوضوح أنّ الدليل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في لبن المرأة، وهذا ليس منه، كما أنه لو فرض تزريق المني بحيث خرج من الرجل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لم يكن منيه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ولم يوجب غسلاً، وهكذا حال الدم الذي يمتصّه العلق، فإنه لا يعد من دم حيوان ليس له نفس سائلة حتى يكون طاهراً، إلى غير ذلك من أشباهها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ملاحظة الدليل، فهل يحتوي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الإرضاع من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ذلك هو الملاك؟ ولعله لا يكون فارق بين العنوانين،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نظر، ولعل الصدق يختلف</w:t>
      </w:r>
      <w:r>
        <w:rPr>
          <w:rFonts w:eastAsia="Amiri" w:cs="Amiri" w:ascii="Amiri" w:hAnsi="Amiri"/>
          <w:color w:val="111111"/>
          <w:sz w:val="28"/>
          <w:szCs w:val="28"/>
          <w:rtl w:val="true"/>
          <w:lang w:bidi="ar-SA"/>
        </w:rPr>
        <w:t>.</w:t>
      </w:r>
    </w:p>
    <w:p>
      <w:pPr>
        <w:pStyle w:val="BookText"/>
        <w:rPr/>
      </w:pP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خرج من المرأة مني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العروة، بحث الأغسال</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العروة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ولاحظ الأدلة المذكورة هنالك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كدم البق،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العروة، بحث النجاسات</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397" w:name="pg15697_169032"/>
    </w:p>
    <w:p>
      <w:pPr>
        <w:pStyle w:val="Heading2"/>
        <w:numPr>
          <w:ilvl w:val="1"/>
          <w:numId w:val="1"/>
        </w:numPr>
        <w:rPr/>
      </w:pPr>
      <w:bookmarkStart w:id="398" w:name="__RefHeading___Toc11915308_2142443653"/>
      <w:bookmarkStart w:id="399" w:name="_Toc141"/>
      <w:bookmarkEnd w:id="397"/>
      <w:bookmarkEnd w:id="398"/>
      <w:r>
        <w:rPr>
          <w:rtl w:val="true"/>
        </w:rPr>
        <w:t>اللبن والمنفذ الجديد</w:t>
      </w:r>
      <w:bookmarkEnd w:id="39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اللبن من غير الثدي بواسطة فتح منفذ، لم يبعد أن يلحق به حكم الرضاع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للصدق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إذا اجتمعت الشروط، 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خروج المني والبول والغائط من غير المخارج المتعارفة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0" w:name="__RefHeading___Toc11915310_2142443653"/>
      <w:bookmarkStart w:id="401" w:name="_Toc142"/>
      <w:bookmarkEnd w:id="400"/>
      <w:r>
        <w:rPr>
          <w:rtl w:val="true"/>
        </w:rPr>
        <w:t>الحروب الجرثومية</w:t>
      </w:r>
      <w:bookmarkEnd w:id="4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الكيماوية والجرثومية ضد الكفار إنما هي فيما إذا توقف</w:t>
      </w:r>
      <w:r>
        <w:rPr>
          <w:rStyle w:val="FootnoteAnchor"/>
          <w:rtl w:val="true"/>
        </w:rPr>
        <w:footnoteReference w:id="6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يختلف باختلاف الموارد، راجع بحث المنفذ غير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النواقض</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 وراجع 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 من يده أو رجله فهل يصدق الإرضاع؟</w:t>
      </w:r>
    </w:p>
    <w:p>
      <w:pPr>
        <w:pStyle w:val="BookText"/>
        <w:rPr/>
      </w:pP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ولوحدة الملاك فتأمل؛ إذ ما الفرق بين أن يخرج نفس اللبن من الثدي أو الإصبع؟</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لا تبرر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تبرر الوسيلة مطلقاً، ولكن استثني من ذلك كون الغاية أهم من الوسيلة بدرجة ملزمة، فالغاية مطلقاً لا تبرر الوسيلة مطلقاً، لكن الغاية الأهم تبرر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عليها، أو إذا كان الكافر يستعملها</w:t>
      </w:r>
      <w:r>
        <w:rPr>
          <w:rStyle w:val="FootnoteAnchor"/>
          <w:rtl w:val="true"/>
        </w:rPr>
        <w:footnoteReference w:id="665"/>
      </w:r>
      <w:r>
        <w:rPr>
          <w:rFonts w:ascii="Amiri" w:hAnsi="Amiri" w:eastAsia="Amiri" w:cs="Amiri"/>
          <w:color w:val="111111"/>
          <w:sz w:val="28"/>
          <w:sz w:val="28"/>
          <w:szCs w:val="28"/>
          <w:rtl w:val="true"/>
          <w:lang w:bidi="ar-SA"/>
        </w:rPr>
        <w:t>، أما بدون هاتين الصورتين فالاجتناب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توقف الانتصار</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تكون المسألة من الأهم والمهم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بشرط إجازة شورى</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الفقهاء، ومع استعمال الكافر تكون من المقابلة بالمثل،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أما بدونهما فهو من التشويه والتمثيل</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فلا يجوز، وقد ذكرنا في الفقه لزوم التدرج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الوسيلة المهم إذا كانت الأهمية بالغة درجة الإلزام</w:t>
      </w:r>
      <w:r>
        <w:rPr>
          <w:rFonts w:eastAsia="Amiri" w:cs="Amiri" w:ascii="Amiri" w:hAnsi="Amiri"/>
          <w:color w:val="111111"/>
          <w:sz w:val="28"/>
          <w:szCs w:val="28"/>
          <w:rtl w:val="true"/>
          <w:lang w:bidi="ar-SA"/>
        </w:rPr>
        <w:t>.</w:t>
      </w:r>
    </w:p>
    <w:p>
      <w:pPr>
        <w:pStyle w:val="BookText"/>
        <w:rPr/>
      </w:pP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الآية الكريمة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اللينة</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التأمل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وراجع المسائل اللاحقة لهذه المسألة ، 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Style w:val="FootnoteAnchor"/>
          <w:rtl w:val="true"/>
        </w:rPr>
        <w:footnoteReference w:id="670"/>
      </w:r>
      <w:r>
        <w:rPr>
          <w:rFonts w:ascii="Amiri" w:hAnsi="Amiri" w:eastAsia="Amiri" w:cs="Amiri"/>
          <w:color w:val="111111"/>
          <w:sz w:val="28"/>
          <w:sz w:val="28"/>
          <w:szCs w:val="28"/>
          <w:rtl w:val="true"/>
          <w:lang w:bidi="ar-SA"/>
        </w:rPr>
        <w:t>، ومنه يظهر التأمل في المقابلة بالمثل</w:t>
      </w:r>
      <w:r>
        <w:rPr>
          <w:rFonts w:eastAsia="Amiri" w:cs="Amiri" w:ascii="Amiri" w:hAnsi="Amiri"/>
          <w:color w:val="111111"/>
          <w:sz w:val="28"/>
          <w:szCs w:val="28"/>
          <w:rtl w:val="true"/>
          <w:lang w:bidi="ar-SA"/>
        </w:rPr>
        <w:t>.</w:t>
      </w:r>
    </w:p>
    <w:p>
      <w:pPr>
        <w:pStyle w:val="BookText"/>
        <w:rPr/>
      </w:pP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 كما يظهر من تعليله</w:t>
      </w:r>
      <w:r>
        <w:rPr>
          <w:rFonts w:eastAsia="Amiri" w:cs="Amiri" w:ascii="Amiri" w:hAnsi="Amiri"/>
          <w:color w:val="111111"/>
          <w:sz w:val="28"/>
          <w:szCs w:val="28"/>
          <w:rtl w:val="true"/>
          <w:lang w:bidi="ar-SA"/>
        </w:rPr>
        <w:t>.</w:t>
      </w:r>
    </w:p>
    <w:p>
      <w:pPr>
        <w:pStyle w:val="BookText"/>
        <w:rPr/>
      </w:pP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يلاحظ في ذلك سمعة الإسلام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الحاكم، فلا يحق تصرف بلا نظرهِ، لكن هل يسري ذلك في الحرب الدفاعية أو لا حاجة للإذن مطلقاً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رادع،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اللطف، وأنّ محركية القانون تحتاج إلى الوعد والوعيد والترهيب والترغيب</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 xml:space="preserve">ولذا لم يصنعه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402" w:name="pg15697_169034"/>
    </w:p>
    <w:p>
      <w:pPr>
        <w:pStyle w:val="BookText"/>
        <w:rPr/>
      </w:pPr>
      <w:bookmarkEnd w:id="402"/>
      <w:r>
        <w:rPr>
          <w:rFonts w:ascii="Amiri" w:hAnsi="Amiri" w:eastAsia="Amiri" w:cs="Amiri"/>
          <w:color w:val="111111"/>
          <w:sz w:val="28"/>
          <w:sz w:val="28"/>
          <w:szCs w:val="28"/>
          <w:rtl w:val="true"/>
          <w:lang w:bidi="ar-SA"/>
        </w:rPr>
        <w:t>الدول حول نزع السلاح مطلقاً، وخاصة مثل هذه التي تتنافى مع المثل الإنسانية، والتعاليم السماوية</w:t>
      </w:r>
      <w:r>
        <w:rPr>
          <w:rFonts w:eastAsia="Amiri" w:cs="Amiri" w:ascii="Amiri" w:hAnsi="Amiri"/>
          <w:color w:val="111111"/>
          <w:sz w:val="28"/>
          <w:szCs w:val="28"/>
          <w:rtl w:val="true"/>
          <w:lang w:bidi="ar-SA"/>
        </w:rPr>
        <w:t>.</w:t>
      </w:r>
    </w:p>
    <w:p>
      <w:pPr>
        <w:pStyle w:val="Heading2"/>
        <w:numPr>
          <w:ilvl w:val="1"/>
          <w:numId w:val="1"/>
        </w:numPr>
        <w:rPr/>
      </w:pPr>
      <w:bookmarkStart w:id="403" w:name="__RefHeading___Toc11915312_2142443653"/>
      <w:bookmarkStart w:id="404" w:name="_Toc143"/>
      <w:bookmarkEnd w:id="403"/>
      <w:r>
        <w:rPr>
          <w:rtl w:val="true"/>
        </w:rPr>
        <w:t>تترس الكافر بالمسلم</w:t>
      </w:r>
      <w:bookmarkEnd w:id="40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w:t>
      </w:r>
      <w:r>
        <w:rPr>
          <w:rStyle w:val="FootnoteAnchor"/>
          <w:rtl w:val="true"/>
        </w:rPr>
        <w:footnoteReference w:id="674"/>
      </w:r>
      <w:r>
        <w:rPr>
          <w:rFonts w:ascii="Amiri" w:hAnsi="Amiri" w:eastAsia="Amiri" w:cs="Amiri"/>
          <w:color w:val="111111"/>
          <w:sz w:val="28"/>
          <w:sz w:val="28"/>
          <w:szCs w:val="28"/>
          <w:rtl w:val="true"/>
          <w:lang w:bidi="ar-SA"/>
        </w:rPr>
        <w:t xml:space="preserve"> الانتصار على إلقاء القنابل في بلد فيه مسلم وكافر محارب جاز، وإن قتل فيه المسلم أيضاً، فإنه من قبيل</w:t>
      </w:r>
      <w:r>
        <w:rPr>
          <w:rStyle w:val="FootnoteAnchor"/>
          <w:rtl w:val="true"/>
        </w:rPr>
        <w:footnoteReference w:id="675"/>
      </w:r>
      <w:r>
        <w:rPr>
          <w:rFonts w:ascii="Amiri" w:hAnsi="Amiri" w:eastAsia="Amiri" w:cs="Amiri"/>
          <w:color w:val="111111"/>
          <w:sz w:val="28"/>
          <w:sz w:val="28"/>
          <w:szCs w:val="28"/>
          <w:rtl w:val="true"/>
          <w:lang w:bidi="ar-SA"/>
        </w:rPr>
        <w:t xml:space="preserve"> تترس الكافر بالمسلم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اللازم ملاحظة الأقل فالأقل، فإنه من أشد حالات الاضطرار، وقد تقدم في مسألة شبيهة اشتراط إذن شورى المراجع، ولزوم إعطاء</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دية المسلم من بيت المال وكذلك حال الذمي ونحوه</w:t>
      </w:r>
      <w:r>
        <w:rPr>
          <w:rFonts w:eastAsia="Amiri" w:cs="Amiri" w:ascii="Amiri" w:hAnsi="Amiri"/>
          <w:color w:val="111111"/>
          <w:sz w:val="28"/>
          <w:szCs w:val="28"/>
          <w:rtl w:val="true"/>
          <w:lang w:bidi="ar-SA"/>
        </w:rPr>
        <w:t>.</w:t>
      </w:r>
    </w:p>
    <w:p>
      <w:pPr>
        <w:pStyle w:val="Heading2"/>
        <w:numPr>
          <w:ilvl w:val="1"/>
          <w:numId w:val="1"/>
        </w:numPr>
        <w:rPr/>
      </w:pPr>
      <w:bookmarkStart w:id="405" w:name="__RefHeading___Toc11915314_2142443653"/>
      <w:bookmarkStart w:id="406" w:name="_Toc144"/>
      <w:bookmarkEnd w:id="405"/>
      <w:r>
        <w:rPr>
          <w:rtl w:val="true"/>
        </w:rPr>
        <w:t>العمل الفدائي</w:t>
      </w:r>
      <w:bookmarkEnd w:id="40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676"/>
      </w:r>
      <w:r>
        <w:rPr>
          <w:rFonts w:ascii="IRNazanin" w:hAnsi="IRNazanin" w:eastAsia="IRNazanin"/>
          <w:color w:val="111111"/>
          <w:sz w:val="28"/>
          <w:sz w:val="28"/>
          <w:szCs w:val="28"/>
          <w:rtl w:val="true"/>
          <w:lang w:bidi="fa-IR"/>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 العمل الفدائي ضد الكفار، وإن استلزم ذلك الإتيان بالصلاة الاضطرارية؛ لعدم الماء أو لعدم التمكن من الإتيان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وتشمله أيضاً أدلة 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 الثانوي إذا استلزم محرماً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407" w:name="pg15697_169035"/>
    </w:p>
    <w:p>
      <w:pPr>
        <w:pStyle w:val="BookText"/>
        <w:rPr/>
      </w:pPr>
      <w:bookmarkEnd w:id="407"/>
      <w:r>
        <w:rPr>
          <w:rFonts w:ascii="Amiri" w:hAnsi="Amiri" w:eastAsia="Amiri" w:cs="Amiri"/>
          <w:color w:val="111111"/>
          <w:sz w:val="28"/>
          <w:sz w:val="28"/>
          <w:szCs w:val="28"/>
          <w:rtl w:val="true"/>
          <w:lang w:bidi="ar-SA"/>
        </w:rPr>
        <w:t>بصلاة المختار، لكن بشرط أن يكون ذلك تحت قيادة إسلامية مشروعة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ذلك من باب الأهم والمهم، وكذلك لو استلزم العمل الفدائي بعض المحرمات الأخر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من غير فرق بين الحروب الابتدائية أو الدفاعية أو في حرب طائفتين من المؤمنين اقتتلوا، لوحدة الملاك في الجميع</w:t>
      </w:r>
      <w:r>
        <w:rPr>
          <w:rFonts w:eastAsia="Amiri" w:cs="Amiri" w:ascii="Amiri" w:hAnsi="Amiri"/>
          <w:color w:val="111111"/>
          <w:sz w:val="28"/>
          <w:szCs w:val="28"/>
          <w:rtl w:val="true"/>
          <w:lang w:bidi="ar-SA"/>
        </w:rPr>
        <w:t>.</w:t>
      </w:r>
    </w:p>
    <w:p>
      <w:pPr>
        <w:pStyle w:val="Heading2"/>
        <w:numPr>
          <w:ilvl w:val="1"/>
          <w:numId w:val="1"/>
        </w:numPr>
        <w:rPr/>
      </w:pPr>
      <w:bookmarkStart w:id="408" w:name="__RefHeading___Toc11915316_2142443653"/>
      <w:bookmarkStart w:id="409" w:name="_Toc145"/>
      <w:bookmarkEnd w:id="408"/>
      <w:r>
        <w:rPr>
          <w:rtl w:val="true"/>
        </w:rPr>
        <w:t>الانتصار بالاغتيال</w:t>
      </w:r>
      <w:bookmarkEnd w:id="4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الانتصار على الاغتيال وإحراق الزرع وما أشبه جاز</w:t>
      </w:r>
      <w:r>
        <w:rPr>
          <w:rStyle w:val="FootnoteAnchor"/>
          <w:rtl w:val="true"/>
        </w:rPr>
        <w:footnoteReference w:id="684"/>
      </w:r>
      <w:r>
        <w:rPr>
          <w:rFonts w:ascii="Amiri" w:hAnsi="Amiri" w:eastAsia="Amiri" w:cs="Amiri"/>
          <w:color w:val="111111"/>
          <w:sz w:val="28"/>
          <w:sz w:val="28"/>
          <w:szCs w:val="28"/>
          <w:rtl w:val="true"/>
          <w:lang w:bidi="ar-SA"/>
        </w:rPr>
        <w:t>، من باب المقابلة بالمثل</w:t>
      </w:r>
      <w:r>
        <w:rPr>
          <w:rStyle w:val="FootnoteAnchor"/>
          <w:rtl w:val="true"/>
        </w:rPr>
        <w:footnoteReference w:id="685"/>
      </w:r>
      <w:r>
        <w:rPr>
          <w:rFonts w:ascii="Amiri" w:hAnsi="Amiri" w:eastAsia="Amiri" w:cs="Amiri"/>
          <w:color w:val="111111"/>
          <w:sz w:val="28"/>
          <w:sz w:val="28"/>
          <w:szCs w:val="28"/>
          <w:rtl w:val="true"/>
          <w:lang w:bidi="ar-SA"/>
        </w:rPr>
        <w:t>، لكن اللازم اجتناب هذه الأمور، إلا في الضرورة القصوى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الجواز مع الاضطرار فلدليل الأهم والمهم، وللمقابلة بالمثل، وأما لزوم مراعاة الضرورة القصوى فلأنها أشياء غير نزيهة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والنزاهة مطلوبة في كافة الأمور الإسلامية، سلماً أو حرباً، كما يظهر من توصيات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شطراً منها في كتاب الجهاد وغيره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الأهم والمهم وملاحظة سمعة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التأمل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محرم، وبعضها دلت الأدلة على محبوبية التجنب عنها، ومنه يظهر أنّ التجنب في القسم الثاني أفضل لا أنّه لازم، إلا أن يطرأ عنوان ثانوي محرّم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410" w:name="pg15697_169036"/>
    </w:p>
    <w:p>
      <w:pPr>
        <w:pStyle w:val="Heading2"/>
        <w:numPr>
          <w:ilvl w:val="1"/>
          <w:numId w:val="1"/>
        </w:numPr>
        <w:rPr/>
      </w:pPr>
      <w:bookmarkStart w:id="411" w:name="__RefHeading___Toc11915318_2142443653"/>
      <w:bookmarkStart w:id="412" w:name="_Toc146"/>
      <w:bookmarkEnd w:id="410"/>
      <w:bookmarkEnd w:id="411"/>
      <w:r>
        <w:rPr>
          <w:rtl w:val="true"/>
        </w:rPr>
        <w:t>الحروب الباردة</w:t>
      </w:r>
      <w:bookmarkEnd w:id="41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الباردة</w:t>
      </w:r>
      <w:r>
        <w:rPr>
          <w:rStyle w:val="FootnoteAnchor"/>
          <w:rtl w:val="true"/>
        </w:rPr>
        <w:footnoteReference w:id="689"/>
      </w:r>
      <w:r>
        <w:rPr>
          <w:rFonts w:ascii="Amiri" w:hAnsi="Amiri" w:eastAsia="Amiri" w:cs="Amiri"/>
          <w:color w:val="111111"/>
          <w:sz w:val="28"/>
          <w:sz w:val="28"/>
          <w:szCs w:val="28"/>
          <w:rtl w:val="true"/>
          <w:lang w:bidi="ar-SA"/>
        </w:rPr>
        <w:t xml:space="preserve"> ضد العدو والدعايات المضللة للعدو جائزة، فإنّ الكافر حيث يصنع ذلك، فيجوز مقابلته بالمثل</w:t>
      </w:r>
      <w:r>
        <w:rPr>
          <w:rStyle w:val="FootnoteAnchor"/>
          <w:rtl w:val="true"/>
        </w:rPr>
        <w:footnoteReference w:id="690"/>
      </w:r>
      <w:r>
        <w:rPr>
          <w:rFonts w:ascii="Amiri" w:hAnsi="Amiri" w:eastAsia="Amiri" w:cs="Amiri"/>
          <w:color w:val="111111"/>
          <w:sz w:val="28"/>
          <w:sz w:val="28"/>
          <w:szCs w:val="28"/>
          <w:rtl w:val="true"/>
          <w:lang w:bidi="ar-SA"/>
        </w:rPr>
        <w:t>، ولعموم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لآية الاعتداء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مع قطع النظر عن الأدلة العامة، وقاعدة الأهم والمهم، لكن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النزاهة إلى أبعد حد ممكن، وفي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معاوية بأدهى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pStyle w:val="Heading2"/>
        <w:numPr>
          <w:ilvl w:val="1"/>
          <w:numId w:val="1"/>
        </w:numPr>
        <w:rPr/>
      </w:pPr>
      <w:bookmarkStart w:id="413" w:name="__RefHeading___Toc11915320_2142443653"/>
      <w:bookmarkStart w:id="414" w:name="_Toc147"/>
      <w:bookmarkEnd w:id="413"/>
      <w:r>
        <w:rPr>
          <w:rtl w:val="true"/>
        </w:rPr>
        <w:t>الإنارة بالقمر الصناعي</w:t>
      </w:r>
      <w:bookmarkEnd w:id="41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الأقمار التي تعكس النور على الأرض، بأن تختزن النور من الشمس مثلاً في النهار وتعكسه على الأرض في الليل،يجوز لمالكها</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أن لا يتضرر أحد بذلك بدون رضاه، وإلا دخلت المسألة في تعارض الضرر مع السلطنة، فراجع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يتعاقد مع أهل البلد لإنارتهم كأن يأخذ من كل بيت ديناراً لأجل إنارتهم في كل شهر لكن ليس للمالك</w:t>
      </w:r>
      <w:r>
        <w:rPr>
          <w:rStyle w:val="FootnoteAnchor"/>
          <w:rtl w:val="true"/>
        </w:rPr>
        <w:footnoteReference w:id="697"/>
      </w:r>
      <w:r>
        <w:rPr>
          <w:rFonts w:ascii="IRNazanin" w:hAnsi="IRNazanin" w:eastAsia="IRNazanin"/>
          <w:color w:val="111111"/>
          <w:sz w:val="28"/>
          <w:sz w:val="28"/>
          <w:szCs w:val="28"/>
          <w:rtl w:val="true"/>
          <w:lang w:bidi="fa-IR"/>
        </w:rPr>
        <w:t xml:space="preserve"> إجبار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أدلة الإجارة ونحوها، وحيث إنّ الناس مسلطون فلا جبر،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لصاحب القمر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أرضى باستفادة من لم يؤد أجره، فهو كالاستفادة من نور الجيران الذي ينير الطريق ونحوه ولو بدون رضاه، اللّهم إلا في بعض الموارد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التي ذكرناها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الإحياء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يختلف عمّن فتح طريقاً فيأخذ من كل سيارة ديناراً قهراً؛ لأنه ملكه، والناس مسلطون</w:t>
      </w:r>
      <w:r>
        <w:rPr>
          <w:rStyle w:val="FootnoteAnchor"/>
          <w:rtl w:val="true"/>
        </w:rPr>
        <w:footnoteReference w:id="699"/>
      </w:r>
      <w:r>
        <w:rPr>
          <w:rFonts w:ascii="Amiri" w:hAnsi="Amiri" w:eastAsia="Amiri" w:cs="Amiri"/>
          <w:color w:val="111111"/>
          <w:sz w:val="28"/>
          <w:sz w:val="28"/>
          <w:szCs w:val="28"/>
          <w:rtl w:val="true"/>
          <w:lang w:bidi="ar-SA"/>
        </w:rPr>
        <w:t>، وهذا بخلاف محل الكلام، فهو كخطيب يخطب ويريد أن يأخذ من كل من يصل إليه صوته ديناراً، فإنّه لا حق له على نحو الإجبار، ولا حق له أن يمنع منْ سماع كلامه؛ لأنّه ليس حقاً عرفاً، فلا يلزم على الأفراد أن يضعوا القطن في آذانهم مثلاً وهم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أنّه عدّ حقاً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لمبنى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كل حق عرفي حقاً شرعياً، كالطوابير على المحلات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حقاً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كخيمة نصبها شخص في الطريق للاستفادة من أجرة من يجلس في ظلها، فإنّه حق له، لئلا يتوى حق امرئ، ولعله كذلك لو نصبها لا لذلك، بل للسكنى، فإنه حقٌّ عرفاً بخلاف بيوت المدينة، فتأمل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415" w:name="pg15697_169038"/>
    </w:p>
    <w:p>
      <w:pPr>
        <w:pStyle w:val="Heading2"/>
        <w:numPr>
          <w:ilvl w:val="1"/>
          <w:numId w:val="1"/>
        </w:numPr>
        <w:rPr/>
      </w:pPr>
      <w:bookmarkStart w:id="416" w:name="__RefHeading___Toc11915322_2142443653"/>
      <w:bookmarkStart w:id="417" w:name="_Toc148"/>
      <w:bookmarkEnd w:id="415"/>
      <w:bookmarkEnd w:id="416"/>
      <w:r>
        <w:rPr>
          <w:rtl w:val="true"/>
        </w:rPr>
        <w:t>التعليم الإجباري</w:t>
      </w:r>
      <w:bookmarkEnd w:id="41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الإجباري إذا توقف تقدم المسلمين عليه، بأن خيف انهزامهم في ميادين الحروب ونحوها جائز</w:t>
      </w:r>
      <w:r>
        <w:rPr>
          <w:rStyle w:val="FootnoteAnchor"/>
          <w:rtl w:val="true"/>
        </w:rPr>
        <w:footnoteReference w:id="700"/>
      </w:r>
      <w:r>
        <w:rPr>
          <w:rFonts w:ascii="Amiri" w:hAnsi="Amiri" w:eastAsia="Amiri" w:cs="Amiri"/>
          <w:color w:val="111111"/>
          <w:sz w:val="28"/>
          <w:sz w:val="28"/>
          <w:szCs w:val="28"/>
          <w:rtl w:val="true"/>
          <w:lang w:bidi="ar-SA"/>
        </w:rPr>
        <w:t>؛ لأنّ الحرب في الوقت الحاضر تتوقف على مختلف العلوم، وإلا لم يكن جائزاً؛ لأنّ الناس مسلطون على أموالهم وأنفسهم، لكن الظاهر غنى الدولة الإسلامية من الإجبار، فإن الإغراء وما أشبه</w:t>
      </w:r>
      <w:r>
        <w:rPr>
          <w:rStyle w:val="FootnoteAnchor"/>
          <w:rtl w:val="true"/>
        </w:rPr>
        <w:footnoteReference w:id="701"/>
      </w:r>
      <w:r>
        <w:rPr>
          <w:rFonts w:ascii="Amiri" w:hAnsi="Amiri" w:eastAsia="Amiri" w:cs="Amiri"/>
          <w:color w:val="111111"/>
          <w:sz w:val="28"/>
          <w:sz w:val="28"/>
          <w:szCs w:val="28"/>
          <w:rtl w:val="true"/>
          <w:lang w:bidi="ar-SA"/>
        </w:rPr>
        <w:t xml:space="preserve"> كفيل بإقبال الناس بدون إجبار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الأمور الثلاثة دليلها معها، وليس ذلك لأجل الحرب فقط كما في المتن، بل يجري أيضاً في الاقتصاد والسياسة وغيرها، حيث هناك تنافس شديد بين المسلمين وغيرهم في هذه الأمور، فاللازم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عدم تأخر المسلمين عنهم،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كافة أبعاد الموضوع، كثورة الشعب مثلاً، وملاحظة الأهم والمهم</w:t>
      </w:r>
      <w:r>
        <w:rPr>
          <w:rFonts w:eastAsia="Amiri" w:cs="Amiri" w:ascii="Amiri" w:hAnsi="Amiri"/>
          <w:color w:val="111111"/>
          <w:sz w:val="28"/>
          <w:szCs w:val="28"/>
          <w:rtl w:val="true"/>
          <w:lang w:bidi="ar-SA"/>
        </w:rPr>
        <w:t>.</w:t>
      </w:r>
    </w:p>
    <w:p>
      <w:pPr>
        <w:pStyle w:val="BookText"/>
        <w:rPr/>
      </w:pP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انطبق عنوان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مسبب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مقدمة للهداية والإرشاد؛ إذ الأعلى لا ينظر للأدنى عادةً، فيكون مقدمة وجودية للواجب كالأهم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سنده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أنّه إخبار أو إنشاء، وسيأتي البحث في ذلك في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418" w:name="pg15697_169039"/>
    </w:p>
    <w:p>
      <w:pPr>
        <w:pStyle w:val="Heading2"/>
        <w:numPr>
          <w:ilvl w:val="1"/>
          <w:numId w:val="1"/>
        </w:numPr>
        <w:rPr/>
      </w:pPr>
      <w:bookmarkStart w:id="419" w:name="__RefHeading___Toc11915324_2142443653"/>
      <w:bookmarkStart w:id="420" w:name="_Toc149"/>
      <w:bookmarkEnd w:id="418"/>
      <w:bookmarkEnd w:id="419"/>
      <w:r>
        <w:rPr>
          <w:rtl w:val="true"/>
        </w:rPr>
        <w:t>الخدمة العسكرية</w:t>
      </w:r>
      <w:bookmarkEnd w:id="42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الجندية</w:t>
      </w:r>
      <w:r>
        <w:rPr>
          <w:rStyle w:val="FootnoteAnchor"/>
          <w:rtl w:val="true"/>
        </w:rPr>
        <w:footnoteReference w:id="706"/>
      </w:r>
      <w:r>
        <w:rPr>
          <w:rFonts w:ascii="Amiri" w:hAnsi="Amiri" w:eastAsia="Amiri" w:cs="Amiri"/>
          <w:color w:val="111111"/>
          <w:sz w:val="28"/>
          <w:sz w:val="28"/>
          <w:szCs w:val="28"/>
          <w:rtl w:val="true"/>
          <w:lang w:bidi="ar-SA"/>
        </w:rPr>
        <w:t xml:space="preserve"> الإجبارية التي يطلق عليها اليوم اسم الخدمة العسكرية حالها حال التعليم الإجباري، كما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ذكرناه في المسألة السابقة من الدليل، والعمدة أنّ الإغراء</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كاف بلا حاجة إلى الجبر</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11915326_2142443653"/>
      <w:bookmarkStart w:id="422" w:name="_Toc150"/>
      <w:bookmarkEnd w:id="421"/>
      <w:r>
        <w:rPr>
          <w:rtl w:val="true"/>
        </w:rPr>
        <w:t>النهار الدائم</w:t>
      </w:r>
      <w:bookmarkEnd w:id="42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w:t>
      </w:r>
      <w:r>
        <w:rPr>
          <w:rStyle w:val="FootnoteAnchor"/>
          <w:rtl w:val="true"/>
        </w:rPr>
        <w:footnoteReference w:id="707"/>
      </w:r>
      <w:r>
        <w:rPr>
          <w:rFonts w:ascii="Amiri" w:hAnsi="Amiri" w:eastAsia="Amiri" w:cs="Amiri"/>
          <w:color w:val="111111"/>
          <w:sz w:val="28"/>
          <w:sz w:val="28"/>
          <w:szCs w:val="28"/>
          <w:rtl w:val="true"/>
          <w:lang w:bidi="ar-SA"/>
        </w:rPr>
        <w:t xml:space="preserve"> إمكان دائمية النهار في منطقة، بواسطة إيجاد ثقوب في الأرض ونصب مرايا، حتى تشع الشمس على ذلك المكان طول الزمان، فاللازم اتباع حالة المنطقة قبل هذه العلمية في الليل والنهار والصلاة والصيام والحج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المراد علو الإسلام أو علو المسلمين؟ وهل هنالك تلازم كلي بينهما أو تلازم في الجملة؟ والمطروح في المسألة هنا علو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يلزم إفساداً وإخلالاً بالنظام، وإلا كان محرماً تكليفاً، وإن لم يتغير الحكم الوضعي المذكور في المسألة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الأدلة منصبة على المتعارف</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بالإضافة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إلى بعض الروايات الواردة في الآفاق غير المتعارفة القائلة بأنهم يأخذون حسب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تصنع في الفضاء تدور مع الشمس، أما المدينة التي تصنع تحت البحر فالمعيار</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نهارها وليلها هو سطح البحر؛ لأنه يكون حينئذٍ كمن في التراب والنفق</w:t>
      </w:r>
      <w:r>
        <w:rPr>
          <w:rFonts w:eastAsia="Amiri" w:cs="Amiri" w:ascii="Amiri" w:hAnsi="Amiri"/>
          <w:color w:val="111111"/>
          <w:sz w:val="28"/>
          <w:szCs w:val="28"/>
          <w:rtl w:val="true"/>
          <w:lang w:bidi="ar-SA"/>
        </w:rPr>
        <w:t>.</w:t>
      </w:r>
    </w:p>
    <w:p>
      <w:pPr>
        <w:pStyle w:val="BookText"/>
        <w:rPr/>
      </w:pP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يثبت أنهم لا يأخذون بمقتضى الوضع الجديد، وإلا فإنّهم يأخذون بحالة المنطقة قبل العملية أو بأفق متعارف آخر، فلا تكفي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التفصيل الذي ذكرناه قبل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المسألتين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Style w:val="FootnoteAnchor"/>
          <w:rtl w:val="true"/>
        </w:rPr>
        <w:footnoteReference w:id="713"/>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الصوم من العروة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تأخذ بأفق متعارف، ولا خصوصية لمكة أو المدينة المشرفتين، كما ذكرناه سابقاً، وعليه فهذه المسألة أجنبية عن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في جميع شقوق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المدينة المصنوعة في الفضاء، فإنّها تتخير في الرجوع إلى أي أفق 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قريباً بحيث عدّ من توابعه عرفاً كان المعيار السطح ونحوه، وإلا تخير في الرجوع إلى أي أفق متعارف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423" w:name="pg15697_169041"/>
    </w:p>
    <w:p>
      <w:pPr>
        <w:pStyle w:val="Heading2"/>
        <w:numPr>
          <w:ilvl w:val="1"/>
          <w:numId w:val="1"/>
        </w:numPr>
        <w:rPr/>
      </w:pPr>
      <w:bookmarkStart w:id="424" w:name="__RefHeading___Toc11915328_2142443653"/>
      <w:bookmarkStart w:id="425" w:name="_Toc151"/>
      <w:bookmarkEnd w:id="423"/>
      <w:bookmarkEnd w:id="424"/>
      <w:r>
        <w:rPr>
          <w:rtl w:val="true"/>
        </w:rPr>
        <w:t>المجهود الحربي</w:t>
      </w:r>
      <w:bookmarkEnd w:id="4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نفقات الحرب للاحتياج</w:t>
      </w:r>
      <w:r>
        <w:rPr>
          <w:rStyle w:val="FootnoteAnchor"/>
          <w:rtl w:val="true"/>
        </w:rPr>
        <w:footnoteReference w:id="715"/>
      </w:r>
      <w:r>
        <w:rPr>
          <w:rFonts w:ascii="Amiri" w:hAnsi="Amiri" w:eastAsia="Amiri" w:cs="Amiri"/>
          <w:color w:val="111111"/>
          <w:sz w:val="28"/>
          <w:sz w:val="28"/>
          <w:szCs w:val="28"/>
          <w:rtl w:val="true"/>
          <w:lang w:bidi="ar-SA"/>
        </w:rPr>
        <w:t xml:space="preserve"> إلى الصواريخ والذرّة وما أشبه ذلك، بحيث لا تتمكن الدولة من القيام بها مع فرض استنفاد جميع إمكانياتها، جاز أخذ النفقة</w:t>
      </w:r>
      <w:r>
        <w:rPr>
          <w:rStyle w:val="FootnoteAnchor"/>
          <w:rtl w:val="true"/>
        </w:rPr>
        <w:footnoteReference w:id="716"/>
      </w:r>
      <w:r>
        <w:rPr>
          <w:rFonts w:ascii="Amiri" w:hAnsi="Amiri" w:eastAsia="Amiri" w:cs="Amiri"/>
          <w:color w:val="111111"/>
          <w:sz w:val="28"/>
          <w:sz w:val="28"/>
          <w:szCs w:val="28"/>
          <w:rtl w:val="true"/>
          <w:lang w:bidi="ar-SA"/>
        </w:rPr>
        <w:t xml:space="preserve"> من الرعية</w:t>
      </w:r>
      <w:r>
        <w:rPr>
          <w:rStyle w:val="FootnoteAnchor"/>
          <w:rtl w:val="true"/>
        </w:rPr>
        <w:footnoteReference w:id="717"/>
      </w:r>
      <w:r>
        <w:rPr>
          <w:rFonts w:ascii="Amiri" w:hAnsi="Amiri" w:eastAsia="Amiri" w:cs="Amiri"/>
          <w:color w:val="111111"/>
          <w:sz w:val="28"/>
          <w:sz w:val="28"/>
          <w:szCs w:val="28"/>
          <w:rtl w:val="true"/>
          <w:lang w:bidi="ar-SA"/>
        </w:rPr>
        <w:t>، وإن كانت خارجة عن الخمس والزكاة</w:t>
      </w:r>
      <w:r>
        <w:rPr>
          <w:rStyle w:val="FootnoteAnchor"/>
          <w:rtl w:val="true"/>
        </w:rPr>
        <w:footnoteReference w:id="718"/>
      </w:r>
      <w:r>
        <w:rPr>
          <w:rFonts w:ascii="Amiri" w:hAnsi="Amiri" w:eastAsia="Amiri" w:cs="Amiri"/>
          <w:color w:val="111111"/>
          <w:sz w:val="28"/>
          <w:sz w:val="28"/>
          <w:szCs w:val="28"/>
          <w:rtl w:val="true"/>
          <w:lang w:bidi="ar-SA"/>
        </w:rPr>
        <w:t>؛ وذلك لوجوب الجهاد</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 والنفقة من مقدمات الجهاد</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اللازم ملاحظة النسبة لا الأخذ اعتباطاً، فإذا كان هناك متبرعون ولم يكف، أخذ الباقي من الناس حسب أفرادهم أو ثرواتهم، وذلك بأن يؤخذ مثلاً من كل إنسان قادر ديناراً مثلاً، أو من كل ذي ثروة عشرة دنانير،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أولوية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في اعتباطية النسبة أو اعتباطية الأخذ،</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مصداقاً للأهم والمهم</w:t>
      </w:r>
      <w:r>
        <w:rPr>
          <w:rFonts w:eastAsia="Amiri" w:cs="Amiri" w:ascii="Amiri" w:hAnsi="Amiri"/>
          <w:color w:val="111111"/>
          <w:sz w:val="28"/>
          <w:szCs w:val="28"/>
          <w:rtl w:val="true"/>
          <w:lang w:bidi="ar-SA"/>
        </w:rPr>
        <w:t>.</w:t>
      </w:r>
    </w:p>
    <w:p>
      <w:pPr>
        <w:pStyle w:val="BookText"/>
        <w:rPr/>
      </w:pP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القيد المذكور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ملاحظة كافة</w:t>
      </w:r>
      <w:r>
        <w:rPr>
          <w:rFonts w:eastAsia="Amiri" w:cs="Amiri" w:ascii="Amiri" w:hAnsi="Amiri"/>
          <w:color w:val="111111"/>
          <w:sz w:val="28"/>
          <w:szCs w:val="28"/>
          <w:rtl w:val="true"/>
          <w:lang w:bidi="ar-SA"/>
        </w:rPr>
        <w:t>).</w:t>
      </w:r>
    </w:p>
    <w:p>
      <w:pPr>
        <w:pStyle w:val="BookText"/>
        <w:rPr/>
      </w:pP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والجزية والخراج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وللأهم والمهم، وراجع بحث المهم والأهم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وما فعله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أخذ الزكاة إضافياً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الوجودية، فيكون الأخذ أمراً بالمعروف ونهياً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 لا يلتزمون بذلك في نظائره،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مرجع الاعتباط</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ويؤيّد</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مع اختلاف الثروة بالإضافة إلى أنه مقتضى قاعدة العدل والإنصاف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من اختلاف أخذ الجزية من الفقير والغني والمتوسط، أو اختلاف الخراج من مختلف الأراضي الزراعية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مثل هذه الأحكام التي تعتبر من الأحكام الثانوية يجب الاقتصار فيها على موضع الضرورة، فإن الضرورات تقدر بقدرها، ولا يجوز أن تكون قانوناً أولياً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نشاهده اليوم في الدول الإسلامية، حيث تأخذ ما لا يجوز من الضرائب وغيرها بعنوان القانون الأولي، هذا ويجب أن يكون الحاكم بهذه الأحكام شورى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كما ذكرناه في بعض كتبنا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عدمه ظلم عرفاً،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يجعله دليلاً؛ لأنّه قياس،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البحث في القواعد الفقهية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 وهل المستند عذوبة لفظها أو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درهمي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السياسة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426" w:name="pg15697_169043"/>
    </w:p>
    <w:p>
      <w:pPr>
        <w:pStyle w:val="Heading2"/>
        <w:numPr>
          <w:ilvl w:val="1"/>
          <w:numId w:val="1"/>
        </w:numPr>
        <w:rPr/>
      </w:pPr>
      <w:bookmarkStart w:id="427" w:name="__RefHeading___Toc11915330_2142443653"/>
      <w:bookmarkStart w:id="428" w:name="_Toc152"/>
      <w:bookmarkEnd w:id="426"/>
      <w:bookmarkEnd w:id="427"/>
      <w:r>
        <w:rPr>
          <w:rtl w:val="true"/>
        </w:rPr>
        <w:t>سيرة المسلم شعباً وحكومة</w:t>
      </w:r>
      <w:bookmarkEnd w:id="42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728"/>
      </w:r>
      <w:r>
        <w:rPr>
          <w:rFonts w:ascii="Amiri" w:hAnsi="Amiri" w:eastAsia="Amiri" w:cs="Amiri"/>
          <w:color w:val="111111"/>
          <w:sz w:val="28"/>
          <w:sz w:val="28"/>
          <w:szCs w:val="28"/>
          <w:rtl w:val="true"/>
          <w:lang w:bidi="ar-SA"/>
        </w:rPr>
        <w:t xml:space="preserve"> أن تكون سيرة الدولة الإسلامية والشعب المسلم سيرة تؤدي إلى تفوّق المسلمين على سائر الأمم وتقدمهم على سائر البلاد في مختلف شؤون الحياة؛ لقاعدة</w:t>
      </w:r>
      <w:r>
        <w:rPr>
          <w:rStyle w:val="FootnoteAnchor"/>
          <w:rtl w:val="true"/>
        </w:rPr>
        <w:footnoteReference w:id="729"/>
      </w:r>
      <w:r>
        <w:rPr>
          <w:rFonts w:ascii="IRNazanin" w:hAnsi="IRNazanin" w:eastAsia="IRNazanin"/>
          <w:color w:val="111111"/>
          <w:sz w:val="28"/>
          <w:sz w:val="28"/>
          <w:szCs w:val="28"/>
          <w:rtl w:val="true"/>
          <w:lang w:bidi="fa-IR"/>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 إخباراً، بل هو إنشاء بهذه الصيغة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 ولا يتم بعد احتلام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ولذا رتب الفقهاء</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عليه أحكاماً في مختلف الأبواب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انطبق عنوان موجب، وإلا كان مستحباً،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فيها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فهمهم جابراً للقصور الدلالي،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لا يرفع بيته فوق المسلم</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429" w:name="pg15697_169044"/>
    </w:p>
    <w:p>
      <w:pPr>
        <w:pStyle w:val="Heading2"/>
        <w:numPr>
          <w:ilvl w:val="1"/>
          <w:numId w:val="1"/>
        </w:numPr>
        <w:rPr/>
      </w:pPr>
      <w:bookmarkStart w:id="430" w:name="__RefHeading___Toc11915332_2142443653"/>
      <w:bookmarkStart w:id="431" w:name="_Toc153"/>
      <w:bookmarkEnd w:id="429"/>
      <w:bookmarkEnd w:id="430"/>
      <w:r>
        <w:rPr>
          <w:rtl w:val="true"/>
        </w:rPr>
        <w:t>تبديل الدم</w:t>
      </w:r>
      <w:bookmarkEnd w:id="4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738"/>
      </w:r>
      <w:r>
        <w:rPr>
          <w:rFonts w:ascii="Amiri" w:hAnsi="Amiri" w:eastAsia="Amiri" w:cs="Amiri"/>
          <w:color w:val="111111"/>
          <w:sz w:val="28"/>
          <w:sz w:val="28"/>
          <w:szCs w:val="28"/>
          <w:rtl w:val="true"/>
          <w:lang w:bidi="ar-SA"/>
        </w:rPr>
        <w:t xml:space="preserve"> تبديل دم الإنسان بدم إنسان آخر، سواء كان أجنبياً أم لا، فإنه لا مانع من تزريق دم الأجنبي في جسم الأجنبية وبالعكس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دليل الحل، وكذلك الحال في دم المسلم للكافر وبالعكس، وكذلك يصح جعل دم الكلب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أو الخنزير للإنسان إذا فرض إمكانه، وبعد التحوّل إلى جسمه يكون حاله حال دمه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2" w:name="__RefHeading___Toc11915334_2142443653"/>
      <w:bookmarkStart w:id="433" w:name="_Toc154"/>
      <w:bookmarkEnd w:id="432"/>
      <w:r>
        <w:rPr>
          <w:rtl w:val="true"/>
        </w:rPr>
        <w:t>التبرع بالدم</w:t>
      </w:r>
      <w:bookmarkEnd w:id="43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التبرع بالدم للمرضى، فإنه من التعاون على الخير، والصدقة</w:t>
      </w:r>
      <w:r>
        <w:rPr>
          <w:rStyle w:val="FootnoteAnchor"/>
          <w:rtl w:val="true"/>
        </w:rPr>
        <w:footnoteReference w:id="739"/>
      </w:r>
      <w:r>
        <w:rPr>
          <w:rFonts w:ascii="Amiri" w:hAnsi="Amiri" w:eastAsia="Amiri" w:cs="Amiri"/>
          <w:color w:val="111111"/>
          <w:sz w:val="28"/>
          <w:sz w:val="28"/>
          <w:szCs w:val="28"/>
          <w:rtl w:val="true"/>
          <w:lang w:bidi="ar-SA"/>
        </w:rPr>
        <w:t xml:space="preserve"> المندوبة، وإذا توقف حياة إنسان على الدم وجب التبرع</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الضرر الكثير، كالأيدز مثلاً، ومع عدم احتماله، فإنّه إذا كان المحتمل مهماً كان الاحتمال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مثل الكلب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مستنكر في أذهان المتشرعة، ولكنه غير ثابت، ولو ثبت فلم يُعلم وصوله درجة التحريم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جزء منه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بحث وصل الشعر</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بمعناها الأعم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فرقه عن الكلية حيث أفتى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434" w:name="pg15697_169045"/>
    </w:p>
    <w:p>
      <w:pPr>
        <w:pStyle w:val="BookText"/>
        <w:rPr/>
      </w:pPr>
      <w:bookmarkEnd w:id="4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والوجوب تكليفي، ولا تلازم بينه وبين الحكم الوضعي بجواز أخذ الأجرة، مثل وجوب الصناعات، حيث إن الوجوب لا ينافي جواز أخذ الأجرة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5" w:name="__RefHeading___Toc11915336_2142443653"/>
      <w:bookmarkStart w:id="436" w:name="_Toc155"/>
      <w:bookmarkEnd w:id="435"/>
      <w:r>
        <w:rPr>
          <w:rtl w:val="true"/>
        </w:rPr>
        <w:t>اليانصيب الخيري</w:t>
      </w:r>
      <w:bookmarkEnd w:id="43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جمع المال من الناس، ولو بإغراء جوائز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بصورته المحلّلة</w:t>
      </w:r>
      <w:r>
        <w:rPr>
          <w:rStyle w:val="FootnoteAnchor"/>
          <w:rtl w:val="true"/>
        </w:rPr>
        <w:footnoteReference w:id="743"/>
      </w:r>
      <w:r>
        <w:rPr>
          <w:rFonts w:ascii="Amiri" w:hAnsi="Amiri" w:eastAsia="Amiri" w:cs="Amiri"/>
          <w:color w:val="111111"/>
          <w:sz w:val="28"/>
          <w:sz w:val="28"/>
          <w:szCs w:val="28"/>
          <w:rtl w:val="true"/>
          <w:lang w:bidi="ar-SA"/>
        </w:rPr>
        <w:t>، لأجل بناء المستشفيات، والمعاهد، ودور الأيتام الفقراء، وما أشبه ذلك، فإنه من التعاون على الخير</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خ</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ولعل الفرق هو الفهم العرفي، أو أنّه ضرر كبير؛ لأنه يستلزم شق البطن، وقد يحتاج للكلية فيما يأتي،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المحرمة فهو مثل أوراق بيضاء، إما أن يربح فيها أو يخسر كالقمار لا لعمل خيري، وأمّا المحللة فهو مثل أن يتبرعوا لعمل خيري، ثم يجري السحب على الأوراق، ومثل أن مَنْ يشتري من الدكان الكذائي كذا مقدارٍ من البضائع يجري السحب على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فقبال المال البضاعة في هذا المثال، أو العمل الخيري في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كالمتبرع للخير تماماً، بإضافة أنّ فيه سحباً على الأسماء</w:t>
      </w:r>
      <w:r>
        <w:rPr>
          <w:rFonts w:eastAsia="Amiri" w:cs="Amiri" w:ascii="Amiri" w:hAnsi="Amiri"/>
          <w:color w:val="111111"/>
          <w:sz w:val="28"/>
          <w:szCs w:val="28"/>
          <w:rtl w:val="true"/>
          <w:lang w:bidi="ar-SA"/>
        </w:rPr>
        <w:t>.</w:t>
      </w:r>
    </w:p>
    <w:p>
      <w:pPr>
        <w:pStyle w:val="BookText"/>
        <w:rPr/>
      </w:pP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437" w:name="pg15697_169046"/>
    </w:p>
    <w:p>
      <w:pPr>
        <w:pStyle w:val="BookText"/>
        <w:rPr/>
      </w:pPr>
      <w:bookmarkEnd w:id="4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هذا من القمار المحرم، وإن أعطى مسؤولو اليانصيب بعض الجوائز، ولو من نفس المال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للمساهمين</w:t>
      </w:r>
      <w:r>
        <w:rPr>
          <w:rFonts w:eastAsia="Amiri" w:cs="Amiri" w:ascii="Amiri" w:hAnsi="Amiri"/>
          <w:color w:val="111111"/>
          <w:sz w:val="28"/>
          <w:szCs w:val="28"/>
          <w:rtl w:val="true"/>
          <w:lang w:bidi="ar-SA"/>
        </w:rPr>
        <w:t>.</w:t>
      </w:r>
    </w:p>
    <w:p>
      <w:pPr>
        <w:pStyle w:val="Heading2"/>
        <w:numPr>
          <w:ilvl w:val="1"/>
          <w:numId w:val="1"/>
        </w:numPr>
        <w:rPr/>
      </w:pPr>
      <w:bookmarkStart w:id="438" w:name="__RefHeading___Toc11915338_2142443653"/>
      <w:bookmarkStart w:id="439" w:name="_Toc156"/>
      <w:bookmarkEnd w:id="438"/>
      <w:r>
        <w:rPr>
          <w:rtl w:val="true"/>
        </w:rPr>
        <w:t>المساهمة الخيرية</w:t>
      </w:r>
      <w:bookmarkEnd w:id="43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أعطى المساهمون المال لأجل بناء المستشفى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إعطاء الجائزة لسائر المساهمين، كما لو أعطى كلّ واحد من مجموع ألف إنسان لغرض بناء المستشفى، وأباحوا تخصيص بعضها جائزة للإغراء والتشويق، جاز ذلك؛ لأنه من إعطاء المال بالرضا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للإطلاقات والعمومات، من غير فرق بين أن يرضى الجميع بإعطاء الجوائز أو البعض، بشرط أن لا تزيد الجائزة على سهم الراضي، وفي صورة تعدد الراضي لا فرق بين تساوي أخذ الجائزة منهم وعدم التساوي، فالمتبع هو رضا المالك ومقدار رضاه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الآتي في المسألة القادمة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ما يتوقف عليه الشيء لا بأس بالإعطاء له منه،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أردنا بناء مسجد تصرف من أمواله في الدعاية له وفي أجرة العاملين، كما في الزكاة</w:t>
      </w:r>
      <w:r>
        <w:rPr>
          <w:rFonts w:eastAsia="Amiri" w:cs="Amiri" w:ascii="Amiri" w:hAnsi="Amiri"/>
          <w:color w:val="111111"/>
          <w:sz w:val="28"/>
          <w:szCs w:val="28"/>
          <w:rtl w:val="true"/>
          <w:lang w:bidi="ar-SA"/>
        </w:rPr>
        <w:t>.</w:t>
      </w:r>
    </w:p>
    <w:p>
      <w:pPr>
        <w:pStyle w:val="BookText"/>
        <w:rPr/>
      </w:pP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فما الحكم؟</w:t>
      </w:r>
    </w:p>
    <w:p>
      <w:pPr>
        <w:pStyle w:val="BookText"/>
        <w:rPr/>
      </w:pPr>
      <w:r>
        <w:rPr>
          <w:rFonts w:ascii="Amiri" w:hAnsi="Amiri" w:eastAsia="Amiri" w:cs="Amiri"/>
          <w:color w:val="111111"/>
          <w:sz w:val="28"/>
          <w:sz w:val="28"/>
          <w:szCs w:val="28"/>
          <w:rtl w:val="true"/>
          <w:lang w:bidi="ar-SA"/>
        </w:rPr>
        <w:t xml:space="preserve">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تقضي بعدم التصرف إلا بعد إحراز الرضا، كما في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الخمس، بحث الكنز</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440" w:name="pg15697_169047"/>
    </w:p>
    <w:p>
      <w:pPr>
        <w:pStyle w:val="Heading2"/>
        <w:numPr>
          <w:ilvl w:val="1"/>
          <w:numId w:val="1"/>
        </w:numPr>
        <w:rPr/>
      </w:pPr>
      <w:bookmarkStart w:id="441" w:name="__RefHeading___Toc11915340_2142443653"/>
      <w:bookmarkStart w:id="442" w:name="_Toc157"/>
      <w:bookmarkEnd w:id="440"/>
      <w:bookmarkEnd w:id="441"/>
      <w:r>
        <w:rPr>
          <w:rtl w:val="true"/>
        </w:rPr>
        <w:t>مؤسسات الزواج</w:t>
      </w:r>
      <w:bookmarkEnd w:id="44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يفتح إنسان مؤسسة لتزويج العوانس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أو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حسب الموازين الشرعية، التي فيها إجراء الصيغة، وأخذ العدة وحفظ الولد</w:t>
      </w:r>
      <w:r>
        <w:rPr>
          <w:rStyle w:val="FootnoteAnchor"/>
          <w:rtl w:val="true"/>
        </w:rPr>
        <w:footnoteReference w:id="754"/>
      </w:r>
      <w:r>
        <w:rPr>
          <w:rFonts w:ascii="Amiri" w:hAnsi="Amiri" w:eastAsia="Amiri" w:cs="Amiri"/>
          <w:color w:val="111111"/>
          <w:sz w:val="28"/>
          <w:sz w:val="28"/>
          <w:szCs w:val="28"/>
          <w:rtl w:val="true"/>
          <w:lang w:bidi="ar-SA"/>
        </w:rPr>
        <w:t xml:space="preserve"> من الضياع، إلى غير لك، ومثل هذه المؤسسات تقضي على دور 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يشمئزون من مثل هذه المسألة</w:t>
      </w:r>
    </w:p>
    <w:p>
      <w:pPr>
        <w:pStyle w:val="BookText"/>
        <w:rPr/>
      </w:pPr>
      <w:r>
        <w:rPr>
          <w:rFonts w:ascii="Amiri" w:hAnsi="Amiri" w:eastAsia="Amiri" w:cs="Amiri"/>
          <w:color w:val="111111"/>
          <w:sz w:val="28"/>
          <w:sz w:val="28"/>
          <w:szCs w:val="28"/>
          <w:rtl w:val="true"/>
          <w:lang w:bidi="ar-SA"/>
        </w:rPr>
        <w:t xml:space="preserve">لكن لا مسرح لهذا الكلي في المقام؛ إذ موضوع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بالإعطاء خرج عن كونه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مال متعلق بالجهة العامة، ويدور الأمر فيه بين التعيين والتخيير، فأصالة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بجواز الدفع من المال للجوائز،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الاختلاط بين الأموال فليس محلها؛ إذ ليس المطلوب العين في هذه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المقدار،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وظيفة المؤسسة، أو وظيفة نفس المرأة؟ وعلى الثاني لو شك كفى إقدام المرأة في الحكم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العصير وأنه لو كان متهماً</w:t>
      </w:r>
      <w:r>
        <w:rPr>
          <w:rStyle w:val="FootnoteAnchor"/>
          <w:rtl w:val="true"/>
        </w:rPr>
        <w:footnoteReference w:id="756"/>
      </w:r>
      <w:r>
        <w:rPr>
          <w:rFonts w:ascii="Amiri" w:hAnsi="Amiri" w:eastAsia="Amiri" w:cs="Amiri"/>
          <w:color w:val="111111"/>
          <w:sz w:val="28"/>
          <w:sz w:val="28"/>
          <w:szCs w:val="28"/>
          <w:rtl w:val="true"/>
          <w:lang w:bidi="ar-SA"/>
        </w:rPr>
        <w:t>، وكتاب النكاح والمرأة المتهمة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دائرة بين ما يعانيه المجتمع والفساد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ذلك بالأمور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القوانين المساهمة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العقار للإقراض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بساطة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الشركات الصغيرة بين جماعات وجماعات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غافلون أو متغافلون عن البغاء والجنايات الكثيرة التي ترتكب في طول الأرض وعرضها جرّاء انسداد هذا الباب أمام الشباب والعزّاب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ويتم عبر هذه المؤسسات تزويج العزاب والعازبات وتحصيل السكن ورأس المال لهم، ولو فاضت النساء كان الحل في تعدد الزوجات، وكل ذلك ميسور إذا طبق الإسلام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فتقسم بين الناس وكل يبني ولو بنفسه وبأقربائه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الممكن جعل مصرف العقار لأجل إقراض الذين يحتاجون إلى الإقراض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 لا بيت للمال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الترويج لبساطة الزواج وقلة تكلفته،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 نساء أمتي أقلهنّ مهراً</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الممكن أيضاً توفير العمل للنساء بما يتلاءم مع طبيعتهن، مثل تأسيس محلات خاصة بالنساء للصنائع اليدوية من الخياطة والحياكة والتطريز وصنع الألبسة والأفرشة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بنو الدور وسكنوها فمن أين الماء والكهرباء وما أشبه؟</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يقومون بذلك ويجعلون لها أجوراً معقولة، والحكومة تشرف لعدم الإجحاف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الممكن بالنسبة إلى إنماء المال إنشاء الشركات الصغيرة بين جماعات وجماعات،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والبلاد الصناعية التي تقدمت لم تفعل إعجازاً، وإنما استفادت من هذه الأمور التي جعلت في الإسلام وتركها غالب المسلمين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443" w:name="pg15697_169049"/>
    </w:p>
    <w:p>
      <w:pPr>
        <w:pStyle w:val="Heading2"/>
        <w:numPr>
          <w:ilvl w:val="1"/>
          <w:numId w:val="1"/>
        </w:numPr>
        <w:rPr/>
      </w:pPr>
      <w:bookmarkStart w:id="444" w:name="__RefHeading___Toc11915342_2142443653"/>
      <w:bookmarkStart w:id="445" w:name="_Toc158"/>
      <w:bookmarkEnd w:id="443"/>
      <w:bookmarkEnd w:id="444"/>
      <w:r>
        <w:rPr>
          <w:rtl w:val="true"/>
        </w:rPr>
        <w:t>وقف الوسائل الحديثة</w:t>
      </w:r>
      <w:bookmarkEnd w:id="4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وقف</w:t>
      </w:r>
      <w:r>
        <w:rPr>
          <w:rStyle w:val="FootnoteAnchor"/>
          <w:rtl w:val="true"/>
        </w:rPr>
        <w:footnoteReference w:id="759"/>
      </w:r>
      <w:r>
        <w:rPr>
          <w:rFonts w:ascii="Amiri" w:hAnsi="Amiri" w:eastAsia="Amiri" w:cs="Amiri"/>
          <w:color w:val="111111"/>
          <w:sz w:val="28"/>
          <w:sz w:val="28"/>
          <w:szCs w:val="28"/>
          <w:rtl w:val="true"/>
          <w:lang w:bidi="ar-SA"/>
        </w:rPr>
        <w:t xml:space="preserve"> الوسائل الحديثة، كالسيارة والطيارة والقطار والإذاعة وغيرها، لأجل الذرية أو صنف خاص، أو مصلحة خاصة أو 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الظاهر جواز الوقف بالروح العام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لشمول الإطلاق له، وذلك بأن يملك دوراً وعقاراً وسيارات وما أشبه، فيوقفها ويجعل بيد المتولي الإبقاء على الروح العام فيها ويعطيه الاختيار في أن يبقيها أو يبدلها، مثل جعل الحمام دكاناً، أو بيع الدار واشتراء السيارة مكانها، إلى غير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مسألة غير متداولة فعلاً، كأن يقف سيارة لنقل الركاب كل يوم إلى مشهد المقدسة مثلاً، وينبغي التشويق لذلك</w:t>
      </w:r>
      <w:r>
        <w:rPr>
          <w:rFonts w:eastAsia="Amiri" w:cs="Amiri" w:ascii="Amiri" w:hAnsi="Amiri"/>
          <w:color w:val="111111"/>
          <w:sz w:val="28"/>
          <w:szCs w:val="28"/>
          <w:rtl w:val="true"/>
          <w:lang w:bidi="ar-SA"/>
        </w:rPr>
        <w:t>.</w:t>
      </w:r>
    </w:p>
    <w:p>
      <w:pPr>
        <w:pStyle w:val="BookText"/>
        <w:rPr/>
      </w:pP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مسجداً له أحكام المسجدية؟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عنوان المسجد عليه عرفاً، و الموضوعات تقتنص من العرف،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منافع هذه الأرض مثلاً، تكون مسجداً أو حسينية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يقف هذا المال، لا عينه، بل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هذا البيت ليكون مسجداً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هذه المسألة مطروحة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الفقهاء؟</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446" w:name="pg15697_169050"/>
    </w:p>
    <w:p>
      <w:pPr>
        <w:pStyle w:val="Heading2"/>
        <w:numPr>
          <w:ilvl w:val="1"/>
          <w:numId w:val="1"/>
        </w:numPr>
        <w:rPr/>
      </w:pPr>
      <w:bookmarkStart w:id="447" w:name="__RefHeading___Toc11915344_2142443653"/>
      <w:bookmarkStart w:id="448" w:name="_Toc159"/>
      <w:bookmarkEnd w:id="446"/>
      <w:bookmarkEnd w:id="447"/>
      <w:r>
        <w:rPr>
          <w:rtl w:val="true"/>
        </w:rPr>
        <w:t>الصوم والتنفس الاصطناعي</w:t>
      </w:r>
      <w:bookmarkEnd w:id="4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w:t>
      </w:r>
      <w:r>
        <w:rPr>
          <w:rStyle w:val="FootnoteAnchor"/>
          <w:rtl w:val="true"/>
        </w:rPr>
        <w:footnoteReference w:id="762"/>
      </w:r>
      <w:r>
        <w:rPr>
          <w:rFonts w:ascii="Amiri" w:hAnsi="Amiri" w:eastAsia="Amiri" w:cs="Amiri"/>
          <w:color w:val="111111"/>
          <w:sz w:val="28"/>
          <w:sz w:val="28"/>
          <w:szCs w:val="28"/>
          <w:rtl w:val="true"/>
          <w:lang w:bidi="ar-SA"/>
        </w:rPr>
        <w:t xml:space="preserve"> الأوكسجين الذي يحفظ في العلبات ويستنشقه المصابون للضيق في تنفسهم عبر الفم، لا يوجب بطلان الصوم؛ لأنه ليس من الغبار الغليظ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يدخل في الهواء شيء يسير من الدواء، بحيث لا يصدق عرفاً الأكل والشرب وإيصال الغبار، فهو لا يزيد عن التراب الكائن في الهواء طبيعياً فيدخل في الحلق بالتنفس أو الاستنشاق</w:t>
      </w:r>
      <w:r>
        <w:rPr>
          <w:rFonts w:eastAsia="Amiri" w:cs="Amiri" w:ascii="Amiri" w:hAnsi="Amiri"/>
          <w:color w:val="111111"/>
          <w:sz w:val="28"/>
          <w:szCs w:val="28"/>
          <w:rtl w:val="true"/>
          <w:lang w:bidi="ar-SA"/>
        </w:rPr>
        <w:t>.</w:t>
      </w:r>
    </w:p>
    <w:p>
      <w:pPr>
        <w:pStyle w:val="Heading2"/>
        <w:numPr>
          <w:ilvl w:val="1"/>
          <w:numId w:val="1"/>
        </w:numPr>
        <w:rPr/>
      </w:pPr>
      <w:bookmarkStart w:id="449" w:name="__RefHeading___Toc11915346_2142443653"/>
      <w:bookmarkStart w:id="450" w:name="_Toc160"/>
      <w:bookmarkEnd w:id="449"/>
      <w:r>
        <w:rPr>
          <w:rtl w:val="true"/>
        </w:rPr>
        <w:t>الجنس المطاطي في الصوم</w:t>
      </w:r>
      <w:bookmarkEnd w:id="45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الإدخال في قبل المرأة المطاطية، أو إدخال ذكر الرجل</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فالأنواع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أوكسيجين خالص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دواء يسير لا يعد أكلاً ولا شرباً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دواء يعد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الملاك الأكل عرفاً أو دقة؟ ظاهر العروة الثاني،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 الخياط</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أنّ الملاك صدق الأكل ونحوه عرفاً، ولعله لا يصدق في المقام غالباً،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المطاطي في المرأة لا يوجبان بطلان الصوم إذا لم يكن بقصد الإنزال</w:t>
      </w:r>
      <w:r>
        <w:rPr>
          <w:rStyle w:val="FootnoteAnchor"/>
          <w:rtl w:val="true"/>
        </w:rPr>
        <w:footnoteReference w:id="765"/>
      </w:r>
      <w:r>
        <w:rPr>
          <w:rFonts w:ascii="IRNazanin" w:hAnsi="IRNazanin" w:eastAsia="IRNazanin"/>
          <w:color w:val="111111"/>
          <w:sz w:val="28"/>
          <w:sz w:val="28"/>
          <w:szCs w:val="28"/>
          <w:rtl w:val="true"/>
          <w:lang w:bidi="fa-IR"/>
        </w:rPr>
        <w:t xml:space="preserve">، </w:t>
      </w:r>
      <w:r>
        <w:rPr>
          <w:rStyle w:val="FootnoteAnchor"/>
          <w:rtl w:val="true"/>
        </w:rPr>
        <w:footnoteReference w:id="766"/>
      </w:r>
      <w:r>
        <w:rPr>
          <w:rFonts w:ascii="Amiri" w:hAnsi="Amiri" w:eastAsia="Amiri" w:cs="Amiri"/>
          <w:color w:val="111111"/>
          <w:sz w:val="28"/>
          <w:sz w:val="28"/>
          <w:szCs w:val="28"/>
          <w:rtl w:val="true"/>
          <w:lang w:bidi="ar-SA"/>
        </w:rPr>
        <w:t>، نعم هو حرام؛ لأنه مثير</w:t>
      </w:r>
      <w:r>
        <w:rPr>
          <w:rStyle w:val="FootnoteAnchor"/>
          <w:rtl w:val="true"/>
        </w:rPr>
        <w:footnoteReference w:id="767"/>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للشهوة، ولعله</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صغرى لقوله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 لأنه ليس جماعاً فاعلاً أو مفعولاً، وإن توهم الفاعل أنه يدخل في امرأة حقيقية، أو توهّمت أنه يدخل بها رجل حقيقي، فإن الحكم تابع</w:t>
      </w:r>
    </w:p>
    <w:p>
      <w:pPr>
        <w:pStyle w:val="BookText"/>
        <w:rPr/>
      </w:pP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قصد المفطر مفطر</w:t>
      </w:r>
      <w:r>
        <w:rPr>
          <w:rFonts w:eastAsia="IRNazanin" w:cs="IRNazanin"/>
          <w:color w:val="111111"/>
          <w:sz w:val="28"/>
          <w:szCs w:val="28"/>
          <w:rtl w:val="true"/>
          <w:lang w:bidi="fa-IR"/>
        </w:rPr>
        <w:t>.</w:t>
      </w:r>
    </w:p>
    <w:p>
      <w:pPr>
        <w:pStyle w:val="BookText"/>
        <w:rPr/>
      </w:pP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من عادته الإنزال بذلك</w:t>
      </w:r>
      <w:r>
        <w:rPr>
          <w:rFonts w:eastAsia="Amiri" w:cs="Amiri" w:ascii="Amiri" w:hAnsi="Amiri"/>
          <w:color w:val="111111"/>
          <w:sz w:val="28"/>
          <w:szCs w:val="28"/>
          <w:rtl w:val="true"/>
          <w:lang w:bidi="ar-SA"/>
        </w:rPr>
        <w:t>.</w:t>
      </w:r>
    </w:p>
    <w:p>
      <w:pPr>
        <w:pStyle w:val="BookText"/>
        <w:rPr/>
      </w:pP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مثيراً لم يقتضِ هذا الدليل بمفرده الحرمة، فالحيثية تقييدية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المحرمات في بحث تهييج الشهوة</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التشبيب</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في المكاسب المحرمة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الترديد باعتبار الانصراف للإنسان، لكنه بدوي فتأمل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451" w:name="pg15697_169052"/>
    </w:p>
    <w:p>
      <w:pPr>
        <w:pStyle w:val="BookText"/>
        <w:rPr/>
      </w:pPr>
      <w:bookmarkEnd w:id="451"/>
      <w:r>
        <w:rPr>
          <w:rFonts w:ascii="IRNazanin" w:hAnsi="IRNazanin" w:eastAsia="IRNazanin"/>
          <w:color w:val="111111"/>
          <w:sz w:val="28"/>
          <w:sz w:val="28"/>
          <w:szCs w:val="28"/>
          <w:rtl w:val="true"/>
          <w:lang w:bidi="fa-IR"/>
        </w:rPr>
        <w:t>للواقع لا للتوهم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الإدخال في دبر اللعبة المطاطية الشبيهة بالرجل، أو إدخال ذكرها في دبره، فإنه لم يكن مبطلاً، وليس له أحكام اللواط فاعلاً ومفعولاً، بل في مثل الصوم المستحب</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يضره قصد الإفطار</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في كل ذلك بين كون المطاط الفاعل أو المفعول بشكل الإنسان أو الحيوان أو غيرهما، نعم لا إشكال في حرمته</w:t>
      </w:r>
      <w:r>
        <w:rPr>
          <w:rFonts w:eastAsia="Amiri" w:cs="Amiri" w:ascii="Amiri" w:hAnsi="Amiri"/>
          <w:color w:val="111111"/>
          <w:sz w:val="28"/>
          <w:szCs w:val="28"/>
          <w:rtl w:val="true"/>
          <w:lang w:bidi="ar-SA"/>
        </w:rPr>
        <w:t>.</w:t>
      </w:r>
    </w:p>
    <w:p>
      <w:pPr>
        <w:pStyle w:val="Heading2"/>
        <w:numPr>
          <w:ilvl w:val="1"/>
          <w:numId w:val="1"/>
        </w:numPr>
        <w:rPr/>
      </w:pPr>
      <w:bookmarkStart w:id="452" w:name="__RefHeading___Toc11915348_2142443653"/>
      <w:bookmarkStart w:id="453" w:name="_Toc161"/>
      <w:bookmarkEnd w:id="452"/>
      <w:r>
        <w:rPr>
          <w:rtl w:val="true"/>
        </w:rPr>
        <w:t>الجنس المطاطي في الحج</w:t>
      </w:r>
      <w:bookmarkEnd w:id="4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الحج والاعتكاف الإدخال المذكور في المسألة السابقة وإن كان حراماً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ذكر في المسألة السابقة، وكذلك الحال في الاعتكاف، ولا يبطل به الوضوء أو الغسل أو التيمم، كما لا يحرم بسبب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المسجد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يضره؛ لأنه يوجب فقد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بذلك؛ لأنّ وقت النية ممتد للغروب، فبعد بطلان الصوم ينوي فيصح، كما لو نوى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صوم تعبدي لا صوم حقيقي فيما بين الحدين،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يُقال بذلك في الواجب لو كان وقته ممتداً للظهر؟</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الفعل الخارجي،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التفصيل في المسألة السابقة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454" w:name="pg15697_169053"/>
    </w:p>
    <w:p>
      <w:pPr>
        <w:pStyle w:val="Heading2"/>
        <w:numPr>
          <w:ilvl w:val="1"/>
          <w:numId w:val="1"/>
        </w:numPr>
        <w:rPr/>
      </w:pPr>
      <w:bookmarkStart w:id="455" w:name="__RefHeading___Toc11915350_2142443653"/>
      <w:bookmarkStart w:id="456" w:name="_Toc162"/>
      <w:bookmarkEnd w:id="454"/>
      <w:bookmarkEnd w:id="455"/>
      <w:r>
        <w:rPr>
          <w:rtl w:val="true"/>
        </w:rPr>
        <w:t>الجنس المطاطي في سائر الأحكام</w:t>
      </w:r>
      <w:bookmarkEnd w:id="4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 شيء من المطاط عبر عملية جراحية برأس الذكر، لم يكن</w:t>
      </w:r>
      <w:r>
        <w:rPr>
          <w:rStyle w:val="FootnoteAnchor"/>
          <w:rtl w:val="true"/>
        </w:rPr>
        <w:footnoteReference w:id="777"/>
      </w:r>
      <w:r>
        <w:rPr>
          <w:rFonts w:ascii="Amiri" w:hAnsi="Amiri" w:eastAsia="Amiri" w:cs="Amiri"/>
          <w:color w:val="111111"/>
          <w:sz w:val="28"/>
          <w:sz w:val="28"/>
          <w:szCs w:val="28"/>
          <w:rtl w:val="true"/>
          <w:lang w:bidi="ar-SA"/>
        </w:rPr>
        <w:t xml:space="preserve"> إدخاله وحده في المرأة موجباً للجنابة، ولم يكن له سائر أحكام الإدخال، كالزنا والمصاهرة وما أشبههما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ليس بإدخال للحشفة، وكذا إذا ركب لنفسه ذكراً اصطناعياً وعدّ جزءاً منه فادخله فيها، فلا تشمله الأحكام المذكورة، وإن أحسّت بالحرارة والحركة مما تتوهم أنه حقيقي بسبب الكهرباء ونحوه</w:t>
      </w:r>
      <w:r>
        <w:rPr>
          <w:rFonts w:eastAsia="Amiri" w:cs="Amiri" w:ascii="Amiri" w:hAnsi="Amiri"/>
          <w:color w:val="111111"/>
          <w:sz w:val="28"/>
          <w:szCs w:val="28"/>
          <w:rtl w:val="true"/>
          <w:lang w:bidi="ar-SA"/>
        </w:rPr>
        <w:t>.</w:t>
      </w:r>
    </w:p>
    <w:p>
      <w:pPr>
        <w:pStyle w:val="Heading2"/>
        <w:numPr>
          <w:ilvl w:val="1"/>
          <w:numId w:val="1"/>
        </w:numPr>
        <w:rPr/>
      </w:pPr>
      <w:bookmarkStart w:id="457" w:name="__RefHeading___Toc11915352_2142443653"/>
      <w:bookmarkStart w:id="458" w:name="_Toc163"/>
      <w:bookmarkEnd w:id="457"/>
      <w:r>
        <w:rPr>
          <w:rtl w:val="true"/>
        </w:rPr>
        <w:t>الجنس المطاطي والغسل</w:t>
      </w:r>
      <w:bookmarkEnd w:id="45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الذكر في المرأة المطاطية، وإدخال المرأة الذكر المطاطي في نفسها لا يوجب الغسل، إلا إذا صار سبباً للإمناء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كل من المستثنى منه والمستثنى حسب القواعد، نعم لا إشكال في حرمته لما عرفت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جزءاً حقيقياً، وهذا بخلاف اللحم أو الشعر الذي يتركب ويتفاعل ويصبح جزءاً حقيقياً عرفاً، فهو كاليد المطاطية الصناعية؛ إذ ليس لها أحكام اليد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وقد تقدّم دليلان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حفظ الفرج المأمور به في الكريمة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459" w:name="pg15697_169054"/>
    </w:p>
    <w:p>
      <w:pPr>
        <w:pStyle w:val="Heading2"/>
        <w:numPr>
          <w:ilvl w:val="1"/>
          <w:numId w:val="1"/>
        </w:numPr>
        <w:rPr/>
      </w:pPr>
      <w:bookmarkStart w:id="460" w:name="__RefHeading___Toc11915354_2142443653"/>
      <w:bookmarkStart w:id="461" w:name="_Toc164"/>
      <w:bookmarkEnd w:id="459"/>
      <w:bookmarkEnd w:id="460"/>
      <w:r>
        <w:rPr>
          <w:rtl w:val="true"/>
        </w:rPr>
        <w:t>نقل المني عبر اللُّعبة</w:t>
      </w:r>
      <w:bookmarkEnd w:id="4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 المني في الرجل المطاطي، وجامعته المرأة لم يجز</w:t>
      </w:r>
      <w:r>
        <w:rPr>
          <w:rStyle w:val="FootnoteAnchor"/>
          <w:rtl w:val="true"/>
        </w:rPr>
        <w:footnoteReference w:id="782"/>
      </w:r>
      <w:r>
        <w:rPr>
          <w:rFonts w:ascii="Amiri" w:hAnsi="Amiri" w:eastAsia="Amiri" w:cs="Amiri"/>
          <w:color w:val="111111"/>
          <w:sz w:val="28"/>
          <w:sz w:val="28"/>
          <w:szCs w:val="28"/>
          <w:rtl w:val="true"/>
          <w:lang w:bidi="ar-SA"/>
        </w:rPr>
        <w:t xml:space="preserve"> ذلك، فإن حملت منه، فإن كان من مني زوجها كان الولد حلالاً، وإلا كان الولد تابعاً</w:t>
      </w:r>
      <w:r>
        <w:rPr>
          <w:rStyle w:val="FootnoteAnchor"/>
          <w:rtl w:val="true"/>
        </w:rPr>
        <w:footnoteReference w:id="783"/>
      </w:r>
      <w:r>
        <w:rPr>
          <w:rFonts w:ascii="Amiri" w:hAnsi="Amiri" w:eastAsia="Amiri" w:cs="Amiri"/>
          <w:color w:val="111111"/>
          <w:sz w:val="28"/>
          <w:sz w:val="28"/>
          <w:szCs w:val="28"/>
          <w:rtl w:val="true"/>
          <w:lang w:bidi="ar-SA"/>
        </w:rPr>
        <w:t xml:space="preserve"> لصاحب المني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في المقام بصورها المختلفة مسألة ولد الزنا وولد الحلال وولد الشبهة على حسب الموازين الأولية، ولو خلط مني الزوج وغيره وأدخل في المرأة كان الولد للفراش، ولو خلط منيان من أجنبيين كان من أحدهما ويعين بالقرعة</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11915356_2142443653"/>
      <w:bookmarkStart w:id="463" w:name="_Toc165"/>
      <w:bookmarkEnd w:id="462"/>
      <w:r>
        <w:rPr>
          <w:rtl w:val="true"/>
        </w:rPr>
        <w:t>ولد الحرام</w:t>
      </w:r>
      <w:bookmarkEnd w:id="4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قتل ولد الحرام إذا كان من مسلم أو محترم من الكفار، ولا يجوز إيذائه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لعموم أدلة حرمة القتل والإيذاء، ولأنه غير مذنب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وإنما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للإثارة أو لأنّه خلاف الحفظ كما سبق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ولده عرفاً وشرعاً، إلاّ في الميراث، فإنّه ولد حرام على مبنى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المسائل الإسلامية</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لأنّ نفي الإرث حكم ولد الزنا، وليس حكم كلّ ولد متولد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يستحق الإيذاء أي لا مسوغ لإيذائه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464" w:name="pg15697_169055"/>
    </w:p>
    <w:p>
      <w:pPr>
        <w:pStyle w:val="BookText"/>
        <w:rPr/>
      </w:pPr>
      <w:bookmarkEnd w:id="464"/>
      <w:r>
        <w:rPr>
          <w:rFonts w:ascii="Amiri" w:hAnsi="Amiri" w:eastAsia="Amiri" w:cs="Amiri"/>
          <w:color w:val="111111"/>
          <w:sz w:val="28"/>
          <w:sz w:val="28"/>
          <w:szCs w:val="28"/>
          <w:rtl w:val="true"/>
          <w:lang w:bidi="ar-SA"/>
        </w:rPr>
        <w:t>أذنب الزاني أو الزانية، فله كل أحكام المسلم إلا ما خرج مثل الإمامة والقضاء</w:t>
      </w:r>
      <w:r>
        <w:rPr>
          <w:rStyle w:val="FootnoteAnchor"/>
          <w:rtl w:val="true"/>
        </w:rPr>
        <w:footnoteReference w:id="789"/>
      </w:r>
      <w:r>
        <w:rPr>
          <w:rFonts w:ascii="Amiri" w:hAnsi="Amiri" w:eastAsia="Amiri" w:cs="Amiri"/>
          <w:color w:val="111111"/>
          <w:sz w:val="28"/>
          <w:sz w:val="28"/>
          <w:szCs w:val="28"/>
          <w:rtl w:val="true"/>
          <w:lang w:bidi="ar-SA"/>
        </w:rPr>
        <w:t>، هذا فيما لو كان مسلماً، وله كل أحكام الكافر فيما إذا كان كافراً</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ويلزم بأحكام الكافر لقاعدة الإلزام</w:t>
      </w:r>
      <w:r>
        <w:rPr>
          <w:rFonts w:eastAsia="Amiri" w:cs="Amiri" w:ascii="Amiri" w:hAnsi="Amiri"/>
          <w:color w:val="111111"/>
          <w:sz w:val="28"/>
          <w:szCs w:val="28"/>
          <w:rtl w:val="true"/>
          <w:lang w:bidi="ar-SA"/>
        </w:rPr>
        <w:t>.</w:t>
      </w:r>
    </w:p>
    <w:p>
      <w:pPr>
        <w:pStyle w:val="Heading2"/>
        <w:numPr>
          <w:ilvl w:val="1"/>
          <w:numId w:val="1"/>
        </w:numPr>
        <w:rPr/>
      </w:pPr>
      <w:bookmarkStart w:id="465" w:name="__RefHeading___Toc11915358_2142443653"/>
      <w:bookmarkStart w:id="466" w:name="_Toc166"/>
      <w:bookmarkEnd w:id="465"/>
      <w:r>
        <w:rPr>
          <w:rtl w:val="true"/>
        </w:rPr>
        <w:t>تزريق دم نجس العين</w:t>
      </w:r>
      <w:bookmarkEnd w:id="46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زرق دم نجس العين في حيوان طاهر، كتزريق دم الكلب في الشاة، فإن صار جزءاً منه بحيث يقال إنه دم الشاة، صار طاهراً بعد خروج المقدار المتعارف منه بالذبح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صار دمه</w:t>
      </w:r>
      <w:r>
        <w:rPr>
          <w:rStyle w:val="FootnoteAnchor"/>
          <w:rtl w:val="true"/>
        </w:rPr>
        <w:footnoteReference w:id="790"/>
      </w:r>
      <w:r>
        <w:rPr>
          <w:rFonts w:ascii="Amiri" w:hAnsi="Amiri" w:eastAsia="Amiri" w:cs="Amiri"/>
          <w:color w:val="111111"/>
          <w:sz w:val="28"/>
          <w:sz w:val="28"/>
          <w:szCs w:val="28"/>
          <w:rtl w:val="true"/>
          <w:lang w:bidi="ar-SA"/>
        </w:rPr>
        <w:t xml:space="preserve"> لا دم المنتقل عنه، نعم هو محتاج إلى الصدق العرفي</w:t>
      </w:r>
      <w:r>
        <w:rPr>
          <w:rFonts w:eastAsia="Amiri" w:cs="Amiri" w:ascii="Amiri" w:hAnsi="Amiri"/>
          <w:color w:val="111111"/>
          <w:sz w:val="28"/>
          <w:szCs w:val="28"/>
          <w:rtl w:val="true"/>
          <w:lang w:bidi="ar-SA"/>
        </w:rPr>
        <w:t>.</w:t>
      </w:r>
    </w:p>
    <w:p>
      <w:pPr>
        <w:pStyle w:val="Heading2"/>
        <w:numPr>
          <w:ilvl w:val="1"/>
          <w:numId w:val="1"/>
        </w:numPr>
        <w:rPr/>
      </w:pPr>
      <w:bookmarkStart w:id="467" w:name="__RefHeading___Toc11915360_2142443653"/>
      <w:bookmarkStart w:id="468" w:name="_Toc167"/>
      <w:bookmarkEnd w:id="467"/>
      <w:r>
        <w:rPr>
          <w:rtl w:val="true"/>
        </w:rPr>
        <w:t>تزريق الدم الطاهر</w:t>
      </w:r>
      <w:bookmarkEnd w:id="4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زرق دم طاهر</w:t>
      </w:r>
      <w:r>
        <w:rPr>
          <w:rStyle w:val="FootnoteAnchor"/>
          <w:rtl w:val="true"/>
        </w:rPr>
        <w:footnoteReference w:id="791"/>
      </w:r>
      <w:r>
        <w:rPr>
          <w:rFonts w:ascii="Amiri" w:hAnsi="Amiri" w:eastAsia="Amiri" w:cs="Amiri"/>
          <w:color w:val="111111"/>
          <w:sz w:val="28"/>
          <w:sz w:val="28"/>
          <w:szCs w:val="28"/>
          <w:rtl w:val="true"/>
          <w:lang w:bidi="ar-SA"/>
        </w:rPr>
        <w:t>في حيوان نجس العين كالكلب أو نجس الدم كالإنسان تنجس الدم في الأول بمجرد الملاقاة، أما في الثاني، فإن قلنا بأنّ الدم في العروق طاهر،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ما لم يخرج من</w:t>
      </w:r>
    </w:p>
    <w:p>
      <w:pPr>
        <w:pStyle w:val="BookText"/>
        <w:rPr/>
      </w:pP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والمرجعية والتقليد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زنا في مذهبهم، وإلا فلكل قوم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المطهرات</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شأناً فبمجرد خروجه يحكم عليه بالنجاسة الفعلية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469" w:name="pg15697_169056"/>
    </w:p>
    <w:p>
      <w:pPr>
        <w:pStyle w:val="BookText"/>
        <w:rPr/>
      </w:pPr>
      <w:bookmarkEnd w:id="469"/>
      <w:r>
        <w:rPr>
          <w:rFonts w:ascii="Amiri" w:hAnsi="Amiri" w:eastAsia="Amiri" w:cs="Amiri"/>
          <w:color w:val="111111"/>
          <w:sz w:val="28"/>
          <w:sz w:val="28"/>
          <w:szCs w:val="28"/>
          <w:rtl w:val="true"/>
          <w:lang w:bidi="ar-SA"/>
        </w:rPr>
        <w:t>البدن لا يكون نجساً، فالدم الطاهر إن صار جزء الإنسان صار نجساً</w:t>
      </w:r>
      <w:r>
        <w:rPr>
          <w:rStyle w:val="FootnoteAnchor"/>
          <w:rtl w:val="true"/>
        </w:rPr>
        <w:footnoteReference w:id="796"/>
      </w:r>
      <w:r>
        <w:rPr>
          <w:rFonts w:ascii="Amiri" w:hAnsi="Amiri" w:eastAsia="Amiri" w:cs="Amiri"/>
          <w:color w:val="111111"/>
          <w:sz w:val="28"/>
          <w:sz w:val="28"/>
          <w:szCs w:val="28"/>
          <w:rtl w:val="true"/>
          <w:lang w:bidi="ar-SA"/>
        </w:rPr>
        <w:t>، وإلا كان طاهراً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كان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بمنزلة تزريق</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الماء في العروق، فهل اتصاله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نجاسته؟</w:t>
      </w:r>
    </w:p>
    <w:p>
      <w:pPr>
        <w:pStyle w:val="Heading2"/>
        <w:numPr>
          <w:ilvl w:val="1"/>
          <w:numId w:val="1"/>
        </w:numPr>
        <w:rPr/>
      </w:pPr>
      <w:bookmarkStart w:id="470" w:name="__RefHeading___Toc11915362_2142443653"/>
      <w:bookmarkStart w:id="471" w:name="_Toc168"/>
      <w:bookmarkEnd w:id="470"/>
      <w:r>
        <w:rPr>
          <w:rtl w:val="true"/>
        </w:rPr>
        <w:t>سحب دم الإنسان</w:t>
      </w:r>
      <w:bookmarkEnd w:id="47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سحب دم الإنسان بدون رضا إلا إذا كان بقاؤهُ موجباً لهلاكه أو مرضه الذي لا يجوز تحمله، فإنه حيث كان سحب الدم واجباً لم يكن لرضاه أو عدم رضاه تأثير شرعي</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خرج واتصل بالدم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خارجاً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بحث،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الخارجي إذا لاقى نجاسة باطنية فهل ينجس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العروة</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التمثيل بالإبرة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يفعل المنكر، فاللازم نهيه عن المنكر عملاً – إن لم تنفع المراتب السابقة، وربما يكون أحياناً ردعاً عن المنكر، أي قبل وقوعه في الخارج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النهي عن المنكر والردع</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472" w:name="pg15697_169057"/>
    </w:p>
    <w:p>
      <w:pPr>
        <w:pStyle w:val="BookText"/>
        <w:rPr/>
      </w:pPr>
      <w:bookmarkEnd w:id="4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المستثنى منه؛ لأن الناس مسلطون على أموالهم وأنفسهم، والمستثنى لأنه لا حق للإنسان أن يفعل شيئاً، أو يترك شيئاً يوجب موته، أو فساد عضو منه، أو ذهاب قوة، وذلك حسب ما ذكرناه في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Heading2"/>
        <w:numPr>
          <w:ilvl w:val="1"/>
          <w:numId w:val="1"/>
        </w:numPr>
        <w:rPr/>
      </w:pPr>
      <w:bookmarkStart w:id="473" w:name="__RefHeading___Toc11915364_2142443653"/>
      <w:bookmarkStart w:id="474" w:name="_Toc169"/>
      <w:bookmarkEnd w:id="473"/>
      <w:r>
        <w:rPr>
          <w:rtl w:val="true"/>
        </w:rPr>
        <w:t>تصنيع المناخ</w:t>
      </w:r>
      <w:bookmarkEnd w:id="4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والشتاء، والصيف والربيع المصطنع بواسطة الوسائل الحديثة، لا يوجب استحباب الأمور المرتبطة بهذه الفصول، كالحجامة والمآكل الخاصة وما أشبه مما ذكر في الأخبار، إلا إذا صدق الربيع أو نحوه صدقاً عرفياً</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مع الصدق العرفي يتحقق الموضوع فيتحقق الحكم، ولعله يكون له آثار في البدن، ففي فصل الربيع الاصطناعي كالطبيعي يكون الدم في البدن كذا، وهكذا في سائر الفصول، ولذلك لو انتقل الإنسان من محل الصيف إلى الربيع أو ما أشبه يكون له حكم المنتقل إليه</w:t>
      </w:r>
      <w:r>
        <w:rPr>
          <w:rFonts w:eastAsia="Amiri" w:cs="Amiri" w:ascii="Amiri" w:hAnsi="Amiri"/>
          <w:color w:val="111111"/>
          <w:sz w:val="28"/>
          <w:szCs w:val="28"/>
          <w:rtl w:val="true"/>
          <w:lang w:bidi="ar-SA"/>
        </w:rPr>
        <w:t>.</w:t>
      </w:r>
    </w:p>
    <w:p>
      <w:pPr>
        <w:pStyle w:val="Heading2"/>
        <w:numPr>
          <w:ilvl w:val="1"/>
          <w:numId w:val="1"/>
        </w:numPr>
        <w:rPr/>
      </w:pPr>
      <w:bookmarkStart w:id="475" w:name="__RefHeading___Toc11915366_2142443653"/>
      <w:bookmarkStart w:id="476" w:name="_Toc170"/>
      <w:bookmarkEnd w:id="475"/>
      <w:r>
        <w:rPr>
          <w:rtl w:val="true"/>
        </w:rPr>
        <w:t>تبديل الأعضاء</w:t>
      </w:r>
      <w:bookmarkEnd w:id="47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تبديل عضو إنسان بعضو إنسان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تجرى العملية الجراحية لتبديل يد زيد مكان يد عمرو،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ذلك ضرر لا يجوز تحمله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متعارفاً، وإلاّ فلو خرج عن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صارت السنة كلها ربيعاً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الرجوع إلى الآفاق المتعارفة، كما مرّ في مسائل سابقة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تغيير الخلق محرم،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منصرف عن مثل هذه خاصة لو ترتب عليها أثر مفيد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477" w:name="pg15697_169058"/>
    </w:p>
    <w:p>
      <w:pPr>
        <w:pStyle w:val="BookText"/>
        <w:rPr/>
      </w:pPr>
      <w:bookmarkEnd w:id="4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الحل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وقد تكون هناك بعض الأغراض العقلائية، مثل أن تناسب يد زيد عمرواً طولاً وضخامة وما أشبه، وبالعكس</w:t>
      </w:r>
      <w:r>
        <w:rPr>
          <w:rFonts w:eastAsia="Amiri" w:cs="Amiri" w:ascii="Amiri" w:hAnsi="Amiri"/>
          <w:color w:val="111111"/>
          <w:sz w:val="28"/>
          <w:szCs w:val="28"/>
          <w:rtl w:val="true"/>
          <w:lang w:bidi="ar-SA"/>
        </w:rPr>
        <w:t>.</w:t>
      </w:r>
    </w:p>
    <w:p>
      <w:pPr>
        <w:pStyle w:val="Heading2"/>
        <w:numPr>
          <w:ilvl w:val="1"/>
          <w:numId w:val="1"/>
        </w:numPr>
        <w:rPr/>
      </w:pPr>
      <w:bookmarkStart w:id="478" w:name="__RefHeading___Toc11915368_2142443653"/>
      <w:bookmarkStart w:id="479" w:name="_Toc171"/>
      <w:bookmarkEnd w:id="478"/>
      <w:r>
        <w:rPr>
          <w:rtl w:val="true"/>
        </w:rPr>
        <w:t>قراءة الأفكار</w:t>
      </w:r>
      <w:bookmarkEnd w:id="47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للإنسان أن يقرأ أفكار الإنسان الآخر أم لا؟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الإنسان الآخر راضياً جاز، وكذلك إذا كان مهدور الحق، كالكافر الحربي</w:t>
      </w:r>
      <w:r>
        <w:rPr>
          <w:rStyle w:val="FootnoteAnchor"/>
          <w:rtl w:val="true"/>
        </w:rPr>
        <w:footnoteReference w:id="805"/>
      </w:r>
      <w:r>
        <w:rPr>
          <w:rFonts w:ascii="Amiri" w:hAnsi="Amiri" w:eastAsia="Amiri" w:cs="Amiri"/>
          <w:color w:val="111111"/>
          <w:sz w:val="28"/>
          <w:sz w:val="28"/>
          <w:szCs w:val="28"/>
          <w:rtl w:val="true"/>
          <w:lang w:bidi="ar-SA"/>
        </w:rPr>
        <w:t>، أما إذا لم يعلم برضاه</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أو علم بعدم رضاه، وكان غير مهدور الحق فالظاهر عدم الجواز؛ لأنه من كشف السر، إلا إذا كان هناك عنوان مجوّز، كما لو علم القارئ أنّ الطرف يفكر في وسيلة لإيصال الأذى إليه أو إلى غيره، فيقرأ فكره لأجل إنقاذ نفسه أو غيره من أذاه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المستثنى منه والمستثنى على القاعدة، وإذا شك في رضاه، أو في كونه مهدور الحق، ولم يكن استصحاب، فلا يجوز؛ لكونه تصرفاً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في الغير من دون رضاه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لو علم بأنه يريد إضراره أو إضرار غيره فالجواز؛ لعموم أدلة الدفاع عن النفس وعن الغير ولدليل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عنوان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الأهم والمهم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الكنز</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كشفاً لستره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دون إحراز رضاه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480" w:name="pg15697_169059"/>
    </w:p>
    <w:p>
      <w:pPr>
        <w:pStyle w:val="Heading2"/>
        <w:numPr>
          <w:ilvl w:val="1"/>
          <w:numId w:val="1"/>
        </w:numPr>
        <w:rPr/>
      </w:pPr>
      <w:bookmarkStart w:id="481" w:name="__RefHeading___Toc11915370_2142443653"/>
      <w:bookmarkStart w:id="482" w:name="_Toc172"/>
      <w:bookmarkEnd w:id="480"/>
      <w:bookmarkEnd w:id="481"/>
      <w:r>
        <w:rPr>
          <w:rtl w:val="true"/>
        </w:rPr>
        <w:t>الإيذاء بالوسائل العصرية</w:t>
      </w:r>
      <w:bookmarkEnd w:id="48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808"/>
      </w:r>
      <w:r>
        <w:rPr>
          <w:rFonts w:ascii="Amiri" w:hAnsi="Amiri" w:eastAsia="Amiri" w:cs="Amiri"/>
          <w:color w:val="111111"/>
          <w:sz w:val="28"/>
          <w:sz w:val="28"/>
          <w:szCs w:val="28"/>
          <w:rtl w:val="true"/>
          <w:lang w:bidi="ar-SA"/>
        </w:rPr>
        <w:t xml:space="preserve"> أذية إنسان محترم بالوسائل العلمية، كما لو أحضر روحه ولقّنه ما يسبب أذاه وبؤسه، نعم إذا كان إنسان غير محترم الحقوق جاز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الاستثناء ليس مطلقاً، بل بالقدر الذي علم من الفحوى</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وأولوية الأذى من هدر الحق، إذ كل هدر حق ليس سبباً في جواز الأذى،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تعذيب المحارب وإن كان مهدور الحق</w:t>
      </w:r>
      <w:r>
        <w:rPr>
          <w:rFonts w:eastAsia="Amiri" w:cs="Amiri" w:ascii="Amiri" w:hAnsi="Amiri"/>
          <w:color w:val="111111"/>
          <w:sz w:val="28"/>
          <w:szCs w:val="28"/>
          <w:rtl w:val="true"/>
          <w:lang w:bidi="ar-SA"/>
        </w:rPr>
        <w:t>.</w:t>
      </w:r>
    </w:p>
    <w:p>
      <w:pPr>
        <w:pStyle w:val="Heading2"/>
        <w:numPr>
          <w:ilvl w:val="1"/>
          <w:numId w:val="1"/>
        </w:numPr>
        <w:rPr/>
      </w:pPr>
      <w:bookmarkStart w:id="483" w:name="__RefHeading___Toc11915372_2142443653"/>
      <w:bookmarkStart w:id="484" w:name="_Toc173"/>
      <w:bookmarkEnd w:id="483"/>
      <w:r>
        <w:rPr>
          <w:rtl w:val="true"/>
        </w:rPr>
        <w:t>الإيذاء السحري</w:t>
      </w:r>
      <w:bookmarkEnd w:id="48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أذية إنسان محترم بالوسائل السحرية، فإنّ السحر بنفسه حرام، وأذى الإنسان المحترم حرام آخر، لكن أذية مستحق الأذى بواسطة السحر إذا كان السحر جائزاً لأجل أهمية في البين</w:t>
      </w:r>
      <w:r>
        <w:rPr>
          <w:rStyle w:val="FootnoteAnchor"/>
          <w:rtl w:val="true"/>
        </w:rPr>
        <w:footnoteReference w:id="809"/>
      </w:r>
      <w:r>
        <w:rPr>
          <w:rFonts w:ascii="Amiri" w:hAnsi="Amiri" w:eastAsia="Amiri" w:cs="Amiri"/>
          <w:color w:val="111111"/>
          <w:sz w:val="28"/>
          <w:sz w:val="28"/>
          <w:szCs w:val="28"/>
          <w:rtl w:val="true"/>
          <w:lang w:bidi="ar-SA"/>
        </w:rPr>
        <w:t xml:space="preserve"> لا بأس به، كما إذا دخل بالسحر الرعب في قلب الكافر المهاجم حتى يهزمه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برضاه في الضرر غير البالغ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غير متحققة غالباً؛ إذ القتل جائز، أمّا الإيذاء فلم يعلم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مثل شدّ يديه قبل القتل فهي من اللوازم الطبيعية للقتل، وكذا إدخال الرعب في قلبه، كما سيأتي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هناك أهم،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الانحصار، كما هو واضح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485" w:name="pg15697_169060"/>
    </w:p>
    <w:p>
      <w:pPr>
        <w:pStyle w:val="BookText"/>
        <w:rPr/>
      </w:pPr>
      <w:bookmarkEnd w:id="4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فاللازم أن يكون جواز السحر من باب الأهم والمهم وما أشبه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من الأحكام الثانوية</w:t>
      </w:r>
      <w:r>
        <w:rPr>
          <w:rFonts w:eastAsia="Amiri" w:cs="Amiri" w:ascii="Amiri" w:hAnsi="Amiri"/>
          <w:color w:val="111111"/>
          <w:sz w:val="28"/>
          <w:szCs w:val="28"/>
          <w:rtl w:val="true"/>
          <w:lang w:bidi="ar-SA"/>
        </w:rPr>
        <w:t>.</w:t>
      </w:r>
    </w:p>
    <w:p>
      <w:pPr>
        <w:pStyle w:val="Heading2"/>
        <w:numPr>
          <w:ilvl w:val="1"/>
          <w:numId w:val="1"/>
        </w:numPr>
        <w:rPr/>
      </w:pPr>
      <w:bookmarkStart w:id="486" w:name="__RefHeading___Toc11915374_2142443653"/>
      <w:bookmarkStart w:id="487" w:name="_Toc174"/>
      <w:bookmarkEnd w:id="486"/>
      <w:r>
        <w:rPr>
          <w:rtl w:val="true"/>
        </w:rPr>
        <w:t>الألعاب السحرية</w:t>
      </w:r>
      <w:bookmarkEnd w:id="48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الألعاب السحرية والشعبذة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يفعله لاعب السيرك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بجائزة، أما سائر أفعاله المباحة فهي جائزة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لأدلة حرمة السحر، والشعبذة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من السحر، ولو شك في أنها من السحر الحرام أم لا، وفحص</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ولم يصل الفحص إلى نتيجة،</w:t>
      </w:r>
    </w:p>
    <w:p>
      <w:pPr>
        <w:pStyle w:val="BookText"/>
        <w:rPr/>
      </w:pP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مثل دفع الأفسد بالفاسد،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كونه ساحراً لا يجعل سائر أعماله محرمة، كتدريبه الحيوانات مثلاً، وكأن هذا دفع توهم في المقام، فليست من باب الضرورية بشرط المحمول</w:t>
      </w:r>
      <w:r>
        <w:rPr>
          <w:rFonts w:eastAsia="Amiri" w:cs="Amiri" w:ascii="Amiri" w:hAnsi="Amiri"/>
          <w:color w:val="111111"/>
          <w:sz w:val="28"/>
          <w:szCs w:val="28"/>
          <w:rtl w:val="true"/>
          <w:lang w:bidi="ar-SA"/>
        </w:rPr>
        <w:t>.</w:t>
      </w:r>
    </w:p>
    <w:p>
      <w:pPr>
        <w:pStyle w:val="BookText"/>
        <w:rPr/>
      </w:pP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أنّها سحر مطلقاً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المسألة بحاجة إلى مراجعة المكاسب المحرمة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الفحص في الشبهة الموضوعية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488" w:name="pg15697_169061"/>
    </w:p>
    <w:p>
      <w:pPr>
        <w:pStyle w:val="BookText"/>
        <w:rPr/>
      </w:pPr>
      <w:bookmarkEnd w:id="488"/>
      <w:r>
        <w:rPr>
          <w:rFonts w:ascii="Amiri" w:hAnsi="Amiri" w:eastAsia="Amiri" w:cs="Amiri"/>
          <w:color w:val="111111"/>
          <w:sz w:val="28"/>
          <w:sz w:val="28"/>
          <w:szCs w:val="28"/>
          <w:rtl w:val="true"/>
          <w:lang w:bidi="ar-SA"/>
        </w:rPr>
        <w:t>كان الأصل الحل</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9" w:name="__RefHeading___Toc11915376_2142443653"/>
      <w:bookmarkStart w:id="490" w:name="_Toc175"/>
      <w:bookmarkEnd w:id="489"/>
      <w:r>
        <w:rPr>
          <w:rtl w:val="true"/>
        </w:rPr>
        <w:t>البيوت النظيفة للطلاب</w:t>
      </w:r>
      <w:bookmarkEnd w:id="49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Style w:val="FootnoteAnchor"/>
          <w:rtl w:val="true"/>
        </w:rPr>
        <w:footnoteReference w:id="820"/>
      </w:r>
      <w:r>
        <w:rPr>
          <w:rFonts w:ascii="IRNazanin" w:hAnsi="IRNazanin" w:eastAsia="IRNazanin"/>
          <w:color w:val="111111"/>
          <w:sz w:val="28"/>
          <w:sz w:val="28"/>
          <w:szCs w:val="28"/>
          <w:rtl w:val="true"/>
          <w:lang w:bidi="fa-IR"/>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 تهيئة البيوت النظيفة من المنكرات في البلاد الغربية والشرقية لأجل طلاب المسلمين، لحفظهم عن الاختلاط بالأجانب في بيوتهم، مما يسبب انزلاقهم خلقياً وشرعياً، جرّاء الاختلاط بفتيات البيت، وأكلهم من أطعمة نجسة وما أشبه ذلك، بل لعل بعض أقسام ذلك واجب</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المتمكن القادر، فإنه من دفع المنكر</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والاستحباب والوجوب لا ينافي أخذ الأجرة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بل لو تمكن جماعة من ذلك بالموازين الاقتصادية تحت نظر الخبراء أمكن تخفيض</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الأجرة أيضاً، بحيث يكون مرغّباً للطلاب والطالبات، خصوصاً إذا كانت البيوت</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تعاون على البرّ والتقوى، وقضاء حاجة المؤمن وخدمته و</w:t>
      </w:r>
      <w:r>
        <w:rPr>
          <w:rFonts w:eastAsia="Amiri" w:cs="Amiri" w:ascii="Amiri" w:hAnsi="Amiri"/>
          <w:color w:val="111111"/>
          <w:sz w:val="28"/>
          <w:szCs w:val="28"/>
          <w:rtl w:val="true"/>
          <w:lang w:bidi="ar-SA"/>
        </w:rPr>
        <w:t>...</w:t>
      </w:r>
    </w:p>
    <w:p>
      <w:pPr>
        <w:pStyle w:val="BookText"/>
        <w:rPr/>
      </w:pP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مبتكر غير متداول حالياً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أو عيناً، باختلاف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رفعه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أخذ الأجرة على الواجبات الكفائية العبادية وغيرها والعينية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ميدان المنافسة مع بيوت الأجانب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491" w:name="pg15697_169062"/>
    </w:p>
    <w:p>
      <w:pPr>
        <w:pStyle w:val="BookText"/>
        <w:rPr/>
      </w:pPr>
      <w:bookmarkEnd w:id="491"/>
      <w:r>
        <w:rPr>
          <w:rFonts w:ascii="Amiri" w:hAnsi="Amiri" w:eastAsia="Amiri" w:cs="Amiri"/>
          <w:color w:val="111111"/>
          <w:sz w:val="28"/>
          <w:sz w:val="28"/>
          <w:szCs w:val="28"/>
          <w:rtl w:val="true"/>
          <w:lang w:bidi="ar-SA"/>
        </w:rPr>
        <w:t>مزوّدة بمكتبة، وحديقة، ووسائل الترفيه الحديثة النزيهة عن المحرمات، ووسائل الاختبار، وغير ذلك</w:t>
      </w:r>
      <w:r>
        <w:rPr>
          <w:rFonts w:eastAsia="Amiri" w:cs="Amiri" w:ascii="Amiri" w:hAnsi="Amiri"/>
          <w:color w:val="111111"/>
          <w:sz w:val="28"/>
          <w:szCs w:val="28"/>
          <w:rtl w:val="true"/>
          <w:lang w:bidi="ar-SA"/>
        </w:rPr>
        <w:t>.</w:t>
      </w:r>
    </w:p>
    <w:p>
      <w:pPr>
        <w:pStyle w:val="Heading2"/>
        <w:numPr>
          <w:ilvl w:val="1"/>
          <w:numId w:val="1"/>
        </w:numPr>
        <w:rPr/>
      </w:pPr>
      <w:bookmarkStart w:id="492" w:name="__RefHeading___Toc11915378_2142443653"/>
      <w:bookmarkStart w:id="493" w:name="_Toc176"/>
      <w:bookmarkEnd w:id="492"/>
      <w:r>
        <w:rPr>
          <w:rtl w:val="true"/>
        </w:rPr>
        <w:t>الإحاطة بالمبادئ والأفكار</w:t>
      </w:r>
      <w:bookmarkEnd w:id="4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وجوباً كفائياً الاطلاع</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المبادئ الوافدة، والأحزاب الكافرة، والمذاهب الباطلة، والقوانين الجائرة، لأجل إنقاذ المسلمين</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الشباب من التردّي</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الأباطيل والضلالات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الباطل لا يمكن الوقوف أمامه إلا بمعرفته، ومن الواضح</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أنّ الوقوف لا يكون بالإعلام فقط، بل بمقابلته بالمثل،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يريد إظهار نشاطه في ضمن مجموعة، فإن وجد مجموعة صالحة فهو وإلا انضم إلى مجموعة باطلة، فاللازم تكوين المجموعات الصحيحة، وهكذا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السنة والوهابية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المتجددين، كشحرور وأركون وسروش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الغربيين، كحقوق المرأة والارتداد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الإيجابي لا السلبي،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الفكرية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والاستيعاب العملي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494" w:name="pg15697_169063"/>
    </w:p>
    <w:p>
      <w:pPr>
        <w:pStyle w:val="Heading2"/>
        <w:numPr>
          <w:ilvl w:val="1"/>
          <w:numId w:val="1"/>
        </w:numPr>
        <w:rPr/>
      </w:pPr>
      <w:bookmarkStart w:id="495" w:name="__RefHeading___Toc11915380_2142443653"/>
      <w:bookmarkStart w:id="496" w:name="_Toc177"/>
      <w:bookmarkEnd w:id="494"/>
      <w:bookmarkEnd w:id="495"/>
      <w:r>
        <w:rPr>
          <w:rtl w:val="true"/>
        </w:rPr>
        <w:t>حينما يصير الشيخ شاباً</w:t>
      </w:r>
      <w:bookmarkEnd w:id="4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الشيخ شاباً بواسطة تبديل بيضته إلى بيضة 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كما تفعله العلميات</w:t>
      </w:r>
      <w:r>
        <w:rPr>
          <w:rStyle w:val="FootnoteAnchor"/>
          <w:rtl w:val="true"/>
        </w:rPr>
        <w:footnoteReference w:id="825"/>
      </w:r>
      <w:r>
        <w:rPr>
          <w:rFonts w:ascii="Amiri" w:hAnsi="Amiri" w:eastAsia="Amiri" w:cs="Amiri"/>
          <w:color w:val="111111"/>
          <w:sz w:val="28"/>
          <w:sz w:val="28"/>
          <w:szCs w:val="28"/>
          <w:rtl w:val="true"/>
          <w:lang w:bidi="ar-SA"/>
        </w:rPr>
        <w:t xml:space="preserve"> الجراحية الحاضرة</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صار حكمه حكم</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الصيام عليه، بعد أن سقط عنه الصوم بواسطة كونه شيخاً هرماً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تغير الموضوع يستلزم تغير الحكم، والتغيير جائز</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لإطلاق أدلة الحل</w:t>
      </w:r>
      <w:r>
        <w:rPr>
          <w:rFonts w:eastAsia="Amiri" w:cs="Amiri" w:ascii="Amiri" w:hAnsi="Amiri"/>
          <w:color w:val="111111"/>
          <w:sz w:val="28"/>
          <w:szCs w:val="28"/>
          <w:rtl w:val="true"/>
          <w:lang w:bidi="ar-SA"/>
        </w:rPr>
        <w:t>.</w:t>
      </w:r>
    </w:p>
    <w:p>
      <w:pPr>
        <w:pStyle w:val="Heading2"/>
        <w:numPr>
          <w:ilvl w:val="1"/>
          <w:numId w:val="1"/>
        </w:numPr>
        <w:rPr/>
      </w:pPr>
      <w:bookmarkStart w:id="497" w:name="__RefHeading___Toc11915382_2142443653"/>
      <w:bookmarkStart w:id="498" w:name="_Toc178"/>
      <w:bookmarkEnd w:id="497"/>
      <w:r>
        <w:rPr>
          <w:rtl w:val="true"/>
        </w:rPr>
        <w:t>إذا انقلب الشاب شيخاً</w:t>
      </w:r>
      <w:bookmarkEnd w:id="49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الشاب شيخاً</w:t>
      </w:r>
      <w:r>
        <w:rPr>
          <w:rStyle w:val="FootnoteAnchor"/>
          <w:rtl w:val="true"/>
        </w:rPr>
        <w:footnoteReference w:id="826"/>
      </w:r>
      <w:r>
        <w:rPr>
          <w:rFonts w:ascii="Amiri" w:hAnsi="Amiri" w:eastAsia="Amiri" w:cs="Amiri"/>
          <w:color w:val="111111"/>
          <w:sz w:val="28"/>
          <w:sz w:val="28"/>
          <w:szCs w:val="28"/>
          <w:rtl w:val="true"/>
          <w:lang w:bidi="ar-SA"/>
        </w:rPr>
        <w:t xml:space="preserve"> بواسطة تضعيف خلاياه أو ما أشبه،</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المعجزة، كما حدث مكرراً ، كقصة زليخا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التبديل شكلي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كإزالة التجاعيد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تابعة للعناوين في استصحاب الرسائل</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سبق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تغيير خلق اللّه تعالى غير جائز في الجملة،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 عنه، وقد سبق معنى تغيير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لا صورة وشكلاً فقط</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499" w:name="pg15697_169064"/>
    </w:p>
    <w:p>
      <w:pPr>
        <w:pStyle w:val="BookText"/>
        <w:rPr/>
      </w:pPr>
      <w:bookmarkEnd w:id="499"/>
      <w:r>
        <w:rPr>
          <w:rFonts w:ascii="Amiri" w:hAnsi="Amiri" w:eastAsia="Amiri" w:cs="Amiri"/>
          <w:color w:val="111111"/>
          <w:sz w:val="28"/>
          <w:sz w:val="28"/>
          <w:szCs w:val="28"/>
          <w:rtl w:val="true"/>
          <w:lang w:bidi="ar-SA"/>
        </w:rPr>
        <w:t>ترتب عليه حكم الشيخ في الصيام ونحوه، نعم الظاهر أنه لا يجوز للشاب أن يجعل نفسه شيخاً لأنه ضرر بالغ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ومن المسألتين يعرف أنه يجوز تبييض الشعر كالشيخ أو تسويده بتقوية البصيلات كالشاب، من غير فرق بين الرجل والمرأة، نعم يشكل التبييض للمرأة المزوجة إذا لم يرض زوجها؛ لأنه يعتبر من حق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الزوج</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0" w:name="__RefHeading___Toc11915384_2142443653"/>
      <w:bookmarkStart w:id="501" w:name="_Toc179"/>
      <w:bookmarkEnd w:id="500"/>
      <w:r>
        <w:rPr>
          <w:rtl w:val="true"/>
        </w:rPr>
        <w:t>عودة اليائسة شابّة</w:t>
      </w:r>
      <w:bookmarkEnd w:id="5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المرأة اليائسة شابة بواسطة الجراحية</w:t>
      </w:r>
      <w:r>
        <w:rPr>
          <w:rStyle w:val="FootnoteAnchor"/>
          <w:rtl w:val="true"/>
        </w:rPr>
        <w:footnoteReference w:id="8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 عليها آثار الشباب</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كالدم المعتاد والحمل وغير ذلك، فالظاهر</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أحكام غير اليائسة إليها من العدة والحيض 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أو شرعاً، مع أنّ الشارع قد بين حقوق المرأة والرجل،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الاستمتاع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من الدار، وإزالة المنفرات جعلوها جزء الاستمتاع، أما التبييض</w:t>
      </w:r>
      <w:r>
        <w:rPr>
          <w:rStyle w:val="FootnoteAnchor"/>
          <w:rtl w:val="true"/>
        </w:rPr>
        <w:footnoteReference w:id="831"/>
      </w:r>
      <w:r>
        <w:rPr>
          <w:rFonts w:ascii="Amiri" w:hAnsi="Amiri" w:eastAsia="Amiri" w:cs="Amiri"/>
          <w:color w:val="111111"/>
          <w:sz w:val="28"/>
          <w:sz w:val="28"/>
          <w:szCs w:val="28"/>
          <w:rtl w:val="true"/>
          <w:lang w:bidi="ar-SA"/>
        </w:rPr>
        <w:t>ففي كونه مطلقاً منافياً للاستمتاع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المعجزة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التحول كان حقيقياً لا صورة فقط كما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فليس السن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الخمسين أو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لانصراف أدلة الخمسين والستين في مثلها، فزليخا مثلاً بعد عودة الشباب إليها لا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502" w:name="pg15697_169065"/>
    </w:p>
    <w:p>
      <w:pPr>
        <w:pStyle w:val="BookText"/>
        <w:rPr/>
      </w:pPr>
      <w:bookmarkEnd w:id="5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لترتب الحكم على الموضوع، ولا يتوقف ذلك على إذن الزوج؛ لتسلّط الناس على أنفسهم، وإنما أشكلنا في المسألة السابقة بدون رضا الزوج؛ لأنه من التصرف عرفاً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في الأمر المرتبط بالزوج، كما أشرنا إليه وهنا ليس كذلك، ففرق بين المسألتين</w:t>
      </w:r>
      <w:r>
        <w:rPr>
          <w:rFonts w:eastAsia="Amiri" w:cs="Amiri" w:ascii="Amiri" w:hAnsi="Amiri"/>
          <w:color w:val="111111"/>
          <w:sz w:val="28"/>
          <w:szCs w:val="28"/>
          <w:rtl w:val="true"/>
          <w:lang w:bidi="ar-SA"/>
        </w:rPr>
        <w:t>.</w:t>
      </w:r>
    </w:p>
    <w:p>
      <w:pPr>
        <w:pStyle w:val="Heading2"/>
        <w:numPr>
          <w:ilvl w:val="1"/>
          <w:numId w:val="1"/>
        </w:numPr>
        <w:rPr/>
      </w:pPr>
      <w:bookmarkStart w:id="503" w:name="__RefHeading___Toc11915386_2142443653"/>
      <w:bookmarkStart w:id="504" w:name="_Toc180"/>
      <w:bookmarkEnd w:id="503"/>
      <w:r>
        <w:rPr>
          <w:rtl w:val="true"/>
        </w:rPr>
        <w:t>تحول الشابة إلى يائسة</w:t>
      </w:r>
      <w:bookmarkEnd w:id="50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ارتدّت الشابة عجوزاً 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عليها بأحكام اليائس؟ لا يبعد ذلك</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يُقال بحمل أحكام اليائس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يُقال بذلك، فيما لو تناولت قرصاً فبقيت في العشرين من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بلغت واقعاً المائة عام؟</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ظاهر الاستمتاع وملازماته العرفيّة، وإلا فلا يحق له كلّ شيء، مثل أن يأمرها بغمض العين؛ لأنّه يستمتع أكثر حين العمل بذلك،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بعض الكلام فراجع</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 السن ملاكاً، وهو مشكل؛ لأنّ الشارع حدّد اليأس بالخمسين أو الستين،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السن لا موضوعية له، بل الملاك اليأس والشيخوخة والشباب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يُقال بمثل ذلك في باب الحيض وكونه ثلاثة أيام؟</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الأدلة الشرعية كون التحديدات موضوعية لا طريقية، إلاّ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505" w:name="pg15697_169066"/>
    </w:p>
    <w:p>
      <w:pPr>
        <w:pStyle w:val="BookText"/>
        <w:rPr/>
      </w:pPr>
      <w:bookmarkEnd w:id="5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تحقق الموضوع تحقق الحكم، لكن اللازم تحقق ذلك واقعاً لا أن يكون ضعفاً في الخلايا أو ما أشبه، ففرق بين الضعف واليأس، كما أنه فرق بين القوة والنمو</w:t>
      </w:r>
      <w:r>
        <w:rPr>
          <w:rFonts w:eastAsia="Amiri" w:cs="Amiri" w:ascii="Amiri" w:hAnsi="Amiri"/>
          <w:color w:val="111111"/>
          <w:sz w:val="28"/>
          <w:szCs w:val="28"/>
          <w:rtl w:val="true"/>
          <w:lang w:bidi="ar-SA"/>
        </w:rPr>
        <w:t>.</w:t>
      </w:r>
    </w:p>
    <w:p>
      <w:pPr>
        <w:pStyle w:val="Heading2"/>
        <w:numPr>
          <w:ilvl w:val="1"/>
          <w:numId w:val="1"/>
        </w:numPr>
        <w:rPr/>
      </w:pPr>
      <w:bookmarkStart w:id="506" w:name="__RefHeading___Toc11915388_2142443653"/>
      <w:bookmarkStart w:id="507" w:name="_Toc181"/>
      <w:bookmarkEnd w:id="506"/>
      <w:r>
        <w:rPr>
          <w:rtl w:val="true"/>
        </w:rPr>
        <w:t>تزويج المومسات</w:t>
      </w:r>
      <w:bookmarkEnd w:id="5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المندوب</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الدولة الإسلامية، بل على كل فرد قادر السعي في زواج العواهر بعد أن ينظفهنّ من عمل العهر بالتوبة،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نهيهن عن المنكر وحفظهنّ عن الانزلاق واجب،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تحصينهنّ بالزواج مستحبّ مؤكّد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زوج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العواهر، كما في الوسائل، والحكم وجوباً واستحباباً حسب القواعد العامة، وكذا يلزم تحصين المساحقات بالزواج، والمأبونين بالعلاج</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إلى غير ذلك، كمن يجامع الحيوان؛ لعدم زوج أو زوجة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يُقال بالانصراف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واجباً بالوجوب المقدمي العقلي؛ لأنّه بدون ذلك يتورطون في الحرام عادةً،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شرعي؛ لأنّه نهي عن المنكر، أو ردع عن المنكر،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مثل لو أراد شخص قتل بريء فإغلاق الباب عليه واجب شرعاً؛ لأنّه ردع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بمطاطي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استمتاع بالزوجة، فهو كلمس ثوب الزوجة، أو كإدخال شيء فيها، وقد سبق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شيء بالذكر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508" w:name="pg15697_169067"/>
    </w:p>
    <w:p>
      <w:pPr>
        <w:pStyle w:val="Heading2"/>
        <w:numPr>
          <w:ilvl w:val="1"/>
          <w:numId w:val="1"/>
        </w:numPr>
        <w:rPr/>
      </w:pPr>
      <w:bookmarkStart w:id="509" w:name="__RefHeading___Toc11915390_2142443653"/>
      <w:bookmarkStart w:id="510" w:name="_Toc182"/>
      <w:bookmarkEnd w:id="508"/>
      <w:bookmarkEnd w:id="509"/>
      <w:r>
        <w:rPr>
          <w:rtl w:val="true"/>
        </w:rPr>
        <w:t>اتخاذ الخليلات والأخلاء</w:t>
      </w:r>
      <w:bookmarkEnd w:id="51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للفتيان اتخاذ الخليلات</w:t>
      </w:r>
      <w:r>
        <w:rPr>
          <w:rStyle w:val="FootnoteAnchor"/>
          <w:rtl w:val="true"/>
        </w:rPr>
        <w:footnoteReference w:id="836"/>
      </w:r>
      <w:r>
        <w:rPr>
          <w:rFonts w:ascii="Amiri" w:hAnsi="Amiri" w:eastAsia="Amiri" w:cs="Amiri"/>
          <w:color w:val="111111"/>
          <w:sz w:val="28"/>
          <w:sz w:val="28"/>
          <w:szCs w:val="28"/>
          <w:rtl w:val="true"/>
          <w:lang w:bidi="ar-SA"/>
        </w:rPr>
        <w:t xml:space="preserve"> ولو كن كافرات، ولا يجوز للفتيات اتخاذ الأخلاء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 كافرات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من جهة توهّم احتمال أنها تدخل في دليل الإلزام، لكن المقطوع به عدمه، فإنّ دليل الإلزام كما ذكرناه في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مقطوع الوجود، كالتزويج بالمطلقة غير الجامعة للشرائط إذا كانت غير مؤالفة، ومقطوع العدم مثل الزنا بالكافرة التي ترى إباحة الزنا، واللواط بالكافر الذي يراه مباحاً، وما أشبه ذلك، وما نحن فيه منه أيضاً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ومحتمل الأمرين، وفيه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يصل الاجتهاد إلى أحد الطرفين، كان دليل الإلزام محكماً؛ لأنه من مصاديقه ولا يعلم بخروجه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أَخْدَانٍ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العام شمول دليل الإلزام مطلقاً، إلاّ ما خرج بالدليل وهو ارتكاز المتشرعة</w:t>
      </w:r>
      <w:r>
        <w:rPr>
          <w:rFonts w:eastAsia="Amiri" w:cs="Amiri" w:ascii="Amiri" w:hAnsi="Amiri"/>
          <w:color w:val="111111"/>
          <w:sz w:val="28"/>
          <w:szCs w:val="28"/>
          <w:rtl w:val="true"/>
          <w:lang w:bidi="ar-SA"/>
        </w:rPr>
        <w:t>.</w:t>
      </w:r>
    </w:p>
    <w:p>
      <w:pPr>
        <w:pStyle w:val="BookText"/>
        <w:rPr/>
      </w:pP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محتمل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يمثل له بتعدد الأزواج لامرأة ترى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القواعد الفقهية</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أنّه خلاف ارتكاز المتشرعة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511" w:name="pg15697_169068"/>
    </w:p>
    <w:p>
      <w:pPr>
        <w:pStyle w:val="Heading2"/>
        <w:numPr>
          <w:ilvl w:val="1"/>
          <w:numId w:val="1"/>
        </w:numPr>
        <w:rPr/>
      </w:pPr>
      <w:bookmarkStart w:id="512" w:name="__RefHeading___Toc11915392_2142443653"/>
      <w:bookmarkStart w:id="513" w:name="_Toc183"/>
      <w:bookmarkEnd w:id="511"/>
      <w:bookmarkEnd w:id="512"/>
      <w:r>
        <w:rPr>
          <w:rtl w:val="true"/>
        </w:rPr>
        <w:t>رسائل المغازلة</w:t>
      </w:r>
      <w:bookmarkEnd w:id="51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المغازلة والمعاشقة بواسطة الرسائل بين نفرين يحرم أحدهما على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من التشبيب والتلذّذ والريبة وكلّها محرم</w:t>
      </w:r>
      <w:r>
        <w:rPr>
          <w:rFonts w:eastAsia="Amiri" w:cs="Amiri" w:ascii="Amiri" w:hAnsi="Amiri"/>
          <w:color w:val="111111"/>
          <w:sz w:val="28"/>
          <w:szCs w:val="28"/>
          <w:rtl w:val="true"/>
          <w:lang w:bidi="ar-SA"/>
        </w:rPr>
        <w:t>.</w:t>
      </w:r>
    </w:p>
    <w:p>
      <w:pPr>
        <w:pStyle w:val="Heading2"/>
        <w:numPr>
          <w:ilvl w:val="1"/>
          <w:numId w:val="1"/>
        </w:numPr>
        <w:rPr/>
      </w:pPr>
      <w:bookmarkStart w:id="514" w:name="__RefHeading___Toc11915394_2142443653"/>
      <w:bookmarkStart w:id="515" w:name="_Toc184"/>
      <w:bookmarkEnd w:id="514"/>
      <w:r>
        <w:rPr>
          <w:rtl w:val="true"/>
        </w:rPr>
        <w:t>المرأة والخضوع بالقول</w:t>
      </w:r>
      <w:bookmarkEnd w:id="51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842"/>
      </w:r>
      <w:r>
        <w:rPr>
          <w:rFonts w:ascii="Amiri" w:hAnsi="Amiri" w:eastAsia="Amiri" w:cs="Amiri"/>
          <w:color w:val="111111"/>
          <w:sz w:val="28"/>
          <w:sz w:val="28"/>
          <w:szCs w:val="28"/>
          <w:rtl w:val="true"/>
          <w:lang w:bidi="ar-SA"/>
        </w:rPr>
        <w:t xml:space="preserve"> الدلال والخضوع في القول للنساء مع الأجنبي، حتى وإن كان بالهاتف واللاسلكي وما أشبه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عدة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تشبيب، وفيه أنّه قد لا يحتوي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تلذذ، وفيه ما سبق، ولا يخفى أنّ التلذذ بالأجنبية حرام مطلقاً، وإن نوقش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التهييج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الريبة، ولعل مراده خوف الافتتان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أدلة المنع؟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خاصة بزوجاته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لَسْتُنَّ كَأَحَدٍ مِّنَ النِّسَاء </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إطلاق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الآية يشمل كل الوسائل وإن لم يتمكن الذي في قلبه مرض من الوصول إليها بسبب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أنها في الراديو أو التلفزيون أو الفيديو أو الشريط، وذلك لإطلاق أدلة المنع،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منصرف إلى إمكان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خلاف السياق</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مفتتح الآية الكريمة يفيد مزيد التأكد لا الحصر وهو متعارف، ويؤيده ما قبله وما بعده،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إثارة للشهوة، وفيه أنه أخص من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منكر في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ينبغي البحث في مفهوم الخضوع، ولعله الدلال والتحسين للتهييج، لا مثل تحسين الخطيبة لصوتها للإبكاء أو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العروة</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علة لا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الراديو قد لا تتحقق العلّة، إذا لم يكن تهييج، فإنه عنوان محرّم في حد ذاته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هو الحكمة لا العلة 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علة الجعل لا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الأصل العام في التعليل،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يكون الطمع فيها موجوداً، بتسبيب الوسائل للوصول إليها، خاصة في العصر الحديث</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516" w:name="pg15697_169070"/>
    </w:p>
    <w:p>
      <w:pPr>
        <w:pStyle w:val="Heading2"/>
        <w:numPr>
          <w:ilvl w:val="1"/>
          <w:numId w:val="1"/>
        </w:numPr>
        <w:rPr/>
      </w:pPr>
      <w:bookmarkStart w:id="517" w:name="__RefHeading___Toc11915396_2142443653"/>
      <w:bookmarkStart w:id="518" w:name="_Toc185"/>
      <w:bookmarkEnd w:id="516"/>
      <w:bookmarkEnd w:id="517"/>
      <w:r>
        <w:rPr>
          <w:rtl w:val="true"/>
        </w:rPr>
        <w:t>مناديل الغرام</w:t>
      </w:r>
      <w:bookmarkEnd w:id="51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يجوز</w:t>
      </w:r>
      <w:r>
        <w:rPr>
          <w:rStyle w:val="FootnoteAnchor"/>
          <w:rtl w:val="true"/>
        </w:rPr>
        <w:footnoteReference w:id="850"/>
      </w:r>
      <w:r>
        <w:rPr>
          <w:rFonts w:ascii="Amiri" w:hAnsi="Amiri" w:eastAsia="Amiri" w:cs="Amiri"/>
          <w:color w:val="111111"/>
          <w:sz w:val="28"/>
          <w:sz w:val="28"/>
          <w:szCs w:val="28"/>
          <w:rtl w:val="true"/>
          <w:lang w:bidi="ar-SA"/>
        </w:rPr>
        <w:t xml:space="preserve"> صنع المناديل وما أشبه الموجبة للفتنة، كالمناديل التي كتبت عليها أبيات شعرية مثيرة، مما اعتاد الجنسان إهداءها بعضهم 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ذلك مقدمة للإثارة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معنى الطمع أنّه حيث يجد الأرضية مناسبة يفكر في الإقدام والاقتحام، بعكس ما لو كانت المرأة عادية في كلامها أو 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الحرام بواسطة فاعل مختار، والشيء ليس متمحضاً في الحرام، بل هو وسيلة مشتركة؛ إذ يمكن أن يهدي ذلك الزوجان أحدهما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للمنع 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منكر في أذهان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تهييج للشهوات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مقدمة للحرام، وإنّه إعانة على الإثم، لو فرضت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المكاسب المحرّمة</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الأخيرين ما تقدم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المقام عن صنع الملابس الداخلية المثيرة وبيعها، وكتابة الأشعار الغرامية في الكتب مما هو متعارف عند الشعراء؟</w:t>
      </w:r>
    </w:p>
    <w:p>
      <w:pPr>
        <w:pStyle w:val="BookText"/>
        <w:rPr/>
      </w:pPr>
      <w:r>
        <w:rPr>
          <w:rFonts w:ascii="Amiri" w:hAnsi="Amiri" w:eastAsia="Amiri" w:cs="Amiri"/>
          <w:color w:val="111111"/>
          <w:sz w:val="28"/>
          <w:sz w:val="28"/>
          <w:szCs w:val="28"/>
          <w:rtl w:val="true"/>
          <w:lang w:bidi="ar-SA"/>
        </w:rPr>
        <w:t>إلا أن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منكر في أذهان المتشرعة دونها، فتأمل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519" w:name="pg15697_169071"/>
    </w:p>
    <w:p>
      <w:pPr>
        <w:pStyle w:val="Heading2"/>
        <w:numPr>
          <w:ilvl w:val="1"/>
          <w:numId w:val="1"/>
        </w:numPr>
        <w:rPr/>
      </w:pPr>
      <w:bookmarkStart w:id="520" w:name="__RefHeading___Toc11915398_2142443653"/>
      <w:bookmarkStart w:id="521" w:name="_Toc186"/>
      <w:bookmarkEnd w:id="519"/>
      <w:bookmarkEnd w:id="520"/>
      <w:r>
        <w:rPr>
          <w:rtl w:val="true"/>
        </w:rPr>
        <w:t>المؤسسات الخيرية</w:t>
      </w:r>
      <w:bookmarkEnd w:id="52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Style w:val="FootnoteAnchor"/>
          <w:rtl w:val="true"/>
        </w:rPr>
        <w:footnoteReference w:id="853"/>
      </w:r>
      <w:r>
        <w:rPr>
          <w:rFonts w:ascii="Amiri" w:hAnsi="Amiri" w:eastAsia="Amiri" w:cs="Amiri"/>
          <w:color w:val="111111"/>
          <w:sz w:val="28"/>
          <w:sz w:val="28"/>
          <w:szCs w:val="28"/>
          <w:rtl w:val="true"/>
          <w:lang w:bidi="ar-SA"/>
        </w:rPr>
        <w:t xml:space="preserve"> فتح دور الولادة، والحضانة، والرضاعة، ودور اللقطاء، ودور المشردين، فإنّ ذلك من التعاون</w:t>
      </w:r>
      <w:r>
        <w:rPr>
          <w:rStyle w:val="FootnoteAnchor"/>
          <w:rtl w:val="true"/>
        </w:rPr>
        <w:footnoteReference w:id="854"/>
      </w:r>
      <w:r>
        <w:rPr>
          <w:rFonts w:ascii="Amiri" w:hAnsi="Amiri" w:eastAsia="Amiri" w:cs="Amiri"/>
          <w:color w:val="111111"/>
          <w:sz w:val="28"/>
          <w:sz w:val="28"/>
          <w:szCs w:val="28"/>
          <w:rtl w:val="true"/>
          <w:lang w:bidi="ar-SA"/>
        </w:rPr>
        <w:t xml:space="preserve"> على البر والتقوى، وقد يجب</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هذه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 ما يكون خدمة للإنسان بما هو إنسان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محبوب في الشرع، وقد قال</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فإنهم صنفان إما أخ لك في الدين وإما نظير لك في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بحث كلي، وهو أنّه لو ثبت كون شيء مستحب فهل يمكن إطلاق لفظ المستحب على مصاديقه؟</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إنارة المسجد مستحبة، فهل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إشعال الشموع في المسجد مستحبة؟</w:t>
      </w:r>
    </w:p>
    <w:p>
      <w:pPr>
        <w:pStyle w:val="BookText"/>
        <w:rPr/>
      </w:pPr>
      <w:r>
        <w:rPr>
          <w:rFonts w:ascii="Amiri" w:hAnsi="Amiri" w:eastAsia="Amiri" w:cs="Amiri"/>
          <w:color w:val="111111"/>
          <w:sz w:val="28"/>
          <w:sz w:val="28"/>
          <w:szCs w:val="28"/>
          <w:rtl w:val="true"/>
          <w:lang w:bidi="ar-SA"/>
        </w:rPr>
        <w:t>وكذلك التعظيم والاحترام للمؤمن مستحب، فهل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اليد على الصدر مستحب أمام المؤمن؟</w:t>
      </w:r>
    </w:p>
    <w:p>
      <w:pPr>
        <w:pStyle w:val="BookText"/>
        <w:rPr/>
      </w:pPr>
      <w:r>
        <w:rPr>
          <w:rFonts w:ascii="Amiri" w:hAnsi="Amiri" w:eastAsia="Amiri" w:cs="Amiri"/>
          <w:color w:val="111111"/>
          <w:sz w:val="28"/>
          <w:sz w:val="28"/>
          <w:szCs w:val="28"/>
          <w:rtl w:val="true"/>
          <w:lang w:bidi="ar-SA"/>
        </w:rPr>
        <w:t>ولو فتح هذا الباب لوجدت عندنا ألوف المستحبات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الكلام في عنوان تختلف مصاديقه من عرف 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يصح إطلاق الاستحباب، بل يكون لكل بلدٍ أو عرف أو زمن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فيما اتحدت الأزمنة والأمكنة والأعراف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يبنى الأمر على أنّ الأحكام متعلقة بالطبائع أو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ولاحظ ما ذكره الفقهاء في الشعائر، وراجع كتاب بين الأصالة والتجديد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522" w:name="pg15697_169072"/>
    </w:p>
    <w:p>
      <w:pPr>
        <w:pStyle w:val="Heading2"/>
        <w:numPr>
          <w:ilvl w:val="1"/>
          <w:numId w:val="1"/>
        </w:numPr>
        <w:rPr/>
      </w:pPr>
      <w:bookmarkStart w:id="523" w:name="__RefHeading___Toc11915400_2142443653"/>
      <w:bookmarkStart w:id="524" w:name="_Toc187"/>
      <w:bookmarkEnd w:id="522"/>
      <w:bookmarkEnd w:id="523"/>
      <w:r>
        <w:rPr>
          <w:rtl w:val="true"/>
        </w:rPr>
        <w:t>تعليم ذوي العاهات</w:t>
      </w:r>
      <w:bookmarkEnd w:id="52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Style w:val="FootnoteAnchor"/>
          <w:rtl w:val="true"/>
        </w:rPr>
        <w:footnoteReference w:id="857"/>
      </w:r>
      <w:r>
        <w:rPr>
          <w:rFonts w:ascii="Amiri" w:hAnsi="Amiri" w:eastAsia="Amiri" w:cs="Amiri"/>
          <w:color w:val="111111"/>
          <w:sz w:val="28"/>
          <w:sz w:val="28"/>
          <w:szCs w:val="28"/>
          <w:rtl w:val="true"/>
          <w:lang w:bidi="ar-SA"/>
        </w:rPr>
        <w:t xml:space="preserve"> فتح مدارس للعميان، لتعليمهم الكتابة والقراءة، وكذلك فتح المدارس لسائر ذوي العاهات، فإنه إعانة</w:t>
      </w:r>
      <w:r>
        <w:rPr>
          <w:rStyle w:val="FootnoteAnchor"/>
          <w:rtl w:val="true"/>
        </w:rPr>
        <w:footnoteReference w:id="858"/>
      </w:r>
      <w:r>
        <w:rPr>
          <w:rFonts w:ascii="IRNazanin" w:hAnsi="IRNazanin" w:eastAsia="IRNazanin"/>
          <w:color w:val="111111"/>
          <w:sz w:val="28"/>
          <w:sz w:val="28"/>
          <w:szCs w:val="28"/>
          <w:rtl w:val="true"/>
          <w:lang w:bidi="fa-IR"/>
        </w:rPr>
        <w:t xml:space="preserve"> على البر والتقوى</w:t>
      </w:r>
      <w:r>
        <w:rPr>
          <w:rFonts w:eastAsia="IRNazanin" w:cs="IRNazanin"/>
          <w:color w:val="111111"/>
          <w:sz w:val="28"/>
          <w:szCs w:val="28"/>
          <w:rtl w:val="true"/>
          <w:lang w:bidi="fa-IR"/>
        </w:rPr>
        <w:t>.</w:t>
      </w:r>
    </w:p>
    <w:p>
      <w:pPr>
        <w:pStyle w:val="BookText"/>
        <w:rPr/>
      </w:pP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سبباً للبر والتقوى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المستثنيات كالصدقة للناصب والحربي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ما ذكر في المقام من مصاديق الصدقة؟</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سائر الأدلة وجمعها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وبدر، والأمير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وسقي جيش معاوية،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وسقي الحرّ، وصدقة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المخالفين، ثم لاحظ أدلة البراءة، وهل ينسجم العمل الإنساني مع البراءة؟</w:t>
      </w:r>
    </w:p>
    <w:p>
      <w:pPr>
        <w:pStyle w:val="BookText"/>
        <w:rPr/>
      </w:pPr>
      <w:r>
        <w:rPr>
          <w:rFonts w:ascii="Amiri" w:hAnsi="Amiri" w:eastAsia="Amiri" w:cs="Amiri"/>
          <w:color w:val="111111"/>
          <w:sz w:val="28"/>
          <w:sz w:val="28"/>
          <w:szCs w:val="28"/>
          <w:rtl w:val="true"/>
          <w:lang w:bidi="ar-SA"/>
        </w:rPr>
        <w:t>ولاحظ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تَوَلَّوْهُمْ</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مقدمة لهدايتهم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إنّه خاص بالحكم، بدليل ما سبق، وفيه أن التعليل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أعم؛ إذ العلة 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ذكر في المسألة السابقة</w:t>
      </w:r>
      <w:r>
        <w:rPr>
          <w:rFonts w:eastAsia="Amiri" w:cs="Amiri" w:ascii="Amiri" w:hAnsi="Amiri"/>
          <w:color w:val="111111"/>
          <w:sz w:val="28"/>
          <w:szCs w:val="28"/>
          <w:rtl w:val="true"/>
          <w:lang w:bidi="ar-SA"/>
        </w:rPr>
        <w:t>.</w:t>
      </w:r>
    </w:p>
    <w:p>
      <w:pPr>
        <w:pStyle w:val="BookText"/>
        <w:rPr/>
      </w:pP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كما سبق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525" w:name="pg15697_169073"/>
    </w:p>
    <w:p>
      <w:pPr>
        <w:pStyle w:val="BookText"/>
        <w:rPr/>
      </w:pPr>
      <w:bookmarkEnd w:id="5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بالإضافة إلى ما تقدم من إطلاق خدمة الناس المذكور في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2"/>
        <w:numPr>
          <w:ilvl w:val="1"/>
          <w:numId w:val="1"/>
        </w:numPr>
        <w:rPr/>
      </w:pPr>
      <w:bookmarkStart w:id="526" w:name="__RefHeading___Toc11915402_2142443653"/>
      <w:bookmarkStart w:id="527" w:name="_Toc188"/>
      <w:bookmarkEnd w:id="526"/>
      <w:r>
        <w:rPr>
          <w:rtl w:val="true"/>
        </w:rPr>
        <w:t>العلاج بالعلوم النفسية</w:t>
      </w:r>
      <w:bookmarkEnd w:id="52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علاج المرضى بالعلوم النفسية المتداولة في هذا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مشمول لأصالة الحل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بعد أن لم تكن جهة محرمة في البين، فإنه قد ثبت أن كلاً من الروح والبدن يؤثر أحدهما في الآخر، ولذا إذا مرض البدن فلقت الروح، وإذا فلقت الروح مرض البدن، وإذا جاز فقد يجب وقد يستحب كل في مورده كسائر العلاجات</w:t>
      </w:r>
      <w:r>
        <w:rPr>
          <w:rFonts w:eastAsia="Amiri" w:cs="Amiri" w:ascii="Amiri" w:hAnsi="Amiri"/>
          <w:color w:val="111111"/>
          <w:sz w:val="28"/>
          <w:szCs w:val="28"/>
          <w:rtl w:val="true"/>
          <w:lang w:bidi="ar-SA"/>
        </w:rPr>
        <w:t>.</w:t>
      </w:r>
    </w:p>
    <w:p>
      <w:pPr>
        <w:pStyle w:val="Heading2"/>
        <w:numPr>
          <w:ilvl w:val="1"/>
          <w:numId w:val="1"/>
        </w:numPr>
        <w:rPr/>
      </w:pPr>
      <w:bookmarkStart w:id="528" w:name="__RefHeading___Toc11915404_2142443653"/>
      <w:bookmarkStart w:id="529" w:name="_Toc189"/>
      <w:bookmarkEnd w:id="528"/>
      <w:r>
        <w:rPr>
          <w:rtl w:val="true"/>
        </w:rPr>
        <w:t>العلاج بالتنويم والإيحاء</w:t>
      </w:r>
      <w:bookmarkEnd w:id="5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علاج المرض بسبب التنويم والإيحاء وما أشبه، إذا لم تكن جهة محرمة</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ذكرناه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530" w:name="__RefHeading___Toc11915406_2142443653"/>
      <w:bookmarkStart w:id="531" w:name="_Toc190"/>
      <w:bookmarkEnd w:id="530"/>
      <w:r>
        <w:rPr>
          <w:rtl w:val="true"/>
        </w:rPr>
        <w:t>تنظيم الإضراب والمظاهرات</w:t>
      </w:r>
      <w:bookmarkEnd w:id="5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 والمظاهرة وتنظيمها لمطالبة حق أو دفع باطل جائزان، بل قد يجبان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لإطلاق أدلة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كتنويمه بلا رضاه، إلا إذا كانت جهة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532" w:name="pg15697_169074"/>
    </w:p>
    <w:p>
      <w:pPr>
        <w:pStyle w:val="BookText"/>
        <w:rPr/>
      </w:pPr>
      <w:bookmarkEnd w:id="5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موازين الأمر بالمعروف والنهي عن المنكر، والدعوة إلى الخير، وإرشاد الضال،وتنبيه الغافل، إلى غير ذلك</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بالإضافة إلى أصل الحرية للإنسان في غير المحرمات</w:t>
      </w:r>
      <w:r>
        <w:rPr>
          <w:rFonts w:eastAsia="Amiri" w:cs="Amiri" w:ascii="Amiri" w:hAnsi="Amiri"/>
          <w:color w:val="111111"/>
          <w:sz w:val="28"/>
          <w:szCs w:val="28"/>
          <w:rtl w:val="true"/>
          <w:lang w:bidi="ar-SA"/>
        </w:rPr>
        <w:t>.</w:t>
      </w:r>
    </w:p>
    <w:p>
      <w:pPr>
        <w:pStyle w:val="Heading2"/>
        <w:numPr>
          <w:ilvl w:val="1"/>
          <w:numId w:val="1"/>
        </w:numPr>
        <w:rPr/>
      </w:pPr>
      <w:bookmarkStart w:id="533" w:name="__RefHeading___Toc11915408_2142443653"/>
      <w:bookmarkStart w:id="534" w:name="_Toc191"/>
      <w:bookmarkEnd w:id="533"/>
      <w:r>
        <w:rPr>
          <w:rtl w:val="true"/>
        </w:rPr>
        <w:t>تغيير الجنين</w:t>
      </w:r>
      <w:bookmarkEnd w:id="5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تغيير الجنين بأن يجعل الولد بنتاً وبالعكس، كما نشرته</w:t>
      </w:r>
      <w:r>
        <w:rPr>
          <w:rStyle w:val="FootnoteAnchor"/>
          <w:rtl w:val="true"/>
        </w:rPr>
        <w:footnoteReference w:id="864"/>
      </w:r>
      <w:r>
        <w:rPr>
          <w:rFonts w:ascii="IRNazanin" w:hAnsi="IRNazanin" w:eastAsia="IRNazanin"/>
          <w:color w:val="111111"/>
          <w:sz w:val="28"/>
          <w:sz w:val="28"/>
          <w:szCs w:val="28"/>
          <w:rtl w:val="true"/>
          <w:lang w:bidi="fa-IR"/>
        </w:rPr>
        <w:t xml:space="preserve"> بعض الصحف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لأصالة الحل ولا يشمله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وَلآمُرَنَّهُمْ فَلَيُغَيِّرُنَّ خَلْقَ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كدفع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المنشور هو التحكم قبل الصيرورة، لا التغيير بعدها</w:t>
      </w:r>
      <w:r>
        <w:rPr>
          <w:rFonts w:eastAsia="Amiri" w:cs="Amiri" w:ascii="Amiri" w:hAnsi="Amiri"/>
          <w:color w:val="111111"/>
          <w:sz w:val="28"/>
          <w:szCs w:val="28"/>
          <w:rtl w:val="true"/>
          <w:lang w:bidi="ar-SA"/>
        </w:rPr>
        <w:t>.</w:t>
      </w:r>
    </w:p>
    <w:p>
      <w:pPr>
        <w:pStyle w:val="BookText"/>
        <w:rPr/>
      </w:pP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التحريم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تغيير الفطرة، كما ذكر في مبحث حلق اللحية</w:t>
      </w:r>
      <w:r>
        <w:rPr>
          <w:rStyle w:val="FootnoteAnchor"/>
          <w:rtl w:val="true"/>
        </w:rPr>
        <w:footnoteReference w:id="868"/>
      </w:r>
      <w:r>
        <w:rPr>
          <w:rFonts w:ascii="Amiri" w:hAnsi="Amiri" w:eastAsia="Amiri" w:cs="Amiri"/>
          <w:color w:val="111111"/>
          <w:sz w:val="28"/>
          <w:sz w:val="28"/>
          <w:szCs w:val="28"/>
          <w:rtl w:val="true"/>
          <w:lang w:bidi="ar-SA"/>
        </w:rPr>
        <w:t>، مع أنّها لو عمت فإنّها في التغيير السيئ كالتشويه، لا الحسن للانصراف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تصرف في حق الغير بلا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ولوج الروح، فهو نوع من أنواع الجماد أو الحيوان، مع 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فأدلة التصرف منصرفة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لمصلحة فأدلة الولاية تشمله، بل يكفي عدم المفسدة على 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إضرار في تحويل الذكر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ضرر؛ إذ للمرأة مشاق وللرجل، كما أنّ عليها حقوقاً وواجبات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535" w:name="pg15697_169075"/>
    </w:p>
    <w:p>
      <w:pPr>
        <w:pStyle w:val="BookText"/>
        <w:rPr/>
      </w:pPr>
      <w:bookmarkEnd w:id="535"/>
      <w:r>
        <w:rPr>
          <w:rFonts w:ascii="Amiri" w:hAnsi="Amiri" w:eastAsia="Amiri" w:cs="Amiri"/>
          <w:color w:val="111111"/>
          <w:sz w:val="28"/>
          <w:sz w:val="28"/>
          <w:szCs w:val="28"/>
          <w:rtl w:val="true"/>
          <w:lang w:bidi="ar-SA"/>
        </w:rPr>
        <w:t>وكذلك يجوز جعله توأمين بواسطة بعض الموازين الطبية إذا أمكن ذلك، نعم لا يجوز جعله معلولاً أو ناقصاً أو مشوّهاً أو ما أشبه؛ لأنه من الإضرار وتغيير</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w:t>
      </w:r>
    </w:p>
    <w:p>
      <w:pPr>
        <w:pStyle w:val="Heading2"/>
        <w:numPr>
          <w:ilvl w:val="1"/>
          <w:numId w:val="1"/>
        </w:numPr>
        <w:rPr/>
      </w:pPr>
      <w:bookmarkStart w:id="536" w:name="__RefHeading___Toc11915410_2142443653"/>
      <w:bookmarkStart w:id="537" w:name="_Toc192"/>
      <w:bookmarkEnd w:id="536"/>
      <w:r>
        <w:rPr>
          <w:rtl w:val="true"/>
        </w:rPr>
        <w:t>تعليم الرقص للحيوانات</w:t>
      </w:r>
      <w:bookmarkEnd w:id="53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تعليم الحيوانات كالقردة والدببة الرقص، والاستمتاع برقصهن إذا لم تكن هناك جهة محرمة 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دليل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على حرمة الرقص بالنسبة إليها، وكذلك لو ركب في اللعبة أو التمثال المطاطي ما يرقصه، إلا إذا كانت هناك جهة محرمة أو ضرر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غير جائز</w:t>
      </w:r>
      <w:r>
        <w:rPr>
          <w:rFonts w:eastAsia="Amiri" w:cs="Amiri" w:ascii="Amiri" w:hAnsi="Amiri"/>
          <w:color w:val="111111"/>
          <w:sz w:val="28"/>
          <w:szCs w:val="28"/>
          <w:rtl w:val="true"/>
          <w:lang w:bidi="ar-SA"/>
        </w:rPr>
        <w:t>.</w:t>
      </w:r>
    </w:p>
    <w:p>
      <w:pPr>
        <w:pStyle w:val="Heading2"/>
        <w:numPr>
          <w:ilvl w:val="1"/>
          <w:numId w:val="1"/>
        </w:numPr>
        <w:rPr/>
      </w:pPr>
      <w:bookmarkStart w:id="538" w:name="__RefHeading___Toc11915412_2142443653"/>
      <w:bookmarkStart w:id="539" w:name="_Toc193"/>
      <w:bookmarkEnd w:id="538"/>
      <w:r>
        <w:rPr>
          <w:rtl w:val="true"/>
        </w:rPr>
        <w:t>النظر بشهوة إلى الحيوانات</w:t>
      </w:r>
      <w:bookmarkEnd w:id="53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الحيوان بنظر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كالرجل،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الأعراف قد تختلف، والظروف قد تختلف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تغييراً 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منكراً في أذهان المتشرعة؛ لأنّه مشوب عادة بالمحرمات الخارجية، وإلا فلو كان الإنسان وحده في البيت وعلم الحيوان ذلك ولم تترتب عليه مفسدة فليس مستنكراً ظاهراً في أذهانهم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كالإسراف والتبذير على التعليم، لو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بحثان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الريبة والشهوة لا يجوز إلا بالنسبة إلى الزوجين، وكذلك التلذّذ الشهوي، وقد ادعى الجواهر عليه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وهكذا لو لمس بشهوة، أما إذا عرف أنّ الحيوان ينظر إليه أو إليها بشهوة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أنه لا يجب الستر عنه، إذ الأصل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الشهوة بالأجنبية والأجنبي، والظاهر أنّها غير جائزة؛ لأنّه منكر في أذهان المتشرعة وللإجماع، وأمّا لو أدى للاستمناء فهو حرام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الآية الكريمة الدالة على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إثارة الشهوة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أدائه إلى الاستمناء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التحريم تهييج الشهوة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أنّه لا 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حرمته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فَيَطْمَعَ الَّذِي فِي قَلْبِهِ مَرَضٌ</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أخص من المدعى؛ إذ نفرض أنّ التهييج لا يورث الطمع المذموم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أدى تهييج الشهوة إلى الطمع شمله الملاك، والعلة 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الآية في الأجنبي والأجنبية لا في غيرهما، فلا ربط لها بالمقام، بل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سيرة المتشرعة على التهييج،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منكر في أذهان المتشرعة، فتأمل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540" w:name="pg15697_169077"/>
    </w:p>
    <w:p>
      <w:pPr>
        <w:pStyle w:val="Heading2"/>
        <w:numPr>
          <w:ilvl w:val="1"/>
          <w:numId w:val="1"/>
        </w:numPr>
        <w:rPr/>
      </w:pPr>
      <w:bookmarkStart w:id="541" w:name="__RefHeading___Toc11915414_2142443653"/>
      <w:bookmarkStart w:id="542" w:name="_Toc194"/>
      <w:bookmarkEnd w:id="540"/>
      <w:bookmarkEnd w:id="541"/>
      <w:r>
        <w:rPr>
          <w:rtl w:val="true"/>
        </w:rPr>
        <w:t>التذاذ الحيوان بالإنسان</w:t>
      </w:r>
      <w:bookmarkEnd w:id="54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w:t>
      </w:r>
      <w:r>
        <w:rPr>
          <w:rStyle w:val="FootnoteAnchor"/>
          <w:rtl w:val="true"/>
        </w:rPr>
        <w:footnoteReference w:id="874"/>
      </w:r>
      <w:r>
        <w:rPr>
          <w:rFonts w:ascii="Amiri" w:hAnsi="Amiri" w:eastAsia="Amiri" w:cs="Amiri"/>
          <w:color w:val="111111"/>
          <w:sz w:val="28"/>
          <w:sz w:val="28"/>
          <w:szCs w:val="28"/>
          <w:rtl w:val="true"/>
          <w:lang w:bidi="ar-SA"/>
        </w:rPr>
        <w:t xml:space="preserve"> ستر الجسد عن الحيوان الذي ينظر إلى الإنسان بشهوة والتذاذ، كستر المرأة جسدها عن قرد ينظر إليها بشهوة؟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الحل؛ لما تقدم، واحتمال الحرمة؛ لأنه من خوف</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الافتتان، لكن الأقرب إلى الصناعة الأول، وإن كان الأحوط الثاني، ومن ذلك يعرف لو لمس الحيوان بدن الإنسان بشهوة</w:t>
      </w:r>
      <w:r>
        <w:rPr>
          <w:rFonts w:eastAsia="Amiri" w:cs="Amiri" w:ascii="Amiri" w:hAnsi="Amiri"/>
          <w:color w:val="111111"/>
          <w:sz w:val="28"/>
          <w:szCs w:val="28"/>
          <w:rtl w:val="true"/>
          <w:lang w:bidi="ar-SA"/>
        </w:rPr>
        <w:t>.</w:t>
      </w:r>
    </w:p>
    <w:p>
      <w:pPr>
        <w:pStyle w:val="Heading2"/>
        <w:numPr>
          <w:ilvl w:val="1"/>
          <w:numId w:val="1"/>
        </w:numPr>
        <w:rPr/>
      </w:pPr>
      <w:bookmarkStart w:id="543" w:name="__RefHeading___Toc11915416_2142443653"/>
      <w:bookmarkStart w:id="544" w:name="_Toc195"/>
      <w:bookmarkEnd w:id="543"/>
      <w:r>
        <w:rPr>
          <w:rtl w:val="true"/>
        </w:rPr>
        <w:t>تقوية السمع والبصر</w:t>
      </w:r>
      <w:bookmarkEnd w:id="54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بتقوية السمع حتى يسمع من فراسخ، ومع وجود الحائط أو ما أشبه، كما لا بأس بتقوية البصر كذلك، لكن لا يجوز هتك</w:t>
      </w:r>
      <w:r>
        <w:rPr>
          <w:rStyle w:val="FootnoteAnchor"/>
          <w:rtl w:val="true"/>
        </w:rPr>
        <w:footnoteReference w:id="875"/>
      </w:r>
      <w:r>
        <w:rPr>
          <w:rFonts w:ascii="Amiri" w:hAnsi="Amiri" w:eastAsia="Amiri" w:cs="Amiri"/>
          <w:color w:val="111111"/>
          <w:sz w:val="28"/>
          <w:sz w:val="28"/>
          <w:szCs w:val="28"/>
          <w:rtl w:val="true"/>
          <w:lang w:bidi="ar-SA"/>
        </w:rPr>
        <w:t xml:space="preserve"> أو كشف الأسرار بواسطتهما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لأصل الحل، أما الهتك والكشف فلا يجوز لإطلاق أدلّتهما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بعض الكلام فيه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اللمس أكثر منكرية، أمّا النظر فقد كان متعارفاً في البيوت ومتداولاً،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 ومن العوارض 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النظر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تعرضاً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لمسألة كشف الأسرار، ويمكن أن يقال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545" w:name="pg15697_169078"/>
    </w:p>
    <w:p>
      <w:pPr>
        <w:pStyle w:val="BookText"/>
        <w:rPr/>
      </w:pPr>
      <w:bookmarkEnd w:id="545"/>
      <w:r>
        <w:rPr>
          <w:rFonts w:ascii="Amiri" w:hAnsi="Amiri" w:eastAsia="Amiri" w:cs="Amiri"/>
          <w:color w:val="111111"/>
          <w:sz w:val="28"/>
          <w:sz w:val="28"/>
          <w:szCs w:val="28"/>
          <w:rtl w:val="true"/>
          <w:lang w:bidi="ar-SA"/>
        </w:rPr>
        <w:t>إلا فيما جاز، كنظره إلى بدن زوجته وبالعكس في زوجها، ومنه يعلم حكم تقوية</w:t>
      </w:r>
      <w:r>
        <w:rPr>
          <w:rStyle w:val="FootnoteAnchor"/>
          <w:rtl w:val="true"/>
        </w:rPr>
        <w:footnoteReference w:id="879"/>
      </w:r>
      <w:r>
        <w:rPr>
          <w:rFonts w:ascii="Amiri" w:hAnsi="Amiri" w:eastAsia="Amiri" w:cs="Amiri"/>
          <w:color w:val="111111"/>
          <w:sz w:val="28"/>
          <w:sz w:val="28"/>
          <w:szCs w:val="28"/>
          <w:rtl w:val="true"/>
          <w:lang w:bidi="ar-SA"/>
        </w:rPr>
        <w:t xml:space="preserve"> سائر القوة الجسدية والروحية</w:t>
      </w:r>
      <w:r>
        <w:rPr>
          <w:rFonts w:eastAsia="Amiri" w:cs="Amiri" w:ascii="Amiri" w:hAnsi="Amiri"/>
          <w:color w:val="111111"/>
          <w:sz w:val="28"/>
          <w:szCs w:val="28"/>
          <w:rtl w:val="true"/>
          <w:lang w:bidi="ar-SA"/>
        </w:rPr>
        <w:t>.</w:t>
      </w:r>
    </w:p>
    <w:p>
      <w:pPr>
        <w:pStyle w:val="Heading2"/>
        <w:numPr>
          <w:ilvl w:val="1"/>
          <w:numId w:val="1"/>
        </w:numPr>
        <w:rPr/>
      </w:pPr>
      <w:bookmarkStart w:id="546" w:name="__RefHeading___Toc11915418_2142443653"/>
      <w:bookmarkStart w:id="547" w:name="_Toc196"/>
      <w:bookmarkEnd w:id="546"/>
      <w:r>
        <w:rPr>
          <w:rtl w:val="true"/>
        </w:rPr>
        <w:t>تلبيس الجسد الآلي بالروح</w:t>
      </w:r>
      <w:bookmarkEnd w:id="54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إمكان تلبيس جسد بروح ميت، أو روح حي</w:t>
      </w:r>
      <w:r>
        <w:rPr>
          <w:rStyle w:val="FootnoteAnchor"/>
          <w:rtl w:val="true"/>
        </w:rPr>
        <w:footnoteReference w:id="880"/>
      </w:r>
      <w:r>
        <w:rPr>
          <w:rFonts w:ascii="Amiri" w:hAnsi="Amiri" w:eastAsia="Amiri" w:cs="Amiri"/>
          <w:color w:val="111111"/>
          <w:sz w:val="28"/>
          <w:sz w:val="28"/>
          <w:szCs w:val="28"/>
          <w:rtl w:val="true"/>
          <w:lang w:bidi="ar-SA"/>
        </w:rPr>
        <w:t>، فهل يجوز ذلك؟ الظاهر نعم بالنسبة إلى روح حي يرضى بذلك، أما روح الميت ففيه احتمالان، وإن كان الجواز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حق عرفاً، وكل حق عرفي حق شرعي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حقوق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تأمل في الكبرى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بأنّه منكر في أذهان المتشرعة، وبأنّه قد يكون 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يستدل على حرمته بأدلة حرمة التجسس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كقراءة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عن طريق إلهي فالظاهر جوازه، كما في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عن بصره فرأى أكثر أهل الموقف قردة أو</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قصص الصالحين أنهم كانوا يرون الواقعيات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مؤقتاً وإلا كان إماتة للحي،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548" w:name="pg15697_169079"/>
    </w:p>
    <w:p>
      <w:pPr>
        <w:pStyle w:val="BookText"/>
        <w:rPr/>
      </w:pPr>
      <w:bookmarkEnd w:id="5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بدون رضا الحي فلا يجوز؛ لأنه خلاف تسلّطه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وجه القرب في الميت فلأصالة الحل فيما لا دليل على حرمته، وأما وجه احتمال الحرمة فيه فهو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حرمته ميتاً كحرمته حياً</w:t>
      </w:r>
      <w:r>
        <w:rPr>
          <w:rFonts w:eastAsia="IRNazanin" w:cs="IRNazanin"/>
          <w:color w:val="111111"/>
          <w:sz w:val="28"/>
          <w:szCs w:val="28"/>
          <w:rtl w:val="true"/>
          <w:lang w:bidi="fa-IR"/>
        </w:rPr>
        <w:t>»</w:t>
      </w:r>
      <w:r>
        <w:rPr>
          <w:rStyle w:val="FootnoteAnchor"/>
          <w:rtl w:val="true"/>
        </w:rPr>
        <w:footnoteReference w:id="886"/>
      </w:r>
      <w:r>
        <w:rPr>
          <w:rFonts w:ascii="Amiri" w:hAnsi="Amiri" w:eastAsia="Amiri" w:cs="Amiri"/>
          <w:color w:val="111111"/>
          <w:sz w:val="28"/>
          <w:sz w:val="28"/>
          <w:szCs w:val="28"/>
          <w:rtl w:val="true"/>
          <w:lang w:bidi="ar-SA"/>
        </w:rPr>
        <w:t>، لكن الظاهر عدم شمول</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للمقام، إلا إذا فرض العلم بأذية الميت،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فتوقي لميت مما توقي منه نفسك</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لكن الفقهاء لا يقولون بإطلاقه</w:t>
      </w:r>
      <w:r>
        <w:rPr>
          <w:rFonts w:eastAsia="Amiri" w:cs="Amiri" w:ascii="Amiri" w:hAnsi="Amiri"/>
          <w:color w:val="111111"/>
          <w:sz w:val="28"/>
          <w:szCs w:val="28"/>
          <w:rtl w:val="true"/>
          <w:lang w:bidi="ar-SA"/>
        </w:rPr>
        <w:t>.</w:t>
      </w:r>
    </w:p>
    <w:p>
      <w:pPr>
        <w:pStyle w:val="Heading2"/>
        <w:numPr>
          <w:ilvl w:val="1"/>
          <w:numId w:val="1"/>
        </w:numPr>
        <w:rPr/>
      </w:pPr>
      <w:bookmarkStart w:id="549" w:name="__RefHeading___Toc11915420_2142443653"/>
      <w:bookmarkStart w:id="550" w:name="_Toc197"/>
      <w:bookmarkEnd w:id="549"/>
      <w:r>
        <w:rPr>
          <w:rtl w:val="true"/>
        </w:rPr>
        <w:t>تبديل الأرواح</w:t>
      </w:r>
      <w:bookmarkEnd w:id="55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إمكان تبديل</w:t>
      </w:r>
      <w:r>
        <w:rPr>
          <w:rStyle w:val="FootnoteAnchor"/>
          <w:rtl w:val="true"/>
        </w:rPr>
        <w:footnoteReference w:id="888"/>
      </w:r>
      <w:r>
        <w:rPr>
          <w:rFonts w:ascii="Amiri" w:hAnsi="Amiri" w:eastAsia="Amiri" w:cs="Amiri"/>
          <w:color w:val="111111"/>
          <w:sz w:val="28"/>
          <w:sz w:val="28"/>
          <w:szCs w:val="28"/>
          <w:rtl w:val="true"/>
          <w:lang w:bidi="ar-SA"/>
        </w:rPr>
        <w:t xml:space="preserve"> روحين لجسدين، بأن يدخل روح زيد في جسد عمرو وبالعكس، جاز برضا الطرفين، وقد ذكرت ذلك بعض الصحف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الجواز إطلاق دليل الحل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لكن بشرط أن لا يكون</w:t>
      </w:r>
    </w:p>
    <w:p>
      <w:pPr>
        <w:pStyle w:val="BookText"/>
        <w:rPr/>
      </w:pP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السلطنة له عقد إيجابي وسلبي،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سلطة للآخرين، وإلا شمله دليل التصرف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مطلق، وكل ما خرج بالدليل نقول به، وإلا فهو باقٍ على إطلاقه،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الدائم</w:t>
      </w:r>
      <w:r>
        <w:rPr>
          <w:rFonts w:eastAsia="IRNazanin" w:cs="IRNazanin"/>
          <w:color w:val="111111"/>
          <w:sz w:val="28"/>
          <w:szCs w:val="28"/>
          <w:rtl w:val="true"/>
          <w:lang w:bidi="fa-IR"/>
        </w:rPr>
        <w:t>.</w:t>
      </w:r>
    </w:p>
    <w:p>
      <w:pPr>
        <w:pStyle w:val="BookText"/>
        <w:rPr/>
      </w:pP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ما بنى عليه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تغيير خلق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التغيير السيئ</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551" w:name="pg15697_169080"/>
    </w:p>
    <w:p>
      <w:pPr>
        <w:pStyle w:val="BookText"/>
        <w:rPr/>
      </w:pPr>
      <w:bookmarkEnd w:id="551"/>
      <w:r>
        <w:rPr>
          <w:rFonts w:ascii="Amiri" w:hAnsi="Amiri" w:eastAsia="Amiri" w:cs="Amiri"/>
          <w:color w:val="111111"/>
          <w:sz w:val="28"/>
          <w:sz w:val="28"/>
          <w:szCs w:val="28"/>
          <w:rtl w:val="true"/>
          <w:lang w:bidi="ar-SA"/>
        </w:rPr>
        <w:t>هناك محذور</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وحينئذٍ فأحكام الزوجية والنسب وغيرها هل يتبع الجسد أو الروح؟ احتمالان</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2" w:name="__RefHeading___Toc11915422_2142443653"/>
      <w:bookmarkStart w:id="553" w:name="_Toc198"/>
      <w:bookmarkEnd w:id="552"/>
      <w:r>
        <w:rPr>
          <w:rtl w:val="true"/>
        </w:rPr>
        <w:t>إخراج الأرواح</w:t>
      </w:r>
      <w:bookmarkEnd w:id="5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إخراج</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الإنسان بالوسائل النفسية، وقد كان هذا معمولاً في القديم، كما يظهر عن حديث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إماتة، نعم إذا لم يكن إماتة، بل كان من قبيل التنويم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لم يكن به بأس بشرط رضا الطرف؛ لأنه تصرف في سلطنته، فلا يجوز إلا بإجازته، وبشرط عدم الضرر البالغ</w:t>
      </w:r>
      <w:r>
        <w:rPr>
          <w:rFonts w:eastAsia="Amiri" w:cs="Amiri" w:ascii="Amiri" w:hAnsi="Amiri"/>
          <w:color w:val="111111"/>
          <w:sz w:val="28"/>
          <w:szCs w:val="28"/>
          <w:rtl w:val="true"/>
          <w:lang w:bidi="ar-SA"/>
        </w:rPr>
        <w:t>.</w:t>
      </w:r>
    </w:p>
    <w:p>
      <w:pPr>
        <w:pStyle w:val="Heading2"/>
        <w:numPr>
          <w:ilvl w:val="1"/>
          <w:numId w:val="1"/>
        </w:numPr>
        <w:rPr/>
      </w:pPr>
      <w:bookmarkStart w:id="554" w:name="__RefHeading___Toc11915424_2142443653"/>
      <w:bookmarkStart w:id="555" w:name="_Toc199"/>
      <w:bookmarkEnd w:id="554"/>
      <w:r>
        <w:rPr>
          <w:rtl w:val="true"/>
        </w:rPr>
        <w:t>إخراج روح الحيوانات</w:t>
      </w:r>
      <w:bookmarkEnd w:id="5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إخراج روح الحيوان بالوسائل النفسية بدون</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كاختلال النظام وضياع الأنساب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تتبع المشاعر العقليّة؟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تابع للصدق العرفي، فنسأل العرف بعد ملاحظة 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وهل يجري فيه استصحاب أحكام البدن؟ فيه إشكال؛ لعدم إحراز وحدة الموضوع،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وصلنا إلى مرحلة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يُقال له الموت الاختياري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التجميد في الثلاجة، لكنه تفويت للصلاة، بناءً على حرمته قبل وقتها، إمّا لأنّ الوجوب معلقٌ، أو لأنه تفويت لغرض المولى،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يستلزم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556" w:name="pg15697_169081"/>
    </w:p>
    <w:p>
      <w:pPr>
        <w:pStyle w:val="BookText"/>
        <w:rPr/>
      </w:pPr>
      <w:bookmarkEnd w:id="556"/>
      <w:r>
        <w:rPr>
          <w:rFonts w:ascii="Amiri" w:hAnsi="Amiri" w:eastAsia="Amiri" w:cs="Amiri"/>
          <w:color w:val="111111"/>
          <w:sz w:val="28"/>
          <w:sz w:val="28"/>
          <w:szCs w:val="28"/>
          <w:rtl w:val="true"/>
          <w:lang w:bidi="ar-SA"/>
        </w:rPr>
        <w:t>أن يكون ذلك أذية</w:t>
      </w:r>
      <w:r>
        <w:rPr>
          <w:rStyle w:val="FootnoteAnchor"/>
          <w:rtl w:val="true"/>
        </w:rPr>
        <w:footnoteReference w:id="892"/>
      </w:r>
      <w:r>
        <w:rPr>
          <w:rFonts w:ascii="Amiri" w:hAnsi="Amiri" w:eastAsia="Amiri" w:cs="Amiri"/>
          <w:color w:val="111111"/>
          <w:sz w:val="28"/>
          <w:sz w:val="28"/>
          <w:szCs w:val="28"/>
          <w:rtl w:val="true"/>
          <w:lang w:bidi="ar-SA"/>
        </w:rPr>
        <w:t xml:space="preserve"> محرمة له؟ الظاهر الجواز في الحيوان الذي لا يكون ذلك إسرافاً بالنسبة إليه، ولم يكن له صاحب، أو كان، ولكنه كان راضياً، كما لو أخرج روح نملة</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أو هرة غير مملوكة، أو مملوكة ولكن صاحبها راضٍ بذلك، أما بالنسبة إلى حيوان يوجب ذلك إسرافاً، كما لو أخرج روح الشاة</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وكذلك إذا كان مملوكاً وصاحبه لا يرضى، وإن لم يكن إسرافاً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الأحكام الثلاثة إطلاق أدلتها</w:t>
      </w:r>
      <w:r>
        <w:rPr>
          <w:rFonts w:eastAsia="Amiri" w:cs="Amiri" w:ascii="Amiri" w:hAnsi="Amiri"/>
          <w:color w:val="111111"/>
          <w:sz w:val="28"/>
          <w:szCs w:val="28"/>
          <w:rtl w:val="true"/>
          <w:lang w:bidi="ar-SA"/>
        </w:rPr>
        <w:t>.</w:t>
      </w:r>
    </w:p>
    <w:p>
      <w:pPr>
        <w:pStyle w:val="Heading2"/>
        <w:numPr>
          <w:ilvl w:val="1"/>
          <w:numId w:val="1"/>
        </w:numPr>
        <w:rPr/>
      </w:pPr>
      <w:bookmarkStart w:id="557" w:name="__RefHeading___Toc11915426_2142443653"/>
      <w:bookmarkStart w:id="558" w:name="_Toc200"/>
      <w:bookmarkEnd w:id="557"/>
      <w:r>
        <w:rPr>
          <w:rtl w:val="true"/>
        </w:rPr>
        <w:t>تشويه الأعضاء</w:t>
      </w:r>
      <w:bookmarkEnd w:id="55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تكبير عضو من أعضاء الإنسان بالوسائل الحديثة بما يسمى تشويهاً</w:t>
      </w:r>
      <w:r>
        <w:rPr>
          <w:rStyle w:val="FootnoteAnchor"/>
          <w:rtl w:val="true"/>
        </w:rPr>
        <w:footnoteReference w:id="893"/>
      </w:r>
      <w:r>
        <w:rPr>
          <w:rFonts w:ascii="Amiri" w:hAnsi="Amiri" w:eastAsia="Amiri" w:cs="Amiri"/>
          <w:color w:val="111111"/>
          <w:sz w:val="28"/>
          <w:sz w:val="28"/>
          <w:szCs w:val="28"/>
          <w:rtl w:val="true"/>
          <w:lang w:bidi="ar-SA"/>
        </w:rPr>
        <w:t xml:space="preserve"> وتغييراً لخلق اللّه، كما إذا كبر اليد إلى حيث ضعف الجسد أو ما أشبه، وكذلك التصغير، كما إذا صغر اليد إلى حيث بلغت بقدر الإصبع مثلاً</w:t>
      </w:r>
      <w:r>
        <w:rPr>
          <w:rFonts w:eastAsia="Amiri" w:cs="Amiri" w:ascii="Amiri" w:hAnsi="Amiri"/>
          <w:color w:val="111111"/>
          <w:sz w:val="28"/>
          <w:szCs w:val="28"/>
          <w:rtl w:val="true"/>
          <w:lang w:bidi="ar-SA"/>
        </w:rPr>
        <w:t>.</w:t>
      </w:r>
    </w:p>
    <w:p>
      <w:pPr>
        <w:pStyle w:val="BookText"/>
        <w:rPr/>
      </w:pP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المحرمات في حرمة إيذاء حتى الحيوان</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أن يقتلها بإصبعه أو يقبض روحها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يُذَكَّ، فيكون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دليل حرمته أدلة المثلة، أو التغيير، أو أنّ الدليل ارتكاز المتشرعة أو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متعارفة فربما يخرج عن التشويه أو التغيير السيّئ، فتأمل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559" w:name="pg15697_169082"/>
    </w:p>
    <w:p>
      <w:pPr>
        <w:pStyle w:val="BookText"/>
        <w:rPr/>
      </w:pPr>
      <w:bookmarkEnd w:id="5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إلى نفسه فلأنه تغيير خلق اللّه وإضرار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لا يجوز، وأما بالنسبة إلى غيره فإن رضي كان المحذور، وإن لم يرضَ كان محرماً من هذه الجهة أيضاً</w:t>
      </w:r>
      <w:r>
        <w:rPr>
          <w:rFonts w:eastAsia="Amiri" w:cs="Amiri" w:ascii="Amiri" w:hAnsi="Amiri"/>
          <w:color w:val="111111"/>
          <w:sz w:val="28"/>
          <w:szCs w:val="28"/>
          <w:rtl w:val="true"/>
          <w:lang w:bidi="ar-SA"/>
        </w:rPr>
        <w:t>.</w:t>
      </w:r>
    </w:p>
    <w:p>
      <w:pPr>
        <w:pStyle w:val="Heading2"/>
        <w:numPr>
          <w:ilvl w:val="1"/>
          <w:numId w:val="1"/>
        </w:numPr>
        <w:rPr/>
      </w:pPr>
      <w:bookmarkStart w:id="560" w:name="__RefHeading___Toc11915428_2142443653"/>
      <w:bookmarkStart w:id="561" w:name="_Toc201"/>
      <w:bookmarkEnd w:id="560"/>
      <w:r>
        <w:rPr>
          <w:rtl w:val="true"/>
        </w:rPr>
        <w:t>المتاحف واستعراض الإنسان</w:t>
      </w:r>
      <w:bookmarkEnd w:id="5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انتهاك حرمة الإنسان بجعله في المتحف إذا كان قزماً جداً، أو طويلاً جداً، كما يفعله بعض البلاد، نعم يجوز ذلك برضاه وملء اختياره، ويجوز له أن يأخذ أجرة على ذلك، إلا إذا كان إهانة يحرم على الإنسان المؤمن تحملها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كل واحد من العمل خلاف سلطة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وإهانة وإذلال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للأدلة، ولذا إذا لم يكن إهانة ورضي جاز حيث لا محذور</w:t>
      </w:r>
      <w:r>
        <w:rPr>
          <w:rFonts w:eastAsia="Amiri" w:cs="Amiri" w:ascii="Amiri" w:hAnsi="Amiri"/>
          <w:color w:val="111111"/>
          <w:sz w:val="28"/>
          <w:szCs w:val="28"/>
          <w:rtl w:val="true"/>
          <w:lang w:bidi="ar-SA"/>
        </w:rPr>
        <w:t>.</w:t>
      </w:r>
    </w:p>
    <w:p>
      <w:pPr>
        <w:pStyle w:val="Heading2"/>
        <w:numPr>
          <w:ilvl w:val="1"/>
          <w:numId w:val="1"/>
        </w:numPr>
        <w:rPr/>
      </w:pPr>
      <w:bookmarkStart w:id="562" w:name="__RefHeading___Toc11915430_2142443653"/>
      <w:bookmarkStart w:id="563" w:name="_Toc202"/>
      <w:bookmarkEnd w:id="562"/>
      <w:r>
        <w:rPr>
          <w:rtl w:val="true"/>
        </w:rPr>
        <w:t>تبييض جسم الإنسان</w:t>
      </w:r>
      <w:bookmarkEnd w:id="5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تبييض جسم الإنسان الزنجي، كما يفعل ذلك بالمساحيق والأدوية</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 في بعض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هو تغيير لا يصدق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عليه تغيير خلق اللّه، فالأصل جوازه، لكن</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الإهانة والإذلال المحرّمان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العملية الجراحية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التغيير السيّئ؛ لأنّه القدر المتيقن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564" w:name="pg15697_169083"/>
    </w:p>
    <w:p>
      <w:pPr>
        <w:pStyle w:val="BookText"/>
        <w:rPr/>
      </w:pPr>
      <w:bookmarkEnd w:id="564"/>
      <w:r>
        <w:rPr>
          <w:rFonts w:ascii="Amiri" w:hAnsi="Amiri" w:eastAsia="Amiri" w:cs="Amiri"/>
          <w:color w:val="111111"/>
          <w:sz w:val="28"/>
          <w:sz w:val="28"/>
          <w:szCs w:val="28"/>
          <w:rtl w:val="true"/>
          <w:lang w:bidi="ar-SA"/>
        </w:rPr>
        <w:t>يلزم أن يكون ذلك برضاه</w:t>
      </w:r>
      <w:r>
        <w:rPr>
          <w:rStyle w:val="FootnoteAnchor"/>
          <w:rtl w:val="true"/>
        </w:rPr>
        <w:footnoteReference w:id="897"/>
      </w:r>
      <w:r>
        <w:rPr>
          <w:rFonts w:ascii="Amiri" w:hAnsi="Amiri" w:eastAsia="Amiri" w:cs="Amiri"/>
          <w:color w:val="111111"/>
          <w:sz w:val="28"/>
          <w:sz w:val="28"/>
          <w:szCs w:val="28"/>
          <w:rtl w:val="true"/>
          <w:lang w:bidi="ar-SA"/>
        </w:rPr>
        <w:t>، وإلا كان خلاف سلطته</w:t>
      </w:r>
      <w:r>
        <w:rPr>
          <w:rFonts w:eastAsia="Amiri" w:cs="Amiri" w:ascii="Amiri" w:hAnsi="Amiri"/>
          <w:color w:val="111111"/>
          <w:sz w:val="28"/>
          <w:szCs w:val="28"/>
          <w:rtl w:val="true"/>
          <w:lang w:bidi="ar-SA"/>
        </w:rPr>
        <w:t>.</w:t>
      </w:r>
    </w:p>
    <w:p>
      <w:pPr>
        <w:pStyle w:val="Heading2"/>
        <w:numPr>
          <w:ilvl w:val="1"/>
          <w:numId w:val="1"/>
        </w:numPr>
        <w:rPr/>
      </w:pPr>
      <w:bookmarkStart w:id="565" w:name="__RefHeading___Toc11915432_2142443653"/>
      <w:bookmarkStart w:id="566" w:name="_Toc203"/>
      <w:bookmarkEnd w:id="565"/>
      <w:r>
        <w:rPr>
          <w:rtl w:val="true"/>
        </w:rPr>
        <w:t>تغيير ألوان البشرة</w:t>
      </w:r>
      <w:bookmarkEnd w:id="56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تسويد</w:t>
      </w:r>
      <w:r>
        <w:rPr>
          <w:rStyle w:val="FootnoteAnchor"/>
          <w:rtl w:val="true"/>
        </w:rPr>
        <w:footnoteReference w:id="898"/>
      </w:r>
      <w:r>
        <w:rPr>
          <w:rFonts w:ascii="Amiri" w:hAnsi="Amiri" w:eastAsia="Amiri" w:cs="Amiri"/>
          <w:color w:val="111111"/>
          <w:sz w:val="28"/>
          <w:sz w:val="28"/>
          <w:szCs w:val="28"/>
          <w:rtl w:val="true"/>
          <w:lang w:bidi="ar-SA"/>
        </w:rPr>
        <w:t xml:space="preserve"> أو تحمير أو تصفير بشرة الإنسان الأبيض؟ احتمالان، الجواز للأصل، وعدم الجواز؛ لاحتمال دخوله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خلق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شيء من ذلك يعد تشويهاً أو تغييراً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لخلق اللّه لم يجز، وإلا جاز، وكذلك لو كان حقاً للغير، كما إذا كان يفعل ذلك بالنسبة إلى المرأة المزوّجة بدون رضا زوجها، فإنه وإن لم يكن تشويهاً أو تغييراً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يجز؛ لأنه من التصرّف</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يكون انتهاكاً لحق الغير، كما سيأتي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البياض هو الأصل؛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مشوه</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xml:space="preserve">، 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وجهي يوم تبيض وجوه</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إلاّ أن يراد البياض المعنوي، فالتبييض لا مانع منه، أما غيره ففيه احتمالان</w:t>
      </w:r>
      <w:r>
        <w:rPr>
          <w:rFonts w:eastAsia="Amiri" w:cs="Amiri" w:ascii="Amiri" w:hAnsi="Amiri"/>
          <w:color w:val="111111"/>
          <w:sz w:val="28"/>
          <w:szCs w:val="28"/>
          <w:rtl w:val="true"/>
          <w:lang w:bidi="ar-SA"/>
        </w:rPr>
        <w:t>.</w:t>
      </w:r>
    </w:p>
    <w:p>
      <w:pPr>
        <w:pStyle w:val="BookText"/>
        <w:rPr/>
      </w:pP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اللازم إزالة المنفرات عن الاستمتاع، كما ذكروه في كتاب النكاح، فكل ما ينافيه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أنّه خلاف الشرط الضمني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567" w:name="pg15697_169084"/>
    </w:p>
    <w:p>
      <w:pPr>
        <w:pStyle w:val="BookText"/>
        <w:rPr/>
      </w:pPr>
      <w:bookmarkEnd w:id="567"/>
      <w:r>
        <w:rPr>
          <w:rFonts w:ascii="Amiri" w:hAnsi="Amiri" w:eastAsia="Amiri" w:cs="Amiri"/>
          <w:color w:val="111111"/>
          <w:sz w:val="28"/>
          <w:sz w:val="28"/>
          <w:szCs w:val="28"/>
          <w:rtl w:val="true"/>
          <w:lang w:bidi="ar-SA"/>
        </w:rPr>
        <w:t>في سلطان الزوج</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التلوين الدائمي، أما التلوين غير الدائمي</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إن لم يكن مضراً</w:t>
      </w: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 ولم يكن حقاً للغير</w:t>
      </w:r>
      <w:r>
        <w:rPr>
          <w:rFonts w:eastAsia="Amiri" w:cs="Amiri" w:ascii="Amiri" w:hAnsi="Amiri"/>
          <w:color w:val="111111"/>
          <w:sz w:val="28"/>
          <w:szCs w:val="28"/>
          <w:rtl w:val="true"/>
          <w:lang w:bidi="ar-SA"/>
        </w:rPr>
        <w:t>.</w:t>
      </w:r>
    </w:p>
    <w:p>
      <w:pPr>
        <w:pStyle w:val="Heading2"/>
        <w:numPr>
          <w:ilvl w:val="1"/>
          <w:numId w:val="1"/>
        </w:numPr>
        <w:rPr/>
      </w:pPr>
      <w:bookmarkStart w:id="568" w:name="__RefHeading___Toc11915434_2142443653"/>
      <w:bookmarkStart w:id="569" w:name="_Toc204"/>
      <w:bookmarkEnd w:id="568"/>
      <w:r>
        <w:rPr>
          <w:rtl w:val="true"/>
        </w:rPr>
        <w:t>إخراج جنين الزانية</w:t>
      </w:r>
      <w:bookmarkEnd w:id="56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الزانية الجنين المتكوّن من الزنا</w:t>
      </w:r>
      <w:r>
        <w:rPr>
          <w:rStyle w:val="FootnoteAnchor"/>
          <w:rtl w:val="true"/>
        </w:rPr>
        <w:footnoteReference w:id="905"/>
      </w:r>
      <w:r>
        <w:rPr>
          <w:rFonts w:ascii="Amiri" w:hAnsi="Amiri" w:eastAsia="Amiri" w:cs="Amiri"/>
          <w:color w:val="111111"/>
          <w:sz w:val="28"/>
          <w:sz w:val="28"/>
          <w:szCs w:val="28"/>
          <w:rtl w:val="true"/>
          <w:lang w:bidi="ar-SA"/>
        </w:rPr>
        <w:t xml:space="preserve"> عن بطنها في ما إذا أمكن</w:t>
      </w:r>
      <w:r>
        <w:rPr>
          <w:rStyle w:val="FootnoteAnchor"/>
          <w:rtl w:val="true"/>
        </w:rPr>
        <w:footnoteReference w:id="906"/>
      </w:r>
      <w:r>
        <w:rPr>
          <w:rFonts w:ascii="Amiri" w:hAnsi="Amiri" w:eastAsia="Amiri" w:cs="Amiri"/>
          <w:color w:val="111111"/>
          <w:sz w:val="28"/>
          <w:sz w:val="28"/>
          <w:szCs w:val="28"/>
          <w:rtl w:val="true"/>
          <w:lang w:bidi="ar-SA"/>
        </w:rPr>
        <w:t xml:space="preserve"> تربيته خارج الرحم حتى يكتمل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الوجوب إذا كان بقاؤهُ في رحمها موجباً للفتنة الشديدة والقتل</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يحق للزوج ذلك؟ فيه إشكال؛ لأنّه خلاف الشرط الضمني، وخلاف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رضيت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المتعة</w:t>
      </w:r>
      <w:r>
        <w:rPr>
          <w:rFonts w:eastAsia="Amiri" w:cs="Amiri" w:ascii="Amiri" w:hAnsi="Amiri"/>
          <w:color w:val="111111"/>
          <w:sz w:val="28"/>
          <w:szCs w:val="28"/>
          <w:rtl w:val="true"/>
          <w:lang w:bidi="ar-SA"/>
        </w:rPr>
        <w:t>.</w:t>
      </w:r>
    </w:p>
    <w:p>
      <w:pPr>
        <w:pStyle w:val="BookText"/>
        <w:rPr/>
      </w:pP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يمكن فهو قتل محرّم، كما ذكر في المكاسب المحرّمة أنّ الإيجاد قد يكون حراماً، والإبقاء لازماً</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لم يكن إلاّ بالقتل فهل يجوز؟ الأصل الحرمة، وقال بعض بالجواز لو كان أهم ومهم، كإلقاء أحد ركاب السفينة لو كانت مهددة بغرق الكل، وكالانتحار في السجن إذا تيقن بأنّه يعترف فيقتل نفسه، فتأمل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570" w:name="pg15697_169085"/>
    </w:p>
    <w:p>
      <w:pPr>
        <w:pStyle w:val="BookText"/>
        <w:rPr/>
      </w:pPr>
      <w:bookmarkEnd w:id="5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لأصالة الحل، إذا لم يكن ضرراً عليها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أو عليه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والوجوب للعنوان الثانوي</w:t>
      </w:r>
      <w:r>
        <w:rPr>
          <w:rFonts w:eastAsia="Amiri" w:cs="Amiri" w:ascii="Amiri" w:hAnsi="Amiri"/>
          <w:color w:val="111111"/>
          <w:sz w:val="28"/>
          <w:szCs w:val="28"/>
          <w:rtl w:val="true"/>
          <w:lang w:bidi="ar-SA"/>
        </w:rPr>
        <w:t>.</w:t>
      </w:r>
    </w:p>
    <w:p>
      <w:pPr>
        <w:pStyle w:val="Heading2"/>
        <w:numPr>
          <w:ilvl w:val="1"/>
          <w:numId w:val="1"/>
        </w:numPr>
        <w:rPr/>
      </w:pPr>
      <w:bookmarkStart w:id="571" w:name="__RefHeading___Toc11915436_2142443653"/>
      <w:bookmarkStart w:id="572" w:name="_Toc205"/>
      <w:bookmarkEnd w:id="571"/>
      <w:r>
        <w:rPr>
          <w:rtl w:val="true"/>
        </w:rPr>
        <w:t>رمز الجندي المجهول</w:t>
      </w:r>
      <w:bookmarkEnd w:id="5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مانع من بناء التمثال الرمزي للجندي المجهول، وإذا كان محفّزاً للجنود على الجهاد الإسلامي، كان راجحاً</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الحرام من التماثيل ما كان يراد به العبادة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كما رأيناه في الفقه من أنّ التمثال المحرم ما صنع للعبادة كالأصنام لا مطلق التماثيل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ولذا كان الجواز والاستحباب، كلٌّ في مورده</w:t>
      </w:r>
      <w:r>
        <w:rPr>
          <w:rFonts w:eastAsia="Amiri" w:cs="Amiri" w:ascii="Amiri" w:hAnsi="Amiri"/>
          <w:color w:val="111111"/>
          <w:sz w:val="28"/>
          <w:szCs w:val="28"/>
          <w:rtl w:val="true"/>
          <w:lang w:bidi="ar-SA"/>
        </w:rPr>
        <w:t>.</w:t>
      </w:r>
    </w:p>
    <w:p>
      <w:pPr>
        <w:pStyle w:val="Heading2"/>
        <w:numPr>
          <w:ilvl w:val="1"/>
          <w:numId w:val="1"/>
        </w:numPr>
        <w:rPr/>
      </w:pPr>
      <w:bookmarkStart w:id="573" w:name="__RefHeading___Toc11915438_2142443653"/>
      <w:bookmarkStart w:id="574" w:name="_Toc206"/>
      <w:bookmarkEnd w:id="573"/>
      <w:r>
        <w:rPr>
          <w:rtl w:val="true"/>
        </w:rPr>
        <w:t>تصوير الوقائع التاريخية</w:t>
      </w:r>
      <w:bookmarkEnd w:id="5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بأخذ الوقائع التاريخية الماضية من الفضاء، كالحروب ومجالس الوعظ وغيرهما بواسطة الأشعة الآلية الكاشفة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لأنّ إضرار الآخرين محرم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الكلام أنّ رجحان الطبيعي هل يلازم رجحان مصاديقه أو لا، وأن الأوامر تتعلق بالطبائع أو الأفراد؟</w:t>
      </w:r>
    </w:p>
    <w:p>
      <w:pPr>
        <w:pStyle w:val="BookText"/>
        <w:rPr/>
      </w:pP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أول الكتاب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575" w:name="pg15697_169086"/>
    </w:p>
    <w:p>
      <w:pPr>
        <w:pStyle w:val="BookText"/>
        <w:rPr/>
      </w:pPr>
      <w:bookmarkEnd w:id="5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أدلة الحل، لكن إنما يمكن الاعتماد عليها إذا علم صدقها بالأدلة القطعية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وإلا فلا حجية في الاستناد إليها، وإذا استلزم محرماً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حرم من باب مقدمة الحرام</w:t>
      </w:r>
      <w:r>
        <w:rPr>
          <w:rFonts w:eastAsia="Amiri" w:cs="Amiri" w:ascii="Amiri" w:hAnsi="Amiri"/>
          <w:color w:val="111111"/>
          <w:sz w:val="28"/>
          <w:szCs w:val="28"/>
          <w:rtl w:val="true"/>
          <w:lang w:bidi="ar-SA"/>
        </w:rPr>
        <w:t>.</w:t>
      </w:r>
    </w:p>
    <w:p>
      <w:pPr>
        <w:pStyle w:val="Heading2"/>
        <w:numPr>
          <w:ilvl w:val="1"/>
          <w:numId w:val="1"/>
        </w:numPr>
        <w:rPr/>
      </w:pPr>
      <w:bookmarkStart w:id="576" w:name="__RefHeading___Toc11915440_2142443653"/>
      <w:bookmarkStart w:id="577" w:name="_Toc207"/>
      <w:bookmarkEnd w:id="576"/>
      <w:r>
        <w:rPr>
          <w:rtl w:val="true"/>
        </w:rPr>
        <w:t>استخدام الأرواح للاستخبار</w:t>
      </w:r>
      <w:bookmarkEnd w:id="5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للإنسان أن يوفد روح نفسه، أو روح إنسان آخر، أو روح ميت إلى البلاد النائية أو ما أشبه للاستخبار والإخبار، فإنّ حرمة تسخير الأرواح، وإن ذهب إليها بعض الفقهاء، وكنت أميل إلى ذلك سابقاً، لكن لا دليل مقطوع به عليها، فالأصل الحلية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وجه التحريم احتمال الأذية، واحتمال أنه نوع من السحر،</w:t>
      </w:r>
    </w:p>
    <w:p>
      <w:pPr>
        <w:pStyle w:val="BookText"/>
        <w:rPr/>
      </w:pP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يتقاص من الذي علم بأنه سرق أمواله</w:t>
      </w:r>
      <w:r>
        <w:rPr>
          <w:rFonts w:eastAsia="Amiri" w:cs="Amiri" w:ascii="Amiri" w:hAnsi="Amiri"/>
          <w:color w:val="111111"/>
          <w:sz w:val="28"/>
          <w:szCs w:val="28"/>
          <w:rtl w:val="true"/>
          <w:lang w:bidi="ar-SA"/>
        </w:rPr>
        <w:t>.</w:t>
      </w:r>
    </w:p>
    <w:p>
      <w:pPr>
        <w:pStyle w:val="BookText"/>
        <w:rPr/>
      </w:pP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للشارع طريق خاص في الإثبات كالزنا، راجع أوائل الكتاب</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ككشف أسرار الناس والاطلاع على عوراتهم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تصرف بلا رضاه، ولابد فيه من إحراز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في كتاب الخمس في بحث الكنز، أصالة الحرمة</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كونه تصرفاً، بل يحتمل كونه ارتباطاً،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تُنشئ ظلاً وتبخر بخوراً، فيأتي شخص فتسأله أسئلة ويجيب عنها، فإنّه لم يعلم تحقق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578" w:name="pg15697_169087"/>
    </w:p>
    <w:p>
      <w:pPr>
        <w:pStyle w:val="BookText"/>
        <w:rPr/>
      </w:pPr>
      <w:bookmarkEnd w:id="578"/>
      <w:r>
        <w:rPr>
          <w:rFonts w:ascii="Amiri" w:hAnsi="Amiri" w:eastAsia="Amiri" w:cs="Amiri"/>
          <w:color w:val="111111"/>
          <w:sz w:val="28"/>
          <w:sz w:val="28"/>
          <w:szCs w:val="28"/>
          <w:rtl w:val="true"/>
          <w:lang w:bidi="ar-SA"/>
        </w:rPr>
        <w:t>واحتمال ترتب الضرر على ذلك، أما الاحتمالان الأولان، فلا يؤثران في الحرمة؛ لأصالة الحل، والاحتمال الثالث إنما يتبع بموازين احتمال الضرر، فلا إطلاق في المنع</w:t>
      </w:r>
      <w:r>
        <w:rPr>
          <w:rFonts w:eastAsia="Amiri" w:cs="Amiri" w:ascii="Amiri" w:hAnsi="Amiri"/>
          <w:color w:val="111111"/>
          <w:sz w:val="28"/>
          <w:szCs w:val="28"/>
          <w:rtl w:val="true"/>
          <w:lang w:bidi="ar-SA"/>
        </w:rPr>
        <w:t>.</w:t>
      </w:r>
    </w:p>
    <w:p>
      <w:pPr>
        <w:pStyle w:val="Heading2"/>
        <w:numPr>
          <w:ilvl w:val="1"/>
          <w:numId w:val="1"/>
        </w:numPr>
        <w:rPr/>
      </w:pPr>
      <w:bookmarkStart w:id="579" w:name="__RefHeading___Toc11915442_2142443653"/>
      <w:bookmarkStart w:id="580" w:name="_Toc208"/>
      <w:bookmarkEnd w:id="579"/>
      <w:r>
        <w:rPr>
          <w:rtl w:val="true"/>
        </w:rPr>
        <w:t>كشف الأسرار بالروح</w:t>
      </w:r>
      <w:bookmarkEnd w:id="5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إيفاد الروح لكشف أسرار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خلاف سلطة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الناس، ولما دل على حرمة كشف</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سر الغير، ولقوله تعالى</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وكذا لا يجوز إرسال الجن ونحوه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إيذاء محتمل،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 عدم الإيذاء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عدماً أزلياً،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أنّه 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الحل، مع أنّه ليس سحراً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الحقير، لا يؤثر وليس مداراً، بل المدار رضاه وعدم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الضرر خطيراً فلا ينفع رضاه، واحتمال مثله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لها عقد سلبي</w:t>
      </w:r>
      <w:r>
        <w:rPr>
          <w:rFonts w:eastAsia="Amiri" w:cs="Amiri" w:ascii="Amiri" w:hAnsi="Amiri"/>
          <w:color w:val="111111"/>
          <w:sz w:val="28"/>
          <w:szCs w:val="28"/>
          <w:rtl w:val="true"/>
          <w:lang w:bidi="ar-SA"/>
        </w:rPr>
        <w:t>.</w:t>
      </w:r>
    </w:p>
    <w:p>
      <w:pPr>
        <w:pStyle w:val="BookText"/>
        <w:rPr/>
      </w:pP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سلط على نفسه مسلط على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وحواشينا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أدلة حرمة التجسس</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581" w:name="pg15697_169088"/>
    </w:p>
    <w:p>
      <w:pPr>
        <w:pStyle w:val="Heading2"/>
        <w:numPr>
          <w:ilvl w:val="1"/>
          <w:numId w:val="1"/>
        </w:numPr>
        <w:rPr/>
      </w:pPr>
      <w:bookmarkStart w:id="582" w:name="__RefHeading___Toc11915444_2142443653"/>
      <w:bookmarkStart w:id="583" w:name="_Toc209"/>
      <w:bookmarkEnd w:id="581"/>
      <w:bookmarkEnd w:id="582"/>
      <w:r>
        <w:rPr>
          <w:rtl w:val="true"/>
        </w:rPr>
        <w:t>تسجيل الألفاظ المحرمة</w:t>
      </w:r>
      <w:bookmarkEnd w:id="58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923"/>
      </w:r>
      <w:r>
        <w:rPr>
          <w:rFonts w:ascii="Amiri" w:hAnsi="Amiri" w:eastAsia="Amiri" w:cs="Amiri"/>
          <w:color w:val="111111"/>
          <w:sz w:val="28"/>
          <w:sz w:val="28"/>
          <w:szCs w:val="28"/>
          <w:rtl w:val="true"/>
          <w:lang w:bidi="ar-SA"/>
        </w:rPr>
        <w:t xml:space="preserve"> حفظ ألفاظ الكفر بالمسجّل، وكذلك حفظ السباب وما أشبه، إلا إذا كان لجهة أهم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فجوازه من باب الأهم والمهم، حاله حال حفظ كتب الضلال لأجل ردّها إلى غير ذلك مما هو معروف في الفقه</w:t>
      </w:r>
      <w:r>
        <w:rPr>
          <w:rFonts w:eastAsia="Amiri" w:cs="Amiri" w:ascii="Amiri" w:hAnsi="Amiri"/>
          <w:color w:val="111111"/>
          <w:sz w:val="28"/>
          <w:szCs w:val="28"/>
          <w:rtl w:val="true"/>
          <w:lang w:bidi="ar-SA"/>
        </w:rPr>
        <w:t>.</w:t>
      </w:r>
    </w:p>
    <w:p>
      <w:pPr>
        <w:pStyle w:val="Heading2"/>
        <w:numPr>
          <w:ilvl w:val="1"/>
          <w:numId w:val="1"/>
        </w:numPr>
        <w:rPr/>
      </w:pPr>
      <w:bookmarkStart w:id="584" w:name="__RefHeading___Toc11915446_2142443653"/>
      <w:bookmarkStart w:id="585" w:name="_Toc210"/>
      <w:bookmarkEnd w:id="584"/>
      <w:r>
        <w:rPr>
          <w:rtl w:val="true"/>
        </w:rPr>
        <w:t>تسجيل الوعظ والإرشاد</w:t>
      </w:r>
      <w:bookmarkEnd w:id="58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Style w:val="FootnoteAnchor"/>
          <w:rtl w:val="true"/>
        </w:rPr>
        <w:footnoteReference w:id="924"/>
      </w:r>
      <w:r>
        <w:rPr>
          <w:rFonts w:ascii="Amiri" w:hAnsi="Amiri" w:eastAsia="Amiri" w:cs="Amiri"/>
          <w:color w:val="111111"/>
          <w:sz w:val="28"/>
          <w:sz w:val="28"/>
          <w:szCs w:val="28"/>
          <w:rtl w:val="true"/>
          <w:lang w:bidi="ar-SA"/>
        </w:rPr>
        <w:t xml:space="preserve"> إملاء أشرطة المسجل بالقرآن والوعظ وما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فرق عرفاً بين الإيجاد والإبقاء، فكما أنّ الإيجاد محرم بأدلة حرمة الكفر والسب كذلك 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في الماء حدوثاً وبقاءً،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العروة، الصوم</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نصفين وألقه في البالوعة</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حرمة الحفظ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استحباب الطبيعي يسري 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البحث في ذلك فيما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586" w:name="pg15697_169089"/>
    </w:p>
    <w:p>
      <w:pPr>
        <w:pStyle w:val="BookText"/>
        <w:rPr/>
      </w:pPr>
      <w:bookmarkEnd w:id="586"/>
      <w:r>
        <w:rPr>
          <w:rFonts w:ascii="Amiri" w:hAnsi="Amiri" w:eastAsia="Amiri" w:cs="Amiri"/>
          <w:color w:val="111111"/>
          <w:sz w:val="28"/>
          <w:sz w:val="28"/>
          <w:szCs w:val="28"/>
          <w:rtl w:val="true"/>
          <w:lang w:bidi="ar-SA"/>
        </w:rPr>
        <w:t>أشبه، بل قد يجب إذا كان موجباً لإرشاد ضال، أو هداية جاهل، أو تنبيه غافل، أو أمر بالمعروف، أو 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فيراعى موازين العمومات من الأمر والنهي، والتبليغ إلى الإسلام، والهداية والإرشاد، فما وجب منه وجب، وما استحبّ منه استحب</w:t>
      </w:r>
      <w:r>
        <w:rPr>
          <w:rFonts w:eastAsia="Amiri" w:cs="Amiri" w:ascii="Amiri" w:hAnsi="Amiri"/>
          <w:color w:val="111111"/>
          <w:sz w:val="28"/>
          <w:szCs w:val="28"/>
          <w:rtl w:val="true"/>
          <w:lang w:bidi="ar-SA"/>
        </w:rPr>
        <w:t>.</w:t>
      </w:r>
    </w:p>
    <w:p>
      <w:pPr>
        <w:pStyle w:val="Heading2"/>
        <w:numPr>
          <w:ilvl w:val="1"/>
          <w:numId w:val="1"/>
        </w:numPr>
        <w:rPr/>
      </w:pPr>
      <w:bookmarkStart w:id="587" w:name="__RefHeading___Toc11915448_2142443653"/>
      <w:bookmarkStart w:id="588" w:name="_Toc211"/>
      <w:bookmarkEnd w:id="587"/>
      <w:r>
        <w:rPr>
          <w:rtl w:val="true"/>
        </w:rPr>
        <w:t>كلام الأرواح</w:t>
      </w:r>
      <w:bookmarkEnd w:id="58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أصوات الأرواح حجة فيما إذا علمنا بالكلام، كما لو أحضر بسبب التحضير روح عادلين وشهدا على قضية؟ مشكل جداً، اللّهم إلا إذا حصل العلم من ذلك، وكان يكفي الاعتماد</w:t>
      </w:r>
      <w:r>
        <w:rPr>
          <w:rStyle w:val="FootnoteAnchor"/>
          <w:rtl w:val="true"/>
        </w:rPr>
        <w:footnoteReference w:id="929"/>
      </w:r>
      <w:r>
        <w:rPr>
          <w:rFonts w:ascii="Amiri" w:hAnsi="Amiri" w:eastAsia="Amiri" w:cs="Amiri"/>
          <w:color w:val="111111"/>
          <w:sz w:val="28"/>
          <w:sz w:val="28"/>
          <w:szCs w:val="28"/>
          <w:rtl w:val="true"/>
          <w:lang w:bidi="ar-SA"/>
        </w:rPr>
        <w:t xml:space="preserve"> على العلم في ترتيب الأثر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لانصراف أدلة الشهادة إلى الحي، إلا فيما ورث العلم، وكان يكفي</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بحث خارجي،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 كلاماً يحتمل كونه صدقاً أو كذباً فهل هو جائز؟</w:t>
      </w:r>
    </w:p>
    <w:p>
      <w:pPr>
        <w:pStyle w:val="BookText"/>
        <w:rPr/>
      </w:pPr>
      <w:r>
        <w:rPr>
          <w:rFonts w:ascii="Amiri" w:hAnsi="Amiri" w:eastAsia="Amiri" w:cs="Amiri"/>
          <w:color w:val="111111"/>
          <w:sz w:val="28"/>
          <w:sz w:val="28"/>
          <w:szCs w:val="28"/>
          <w:rtl w:val="true"/>
          <w:lang w:bidi="ar-SA"/>
        </w:rPr>
        <w:t>كونه كذباً غير معلوم، ولا يقصد الكذب حتى يكون 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الحرمة 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العدم، مثل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فلان ألف شعرة، أو تحدث كلّ ثانية جريمة في 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عرفاً في أنني رأيت، لا أنّه يحتمل ذلك فيكون كذباً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الاقتصاص من السارق،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التقاص</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589" w:name="pg15697_169090"/>
    </w:p>
    <w:p>
      <w:pPr>
        <w:pStyle w:val="BookText"/>
        <w:rPr/>
      </w:pPr>
      <w:bookmarkEnd w:id="589"/>
      <w:r>
        <w:rPr>
          <w:rFonts w:ascii="Amiri" w:hAnsi="Amiri" w:eastAsia="Amiri" w:cs="Amiri"/>
          <w:color w:val="111111"/>
          <w:sz w:val="28"/>
          <w:sz w:val="28"/>
          <w:szCs w:val="28"/>
          <w:rtl w:val="true"/>
          <w:lang w:bidi="ar-SA"/>
        </w:rPr>
        <w:t>العلم لا مثل الزنا واللواط، حيث لم يكتف الشارع فيهما بالعلم، وإنما يحتاج إلى طرق خاصة</w:t>
      </w:r>
      <w:r>
        <w:rPr>
          <w:rStyle w:val="FootnoteAnchor"/>
          <w:rtl w:val="true"/>
        </w:rPr>
        <w:footnoteReference w:id="932"/>
      </w:r>
      <w:r>
        <w:rPr>
          <w:rFonts w:ascii="Amiri" w:hAnsi="Amiri" w:eastAsia="Amiri" w:cs="Amiri"/>
          <w:color w:val="111111"/>
          <w:sz w:val="28"/>
          <w:sz w:val="28"/>
          <w:szCs w:val="28"/>
          <w:rtl w:val="true"/>
          <w:lang w:bidi="ar-SA"/>
        </w:rPr>
        <w:t>، كما ذكرناه في الفقه</w:t>
      </w:r>
      <w:r>
        <w:rPr>
          <w:rStyle w:val="FootnoteAnchor"/>
          <w:rtl w:val="true"/>
        </w:rPr>
        <w:footnoteReference w:id="933"/>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0" w:name="__RefHeading___Toc11915450_2142443653"/>
      <w:bookmarkStart w:id="591" w:name="_Toc212"/>
      <w:bookmarkEnd w:id="590"/>
      <w:r>
        <w:rPr>
          <w:rtl w:val="true"/>
        </w:rPr>
        <w:t>الطلاق بواسطة الأرواح</w:t>
      </w:r>
      <w:bookmarkEnd w:id="59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حضور أرواح عادلين لإجراء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من انصراف الأدلة إلى الأحياء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11915452_2142443653"/>
      <w:bookmarkStart w:id="593" w:name="_Toc213"/>
      <w:bookmarkEnd w:id="592"/>
      <w:r>
        <w:rPr>
          <w:rtl w:val="true"/>
        </w:rPr>
        <w:t>كتابة الأموات</w:t>
      </w:r>
      <w:bookmarkEnd w:id="5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w:t>
      </w:r>
      <w:r>
        <w:rPr>
          <w:rStyle w:val="FootnoteAnchor"/>
          <w:rtl w:val="true"/>
        </w:rPr>
        <w:footnoteReference w:id="935"/>
      </w:r>
      <w:r>
        <w:rPr>
          <w:rFonts w:ascii="Amiri" w:hAnsi="Amiri" w:eastAsia="Amiri" w:cs="Amiri"/>
          <w:color w:val="111111"/>
          <w:sz w:val="28"/>
          <w:sz w:val="28"/>
          <w:szCs w:val="28"/>
          <w:rtl w:val="true"/>
          <w:lang w:bidi="ar-SA"/>
        </w:rPr>
        <w:t xml:space="preserve">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كتابة السلة في بعض البلاد</w:t>
      </w:r>
      <w:r>
        <w:rPr>
          <w:rFonts w:eastAsia="Amiri" w:cs="Amiri" w:ascii="Amiri" w:hAnsi="Amiri"/>
          <w:color w:val="111111"/>
          <w:sz w:val="28"/>
          <w:szCs w:val="28"/>
          <w:rtl w:val="true"/>
          <w:lang w:bidi="ar-SA"/>
        </w:rPr>
        <w:t>)</w:t>
      </w:r>
    </w:p>
    <w:p>
      <w:pPr>
        <w:pStyle w:val="BookText"/>
        <w:rPr/>
      </w:pP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 الروحان أنّهما في حال الحياة رأيا القتل، أو أربعة شهدوا بالزنا كالميل في المكحلة في حال حياتهما فالظاهر أنّها لا تقبل؛ لانصراف الأدلة عن مثل هذه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لم يُعلم أنّها روح فلان، بل ربما تكون روح جني متلبس بذلك، ومُظاهر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يكفي حضور مثل الملائكة، وكذا نظارة مثل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للانصراف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تورث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 فيما جعل الشارع له طريقاً خاصاً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 فيما لم يجعل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594" w:name="pg15697_169091"/>
    </w:p>
    <w:p>
      <w:pPr>
        <w:pStyle w:val="BookText"/>
        <w:rPr/>
      </w:pPr>
      <w:bookmarkEnd w:id="594"/>
      <w:r>
        <w:rPr>
          <w:rFonts w:ascii="Amiri" w:hAnsi="Amiri" w:eastAsia="Amiri" w:cs="Amiri"/>
          <w:color w:val="111111"/>
          <w:sz w:val="28"/>
          <w:sz w:val="28"/>
          <w:szCs w:val="28"/>
          <w:rtl w:val="true"/>
          <w:lang w:bidi="ar-SA"/>
        </w:rPr>
        <w:t xml:space="preserve">لا حجية فيها، اللّهم إلا إذا أورث العلم،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الأخذ بكتابتهم حول أي موضوع كان، وإيراثه العلم يوجب نتائجه فيما كان العلم حجة فيه من بابه، لا من باب كتابة السلة</w:t>
      </w:r>
      <w:r>
        <w:rPr>
          <w:rFonts w:eastAsia="Amiri" w:cs="Amiri" w:ascii="Amiri" w:hAnsi="Amiri"/>
          <w:color w:val="111111"/>
          <w:sz w:val="28"/>
          <w:szCs w:val="28"/>
          <w:rtl w:val="true"/>
          <w:lang w:bidi="ar-SA"/>
        </w:rPr>
        <w:t>.</w:t>
      </w:r>
    </w:p>
    <w:p>
      <w:pPr>
        <w:pStyle w:val="Heading2"/>
        <w:numPr>
          <w:ilvl w:val="1"/>
          <w:numId w:val="1"/>
        </w:numPr>
        <w:rPr/>
      </w:pPr>
      <w:bookmarkStart w:id="595" w:name="__RefHeading___Toc11915454_2142443653"/>
      <w:bookmarkStart w:id="596" w:name="_Toc214"/>
      <w:bookmarkEnd w:id="595"/>
      <w:r>
        <w:rPr>
          <w:rtl w:val="true"/>
        </w:rPr>
        <w:t>تسميد الأجساد المحترقة</w:t>
      </w:r>
      <w:bookmarkEnd w:id="5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استعمال السماد المعمول من إحراق الإنسان إذا كان الإنسان غير محترم كالكافر المحارب المحترق، أما إذا كان الإنسان محترماً فلا يجوز</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في الكافر غير المحترم، بل وحتى في المحترم إذا كان جائزاً في دينه، وذلك لقاعدة الإلزام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 وعدم الجواز في المسلم؛ لأنه خلاف احترام الإنسان المسلم أو نحوه،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 ميتاً كحرمته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ومثل الشخص غير المحترم في الجواز الحيوان، وإن كان في حياته محترماً، بحيث يحرم قتله أو أذاه أو ما أشبه من سائر حقوق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صدق الهتك، والموارد مختلفة،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الهتك متقوم بكون الإضافة للميت محفوظة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الفقهية، حيث إنّ موارد الإلزام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شموله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597" w:name="pg15697_169092"/>
    </w:p>
    <w:p>
      <w:pPr>
        <w:pStyle w:val="Heading2"/>
        <w:numPr>
          <w:ilvl w:val="1"/>
          <w:numId w:val="1"/>
        </w:numPr>
        <w:rPr/>
      </w:pPr>
      <w:bookmarkStart w:id="598" w:name="__RefHeading___Toc11915456_2142443653"/>
      <w:bookmarkStart w:id="599" w:name="_Toc215"/>
      <w:bookmarkEnd w:id="597"/>
      <w:bookmarkEnd w:id="598"/>
      <w:r>
        <w:rPr>
          <w:rtl w:val="true"/>
        </w:rPr>
        <w:t>تشجير المقابر</w:t>
      </w:r>
      <w:bookmarkEnd w:id="59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غرس الأشجار في حافة المقابر المحترمة، مما نعلم أنها تمتص من ذرات الإنسان، كما هو المعتاد في مقابر بعض بلاد الغرب؟ احتمالان</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المنع من جهة أنه خلاف الاحترام،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مقتضى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الحل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ولم يعلم من أحد منعه في المقابر، مع تعارفه منذ الأزمنة القديمة، فالسيرة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تؤيّد ذلك</w:t>
      </w:r>
      <w:r>
        <w:rPr>
          <w:rFonts w:eastAsia="Amiri" w:cs="Amiri" w:ascii="Amiri" w:hAnsi="Amiri"/>
          <w:color w:val="111111"/>
          <w:sz w:val="28"/>
          <w:szCs w:val="28"/>
          <w:rtl w:val="true"/>
          <w:lang w:bidi="ar-SA"/>
        </w:rPr>
        <w:t>.</w:t>
      </w:r>
    </w:p>
    <w:p>
      <w:pPr>
        <w:pStyle w:val="Heading2"/>
        <w:numPr>
          <w:ilvl w:val="1"/>
          <w:numId w:val="1"/>
        </w:numPr>
        <w:rPr/>
      </w:pPr>
      <w:bookmarkStart w:id="600" w:name="__RefHeading___Toc11915458_2142443653"/>
      <w:bookmarkStart w:id="601" w:name="_Toc216"/>
      <w:bookmarkEnd w:id="600"/>
      <w:r>
        <w:rPr>
          <w:rtl w:val="true"/>
        </w:rPr>
        <w:t>الخيانة بنقل الأخبار</w:t>
      </w:r>
      <w:bookmarkEnd w:id="6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للبريد أن ينقل أخبار الاتصالات الهاتفية والتلغرافية، إلى غير أصحابها؟ ثم بعد استفادة أولئك منها ينقلها لأصحابها، كما إذا جاءت برقية إلى زيد بغلاء السكر، يخبر البريد عمراً بذلك، وبعد ساعة يخبر زيداً، أم لا؟ الظاهر</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الموارد مختلفة،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 أن تأكله الأرض أو الشجر؟ بل الشجر أكثر كمالاً،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السيرة عليه دونه،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بقيع الغرقد، حيث إنّه شجر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مطلقاً؛ لأنّه حقّ عرفاً، ويلحق به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علمنا برضاه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العرفي حقّ شرعي فاللازم انطباق عنوان محرّم كما في المتن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عدم الجواز إذا عدّ ذلك خيانة</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إفشاءً لسره أو غيرهما من المحرمات المعنونة، أما إذا لم يدخل تحت عنوان محرّم 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على القاعدة في المستثنى منه والمستثنى، ولا يخفى أنه يعد عرفاً من الخيانة في الأمانة مطلقاً، فالمستثنى نادر جداً، ولو سبب في مورد عدم الجواز ضرراً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على من خانه، فعليه ضمانه فاللازم تداركه؛ لأنه مشمول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نفس التأخير قد يكون خلاف مقتضى العقد ولو ارتكازاً، فيكون محرماً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لو كان جائزاً أو واجباً، فاللازم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المناقشة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التكليفي لا ينافي الضمان الوضعي، كما في أكل 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ظاهر الجواز أو الوجوب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كتاب الأمر بالمعروف</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المضرّ؟ هل مَنْ اشترى أو المخبر؟ وهل يلتزم بمثله في نظائره؟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السلطة به فقتلته أو صادرت أمواله، فهل يضمن المخبر الأموال المصادرة؟ وكذا لو أخبر اللص بموضع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يفرق بين كون العمل محلّلاً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كشراء التاجر أو محرماً كاللص؟ وهل المضرّ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أو المخبر أو كلّ منهما جزء العلة؟</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التاجر فعل فعلاً محللاً، والمخبر وإن أخبر إلاّ أنّه لم يباشر، فلا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602" w:name="pg15697_169094"/>
    </w:p>
    <w:p>
      <w:pPr>
        <w:pStyle w:val="Heading2"/>
        <w:numPr>
          <w:ilvl w:val="1"/>
          <w:numId w:val="1"/>
        </w:numPr>
        <w:rPr/>
      </w:pPr>
      <w:bookmarkStart w:id="603" w:name="__RefHeading___Toc11915460_2142443653"/>
      <w:bookmarkStart w:id="604" w:name="_Toc217"/>
      <w:bookmarkEnd w:id="602"/>
      <w:bookmarkEnd w:id="603"/>
      <w:r>
        <w:rPr>
          <w:rtl w:val="true"/>
        </w:rPr>
        <w:t>الماء والتراب الاصطناعيان</w:t>
      </w:r>
      <w:bookmarkEnd w:id="60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والتراب المصنوعان إذا كانا ماءً وتراباً حقيقة جرى عليهما حكم الماء والتراب، وإن كان ماءً وتراباً صورة</w:t>
      </w:r>
      <w:r>
        <w:rPr>
          <w:rStyle w:val="FootnoteAnchor"/>
          <w:rtl w:val="true"/>
        </w:rPr>
        <w:footnoteReference w:id="945"/>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يحكمان بحكمهما في التطهير ونحوه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كان حقيقة فللصدق الموجب لترتب الحكم، وأما الصورة فلا يترتب عليها الحكم، إذ الألفاظ موضوعة للمعاني الواقعية</w:t>
      </w:r>
      <w:r>
        <w:rPr>
          <w:rFonts w:eastAsia="Amiri" w:cs="Amiri" w:ascii="Amiri" w:hAnsi="Amiri"/>
          <w:color w:val="111111"/>
          <w:sz w:val="28"/>
          <w:szCs w:val="28"/>
          <w:rtl w:val="true"/>
          <w:lang w:bidi="ar-SA"/>
        </w:rPr>
        <w:t>.</w:t>
      </w:r>
    </w:p>
    <w:p>
      <w:pPr>
        <w:pStyle w:val="Heading2"/>
        <w:numPr>
          <w:ilvl w:val="1"/>
          <w:numId w:val="1"/>
        </w:numPr>
        <w:rPr/>
      </w:pPr>
      <w:bookmarkStart w:id="605" w:name="__RefHeading___Toc11915462_2142443653"/>
      <w:bookmarkStart w:id="606" w:name="_Toc218"/>
      <w:bookmarkEnd w:id="605"/>
      <w:r>
        <w:rPr>
          <w:rtl w:val="true"/>
        </w:rPr>
        <w:t>أجهزة تصوير الحوادث</w:t>
      </w:r>
      <w:bookmarkEnd w:id="60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w:t>
      </w:r>
      <w:r>
        <w:rPr>
          <w:rStyle w:val="FootnoteAnchor"/>
          <w:rtl w:val="true"/>
        </w:rPr>
        <w:footnoteReference w:id="946"/>
      </w:r>
      <w:r>
        <w:rPr>
          <w:rFonts w:ascii="Amiri" w:hAnsi="Amiri" w:eastAsia="Amiri" w:cs="Amiri"/>
          <w:color w:val="111111"/>
          <w:sz w:val="28"/>
          <w:sz w:val="28"/>
          <w:szCs w:val="28"/>
          <w:rtl w:val="true"/>
          <w:lang w:bidi="ar-SA"/>
        </w:rPr>
        <w:t xml:space="preserve"> التصوير والتسجيل المثبتة في أعمدة الشوارع ونحوها لحفظ وتصوير الوقائع التي تقع فيها، من اصطدام سيارة بسيارة،</w:t>
      </w:r>
    </w:p>
    <w:p>
      <w:pPr>
        <w:pStyle w:val="BookText"/>
        <w:rPr/>
      </w:pPr>
      <w:r>
        <w:rPr>
          <w:rFonts w:ascii="Amiri" w:hAnsi="Amiri" w:eastAsia="Amiri" w:cs="Amiri"/>
          <w:color w:val="111111"/>
          <w:sz w:val="28"/>
          <w:sz w:val="28"/>
          <w:szCs w:val="28"/>
          <w:rtl w:val="true"/>
          <w:lang w:bidi="ar-SA"/>
        </w:rPr>
        <w:t>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الإضرار عرفاً ينسب للمخبر،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كلاماً، وإن كان المختار أنّه يرفع ويضع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كالذهب الصناعي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علينا بالمعادلات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هيدروجين وأوكسجين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يقوله العلماء؟ بل العرف، وهو أنّه لو دقق ورأى الواقع فهل يعتبره ماءً أو لا؟ وأمّا الوهم فلا عبرة به، كرؤية السراب وتخيله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فالأقسام ثلاثة كما سبق في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607" w:name="pg15697_169095"/>
    </w:p>
    <w:p>
      <w:pPr>
        <w:pStyle w:val="BookText"/>
        <w:rPr/>
      </w:pPr>
      <w:bookmarkEnd w:id="607"/>
      <w:r>
        <w:rPr>
          <w:rFonts w:ascii="Amiri" w:hAnsi="Amiri" w:eastAsia="Amiri" w:cs="Amiri"/>
          <w:color w:val="111111"/>
          <w:sz w:val="28"/>
          <w:sz w:val="28"/>
          <w:szCs w:val="28"/>
          <w:rtl w:val="true"/>
          <w:lang w:bidi="ar-SA"/>
        </w:rPr>
        <w:t>أو سباب إنسان لإنسان، أو ما أشبه ذلك، إن أورثت العلم جاز الاعتماد عليها، وإلا لم يجز، لكن ذلك فيما لم يشترط الشارع أموراً خاصة في الحكم، كالزنا الذي لا يثبت إلا بأربعة شهود، ولا يكتفي فيه بالعلم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لحجية العلم من أين حصل فيما عدا المستثنى، وعليه فإذا أظهرت السرقة جاز تغريم السارق؛ لأنّ الغرامة تثبت بالعلم، بخلاف القطع حيث يحتاج إلى شاهدين أو إقرارين، ولو شك فالمحكّم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الحدود بالشبهات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8" w:name="__RefHeading___Toc11915464_2142443653"/>
      <w:bookmarkStart w:id="609" w:name="_Toc219"/>
      <w:bookmarkEnd w:id="608"/>
      <w:r>
        <w:rPr>
          <w:rtl w:val="true"/>
        </w:rPr>
        <w:t>الولد بين المجنونين</w:t>
      </w:r>
      <w:bookmarkEnd w:id="6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الرجل والمرأة المجنونين الأجنبيين يتجامعان، لكن إن فعلا ذلك فالولد بينهما محكوم بحكم ولد الشبهة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الزنا ونحوه مما لا يريده الشارع مطلقاً، وإن لم يكونا مكلفين،</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تشمل شبهة المجتهد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الفقه</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رأى السرقة بالفيلم المباشر فهل حكمه حكم الرؤية؟ وهل تقبل الشهادة؟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النظر أنّ حكم الصورة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عبر التلفزيون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610" w:name="pg15697_169096"/>
    </w:p>
    <w:p>
      <w:pPr>
        <w:pStyle w:val="BookText"/>
        <w:rPr/>
      </w:pPr>
      <w:bookmarkEnd w:id="610"/>
      <w:r>
        <w:rPr>
          <w:rFonts w:ascii="Amiri" w:hAnsi="Amiri" w:eastAsia="Amiri" w:cs="Amiri"/>
          <w:color w:val="111111"/>
          <w:sz w:val="28"/>
          <w:sz w:val="28"/>
          <w:szCs w:val="28"/>
          <w:rtl w:val="true"/>
          <w:lang w:bidi="ar-SA"/>
        </w:rPr>
        <w:t>كما هو المركوز</w:t>
      </w:r>
      <w:r>
        <w:rPr>
          <w:rStyle w:val="FootnoteAnchor"/>
          <w:rtl w:val="true"/>
        </w:rPr>
        <w:footnoteReference w:id="951"/>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 المتشرّعة</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وكذلك حال طفلين غير بالغين، وإن كان رفع القلم منهما، وكذا حال النائمين و ما أشبه، وأما الولد فولد شبهة؛ لأنه ليس بزنا، لعدم توفر الشرائط</w:t>
      </w:r>
      <w:r>
        <w:rPr>
          <w:rFonts w:eastAsia="Amiri" w:cs="Amiri" w:ascii="Amiri" w:hAnsi="Amiri"/>
          <w:color w:val="111111"/>
          <w:sz w:val="28"/>
          <w:szCs w:val="28"/>
          <w:rtl w:val="true"/>
          <w:lang w:bidi="ar-SA"/>
        </w:rPr>
        <w:t>.</w:t>
      </w:r>
    </w:p>
    <w:p>
      <w:pPr>
        <w:pStyle w:val="Heading2"/>
        <w:numPr>
          <w:ilvl w:val="1"/>
          <w:numId w:val="1"/>
        </w:numPr>
        <w:rPr/>
      </w:pPr>
      <w:bookmarkStart w:id="611" w:name="__RefHeading___Toc11915466_2142443653"/>
      <w:bookmarkStart w:id="612" w:name="_Toc220"/>
      <w:bookmarkEnd w:id="611"/>
      <w:r>
        <w:rPr>
          <w:rtl w:val="true"/>
        </w:rPr>
        <w:t>رؤية الهلال بالمجهر</w:t>
      </w:r>
      <w:bookmarkEnd w:id="61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الهلال بالمجهر، فإن كان بحيث تراه العين المجردة، وكان المجهر لمجرد</w:t>
      </w:r>
      <w:r>
        <w:rPr>
          <w:rStyle w:val="FootnoteAnchor"/>
          <w:rtl w:val="true"/>
        </w:rPr>
        <w:footnoteReference w:id="952"/>
      </w:r>
      <w:r>
        <w:rPr>
          <w:rFonts w:ascii="Amiri" w:hAnsi="Amiri" w:eastAsia="Amiri" w:cs="Amiri"/>
          <w:color w:val="111111"/>
          <w:sz w:val="28"/>
          <w:sz w:val="28"/>
          <w:szCs w:val="28"/>
          <w:rtl w:val="true"/>
          <w:lang w:bidi="ar-SA"/>
        </w:rPr>
        <w:t xml:space="preserve"> تعيين الموضع ثبت الهلال، وإلا فلا، إذ الهلال موجود كل وقت، وإنما لا يقبل الرؤية قبل خروجه عن تحت الشعاع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صم للرؤية وافطر للرؤية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الرؤية المتعارفة</w:t>
      </w:r>
    </w:p>
    <w:p>
      <w:pPr>
        <w:pStyle w:val="BookText"/>
        <w:rPr/>
      </w:pP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الارتكاز ثابت؟ وهل هو منكر؟ نعم، في القتل الارتكاز ثابت، بل يجب حفظ النفس مطلقاً، ولو كاد أن يغرق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الجواز فهل يجوز التسبيب للجمع بينهما؟ فيه إشكال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الطفل فالظاهر أنّ الارتكاز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الارتكاز أقوى فيما لو كان يحصل ولد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أقوى في المميّز، أمّا في غير المميز ومن لا يفهم أصلاً فلعله أضعف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يفهمون أنّه يجب أن لا يقع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مقدمة لتعيين المكان، كتشخيص مكان الزانيين لرؤيتهما بالعين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بحثان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الرؤية طريقية أو موضوعية؟ الظاهر أنّها طريقية، فالثبوت الواقعي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الرؤية لولا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الرؤية متعارفة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613" w:name="pg15697_169097"/>
    </w:p>
    <w:p>
      <w:pPr>
        <w:pStyle w:val="BookText"/>
        <w:rPr/>
      </w:pPr>
      <w:bookmarkEnd w:id="613"/>
      <w:r>
        <w:rPr>
          <w:rFonts w:ascii="Amiri" w:hAnsi="Amiri" w:eastAsia="Amiri" w:cs="Amiri"/>
          <w:color w:val="111111"/>
          <w:sz w:val="28"/>
          <w:sz w:val="28"/>
          <w:szCs w:val="28"/>
          <w:rtl w:val="true"/>
          <w:lang w:bidi="ar-SA"/>
        </w:rPr>
        <w:t>لا بالوسائل، وكذا حال ما إذا رآه بالعين المجردة بسبب الارتفاع</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المتزايد في الفضاء، فإنه لا يحكم بالهلال على ذلك الأفق</w:t>
      </w:r>
      <w:r>
        <w:rPr>
          <w:rFonts w:eastAsia="Amiri" w:cs="Amiri" w:ascii="Amiri" w:hAnsi="Amiri"/>
          <w:color w:val="111111"/>
          <w:sz w:val="28"/>
          <w:szCs w:val="28"/>
          <w:rtl w:val="true"/>
          <w:lang w:bidi="ar-SA"/>
        </w:rPr>
        <w:t>.</w:t>
      </w:r>
    </w:p>
    <w:p>
      <w:pPr>
        <w:pStyle w:val="Heading2"/>
        <w:numPr>
          <w:ilvl w:val="1"/>
          <w:numId w:val="1"/>
        </w:numPr>
        <w:rPr/>
      </w:pPr>
      <w:bookmarkStart w:id="614" w:name="__RefHeading___Toc11915468_2142443653"/>
      <w:bookmarkStart w:id="615" w:name="_Toc221"/>
      <w:bookmarkEnd w:id="614"/>
      <w:r>
        <w:rPr>
          <w:rtl w:val="true"/>
        </w:rPr>
        <w:t>العقل الألكتروني</w:t>
      </w:r>
      <w:bookmarkEnd w:id="61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الاعتماد على إخبارات العقل الالكتروني أم لا؟ الظاهر العدم</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إلا إذا أورث العلم، ثم لا يصح ترتيب النتائج إذا شرط الشارع فيها طريقاً خاصاً، كما تقدم في المسائل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المستثنى منه والمستثنى على القاعدة كما تقدم</w:t>
      </w:r>
      <w:r>
        <w:rPr>
          <w:rFonts w:eastAsia="Amiri" w:cs="Amiri" w:ascii="Amiri" w:hAnsi="Amiri"/>
          <w:color w:val="111111"/>
          <w:sz w:val="28"/>
          <w:szCs w:val="28"/>
          <w:rtl w:val="true"/>
          <w:lang w:bidi="ar-SA"/>
        </w:rPr>
        <w:t>.</w:t>
      </w:r>
    </w:p>
    <w:p>
      <w:pPr>
        <w:pStyle w:val="Heading2"/>
        <w:numPr>
          <w:ilvl w:val="1"/>
          <w:numId w:val="1"/>
        </w:numPr>
        <w:rPr/>
      </w:pPr>
      <w:bookmarkStart w:id="616" w:name="__RefHeading___Toc11915470_2142443653"/>
      <w:bookmarkStart w:id="617" w:name="_Toc222"/>
      <w:bookmarkEnd w:id="616"/>
      <w:r>
        <w:rPr>
          <w:rtl w:val="true"/>
        </w:rPr>
        <w:t>تبديل العضو التناسلي</w:t>
      </w:r>
      <w:bookmarkEnd w:id="61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أجرى عملية جراحية فبدّل ذكره بذكر آخر حتى صار جزءاً منه حلّ</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لزوجته، كما تقدم شبيه هذه المسألة في بعض المسائل السابقة، وكذلك بالنسبة إلى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وحدة المكان عرفاً، لا كمثل جبل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ثلاثة صور، كما سبق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ثلاثة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يتفاعل معه، والظاهر أنّ مراد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بالجزئية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يتفاعل،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عرفاً جزء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يتفاعل لكن يسند للسابق عرفاً، كعين الكلب الواضح أنّها منه،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حلية ما يلابس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فإنّه عرفاً التذاذ به وبها، وهذا بخلاف ما لو أخذ آلة مطاطية وأدخلها فيها، فإنّه ليس التذاذاً به، فتأمل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618" w:name="pg15697_169098"/>
    </w:p>
    <w:p>
      <w:pPr>
        <w:pStyle w:val="BookText"/>
        <w:rPr/>
      </w:pPr>
      <w:bookmarkEnd w:id="6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حينئذٍ جزؤهُ أو جزؤها، وكذلك الحال في كل جزء تبدل، كالعين فينظر معها إلى محارمه، لا محارم صاحب الحدقة السابقة، إلى غير ذلك</w:t>
      </w:r>
      <w:r>
        <w:rPr>
          <w:rFonts w:eastAsia="Amiri" w:cs="Amiri" w:ascii="Amiri" w:hAnsi="Amiri"/>
          <w:color w:val="111111"/>
          <w:sz w:val="28"/>
          <w:szCs w:val="28"/>
          <w:rtl w:val="true"/>
          <w:lang w:bidi="ar-SA"/>
        </w:rPr>
        <w:t>.</w:t>
      </w:r>
    </w:p>
    <w:p>
      <w:pPr>
        <w:pStyle w:val="Heading2"/>
        <w:numPr>
          <w:ilvl w:val="1"/>
          <w:numId w:val="1"/>
        </w:numPr>
        <w:rPr/>
      </w:pPr>
      <w:bookmarkStart w:id="619" w:name="__RefHeading___Toc11915472_2142443653"/>
      <w:bookmarkStart w:id="620" w:name="_Toc223"/>
      <w:bookmarkEnd w:id="619"/>
      <w:r>
        <w:rPr>
          <w:rtl w:val="true"/>
        </w:rPr>
        <w:t>الخلايا الاصطناعية</w:t>
      </w:r>
      <w:bookmarkEnd w:id="62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الإنسان من صنع الخلية الحية، كما ينقل عن بعض علماء الطب في الغرب، جاز، وكان ذلك دليلاً جديداً</w:t>
      </w:r>
      <w:r>
        <w:rPr>
          <w:rStyle w:val="FootnoteAnchor"/>
          <w:rtl w:val="true"/>
        </w:rPr>
        <w:footnoteReference w:id="955"/>
      </w:r>
      <w:r>
        <w:rPr>
          <w:rFonts w:ascii="Amiri" w:hAnsi="Amiri" w:eastAsia="Amiri" w:cs="Amiri"/>
          <w:color w:val="111111"/>
          <w:sz w:val="28"/>
          <w:sz w:val="28"/>
          <w:szCs w:val="28"/>
          <w:rtl w:val="true"/>
          <w:lang w:bidi="ar-SA"/>
        </w:rPr>
        <w:t xml:space="preserve"> على وجود اللّه سبحانه، حيث إنه سبحانه قبل ألوف السنوات خلق في كل إنسان مالا يعدّ من الخلايا الحية، مما وصل البشر إلى أولى مراحلها بعد تجارب كثيرة وتقدم كبير، وبعد ألوف الوسائل والمعدّات والآلات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لأنه خاص باللّه سبحانه، 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الحكم لا في الإمكان، وكذلك لو فرض إمكان صنع البيضة الحية، والحبة الحية،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شككنا فهل نستصحب ما سبق، أو أنّه يشك في تبدل الموضوع؟ وراجع 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202</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الخالق إنسان متطور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أثبتم له جميع صفات الإله فنحن نسميه إلهاً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مثله في حديث حول الطبيعة</w:t>
      </w:r>
      <w:r>
        <w:rPr>
          <w:rFonts w:eastAsia="Amiri" w:cs="Amiri" w:ascii="Amiri" w:hAnsi="Amiri"/>
          <w:color w:val="111111"/>
          <w:sz w:val="28"/>
          <w:szCs w:val="28"/>
          <w:rtl w:val="true"/>
          <w:lang w:bidi="ar-SA"/>
        </w:rPr>
        <w:t>).</w:t>
      </w:r>
    </w:p>
    <w:p>
      <w:pPr>
        <w:pStyle w:val="BookText"/>
        <w:rPr/>
      </w:pP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ممكن أو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الامتناع في مبحث الظن في الرسائل</w:t>
      </w:r>
      <w:r>
        <w:rPr>
          <w:rFonts w:eastAsia="Amiri" w:cs="Amiri" w:ascii="Amiri" w:hAnsi="Amiri"/>
          <w:color w:val="111111"/>
          <w:sz w:val="28"/>
          <w:szCs w:val="28"/>
          <w:rtl w:val="true"/>
          <w:lang w:bidi="ar-SA"/>
        </w:rPr>
        <w:t>)</w:t>
      </w:r>
      <w:r>
        <w:rPr>
          <w:rStyle w:val="FootnoteAnchor"/>
          <w:rtl w:val="true"/>
        </w:rPr>
        <w:footnoteReference w:id="95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حلال أو حرام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621" w:name="pg15697_169099"/>
    </w:p>
    <w:p>
      <w:pPr>
        <w:pStyle w:val="Heading2"/>
        <w:numPr>
          <w:ilvl w:val="1"/>
          <w:numId w:val="1"/>
        </w:numPr>
        <w:rPr/>
      </w:pPr>
      <w:bookmarkStart w:id="622" w:name="__RefHeading___Toc11915474_2142443653"/>
      <w:bookmarkStart w:id="623" w:name="_Toc224"/>
      <w:bookmarkEnd w:id="621"/>
      <w:bookmarkEnd w:id="622"/>
      <w:r>
        <w:rPr>
          <w:rtl w:val="true"/>
        </w:rPr>
        <w:t>خلق المخلوقات</w:t>
      </w:r>
      <w:bookmarkEnd w:id="62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البشر توصل إلى إمكان صنع الإنسان أو الحيوان أو النبات جاز، وكان ذلك دليلاً جديداً على وجود اللّه تعالى، فإنك إذا سألت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صنع ذلك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هذا الإنسان؟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من معاجز مخ ذلك الصانع وقوة إرادته ووسعة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بعد ذلك لا يكون بلايين البلايين من الإنسان والحيوان والنبات أدلة ساطعة على وجود اللّه العليم القدير؟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هذه المسألة كالحكم في المسألة السابقة؛ لوحدة الموضوع</w:t>
      </w:r>
      <w:r>
        <w:rPr>
          <w:rFonts w:eastAsia="Amiri" w:cs="Amiri" w:ascii="Amiri" w:hAnsi="Amiri"/>
          <w:color w:val="111111"/>
          <w:sz w:val="28"/>
          <w:szCs w:val="28"/>
          <w:rtl w:val="true"/>
          <w:lang w:bidi="ar-SA"/>
        </w:rPr>
        <w:t>.</w:t>
      </w:r>
    </w:p>
    <w:p>
      <w:pPr>
        <w:pStyle w:val="Heading2"/>
        <w:numPr>
          <w:ilvl w:val="1"/>
          <w:numId w:val="1"/>
        </w:numPr>
        <w:rPr/>
      </w:pPr>
      <w:bookmarkStart w:id="624" w:name="__RefHeading___Toc11915476_2142443653"/>
      <w:bookmarkStart w:id="625" w:name="_Toc225"/>
      <w:bookmarkEnd w:id="624"/>
      <w:r>
        <w:rPr>
          <w:rtl w:val="true"/>
        </w:rPr>
        <w:t>الأمر بالمعروف والنهي عن المنكر بالوسائل النفسية</w:t>
      </w:r>
      <w:bookmarkEnd w:id="6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الأمر بالمعروف والنهي عن المنكر بالإيحاء النفسي، إذا لم تكن وسيلة للأمر والنهي وغيره، وإن أمكن بمختلف الوسائل الكلامية والإيمائية كان الإيحاء واجباً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الإيحاء بين التنويم أو التحضير لروح فاعل المنكر، أو لإيفاد روح الناهي عن المنكر إلى روح فاعل المنكر،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أدلة الأمر والنهي، وكذلك حال إرشاد الجاهل وتنبيه الغافل، وتبليغ الخير من الإسلام أو سائر خصوصياته، نعم إذا كان الأمر</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الاختصاص به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خاص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تشمله أدلة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يرث؟ الظاهر أنّه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626" w:name="pg15697_169100"/>
    </w:p>
    <w:p>
      <w:pPr>
        <w:pStyle w:val="BookText"/>
        <w:rPr/>
      </w:pPr>
      <w:bookmarkEnd w:id="626"/>
      <w:r>
        <w:rPr>
          <w:rFonts w:ascii="Amiri" w:hAnsi="Amiri" w:eastAsia="Amiri" w:cs="Amiri"/>
          <w:color w:val="111111"/>
          <w:sz w:val="28"/>
          <w:sz w:val="28"/>
          <w:szCs w:val="28"/>
          <w:rtl w:val="true"/>
          <w:lang w:bidi="ar-SA"/>
        </w:rPr>
        <w:t>مستحباً أو مكروهاً، كان كل ذلك مستحباً</w:t>
      </w:r>
      <w:r>
        <w:rPr>
          <w:rStyle w:val="FootnoteAnchor"/>
          <w:rtl w:val="true"/>
        </w:rPr>
        <w:footnoteReference w:id="960"/>
      </w:r>
      <w:r>
        <w:rPr>
          <w:rFonts w:ascii="Amiri" w:hAnsi="Amiri" w:eastAsia="Amiri" w:cs="Amiri"/>
          <w:color w:val="111111"/>
          <w:sz w:val="28"/>
          <w:sz w:val="28"/>
          <w:szCs w:val="28"/>
          <w:rtl w:val="true"/>
          <w:lang w:bidi="ar-SA"/>
        </w:rPr>
        <w:t xml:space="preserve"> تعييناً أو تخييراً، وكذلك مكروهاً، هذا إذا لم يكن تصرفاً</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الغير، أو موجباً للضرر</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وإلا فلا يجوز إلا برضاه، فتأمل</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7" w:name="__RefHeading___Toc11915478_2142443653"/>
      <w:bookmarkStart w:id="628" w:name="_Toc226"/>
      <w:bookmarkEnd w:id="627"/>
      <w:r>
        <w:rPr>
          <w:rtl w:val="true"/>
        </w:rPr>
        <w:t>استخدام العقول الإلكترونية</w:t>
      </w:r>
      <w:bookmarkEnd w:id="62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للفرد أو الدولة الإسلامية استخدام العقول الإلكترونية للأمور المباحة، كالمحاسبات المالية، فيستعين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لمحاسبة أمواله التي يريد إعطاء الخمس أو الزكاة منها، أو محاسبة الدولة عمّالها أو بيت المال، بشرط أن توجب الآلة الحاسبة القطع بنتائج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استخدامها للمباح فللأصل، وأما للحساب فإنه يكفي في ذلك الاطمئنان العرفي أيضاً، إذ لا فرق بين الآلة وغيرها، كما لا فرق بين</w:t>
      </w:r>
    </w:p>
    <w:p>
      <w:pPr>
        <w:pStyle w:val="BookText"/>
        <w:rPr/>
      </w:pP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الكلام في أنّ استحباب الطبيعي هل يسري للفرد أو لا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الأمثلة 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أو غير البالغ، والرضا يرفع حرمة الضرر غير البالغ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 الإضرار لا بأس به لو توقف عليه؛ إذ إنّ الضرب ونحوه من مراتب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المراتب يشترط إذن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يقوموا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عملوا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هنالك 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 علمهم كان غير متعارف، والملاك العلم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629" w:name="pg15697_169101"/>
    </w:p>
    <w:p>
      <w:pPr>
        <w:pStyle w:val="BookText"/>
        <w:rPr/>
      </w:pPr>
      <w:bookmarkEnd w:id="629"/>
      <w:r>
        <w:rPr>
          <w:rFonts w:ascii="Amiri" w:hAnsi="Amiri" w:eastAsia="Amiri" w:cs="Amiri"/>
          <w:color w:val="111111"/>
          <w:sz w:val="28"/>
          <w:sz w:val="28"/>
          <w:szCs w:val="28"/>
          <w:rtl w:val="true"/>
          <w:lang w:bidi="ar-SA"/>
        </w:rPr>
        <w:t>الآلات، لكن إذا علمنا اشتباهها بعض الأوقات لا يمكن الاعتماد عليها في محتمل النقص</w:t>
      </w:r>
      <w:r>
        <w:rPr>
          <w:rStyle w:val="FootnoteAnchor"/>
          <w:rtl w:val="true"/>
        </w:rPr>
        <w:footnoteReference w:id="963"/>
      </w:r>
      <w:r>
        <w:rPr>
          <w:rFonts w:ascii="Amiri" w:hAnsi="Amiri" w:eastAsia="Amiri" w:cs="Amiri"/>
          <w:color w:val="111111"/>
          <w:sz w:val="28"/>
          <w:sz w:val="28"/>
          <w:szCs w:val="28"/>
          <w:rtl w:val="true"/>
          <w:lang w:bidi="ar-SA"/>
        </w:rPr>
        <w:t>، وإن جاز في محتمل الزيادة</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وقد تكون المسألة من مصاديق العلم الإجمالي</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0" w:name="__RefHeading___Toc11915480_2142443653"/>
      <w:bookmarkStart w:id="631" w:name="_Toc227"/>
      <w:bookmarkEnd w:id="630"/>
      <w:r>
        <w:rPr>
          <w:rtl w:val="true"/>
        </w:rPr>
        <w:t>الاغتراب للدراسة</w:t>
      </w:r>
      <w:bookmarkEnd w:id="6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964"/>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بلاد الكفر لتحصيل العلوم</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ولكن يشترط في ذلك عدم تناول المحرمات</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كالذبائح لغير المسلمين، وكالأمور المحرمة والأمور النجسة، كما يشترط</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النظر إلى ما يحرم النظر إليه من النساء والفتيات، وعدم اتخاذهن خليلات،</w:t>
      </w:r>
    </w:p>
    <w:p>
      <w:pPr>
        <w:pStyle w:val="BookText"/>
        <w:rPr/>
      </w:pP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الاشتغال اليقيني يقتضي البراءة اليقينية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القدر المخمس يلاحظ فيه الأقل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علمنا أنّه إما يزيد أو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حراماً عقلياً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محذور التعرب بعد الهجرة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كالمال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والاضطرار لا يرفع الحرمة؛ لأنّها بالاختيار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الدار المغصوبة بسوء اختياره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أنّه يرتكب الحرام قطعاً كان من باب التزاحم، كما فعله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ولاحظ التجربة اليهودية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632" w:name="pg15697_169102"/>
    </w:p>
    <w:p>
      <w:pPr>
        <w:pStyle w:val="BookText"/>
        <w:rPr/>
      </w:pPr>
      <w:bookmarkEnd w:id="632"/>
      <w:r>
        <w:rPr>
          <w:rFonts w:ascii="Amiri" w:hAnsi="Amiri" w:eastAsia="Amiri" w:cs="Amiri"/>
          <w:color w:val="111111"/>
          <w:sz w:val="28"/>
          <w:sz w:val="28"/>
          <w:szCs w:val="28"/>
          <w:rtl w:val="true"/>
          <w:lang w:bidi="ar-SA"/>
        </w:rPr>
        <w:t>وكذلك يشترط القيام بواجباته الإسلامية من صوم وصلاة 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السفر بذاته ليس حراماً، كما أنّ المفروض عدم فعله المحرّم وتركه الواجب، وقد جرت السيرة للمسلمين منذ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السفر إلى بلاد الكفر لأجل التجارة ونحوها، لكن اللازم التحفّظ الكامل حتى لا ينزلق الإنسان، واللّه العاصم</w:t>
      </w:r>
      <w:r>
        <w:rPr>
          <w:rFonts w:eastAsia="Amiri" w:cs="Amiri" w:ascii="Amiri" w:hAnsi="Amiri"/>
          <w:color w:val="111111"/>
          <w:sz w:val="28"/>
          <w:szCs w:val="28"/>
          <w:rtl w:val="true"/>
          <w:lang w:bidi="ar-SA"/>
        </w:rPr>
        <w:t>.</w:t>
      </w:r>
    </w:p>
    <w:p>
      <w:pPr>
        <w:pStyle w:val="Heading2"/>
        <w:numPr>
          <w:ilvl w:val="1"/>
          <w:numId w:val="1"/>
        </w:numPr>
        <w:rPr/>
      </w:pPr>
      <w:bookmarkStart w:id="633" w:name="__RefHeading___Toc11915482_2142443653"/>
      <w:bookmarkStart w:id="634" w:name="_Toc228"/>
      <w:bookmarkEnd w:id="633"/>
      <w:r>
        <w:rPr>
          <w:rtl w:val="true"/>
        </w:rPr>
        <w:t>الزواج من أهل الكتاب</w:t>
      </w:r>
      <w:bookmarkEnd w:id="6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للشاب المسافر إلى الغرب أن يتمتع</w:t>
      </w:r>
      <w:r>
        <w:rPr>
          <w:rStyle w:val="FootnoteAnchor"/>
          <w:rtl w:val="true"/>
        </w:rPr>
        <w:footnoteReference w:id="968"/>
      </w:r>
      <w:r>
        <w:rPr>
          <w:rFonts w:ascii="Amiri" w:hAnsi="Amiri" w:eastAsia="Amiri" w:cs="Amiri"/>
          <w:color w:val="111111"/>
          <w:sz w:val="28"/>
          <w:sz w:val="28"/>
          <w:szCs w:val="28"/>
          <w:rtl w:val="true"/>
          <w:lang w:bidi="ar-SA"/>
        </w:rPr>
        <w:t xml:space="preserve"> بفتيات أهل الكتاب، كما يجوز أن يتخذ منهن زوجات دائمات</w:t>
      </w:r>
      <w:r>
        <w:rPr>
          <w:rStyle w:val="FootnoteAnchor"/>
          <w:rtl w:val="true"/>
        </w:rPr>
        <w:footnoteReference w:id="969"/>
      </w:r>
      <w:r>
        <w:rPr>
          <w:rFonts w:ascii="Amiri" w:hAnsi="Amiri" w:eastAsia="Amiri" w:cs="Amiri"/>
          <w:color w:val="111111"/>
          <w:sz w:val="28"/>
          <w:sz w:val="28"/>
          <w:szCs w:val="28"/>
          <w:rtl w:val="true"/>
          <w:lang w:bidi="ar-SA"/>
        </w:rPr>
        <w:t>، لكن يشترط في ذلك إجراء عقد صحيح، ولو بأن يبرق إلى بلاده في أن يزوجهن منه، بعد أخذ الوكالة</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التوكيل، نعم لا يجوز مناكحة غير أهل الكتاب من سائر الكفار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أدلة المناكحة وبعض الأدلة الخاصة، كما ذكرناها في</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يحتاج للإذن، إذا لم يكن ذلك في دينهم فتشملهم قاعدة الإلزام؟ وهل يحتاج لإذن الزوجة؟ فيه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 في باب الحدود</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الإلزام لا تشمل مثل هذه الموارد، بأن لا يعقد؛ لأنّ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في أنّ قاعدة الإلزام لها ثلاثة مصاديق</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635" w:name="pg15697_169103"/>
    </w:p>
    <w:p>
      <w:pPr>
        <w:pStyle w:val="BookText"/>
        <w:rPr/>
      </w:pPr>
      <w:bookmarkEnd w:id="635"/>
      <w:r>
        <w:rPr>
          <w:rFonts w:ascii="Amiri" w:hAnsi="Amiri" w:eastAsia="Amiri" w:cs="Amiri"/>
          <w:color w:val="111111"/>
          <w:sz w:val="28"/>
          <w:sz w:val="28"/>
          <w:szCs w:val="28"/>
          <w:rtl w:val="true"/>
          <w:lang w:bidi="ar-SA"/>
        </w:rPr>
        <w:t>كتاب النكاح، وأما غير أهل الكتاب فلا يجوز، نعم يلزم مراعاة أن لا يكون الزواج فخاً للانزلاق عقائدياً أو خلقياً بمثل العمالة والتجسس، كما قد يتعارف في الحكومات الاستعمارية، لكنها جهة خارجة عن ما نحن فيه</w:t>
      </w:r>
      <w:r>
        <w:rPr>
          <w:rFonts w:eastAsia="Amiri" w:cs="Amiri" w:ascii="Amiri" w:hAnsi="Amiri"/>
          <w:color w:val="111111"/>
          <w:sz w:val="28"/>
          <w:szCs w:val="28"/>
          <w:rtl w:val="true"/>
          <w:lang w:bidi="ar-SA"/>
        </w:rPr>
        <w:t>.</w:t>
      </w:r>
    </w:p>
    <w:p>
      <w:pPr>
        <w:pStyle w:val="Heading2"/>
        <w:numPr>
          <w:ilvl w:val="1"/>
          <w:numId w:val="1"/>
        </w:numPr>
        <w:rPr/>
      </w:pPr>
      <w:bookmarkStart w:id="636" w:name="__RefHeading___Toc11915484_2142443653"/>
      <w:bookmarkStart w:id="637" w:name="_Toc229"/>
      <w:bookmarkEnd w:id="636"/>
      <w:r>
        <w:rPr>
          <w:rtl w:val="true"/>
        </w:rPr>
        <w:t>الدفاع عن الإسلام</w:t>
      </w:r>
      <w:bookmarkEnd w:id="63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هوجم الإسلام أمام المسلم المغترب، وجب</w:t>
      </w:r>
      <w:r>
        <w:rPr>
          <w:rStyle w:val="FootnoteAnchor"/>
          <w:rtl w:val="true"/>
        </w:rPr>
        <w:footnoteReference w:id="974"/>
      </w:r>
      <w:r>
        <w:rPr>
          <w:rFonts w:ascii="Amiri" w:hAnsi="Amiri" w:eastAsia="Amiri" w:cs="Amiri"/>
          <w:color w:val="111111"/>
          <w:sz w:val="28"/>
          <w:sz w:val="28"/>
          <w:szCs w:val="28"/>
          <w:rtl w:val="true"/>
          <w:lang w:bidi="ar-SA"/>
        </w:rPr>
        <w:t xml:space="preserve"> عليه الدفاع، بشروط الأمر بالمعروف والنهي عن المنكر، وإذا أشكل عليه بما لم يتمكن من جوابه لزم الاستعانة ببلاد الإسلام في تحصيل جواب ذلك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الدفاع عن الإسلام واجب على كل مسلم،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وَاسْتَقِمْ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غيرهما من الآيات والروايات، وهكذا حال التبليغ إلى الإسلام، فإنه واجب كفائي على كل مسلم، وتعليم الأحكام إلى غير ذلك، فإن المقام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Style w:val="FootnoteAnchor"/>
          <w:rtl w:val="true"/>
        </w:rPr>
        <w:footnoteReference w:id="9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مقدمة لإسلامه، ولو احتمل التأثير في المستقبل، فإنّ نفس شروط الأمر موجودة في الدعوة ظاهراً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سبباً لإنقاذ السامعين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سبباً لئلا يطرح الشبهة مستقبلاً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سبباً لإتمام الحجة عليه؛ فإنّ إتمام الحجة هو هدف بعثة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638" w:name="pg15697_169104"/>
    </w:p>
    <w:p>
      <w:pPr>
        <w:pStyle w:val="Heading2"/>
        <w:numPr>
          <w:ilvl w:val="1"/>
          <w:numId w:val="1"/>
        </w:numPr>
        <w:rPr/>
      </w:pPr>
      <w:bookmarkStart w:id="639" w:name="__RefHeading___Toc11915486_2142443653"/>
      <w:bookmarkStart w:id="640" w:name="_Toc230"/>
      <w:bookmarkEnd w:id="638"/>
      <w:bookmarkEnd w:id="639"/>
      <w:r>
        <w:rPr>
          <w:rtl w:val="true"/>
        </w:rPr>
        <w:t>الزواج بدون عقد صحيح</w:t>
      </w:r>
      <w:bookmarkEnd w:id="64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الشاب بأهل الكتاب بدون عقد صحيح، أو تزوّج بغير أهل الكتاب، فاللازم</w:t>
      </w:r>
      <w:r>
        <w:rPr>
          <w:rStyle w:val="FootnoteAnchor"/>
          <w:rtl w:val="true"/>
        </w:rPr>
        <w:footnoteReference w:id="977"/>
      </w:r>
      <w:r>
        <w:rPr>
          <w:rFonts w:ascii="Amiri" w:hAnsi="Amiri" w:eastAsia="Amiri" w:cs="Amiri"/>
          <w:color w:val="111111"/>
          <w:sz w:val="28"/>
          <w:sz w:val="28"/>
          <w:szCs w:val="28"/>
          <w:rtl w:val="true"/>
          <w:lang w:bidi="ar-SA"/>
        </w:rPr>
        <w:t xml:space="preserve"> إجراء عقد صحيح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 عشرين سنة من تزويجه لها، كما أنّ اللازم أن يترك غير الكتابية أو تسلم</w:t>
      </w:r>
      <w:r>
        <w:rPr>
          <w:rStyle w:val="FootnoteAnchor"/>
          <w:rtl w:val="true"/>
        </w:rPr>
        <w:footnoteReference w:id="978"/>
      </w:r>
      <w:r>
        <w:rPr>
          <w:rFonts w:ascii="Amiri" w:hAnsi="Amiri" w:eastAsia="Amiri" w:cs="Amiri"/>
          <w:color w:val="111111"/>
          <w:sz w:val="28"/>
          <w:sz w:val="28"/>
          <w:szCs w:val="28"/>
          <w:rtl w:val="true"/>
          <w:lang w:bidi="ar-SA"/>
        </w:rPr>
        <w:t>، ويعقد عليها بعد إسلامها بعقد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الرضا من الطرفين بغير عقد لا يكفي</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في الحلية، كما أنّ المعاشرة مدة طويلة بعنوان الزوجية لا تجعل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غير الزوجة زوجة، وكذلك العكس، بأن تزوجت المسلمة بالكافر فإنه لا علاج إلا بإسلام الكافر وعقدهما من جديد، لكن إذا لم يعلم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من ذكر بالحرمة يكون أولادهما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تشمله قاعدة الإلزام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القواعد في تثليث الأنواع</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يكفي مجرد النطق بالشهادتين؟ فيه صور مختلفة، راجعها في كتاب الطهارة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83"/>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المعاطاة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الملاك العلم بالحرمة، كما هنا، أو القطع بصحة النكاح، كما في المسألة القادمة؟ الظاهر الأوّل، وهل يمكن ادعاء التلازم بينهما؟ الظاهر عدمه؛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641" w:name="pg15697_169105"/>
    </w:p>
    <w:p>
      <w:pPr>
        <w:pStyle w:val="BookText"/>
        <w:rPr/>
      </w:pPr>
      <w:bookmarkEnd w:id="641"/>
      <w:r>
        <w:rPr>
          <w:rFonts w:ascii="Amiri" w:hAnsi="Amiri" w:eastAsia="Amiri" w:cs="Amiri"/>
          <w:color w:val="111111"/>
          <w:sz w:val="28"/>
          <w:sz w:val="28"/>
          <w:szCs w:val="28"/>
          <w:rtl w:val="true"/>
          <w:lang w:bidi="ar-SA"/>
        </w:rPr>
        <w:t>ولد شبهة، وهو في الحكم كالحلال من جميع الجهات، كما سيأتي</w:t>
      </w:r>
      <w:r>
        <w:rPr>
          <w:rFonts w:eastAsia="Amiri" w:cs="Amiri" w:ascii="Amiri" w:hAnsi="Amiri"/>
          <w:color w:val="111111"/>
          <w:sz w:val="28"/>
          <w:szCs w:val="28"/>
          <w:rtl w:val="true"/>
          <w:lang w:bidi="ar-SA"/>
        </w:rPr>
        <w:t>.</w:t>
      </w:r>
    </w:p>
    <w:p>
      <w:pPr>
        <w:pStyle w:val="Heading2"/>
        <w:numPr>
          <w:ilvl w:val="1"/>
          <w:numId w:val="1"/>
        </w:numPr>
        <w:rPr/>
      </w:pPr>
      <w:bookmarkStart w:id="642" w:name="__RefHeading___Toc11915488_2142443653"/>
      <w:bookmarkStart w:id="643" w:name="_Toc231"/>
      <w:bookmarkEnd w:id="642"/>
      <w:r>
        <w:rPr>
          <w:rtl w:val="true"/>
        </w:rPr>
        <w:t>أولاد الشبهة</w:t>
      </w:r>
      <w:bookmarkEnd w:id="64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المرأة التي تزوجت زواجاً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شبهة، وحالهم حال أولاد الحلال، في النسب والإرث وغيرهما، إذا كان الشاب والفتاة يقطعان</w:t>
      </w:r>
      <w:r>
        <w:rPr>
          <w:rStyle w:val="FootnoteAnchor"/>
          <w:rtl w:val="true"/>
        </w:rPr>
        <w:footnoteReference w:id="985"/>
      </w:r>
      <w:r>
        <w:rPr>
          <w:rFonts w:ascii="Amiri" w:hAnsi="Amiri" w:eastAsia="Amiri" w:cs="Amiri"/>
          <w:color w:val="111111"/>
          <w:sz w:val="28"/>
          <w:sz w:val="28"/>
          <w:szCs w:val="28"/>
          <w:rtl w:val="true"/>
          <w:lang w:bidi="ar-SA"/>
        </w:rPr>
        <w:t xml:space="preserve"> صحة النكاح، وإذا كان أحدهما أو كلاهما عالماً بالتحريم كان الولد بالنسبة إلى العالم ولد 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علم الطرفين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ولدهما ولد حرام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ولا يرث ولا يورث بالنسبة إلى الأبوين وأقربائهما، نعم يرث</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ويورث بالنسبة إلى زوجته أو زوجها وأولاده، ومع قطعهما بالحلية فالولد ولد شبهة له كل أحكام ولد الحلال، ومع قطع أحدهما بالحلية والآخر بالحرمة، فالولد بالنسبة إلى قاطع الحلية ولد شبهة، وبالنسبة إلى قاطع الحرمة ولد حرام، وقد ذكرنا في الفقه أنّ ولد الحرام له كل أحكام ولد الحلال ما عدا الإرث ونحوه كالقضاء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قد يقطع ببطلان النكاح ويرى الحلّيّة للتملك مثلاً أو للإلزام،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 نوع نكاح، كما هو كذلك، فيبقى الإلزام،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الملاك العلم بالحرمة،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تصح إمامة مَنْ كان من طرفٍ ولد حرام ومن طرفٍ ولد حلال؟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يتبع أشرف الأبوين، فتأمل وراجع</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 وهم أولاد حقيقة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644" w:name="pg15697_169106"/>
    </w:p>
    <w:p>
      <w:pPr>
        <w:pStyle w:val="Heading2"/>
        <w:numPr>
          <w:ilvl w:val="1"/>
          <w:numId w:val="1"/>
        </w:numPr>
        <w:rPr/>
      </w:pPr>
      <w:bookmarkStart w:id="645" w:name="__RefHeading___Toc11915490_2142443653"/>
      <w:bookmarkStart w:id="646" w:name="_Toc232"/>
      <w:bookmarkEnd w:id="644"/>
      <w:bookmarkEnd w:id="645"/>
      <w:r>
        <w:rPr>
          <w:rtl w:val="true"/>
        </w:rPr>
        <w:t>التبليغ بالوسائل الحديثة</w:t>
      </w:r>
      <w:bookmarkEnd w:id="64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988"/>
      </w:r>
      <w:r>
        <w:rPr>
          <w:rFonts w:ascii="Amiri" w:hAnsi="Amiri" w:eastAsia="Amiri" w:cs="Amiri"/>
          <w:color w:val="111111"/>
          <w:sz w:val="28"/>
          <w:sz w:val="28"/>
          <w:szCs w:val="28"/>
          <w:rtl w:val="true"/>
          <w:lang w:bidi="ar-SA"/>
        </w:rPr>
        <w:t xml:space="preserve"> نشر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الإمكان</w:t>
      </w:r>
      <w:r>
        <w:rPr>
          <w:rStyle w:val="FootnoteAnchor"/>
          <w:rtl w:val="true"/>
        </w:rPr>
        <w:footnoteReference w:id="9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الآفاق، وبمختلف الوسائل الحديثة من الأقمار الصناعية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تبليغ الإسلام واجب كفائي</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على كل قادر، قال سبحانه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وأنّه إذا علق العنوان على كلّي شمل شمولاً أولياً لكل المصاديق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 والفرد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الأمر هل ينتشر على الفرد أو لا؟</w:t>
      </w:r>
      <w:r>
        <w:rPr>
          <w:rStyle w:val="FootnoteAnchor"/>
          <w:rtl w:val="true"/>
        </w:rPr>
        <w:footnoteReference w:id="992"/>
      </w:r>
    </w:p>
    <w:p>
      <w:pPr>
        <w:pStyle w:val="BookText"/>
        <w:rPr/>
      </w:pP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حسب الطريقة المتعارفة لدى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العروة، التقليد، بحث إعلام من نقل إليه الفتوى خطأً</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 شبهة تحوله واجباً عينياً؛ لعدم وجود مَنْ فيه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647" w:name="pg15697_169107"/>
    </w:p>
    <w:p>
      <w:pPr>
        <w:pStyle w:val="BookText"/>
        <w:rPr/>
      </w:pPr>
      <w:bookmarkEnd w:id="6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وَاسْتَقِمْ</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إلى غيرهما من الآيات والروايات الكثيرة، وإنما نقول بالكفائية؛ لأنها المستفاد من الجمع بين الإطلاقات</w:t>
      </w:r>
      <w:r>
        <w:rPr>
          <w:rStyle w:val="FootnoteAnchor"/>
          <w:rtl w:val="true"/>
        </w:rPr>
        <w:footnoteReference w:id="1001"/>
      </w:r>
      <w:r>
        <w:rPr>
          <w:rFonts w:ascii="Amiri" w:hAnsi="Amiri" w:eastAsia="Amiri" w:cs="Amiri"/>
          <w:color w:val="111111"/>
          <w:sz w:val="28"/>
          <w:sz w:val="28"/>
          <w:szCs w:val="28"/>
          <w:rtl w:val="true"/>
          <w:lang w:bidi="ar-SA"/>
        </w:rPr>
        <w:t xml:space="preserve"> والطريقية</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يفهمه العرف</w:t>
      </w:r>
      <w:r>
        <w:rPr>
          <w:rFonts w:eastAsia="Amiri" w:cs="Amiri" w:ascii="Amiri" w:hAnsi="Amiri"/>
          <w:color w:val="111111"/>
          <w:sz w:val="28"/>
          <w:szCs w:val="28"/>
          <w:rtl w:val="true"/>
          <w:lang w:bidi="ar-SA"/>
        </w:rPr>
        <w:t>.</w:t>
      </w:r>
    </w:p>
    <w:p>
      <w:pPr>
        <w:pStyle w:val="Heading2"/>
        <w:numPr>
          <w:ilvl w:val="1"/>
          <w:numId w:val="1"/>
        </w:numPr>
        <w:rPr/>
      </w:pPr>
      <w:bookmarkStart w:id="648" w:name="__RefHeading___Toc11915492_2142443653"/>
      <w:bookmarkStart w:id="649" w:name="_Toc233"/>
      <w:bookmarkEnd w:id="648"/>
      <w:r>
        <w:rPr>
          <w:rtl w:val="true"/>
        </w:rPr>
        <w:t>الأمر والنهي بالوسائل الحديثة</w:t>
      </w:r>
      <w:bookmarkEnd w:id="64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الأمر بالمعروف والنهي عن المنكر، بمختلف الوسائل الممكنة، وباستخدام الوسائل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للإطلاقات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الأولية، وهنا أيضاً كفائي لما تقدم،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لكن من المحتمل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لا للتبعيض،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p>
    <w:p>
      <w:pPr>
        <w:pStyle w:val="BookText"/>
        <w:rPr/>
      </w:pP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أنّ الأصل في كلّ واجب العينية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التأثير أو هو يحصل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0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تقديم المبيِّن على المبيَّن، وفيه 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لا تفيد الحصر، وفيه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المطوّل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650" w:name="pg15697_169108"/>
    </w:p>
    <w:p>
      <w:pPr>
        <w:pStyle w:val="BookText"/>
        <w:rPr/>
      </w:pPr>
      <w:bookmarkEnd w:id="650"/>
      <w:r>
        <w:rPr>
          <w:rFonts w:ascii="Amiri" w:hAnsi="Amiri" w:eastAsia="Amiri" w:cs="Amiri"/>
          <w:color w:val="111111"/>
          <w:sz w:val="28"/>
          <w:sz w:val="28"/>
          <w:szCs w:val="28"/>
          <w:rtl w:val="true"/>
          <w:lang w:bidi="ar-SA"/>
        </w:rPr>
        <w:t xml:space="preserve">حصر الفلاح فيهم، لكن قرينة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التبعيض، فالمراد بأخير الآية فضيلة هؤلاء بالفلاح الكامل</w:t>
      </w:r>
      <w:r>
        <w:rPr>
          <w:rFonts w:eastAsia="Amiri" w:cs="Amiri" w:ascii="Amiri" w:hAnsi="Amiri"/>
          <w:color w:val="111111"/>
          <w:sz w:val="28"/>
          <w:szCs w:val="28"/>
          <w:rtl w:val="true"/>
          <w:lang w:bidi="ar-SA"/>
        </w:rPr>
        <w:t>.</w:t>
      </w:r>
    </w:p>
    <w:p>
      <w:pPr>
        <w:pStyle w:val="Heading2"/>
        <w:numPr>
          <w:ilvl w:val="1"/>
          <w:numId w:val="1"/>
        </w:numPr>
        <w:rPr/>
      </w:pPr>
      <w:bookmarkStart w:id="651" w:name="__RefHeading___Toc11915494_2142443653"/>
      <w:bookmarkStart w:id="652" w:name="_Toc234"/>
      <w:bookmarkEnd w:id="651"/>
      <w:r>
        <w:rPr>
          <w:rtl w:val="true"/>
        </w:rPr>
        <w:t>ذب الشبهات عن الإسلام</w:t>
      </w:r>
      <w:bookmarkEnd w:id="6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w:t>
      </w:r>
      <w:r>
        <w:rPr>
          <w:rStyle w:val="FootnoteAnchor"/>
          <w:rtl w:val="true"/>
        </w:rPr>
        <w:footnoteReference w:id="1007"/>
      </w:r>
      <w:r>
        <w:rPr>
          <w:rFonts w:ascii="Amiri" w:hAnsi="Amiri" w:eastAsia="Amiri" w:cs="Amiri"/>
          <w:color w:val="111111"/>
          <w:sz w:val="28"/>
          <w:sz w:val="28"/>
          <w:szCs w:val="28"/>
          <w:rtl w:val="true"/>
          <w:lang w:bidi="ar-SA"/>
        </w:rPr>
        <w:t xml:space="preserve"> الإشكالات وذب الشبهات التي يوردها الأعداء والجهال على الإسلام في أصوله وفروعه بمختلف الوسائل القديمة كالكتب، أو الحديثة كالمذياع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من الدعوة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إلى الخير والهداية، وغير ذلك مما ذكر في الآيات والروايات، إضافة إلى أنه من الدفاع عن الإسلام،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واجب في حدّ ذاته، أو إذا ترتب على عدم الرد محذور؟ الظاهر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سبب إغواء الآخرين، أو احتمل هدايته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بحث احتمال التأثير في الأمر والنهي، وهل هو شرط في الدعوة إلى اللّه أيضاً؟</w:t>
      </w:r>
      <w:r>
        <w:rPr>
          <w:rStyle w:val="FootnoteAnchor"/>
          <w:rtl w:val="true"/>
        </w:rPr>
        <w:footnoteReference w:id="10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وردع المنكر رفعاً ودفعاً لو قيل بوجوب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الإعانة على الإثم في المكاسب</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653" w:name="pg15697_169109"/>
    </w:p>
    <w:p>
      <w:pPr>
        <w:pStyle w:val="Heading2"/>
        <w:numPr>
          <w:ilvl w:val="1"/>
          <w:numId w:val="1"/>
        </w:numPr>
        <w:rPr/>
      </w:pPr>
      <w:bookmarkStart w:id="654" w:name="__RefHeading___Toc11915496_2142443653"/>
      <w:bookmarkStart w:id="655" w:name="_Toc235"/>
      <w:bookmarkEnd w:id="653"/>
      <w:bookmarkEnd w:id="654"/>
      <w:r>
        <w:rPr>
          <w:rtl w:val="true"/>
        </w:rPr>
        <w:t>التلقيح لتكثير النتاج</w:t>
      </w:r>
      <w:bookmarkEnd w:id="6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الإنسان، أو الحيوان، أو النبات، بما يوجب نموه وكثرة إنتاجه جائز فيما إذا لم تكن جهة محرّمة، مثل تلقيح الإنسان بالمواد المسكرة</w:t>
      </w:r>
      <w:r>
        <w:rPr>
          <w:rStyle w:val="FootnoteAnchor"/>
          <w:rtl w:val="true"/>
        </w:rPr>
        <w:footnoteReference w:id="1013"/>
      </w:r>
      <w:r>
        <w:rPr>
          <w:rFonts w:ascii="Amiri" w:hAnsi="Amiri" w:eastAsia="Amiri" w:cs="Amiri"/>
          <w:color w:val="111111"/>
          <w:sz w:val="28"/>
          <w:sz w:val="28"/>
          <w:szCs w:val="28"/>
          <w:rtl w:val="true"/>
          <w:lang w:bidi="ar-SA"/>
        </w:rPr>
        <w:t xml:space="preserve"> مثلاً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لأصالة الحل، بل ربما يستحب؛ لأنه من تقوية المعاش</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 ومتواتر الروايات تدل على التحريض عليه، كما ذكرنا جملة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الاستثناء ظاهر</w:t>
      </w:r>
      <w:r>
        <w:rPr>
          <w:rFonts w:eastAsia="Amiri" w:cs="Amiri" w:ascii="Amiri" w:hAnsi="Amiri"/>
          <w:color w:val="111111"/>
          <w:sz w:val="28"/>
          <w:szCs w:val="28"/>
          <w:rtl w:val="true"/>
          <w:lang w:bidi="ar-SA"/>
        </w:rPr>
        <w:t>.</w:t>
      </w:r>
    </w:p>
    <w:p>
      <w:pPr>
        <w:pStyle w:val="Heading2"/>
        <w:numPr>
          <w:ilvl w:val="1"/>
          <w:numId w:val="1"/>
        </w:numPr>
        <w:rPr/>
      </w:pPr>
      <w:bookmarkStart w:id="656" w:name="__RefHeading___Toc11915498_2142443653"/>
      <w:bookmarkStart w:id="657" w:name="_Toc236"/>
      <w:bookmarkEnd w:id="656"/>
      <w:r>
        <w:rPr>
          <w:rtl w:val="true"/>
        </w:rPr>
        <w:t>السحاب الصناعي</w:t>
      </w:r>
      <w:bookmarkEnd w:id="65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السحاب الصناعي بسبب تفجير القنابل الممطرة، إذا كان تكويناً للسحاب الطبيعي بواسطة الآلة كان لمطره حكم</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سببت الإسكار،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لم يسبب التلقيح الإسكار مطلقاً ففيه نظر،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خلاف الارتكاز المتشرعي،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تقيؤ الخمر في كتاب الأطعمة والأشربة</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اختلال النظام، لو ولّد عدداً هائلاً</w:t>
      </w:r>
      <w:r>
        <w:rPr>
          <w:rFonts w:eastAsia="IRNazanin" w:cs="IRNazanin"/>
          <w:color w:val="111111"/>
          <w:sz w:val="28"/>
          <w:szCs w:val="28"/>
          <w:rtl w:val="true"/>
          <w:lang w:bidi="fa-IR"/>
        </w:rPr>
        <w:t>.</w:t>
      </w:r>
    </w:p>
    <w:p>
      <w:pPr>
        <w:pStyle w:val="BookText"/>
        <w:rPr/>
      </w:pP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أو للأمة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658" w:name="pg15697_169110"/>
    </w:p>
    <w:p>
      <w:pPr>
        <w:pStyle w:val="BookText"/>
        <w:rPr/>
      </w:pPr>
      <w:bookmarkEnd w:id="658"/>
      <w:r>
        <w:rPr>
          <w:rFonts w:ascii="Amiri" w:hAnsi="Amiri" w:eastAsia="Amiri" w:cs="Amiri"/>
          <w:color w:val="111111"/>
          <w:sz w:val="28"/>
          <w:sz w:val="28"/>
          <w:szCs w:val="28"/>
          <w:rtl w:val="true"/>
          <w:lang w:bidi="ar-SA"/>
        </w:rPr>
        <w:t>سائر الأمطار في التطهير، وإلا كان لمطره حكم الماء القليل</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 صار مطراً طبيعياً، وإذا تحقق الموضوع تحقق الحكم،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بمطر، وإنما في شكل المطر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والتمييز بينهما أنه هذا أو هذا حسب نظر أهل الخبرة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9" w:name="__RefHeading___Toc11915500_2142443653"/>
      <w:bookmarkStart w:id="660" w:name="_Toc237"/>
      <w:bookmarkEnd w:id="659"/>
      <w:r>
        <w:rPr>
          <w:rtl w:val="true"/>
        </w:rPr>
        <w:t>الترجمة بالآلات</w:t>
      </w:r>
      <w:bookmarkEnd w:id="66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الكلام بواسطة الآلة المترجمة، إذا علم</w:t>
      </w:r>
      <w:r>
        <w:rPr>
          <w:rStyle w:val="FootnoteAnchor"/>
          <w:rtl w:val="true"/>
        </w:rPr>
        <w:footnoteReference w:id="1022"/>
      </w:r>
      <w:r>
        <w:rPr>
          <w:rFonts w:ascii="Amiri" w:hAnsi="Amiri" w:eastAsia="Amiri" w:cs="Amiri"/>
          <w:color w:val="111111"/>
          <w:sz w:val="28"/>
          <w:sz w:val="28"/>
          <w:szCs w:val="28"/>
          <w:rtl w:val="true"/>
          <w:lang w:bidi="ar-SA"/>
        </w:rPr>
        <w:t xml:space="preserve"> الإنسان بصحة الترجمة، يترتب عليها حكم الإقرار وما أشبه، بدون حاجة إلى شهادة العدلين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لوضوح أنه لا فرق في الإقرار بين اللغات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أن يعرف أنّ هذا ترجمة الكلام السابق قطعاً، وإلا احتاج الأمر إلى شهادة</w:t>
      </w:r>
    </w:p>
    <w:p>
      <w:pPr>
        <w:pStyle w:val="BookText"/>
        <w:rPr/>
      </w:pP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 صدق عرفاً أنّه مطر، بعد معرفة واقع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إشكالان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بمطر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مطراً، لكن الأدلة منصرفة عنه،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يستشكل بأنّه كالبرتقال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الحنطة الصناعية، فقد يندرج تحت الموضوع حقيقة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العرف العارف بواقع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بحث أنّ نظر العرف حجة أو لا؟</w:t>
      </w:r>
      <w:r>
        <w:rPr>
          <w:rStyle w:val="FootnoteAnchor"/>
          <w:rtl w:val="true"/>
        </w:rPr>
        <w:footnoteReference w:id="1025"/>
      </w:r>
      <w:r>
        <w:rPr>
          <w:rFonts w:ascii="Amiri" w:hAnsi="Amiri" w:eastAsia="Amiri" w:cs="Amiri"/>
          <w:color w:val="111111"/>
          <w:sz w:val="28"/>
          <w:sz w:val="28"/>
          <w:szCs w:val="28"/>
          <w:rtl w:val="true"/>
          <w:lang w:bidi="ar-SA"/>
        </w:rPr>
        <w:t xml:space="preserve">، والأنواع الثلاثة للتطبيقات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أول هذا الكتاب</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اطمأنّ، فإنّ الاطمئنان مرتبة من مراتب العلم عرفاً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661" w:name="pg15697_169111"/>
    </w:p>
    <w:p>
      <w:pPr>
        <w:pStyle w:val="BookText"/>
        <w:rPr/>
      </w:pPr>
      <w:bookmarkEnd w:id="661"/>
      <w:r>
        <w:rPr>
          <w:rFonts w:ascii="Amiri" w:hAnsi="Amiri" w:eastAsia="Amiri" w:cs="Amiri"/>
          <w:color w:val="111111"/>
          <w:sz w:val="28"/>
          <w:sz w:val="28"/>
          <w:szCs w:val="28"/>
          <w:rtl w:val="true"/>
          <w:lang w:bidi="ar-SA"/>
        </w:rPr>
        <w:t>عدلين ونحوه</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ترجمة له</w:t>
      </w:r>
      <w:r>
        <w:rPr>
          <w:rFonts w:eastAsia="Amiri" w:cs="Amiri" w:ascii="Amiri" w:hAnsi="Amiri"/>
          <w:color w:val="111111"/>
          <w:sz w:val="28"/>
          <w:szCs w:val="28"/>
          <w:rtl w:val="true"/>
          <w:lang w:bidi="ar-SA"/>
        </w:rPr>
        <w:t>.</w:t>
      </w:r>
    </w:p>
    <w:p>
      <w:pPr>
        <w:pStyle w:val="Heading2"/>
        <w:numPr>
          <w:ilvl w:val="1"/>
          <w:numId w:val="1"/>
        </w:numPr>
        <w:rPr/>
      </w:pPr>
      <w:bookmarkStart w:id="662" w:name="__RefHeading___Toc11915502_2142443653"/>
      <w:bookmarkStart w:id="663" w:name="_Toc238"/>
      <w:bookmarkEnd w:id="662"/>
      <w:r>
        <w:rPr>
          <w:rtl w:val="true"/>
        </w:rPr>
        <w:t>الزلازل غير الطبيعية</w:t>
      </w:r>
      <w:bookmarkEnd w:id="6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سببت الآلة الزلزلة، فإن سببت زلزلة طبيعية</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بأن كانت الآلة مثاراً لها، كانت زلزلة موجبة لصلاة الآيات، أما إذا لم تكن زلزلة طبيعية، بل تحريكاً لانفجار القنبلة و ما أشبه، لم توجب صلاة الآيات، بل حالها حال هدم بناء يوجب صوتاً هائلاً وحركة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المستثنى منه للصدق العرفي، وكلما تحقق الموضوع تحقق الحكم، وفي المستثنى لوضوح أنه ليس بزلزلة عرفاً وإنما صورتها، والصورة ليست موضوعاً لصلاة الآيات، ولو فرض الشك أنه من أيهما لا تجب الصلاة؛ لأصالة العدم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4" w:name="__RefHeading___Toc11915504_2142443653"/>
      <w:bookmarkStart w:id="665" w:name="_Toc239"/>
      <w:bookmarkEnd w:id="664"/>
      <w:r>
        <w:rPr>
          <w:rtl w:val="true"/>
        </w:rPr>
        <w:t>إحداث الزلزلة</w:t>
      </w:r>
      <w:bookmarkEnd w:id="66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إحداث الزلزلة بسبب الآلة، فيما إذا كانت موجبة</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شهادة العدل الواحد أو الثقة، فإنّهما يثبتان الموضوعات الخارجية،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عليها الزلزلة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استصحاب موضوعي، وأمّا الحكمي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الأصول تجري في المتوافقين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بينهما حكومة أو 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النهي أو أنّه نفي يشمل مثل ذلك، وإلا كفت سائر أدلة حرمة الإضرار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666" w:name="pg15697_169112"/>
    </w:p>
    <w:p>
      <w:pPr>
        <w:pStyle w:val="BookText"/>
        <w:rPr/>
      </w:pPr>
      <w:bookmarkEnd w:id="666"/>
      <w:r>
        <w:rPr>
          <w:rFonts w:ascii="IRNazanin" w:hAnsi="IRNazanin" w:eastAsia="IRNazanin"/>
          <w:color w:val="111111"/>
          <w:sz w:val="28"/>
          <w:sz w:val="28"/>
          <w:szCs w:val="28"/>
          <w:rtl w:val="true"/>
          <w:lang w:bidi="fa-IR"/>
        </w:rPr>
        <w:t xml:space="preserve">لضرر الناس،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Style w:val="FootnoteAnchor"/>
          <w:rtl w:val="true"/>
        </w:rPr>
        <w:footnoteReference w:id="1028"/>
      </w:r>
      <w:r>
        <w:rPr>
          <w:rFonts w:ascii="Amiri" w:hAnsi="Amiri" w:eastAsia="Amiri" w:cs="Amiri"/>
          <w:color w:val="111111"/>
          <w:sz w:val="28"/>
          <w:sz w:val="28"/>
          <w:szCs w:val="28"/>
          <w:rtl w:val="true"/>
          <w:lang w:bidi="ar-SA"/>
        </w:rPr>
        <w:t xml:space="preserve"> ولا ضرار في الإسلام</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وإذا أحدث الزلزلة كان على المحدث الضمان وتحمل الخسارة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من أضرّ الآخر سواء بواسطة أم بدون واسطة وجب عليه التدارك، بالإضافة إلى الحكم التكليفي</w:t>
      </w:r>
      <w:r>
        <w:rPr>
          <w:rFonts w:eastAsia="Amiri" w:cs="Amiri" w:ascii="Amiri" w:hAnsi="Amiri"/>
          <w:color w:val="111111"/>
          <w:sz w:val="28"/>
          <w:szCs w:val="28"/>
          <w:rtl w:val="true"/>
          <w:lang w:bidi="ar-SA"/>
        </w:rPr>
        <w:t>.</w:t>
      </w:r>
    </w:p>
    <w:p>
      <w:pPr>
        <w:pStyle w:val="Heading2"/>
        <w:numPr>
          <w:ilvl w:val="1"/>
          <w:numId w:val="1"/>
        </w:numPr>
        <w:rPr/>
      </w:pPr>
      <w:bookmarkStart w:id="667" w:name="__RefHeading___Toc11915506_2142443653"/>
      <w:bookmarkStart w:id="668" w:name="_Toc240"/>
      <w:bookmarkEnd w:id="667"/>
      <w:r>
        <w:rPr>
          <w:rtl w:val="true"/>
        </w:rPr>
        <w:t>أجواء البلاد</w:t>
      </w:r>
      <w:bookmarkEnd w:id="6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أجواء</w:t>
      </w:r>
      <w:r>
        <w:rPr>
          <w:rStyle w:val="FootnoteAnchor"/>
          <w:rtl w:val="true"/>
        </w:rPr>
        <w:footnoteReference w:id="1030"/>
      </w:r>
      <w:r>
        <w:rPr>
          <w:rFonts w:ascii="IRNazanin" w:hAnsi="IRNazanin" w:eastAsia="IRNazanin"/>
          <w:color w:val="111111"/>
          <w:sz w:val="28"/>
          <w:sz w:val="28"/>
          <w:szCs w:val="28"/>
          <w:rtl w:val="true"/>
          <w:lang w:bidi="fa-IR"/>
        </w:rPr>
        <w:t xml:space="preserve"> البلاد وحدودها</w:t>
      </w:r>
      <w:r>
        <w:rPr>
          <w:rStyle w:val="FootnoteAnchor"/>
          <w:rtl w:val="true"/>
        </w:rPr>
        <w:footnoteReference w:id="1031"/>
      </w:r>
      <w:r>
        <w:rPr>
          <w:rFonts w:ascii="Amiri" w:hAnsi="Amiri" w:eastAsia="Amiri" w:cs="Amiri"/>
          <w:color w:val="111111"/>
          <w:sz w:val="28"/>
          <w:sz w:val="28"/>
          <w:szCs w:val="28"/>
          <w:rtl w:val="true"/>
          <w:lang w:bidi="ar-SA"/>
        </w:rPr>
        <w:t xml:space="preserve"> وأنهرها، إذا عدت حقاً للبلد، لم يكن لدولة أخرى أو لإنسان خرق حرمتها، لقاعدة</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يتوى حق امرئ مسلم</w:t>
      </w:r>
      <w:r>
        <w:rPr>
          <w:rFonts w:eastAsia="Amiri" w:cs="Amiri" w:ascii="Amiri" w:hAnsi="Amiri"/>
          <w:color w:val="111111"/>
          <w:sz w:val="28"/>
          <w:szCs w:val="28"/>
          <w:rtl w:val="true"/>
          <w:lang w:bidi="ar-SA"/>
        </w:rPr>
        <w:t>)</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يكون ذلك إذا عدّ حقاً</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وجود الحقّ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بلاد الإسلام وبلاد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قوانين البلاد الوضعية نافذة ويلزم احترامها</w:t>
      </w:r>
      <w:r>
        <w:rPr>
          <w:rFonts w:eastAsia="Amiri" w:cs="Amiri" w:ascii="Amiri" w:hAnsi="Amiri"/>
          <w:color w:val="111111"/>
          <w:sz w:val="28"/>
          <w:szCs w:val="28"/>
          <w:rtl w:val="true"/>
          <w:lang w:bidi="ar-SA"/>
        </w:rPr>
        <w:t>.</w:t>
      </w:r>
    </w:p>
    <w:p>
      <w:pPr>
        <w:pStyle w:val="BookText"/>
        <w:rPr/>
      </w:pP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الموات مباح أصلي، وكذا الأنهر، لكن دليل الحقّ حاكم على ذلك،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العدم موجباً للهرج والمرج، فقررت الدولة الشرعية احترام الحدود مؤقتاً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حقّ العباد لا يتجاوز تعالى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عرفي، وكل حق عرفاً حقّ شرعاً،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لئلا يتوى حق امرئ</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669" w:name="pg15697_169113"/>
    </w:p>
    <w:p>
      <w:pPr>
        <w:pStyle w:val="BookText"/>
        <w:rPr/>
      </w:pPr>
      <w:bookmarkEnd w:id="669"/>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ولم يكن هناك دليل شرعي يمنع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الحق كسائر المواضيع أمر عرفي، فكلما تحقق الموضوع تحقق الحكم، ومن الواضح أنه إذا كان للفرد الحق فللأمة الحق بطريق أولى، نعم الإسلام لا يرى للحدود الجغرافية في البلاد الإسلامية وزناً، ولذا كان كل قانون يتبع ذلك لا وزن له، واللازم أن لا يلتزم</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به مسلم، إذ الالتزام بالباطل محرم، إلا إذا كان اضطرار ونحوه من المستثنيات</w:t>
      </w:r>
      <w:r>
        <w:rPr>
          <w:rFonts w:eastAsia="Amiri" w:cs="Amiri" w:ascii="Amiri" w:hAnsi="Amiri"/>
          <w:color w:val="111111"/>
          <w:sz w:val="28"/>
          <w:szCs w:val="28"/>
          <w:rtl w:val="true"/>
          <w:lang w:bidi="ar-SA"/>
        </w:rPr>
        <w:t>.</w:t>
      </w:r>
    </w:p>
    <w:p>
      <w:pPr>
        <w:pStyle w:val="Heading2"/>
        <w:numPr>
          <w:ilvl w:val="1"/>
          <w:numId w:val="1"/>
        </w:numPr>
        <w:rPr/>
      </w:pPr>
      <w:bookmarkStart w:id="670" w:name="__RefHeading___Toc11915508_2142443653"/>
      <w:bookmarkStart w:id="671" w:name="_Toc241"/>
      <w:bookmarkEnd w:id="670"/>
      <w:r>
        <w:rPr>
          <w:rtl w:val="true"/>
        </w:rPr>
        <w:t>عصارة المحرمات</w:t>
      </w:r>
      <w:bookmarkEnd w:id="67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موقوف على أنَّهُ كلّ حقّ عرفي شرعي، مثل حقّ الطابور وحقوق الطبع، ولو شككنا فلا كبرى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وعملي، ولعل المراد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القلبي فبحثه منوط ببحث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الالتزام العملي؟ وأي شخص يلتزم أن لا يحمل بضائع يعتبرها القانون تهريباً، وأن لا يتجاوز الحدود إلاّ بالجواز؟</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منه في حدّ نفسه، إلاّ إذا عدّ تأييداً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نظر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القانون الباطل لابدّ أن يكسر، وكيفية كسره بأن يخرقه الناس، فهو كمنع التجوّل الذي إذا خرقه كثيرون سقط، ولم تعد له قيمة في النفوس ولا 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قانون المطبوعات الممنوعة، فينطبق في المقام عنوان النهي عن المنكر، ودفع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الحدود لا يترتب عليها كثير من المحرّمات، بالإضافة إلى حرمتها في 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672" w:name="pg15697_169114"/>
    </w:p>
    <w:p>
      <w:pPr>
        <w:pStyle w:val="BookText"/>
        <w:rPr/>
      </w:pPr>
      <w:bookmarkEnd w:id="672"/>
      <w:r>
        <w:rPr>
          <w:rFonts w:ascii="IRNazanin" w:hAnsi="IRNazanin" w:eastAsia="IRNazanin"/>
          <w:color w:val="111111"/>
          <w:sz w:val="28"/>
          <w:sz w:val="28"/>
          <w:szCs w:val="28"/>
          <w:rtl w:val="true"/>
          <w:lang w:bidi="fa-IR"/>
        </w:rPr>
        <w:t>من المحرمات</w:t>
      </w:r>
      <w:r>
        <w:rPr>
          <w:rStyle w:val="FootnoteAnchor"/>
          <w:rtl w:val="true"/>
        </w:rPr>
        <w:footnoteReference w:id="1035"/>
      </w:r>
      <w:r>
        <w:rPr>
          <w:rFonts w:ascii="Amiri" w:hAnsi="Amiri" w:eastAsia="Amiri" w:cs="Amiri"/>
          <w:color w:val="111111"/>
          <w:sz w:val="28"/>
          <w:sz w:val="28"/>
          <w:szCs w:val="28"/>
          <w:rtl w:val="true"/>
          <w:lang w:bidi="ar-SA"/>
        </w:rPr>
        <w:t xml:space="preserve"> عصارتها وخلاصتها، فإن كان ذلك بنحو الاستحالة</w:t>
      </w:r>
      <w:r>
        <w:rPr>
          <w:rStyle w:val="FootnoteAnchor"/>
          <w:rtl w:val="true"/>
        </w:rPr>
        <w:footnoteReference w:id="1036"/>
      </w:r>
      <w:r>
        <w:rPr>
          <w:rFonts w:ascii="Amiri" w:hAnsi="Amiri" w:eastAsia="Amiri" w:cs="Amiri"/>
          <w:color w:val="111111"/>
          <w:sz w:val="28"/>
          <w:sz w:val="28"/>
          <w:szCs w:val="28"/>
          <w:rtl w:val="true"/>
          <w:lang w:bidi="ar-SA"/>
        </w:rPr>
        <w:t xml:space="preserve"> حلّ؛ لقاعدة</w:t>
      </w:r>
      <w:r>
        <w:rPr>
          <w:rStyle w:val="FootnoteAnchor"/>
          <w:rtl w:val="true"/>
        </w:rPr>
        <w:footnoteReference w:id="10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 وإن لم تحصل</w:t>
      </w:r>
      <w:r>
        <w:rPr>
          <w:rStyle w:val="FootnoteAnchor"/>
          <w:rtl w:val="true"/>
        </w:rPr>
        <w:footnoteReference w:id="1039"/>
      </w:r>
      <w:r>
        <w:rPr>
          <w:rFonts w:ascii="Amiri" w:hAnsi="Amiri" w:eastAsia="Amiri" w:cs="Amiri"/>
          <w:color w:val="111111"/>
          <w:sz w:val="28"/>
          <w:sz w:val="28"/>
          <w:szCs w:val="28"/>
          <w:rtl w:val="true"/>
          <w:lang w:bidi="ar-SA"/>
        </w:rPr>
        <w:t xml:space="preserve"> الاستحالة المحللة، فالظاهر بقاؤهُ على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الاستحالة تحلل؛ لما ذكر في بحث المطهرات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 إذا لم تتحقق الاستحالة ونحوها كالانقلاب فدليل الحرمة شامل للخلاصة كشموله قبل ذلك، والاحتمال الضعيف في أن الدليل لا يشمل الخلاصة غير معتنىً به، ولهذا الاحتمال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Heading2"/>
        <w:numPr>
          <w:ilvl w:val="1"/>
          <w:numId w:val="1"/>
        </w:numPr>
        <w:rPr/>
      </w:pPr>
      <w:bookmarkStart w:id="673" w:name="__RefHeading___Toc11915510_2142443653"/>
      <w:bookmarkStart w:id="674" w:name="_Toc242"/>
      <w:bookmarkEnd w:id="673"/>
      <w:r>
        <w:rPr>
          <w:rtl w:val="true"/>
        </w:rPr>
        <w:t>النجاسات وعصارتها</w:t>
      </w:r>
      <w:bookmarkEnd w:id="6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النجاسات، كالحكم في المحرمات، كما ذكر في</w:t>
      </w:r>
    </w:p>
    <w:p>
      <w:pPr>
        <w:pStyle w:val="BookText"/>
        <w:rPr/>
      </w:pP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ذلك لا يجري في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241</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فرق الاستحالة عن الانقلاب في المطهرات</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لك حلال في الرتبة اللاحقة</w:t>
      </w:r>
      <w:r>
        <w:rPr>
          <w:rFonts w:eastAsia="Amiri" w:cs="Amiri" w:ascii="Amiri" w:hAnsi="Amiri"/>
          <w:color w:val="111111"/>
          <w:sz w:val="28"/>
          <w:szCs w:val="28"/>
          <w:rtl w:val="true"/>
          <w:lang w:bidi="ar-SA"/>
        </w:rPr>
        <w:t>.</w:t>
      </w:r>
    </w:p>
    <w:p>
      <w:pPr>
        <w:pStyle w:val="BookText"/>
        <w:rPr/>
      </w:pP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 لجريان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الاستحالة في العروة</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ينافيه بحث عدم جريان الاستصحاب مع الشكّ في وحدة الموضوع،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675" w:name="pg15697_169115"/>
    </w:p>
    <w:p>
      <w:pPr>
        <w:pStyle w:val="BookText"/>
        <w:rPr/>
      </w:pPr>
      <w:bookmarkEnd w:id="675"/>
      <w:r>
        <w:rPr>
          <w:rFonts w:ascii="Amiri" w:hAnsi="Amiri" w:eastAsia="Amiri" w:cs="Amiri"/>
          <w:color w:val="111111"/>
          <w:sz w:val="28"/>
          <w:sz w:val="28"/>
          <w:szCs w:val="28"/>
          <w:rtl w:val="true"/>
          <w:lang w:bidi="ar-SA"/>
        </w:rPr>
        <w:t>المسألة السابقة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هذه المسألة كالمسألة السابقة؛ لوحدة الملاك فيهما مستثنى منه ومستثنى، واحتمال أنّ النجاسة تبقى بعد الاستحالة يرده ما ذكرناه من دخول الشيء بعد الاستحالة في المحال إليه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كالكلب يستحيل ملحاً، والخشب رماداً، وما أشبه ذلك</w:t>
      </w:r>
      <w:r>
        <w:rPr>
          <w:rFonts w:eastAsia="Amiri" w:cs="Amiri" w:ascii="Amiri" w:hAnsi="Amiri"/>
          <w:color w:val="111111"/>
          <w:sz w:val="28"/>
          <w:szCs w:val="28"/>
          <w:rtl w:val="true"/>
          <w:lang w:bidi="ar-SA"/>
        </w:rPr>
        <w:t>.</w:t>
      </w:r>
    </w:p>
    <w:p>
      <w:pPr>
        <w:pStyle w:val="Heading2"/>
        <w:numPr>
          <w:ilvl w:val="1"/>
          <w:numId w:val="1"/>
        </w:numPr>
        <w:rPr/>
      </w:pPr>
      <w:bookmarkStart w:id="676" w:name="__RefHeading___Toc11915512_2142443653"/>
      <w:bookmarkStart w:id="677" w:name="_Toc243"/>
      <w:bookmarkEnd w:id="676"/>
      <w:r>
        <w:rPr>
          <w:rtl w:val="true"/>
        </w:rPr>
        <w:t>تزريق المواد المحرمة</w:t>
      </w:r>
      <w:bookmarkEnd w:id="6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بتزريق المحرمات، كتزريق خلاصة الكبد مثلاً، بشرط أن لا يوجب ضرراً بالغاً، ولا يكون هناك دليل على حرمة استعمال ذلك المحرم مطلقاً، كما ورد الدليل بالنسبة إلى الخمر</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ما ذكر في الخمر فيها</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تابعة للعناوين،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ما ذكره فخر المحققين</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هنا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النجاسة قد تكون قائمة بالعنوان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تقوم بالصورة الجسمية كالخشب، إلاّ أنّ ذلك لا يقدح؛ إذ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نجساً، كالبخار المنقلب من الماء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 xml:space="preserve">، وراجع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 والأشربة</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وقيء الخمر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678" w:name="pg15697_169116"/>
    </w:p>
    <w:p>
      <w:pPr>
        <w:pStyle w:val="BookText"/>
        <w:rPr/>
      </w:pPr>
      <w:bookmarkEnd w:id="6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الحرمة في الأكل والشرب لا في التزريق والتمريخ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الخمر حرام بكل شؤونها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كما ورد في 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والفتوى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9" w:name="__RefHeading___Toc11915514_2142443653"/>
      <w:bookmarkStart w:id="680" w:name="_Toc244"/>
      <w:bookmarkEnd w:id="679"/>
      <w:r>
        <w:rPr>
          <w:rtl w:val="true"/>
        </w:rPr>
        <w:t>الاستمناء لأجل الاختبار</w:t>
      </w:r>
      <w:bookmarkEnd w:id="6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جواز الاستمناء لأجل اختبار المني بأنه هل هو قابل لتكون الولد أم لا؟ نعم لا بأس بالاستمناء لكل من الزوجين بالآخر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وجود الزوجة لا اضطرار، وإنما لم نفتِ لأنه اضطرار عرفي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إذا لم يكن من السهل إحضار الزوجة في المختبر والاستمناء بسببها، وكذلك حال المرأة،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التمريخ؟</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اللاحقة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يشترط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حاجة ملّحة لذلك، مثل مَنْ يريد انتخاب زوجة ولا تعلم أنه يلد أو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حرج أو عسر في إحضار الزوجة، وأمّا لو فرض عدم ذلك فلا ضرورة عرفية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681" w:name="pg15697_169117"/>
    </w:p>
    <w:p>
      <w:pPr>
        <w:pStyle w:val="Heading2"/>
        <w:numPr>
          <w:ilvl w:val="1"/>
          <w:numId w:val="1"/>
        </w:numPr>
        <w:rPr/>
      </w:pPr>
      <w:bookmarkStart w:id="682" w:name="__RefHeading___Toc11915516_2142443653"/>
      <w:bookmarkStart w:id="683" w:name="_Toc245"/>
      <w:bookmarkEnd w:id="681"/>
      <w:bookmarkEnd w:id="682"/>
      <w:r>
        <w:rPr>
          <w:rtl w:val="true"/>
        </w:rPr>
        <w:t>الفحص الطبي للمعالجات</w:t>
      </w:r>
      <w:bookmarkEnd w:id="68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الطبي الذي يجريه الطبيب على المريضة، أو الطبيبة على المريض مما يسبب النظر والملامسة إنما يجوز بشرط</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العلاج منحصراً بالفحص، بحيث لا يمكن الكشف بدون ذلك، ولم يكن الجنس المشابه، ولم يمكن محرمية الفاحص بعقد أو ما أشبه، وكان المرض أو خوف المرض ضار ضرراً بالغاً، بحيث يوجب تحليل الحرام لقاعدة 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الاضطرار العرفي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كافٍ، ولذا جاز الفحص لأجل كشف وجه العقم، مع أنّ كون المرأة والرجل بلا ولد ليس من الاضطرار الحقيقي، نعم يلزم أن يلاحظ المحرمات حسب المستطاع عرفاً، فلا يجعل كالجائز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غالباً اضطرار،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مجبور على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التخلص بتوضيح الأمر للمشرف،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ديننا يحرّم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العلاج منحصراً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 غير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المحرمية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أو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ضار ضرراً بالغاً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مجبوراً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 الإنسان إلى عدمها، أو هنالك عسر محرج في إجرائها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684" w:name="pg15697_169118"/>
    </w:p>
    <w:p>
      <w:pPr>
        <w:pStyle w:val="Heading2"/>
        <w:numPr>
          <w:ilvl w:val="1"/>
          <w:numId w:val="1"/>
        </w:numPr>
        <w:rPr/>
      </w:pPr>
      <w:bookmarkStart w:id="685" w:name="__RefHeading___Toc11915518_2142443653"/>
      <w:bookmarkStart w:id="686" w:name="_Toc246"/>
      <w:bookmarkEnd w:id="684"/>
      <w:bookmarkEnd w:id="685"/>
      <w:r>
        <w:rPr>
          <w:rtl w:val="true"/>
        </w:rPr>
        <w:t>تنويم الإنسان</w:t>
      </w:r>
      <w:bookmarkEnd w:id="6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059"/>
      </w:r>
      <w:r>
        <w:rPr>
          <w:rFonts w:ascii="Amiri" w:hAnsi="Amiri" w:eastAsia="Amiri" w:cs="Amiri"/>
          <w:color w:val="111111"/>
          <w:sz w:val="28"/>
          <w:sz w:val="28"/>
          <w:szCs w:val="28"/>
          <w:rtl w:val="true"/>
          <w:lang w:bidi="ar-SA"/>
        </w:rPr>
        <w:t xml:space="preserve"> التصرف في الإنسان بتنويمه بدون رضاه، ولا بأس بذلك في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الأول، فلأنه خلاف سلطنته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على نفسه، وأما الثاني، فلأصالة الحل، نعم لا يجوز بالنسبة إلى حيوان الغير بدون رضا مالكه، ومثل الإنسان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تنويم الإنسان البالغ العاقل بلا رضاه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تنويم الإنسان غير البالغ العاقل يحتاج إلى إجازة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تنويم الإنسان الكامل برضاه مع الحرمة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كالإضرار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وبدونها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تنويم الحيوان موقوف على رضا مالكه، وعدم كونه إيذاءً أو إسرافاً، وإلا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يقدم إليه طعاماً منوماً؟ إن كان بعلمه فلا بأس، مع عدم الضرر البالغ، وإن كان بلا علم بالمحتوى فالظاهر أنّه حرام؛ لأنّه ظلم وتصرف وغش وخيانة، ولو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عقد سلبي، وقد سبق الكلام فيه</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ويشمله أدلة الظلم والغصب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والتصرّف في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بالملاك أو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يشمله دليل الإضرار أحياناً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687" w:name="pg15697_169119"/>
    </w:p>
    <w:p>
      <w:pPr>
        <w:pStyle w:val="BookText"/>
        <w:rPr/>
      </w:pPr>
      <w:bookmarkEnd w:id="687"/>
      <w:r>
        <w:rPr>
          <w:rFonts w:ascii="Amiri" w:hAnsi="Amiri" w:eastAsia="Amiri" w:cs="Amiri"/>
          <w:color w:val="111111"/>
          <w:sz w:val="28"/>
          <w:sz w:val="28"/>
          <w:szCs w:val="28"/>
          <w:rtl w:val="true"/>
          <w:lang w:bidi="ar-SA"/>
        </w:rPr>
        <w:t>الكامل والصبي والمجنون؛ لأنّ اللازم إجازة</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الخاص أو العام فيهما، ومنه يعلم عدم جواز إعطاء</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مرقداً أو مسكراً، وإن لم يكن خمراً أو ما أشبه ذلك</w:t>
      </w:r>
      <w:r>
        <w:rPr>
          <w:rFonts w:eastAsia="Amiri" w:cs="Amiri" w:ascii="Amiri" w:hAnsi="Amiri"/>
          <w:color w:val="111111"/>
          <w:sz w:val="28"/>
          <w:szCs w:val="28"/>
          <w:rtl w:val="true"/>
          <w:lang w:bidi="ar-SA"/>
        </w:rPr>
        <w:t>.</w:t>
      </w:r>
    </w:p>
    <w:p>
      <w:pPr>
        <w:pStyle w:val="Heading2"/>
        <w:numPr>
          <w:ilvl w:val="1"/>
          <w:numId w:val="1"/>
        </w:numPr>
        <w:rPr/>
      </w:pPr>
      <w:bookmarkStart w:id="688" w:name="__RefHeading___Toc11915520_2142443653"/>
      <w:bookmarkStart w:id="689" w:name="_Toc247"/>
      <w:bookmarkEnd w:id="688"/>
      <w:r>
        <w:rPr>
          <w:rtl w:val="true"/>
        </w:rPr>
        <w:t>التنويم القاتل</w:t>
      </w:r>
      <w:bookmarkEnd w:id="68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تنويم الإنسان إذا لم يقدر المنوم على إعادته إلى الحياة الطبيعية، مما يسبب بقاءه</w:t>
      </w:r>
      <w:r>
        <w:rPr>
          <w:rStyle w:val="FootnoteAnchor"/>
          <w:rtl w:val="true"/>
        </w:rPr>
        <w:footnoteReference w:id="1062"/>
      </w:r>
      <w:r>
        <w:rPr>
          <w:rFonts w:ascii="Amiri" w:hAnsi="Amiri" w:eastAsia="Amiri" w:cs="Amiri"/>
          <w:color w:val="111111"/>
          <w:sz w:val="28"/>
          <w:sz w:val="28"/>
          <w:szCs w:val="28"/>
          <w:rtl w:val="true"/>
          <w:lang w:bidi="ar-SA"/>
        </w:rPr>
        <w:t xml:space="preserve"> كذلك أو موته، وإن رضي الطرف بذلك، أما إذا كان هناك منوم آخر يقدر على إعادته ويفعل</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فليس في تنويم المنوم وجه 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حق للإنسان في إماتة نفسه، أو تنويمها إلى الأبد، فإنه من</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الغبطة أو بدونها على الخلاف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إذنه، أو مع كونه محرماً شرعاً، ومنه الضرر البالغ، ولو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إلى النهاية، وأمّا البقاء المؤقت إذا لم يسبب ضرراً بالغاً فالظاهر عدم الإشكال فيه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بحث، وهو أنّه هل يجوز تفويت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ذلك؟ إنّ هذا مبني على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المعلق والمشروط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تفويت الملاكات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الترتب وغيره</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عُدّ قاتلاً، كمَنْ يُعطي السم لشخص مع وجود طبيب يقدر على العلاج ولا يعالج، فإنّ المعطي للسم يعدّ قاتلاً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690" w:name="pg15697_169120"/>
    </w:p>
    <w:p>
      <w:pPr>
        <w:pStyle w:val="BookText"/>
        <w:rPr/>
      </w:pPr>
      <w:bookmarkEnd w:id="690"/>
      <w:r>
        <w:rPr>
          <w:rFonts w:ascii="Amiri" w:hAnsi="Amiri" w:eastAsia="Amiri" w:cs="Amiri"/>
          <w:color w:val="111111"/>
          <w:sz w:val="28"/>
          <w:sz w:val="28"/>
          <w:szCs w:val="28"/>
          <w:rtl w:val="true"/>
          <w:lang w:bidi="ar-SA"/>
        </w:rPr>
        <w:t xml:space="preserve">أكبر الأضرار، فيشمله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w:t>
      </w:r>
      <w:r>
        <w:rPr>
          <w:rStyle w:val="FootnoteAnchor"/>
          <w:rtl w:val="true"/>
        </w:rPr>
        <w:footnoteReference w:id="1067"/>
      </w:r>
      <w:r>
        <w:rPr>
          <w:rFonts w:ascii="Amiri" w:hAnsi="Amiri" w:eastAsia="Amiri" w:cs="Amiri"/>
          <w:color w:val="111111"/>
          <w:sz w:val="28"/>
          <w:sz w:val="28"/>
          <w:szCs w:val="28"/>
          <w:rtl w:val="true"/>
          <w:lang w:bidi="ar-SA"/>
        </w:rPr>
        <w:t xml:space="preserve"> أَنفُسَكُمْ</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1" w:name="__RefHeading___Toc11915522_2142443653"/>
      <w:bookmarkStart w:id="692" w:name="_Toc248"/>
      <w:bookmarkEnd w:id="691"/>
      <w:r>
        <w:rPr>
          <w:rtl w:val="true"/>
        </w:rPr>
        <w:t>حلق شعر جسد الغير</w:t>
      </w:r>
      <w:bookmarkEnd w:id="69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069"/>
      </w:r>
      <w:r>
        <w:rPr>
          <w:rFonts w:ascii="IRNazanin" w:hAnsi="IRNazanin" w:eastAsia="IRNazanin"/>
          <w:color w:val="111111"/>
          <w:sz w:val="28"/>
          <w:sz w:val="28"/>
          <w:szCs w:val="28"/>
          <w:rtl w:val="true"/>
          <w:lang w:bidi="fa-IR"/>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 حلق شعر جسد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الزوجة في غير الشعر المنافي لحق الزوج، أما الشعر المنافي لحق الزوج</w:t>
      </w:r>
      <w:r>
        <w:rPr>
          <w:rStyle w:val="FootnoteAnchor"/>
          <w:rtl w:val="true"/>
        </w:rPr>
        <w:footnoteReference w:id="1071"/>
      </w:r>
      <w:r>
        <w:rPr>
          <w:rFonts w:ascii="Amiri" w:hAnsi="Amiri" w:eastAsia="Amiri" w:cs="Amiri"/>
          <w:color w:val="111111"/>
          <w:sz w:val="28"/>
          <w:sz w:val="28"/>
          <w:szCs w:val="28"/>
          <w:rtl w:val="true"/>
          <w:lang w:bidi="ar-SA"/>
        </w:rPr>
        <w:t xml:space="preserve"> فيجوز للزوج</w:t>
      </w:r>
      <w:r>
        <w:rPr>
          <w:rStyle w:val="FootnoteAnchor"/>
          <w:rtl w:val="true"/>
        </w:rPr>
        <w:footnoteReference w:id="1072"/>
      </w:r>
      <w:r>
        <w:rPr>
          <w:rFonts w:ascii="Amiri" w:hAnsi="Amiri" w:eastAsia="Amiri" w:cs="Amiri"/>
          <w:color w:val="111111"/>
          <w:sz w:val="28"/>
          <w:sz w:val="28"/>
          <w:szCs w:val="28"/>
          <w:rtl w:val="true"/>
          <w:lang w:bidi="ar-SA"/>
        </w:rPr>
        <w:t xml:space="preserve"> حلقه وإن لم ترض الزوجة بذلك</w:t>
      </w:r>
      <w:r>
        <w:rPr>
          <w:rFonts w:eastAsia="Amiri" w:cs="Amiri" w:ascii="Amiri" w:hAnsi="Amiri"/>
          <w:color w:val="111111"/>
          <w:sz w:val="28"/>
          <w:szCs w:val="28"/>
          <w:rtl w:val="true"/>
          <w:lang w:bidi="ar-SA"/>
        </w:rPr>
        <w:t>.</w:t>
      </w:r>
    </w:p>
    <w:p>
      <w:pPr>
        <w:pStyle w:val="BookText"/>
        <w:rPr/>
      </w:pP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الكلام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طرح المسألة لما كان يفعله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ويفعله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يحلقون لحى المعارضة ونحوها</w:t>
      </w:r>
      <w:r>
        <w:rPr>
          <w:rFonts w:eastAsia="Amiri" w:cs="Amiri" w:ascii="Amiri" w:hAnsi="Amiri"/>
          <w:color w:val="111111"/>
          <w:sz w:val="28"/>
          <w:szCs w:val="28"/>
          <w:rtl w:val="true"/>
          <w:lang w:bidi="ar-SA"/>
        </w:rPr>
        <w:t>.</w:t>
      </w:r>
    </w:p>
    <w:p>
      <w:pPr>
        <w:pStyle w:val="BookText"/>
        <w:rPr/>
      </w:pP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جسد الغير بلا رضاه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جسد الغير مع رضاه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في غير الشعر المنافي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في الشعر المنافي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في الشعر الذي ينافي العشرة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الصغير والمجنون</w:t>
      </w:r>
      <w:r>
        <w:rPr>
          <w:rFonts w:eastAsia="Amiri" w:cs="Amiri" w:ascii="Amiri" w:hAnsi="Amiri"/>
          <w:color w:val="111111"/>
          <w:sz w:val="28"/>
          <w:szCs w:val="28"/>
          <w:rtl w:val="true"/>
          <w:lang w:bidi="ar-SA"/>
        </w:rPr>
        <w:t>.</w:t>
      </w:r>
    </w:p>
    <w:p>
      <w:pPr>
        <w:pStyle w:val="BookText"/>
        <w:rPr/>
      </w:pP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لحق الزوجة لو كان منافياً للعشرة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فيحق للزوجة حلق شعر زوجها،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الاستعانة بالشرطة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لو لم يكن إلاّ به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693" w:name="pg15697_169121"/>
    </w:p>
    <w:p>
      <w:pPr>
        <w:pStyle w:val="BookText"/>
        <w:rPr/>
      </w:pPr>
      <w:bookmarkEnd w:id="6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مناف لسلطة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الإنسان على نفسه إلا في الزوجة، حيث حق الزوج مقدم</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 xml:space="preserve">إذا لم يكن فيه ضررٌ، نعم يحق للولي الحلق بالنسبة إلى الصغير والمجنون مع المصلحة أو بدون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الفقهاء في الأمرين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94" w:name="__RefHeading___Toc11915524_2142443653"/>
      <w:bookmarkStart w:id="695" w:name="_Toc249"/>
      <w:bookmarkEnd w:id="694"/>
      <w:r>
        <w:rPr>
          <w:rtl w:val="true"/>
        </w:rPr>
        <w:t>الأرواح والتعلم منها</w:t>
      </w:r>
      <w:bookmarkEnd w:id="69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التعلم من الأرواح المستحضرة بواسطة التنويم أو ما أشبه، كما ينقل من تعلم عالم عن روح أحد العلماء أشعة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توجه المركبة الفضائية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أدلة الحل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6" w:name="__RefHeading___Toc11915526_2142443653"/>
      <w:bookmarkStart w:id="697" w:name="_Toc250"/>
      <w:bookmarkEnd w:id="696"/>
      <w:r>
        <w:rPr>
          <w:rtl w:val="true"/>
        </w:rPr>
        <w:t>الصور اللاسلكية</w:t>
      </w:r>
      <w:bookmarkEnd w:id="69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التصاوير اللاسلكية</w:t>
      </w:r>
      <w:r>
        <w:rPr>
          <w:rStyle w:val="FootnoteAnchor"/>
          <w:rtl w:val="true"/>
        </w:rPr>
        <w:footnoteReference w:id="1081"/>
      </w:r>
      <w:r>
        <w:rPr>
          <w:rFonts w:ascii="Amiri" w:hAnsi="Amiri" w:eastAsia="Amiri" w:cs="Amiri"/>
          <w:color w:val="111111"/>
          <w:sz w:val="28"/>
          <w:sz w:val="28"/>
          <w:szCs w:val="28"/>
          <w:rtl w:val="true"/>
          <w:lang w:bidi="ar-SA"/>
        </w:rPr>
        <w:t xml:space="preserve"> الجائزة من المسافات البعيدة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مبني على وجود العقد السلبي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المقدمات كغل يديها ورجليها؛ لأنّه نهي عن المنكر أو ردع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المعاشرة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لأنّه من لوازم الاستمتاع والتمكين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النكاح في حقّ الزوج</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كشف أسرار الناس، أو تصوير العورة أو ما يحرّم النظر إليه، أو ما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698" w:name="pg15697_169122"/>
    </w:p>
    <w:p>
      <w:pPr>
        <w:pStyle w:val="BookText"/>
        <w:rPr/>
      </w:pPr>
      <w:bookmarkEnd w:id="6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لا فرق في إطلاق دليل الحل بين التصاوير العادية وغير العادية كاللاسلكية، كما لا فرق في حلية إرسال الرسائل بين الإرسال العادي أو بواسطة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Heading2"/>
        <w:numPr>
          <w:ilvl w:val="1"/>
          <w:numId w:val="1"/>
        </w:numPr>
        <w:rPr/>
      </w:pPr>
      <w:bookmarkStart w:id="699" w:name="__RefHeading___Toc11915528_2142443653"/>
      <w:bookmarkStart w:id="700" w:name="_Toc251"/>
      <w:bookmarkEnd w:id="699"/>
      <w:r>
        <w:rPr>
          <w:rtl w:val="true"/>
        </w:rPr>
        <w:t>الغبن في الأسعار</w:t>
      </w:r>
      <w:bookmarkEnd w:id="70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الغبن في الأسعار، بإخفاء السعر الجديد</w:t>
      </w:r>
      <w:r>
        <w:rPr>
          <w:rStyle w:val="FootnoteAnchor"/>
          <w:rtl w:val="true"/>
        </w:rPr>
        <w:footnoteReference w:id="1085"/>
      </w:r>
      <w:r>
        <w:rPr>
          <w:rFonts w:ascii="Amiri" w:hAnsi="Amiri" w:eastAsia="Amiri" w:cs="Amiri"/>
          <w:color w:val="111111"/>
          <w:sz w:val="28"/>
          <w:sz w:val="28"/>
          <w:szCs w:val="28"/>
          <w:rtl w:val="true"/>
          <w:lang w:bidi="ar-SA"/>
        </w:rPr>
        <w:t>، الذي يصل إلى البلاد بواسطة التلكس، والتعامل بالسعر القديم،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 ديناراً، وأخبر التاجر بذلك بواسطة الآلة، فإنه لو باعه بدينار وربع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سعره القديم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غبناً، فإنّ البيع حرام وموجب لخيار الغبن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وذلك لأنّ السعر الواقعي هو الثاني لا الأول، ومن المعلوم حرمة الغبن،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ثمن المسترسل سحت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هذا بالإضافة إلى الحكم الوضعي، أي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هذا الكلام في عكسه، بأن علم المشتري ارتفاع السعر، فأظهر عدم العلم واشترى من البائع بالسعر السابق النازل، فإنه غبن أيضاً، والرواية تشمله بالملاك</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هتكاً، أو ذوات الأرواح لو قلنا بحرمة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بالإطلاق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المسترسل سحت</w:t>
      </w:r>
      <w:r>
        <w:rPr>
          <w:rFonts w:eastAsia="IRNazanin" w:cs="IRNazanin"/>
          <w:color w:val="111111"/>
          <w:sz w:val="28"/>
          <w:szCs w:val="28"/>
          <w:rtl w:val="true"/>
          <w:lang w:bidi="fa-IR"/>
        </w:rPr>
        <w:t>»</w:t>
      </w:r>
      <w:r>
        <w:rPr>
          <w:rStyle w:val="FootnoteAnchor"/>
          <w:rtl w:val="true"/>
        </w:rPr>
        <w:footnoteReference w:id="1088"/>
      </w:r>
      <w:r>
        <w:rPr>
          <w:rFonts w:ascii="Amiri" w:hAnsi="Amiri" w:eastAsia="Amiri" w:cs="Amiri"/>
          <w:color w:val="111111"/>
          <w:sz w:val="28"/>
          <w:sz w:val="28"/>
          <w:szCs w:val="28"/>
          <w:rtl w:val="true"/>
          <w:lang w:bidi="ar-SA"/>
        </w:rPr>
        <w:t>، إلاّ أن يُقال بانصرافه للمشتري، وإطلاقات أدلة الغبن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701" w:name="pg15697_169123"/>
    </w:p>
    <w:p>
      <w:pPr>
        <w:pStyle w:val="BookText"/>
        <w:rPr/>
      </w:pPr>
      <w:bookmarkEnd w:id="701"/>
      <w:r>
        <w:rPr>
          <w:rFonts w:ascii="Amiri" w:hAnsi="Amiri" w:eastAsia="Amiri" w:cs="Amiri"/>
          <w:color w:val="111111"/>
          <w:sz w:val="28"/>
          <w:sz w:val="28"/>
          <w:szCs w:val="28"/>
          <w:rtl w:val="true"/>
          <w:lang w:bidi="ar-SA"/>
        </w:rPr>
        <w:t>نعم، هناك اختلاف طبيعي</w:t>
      </w:r>
      <w:r>
        <w:rPr>
          <w:rStyle w:val="FootnoteAnchor"/>
          <w:rtl w:val="true"/>
        </w:rPr>
        <w:footnoteReference w:id="1089"/>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الأسعار حسب الأزمنة والأمكنة وسائر الخصوصيات المؤثرة في السعر وزيادة ونقيصة مما لا إشكال فيه</w:t>
      </w:r>
      <w:r>
        <w:rPr>
          <w:rFonts w:eastAsia="Amiri" w:cs="Amiri" w:ascii="Amiri" w:hAnsi="Amiri"/>
          <w:color w:val="111111"/>
          <w:sz w:val="28"/>
          <w:szCs w:val="28"/>
          <w:rtl w:val="true"/>
          <w:lang w:bidi="ar-SA"/>
        </w:rPr>
        <w:t>.</w:t>
      </w:r>
    </w:p>
    <w:p>
      <w:pPr>
        <w:pStyle w:val="Heading2"/>
        <w:numPr>
          <w:ilvl w:val="1"/>
          <w:numId w:val="1"/>
        </w:numPr>
        <w:rPr/>
      </w:pPr>
      <w:bookmarkStart w:id="702" w:name="__RefHeading___Toc11915530_2142443653"/>
      <w:bookmarkStart w:id="703" w:name="_Toc252"/>
      <w:bookmarkEnd w:id="702"/>
      <w:r>
        <w:rPr>
          <w:rtl w:val="true"/>
        </w:rPr>
        <w:t>النهي بواسطة الغش</w:t>
      </w:r>
      <w:bookmarkEnd w:id="70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الغش لأجل إقلاع الطرف عن المنكر، مثل أن يبيعه شيئاً شبيهاً بالخمر بقصد أن لا يشرب الخمر؟ لا يبعد جوازه، بشرط أن يكون ثمن المبيع مطابقاً للمقدار الذي يأخذه البائع أو أقل، ويكون ذلك بإجازة</w:t>
      </w:r>
      <w:r>
        <w:rPr>
          <w:rStyle w:val="FootnoteAnchor"/>
          <w:rtl w:val="true"/>
        </w:rPr>
        <w:footnoteReference w:id="1090"/>
      </w:r>
      <w:r>
        <w:rPr>
          <w:rFonts w:ascii="Amiri" w:hAnsi="Amiri" w:eastAsia="Amiri" w:cs="Amiri"/>
          <w:color w:val="111111"/>
          <w:sz w:val="28"/>
          <w:sz w:val="28"/>
          <w:szCs w:val="28"/>
          <w:rtl w:val="true"/>
          <w:lang w:bidi="ar-SA"/>
        </w:rPr>
        <w:t xml:space="preserve"> الحاكم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باب الأهم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والمهم، وأما الشرط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كون الثمن بقدره أو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غير لازم، فإذا أجاز الحاكم الشرعي وأعطاه بالثمن الغالي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ما يشبه الخمر</w:t>
      </w:r>
    </w:p>
    <w:p>
      <w:pPr>
        <w:pStyle w:val="BookText"/>
        <w:rPr/>
      </w:pP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كقلة الذهب 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قوانين العرض والطلب</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في عوامل اختلاف القيم وأن الثمن إنما يكون في مقابل ماذا؟</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المنكر لا يحتاج للإجازة، إلاّ في القتل فلا حاجة لها ظاهراً،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الإسلامية</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الردع عن المنكر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704" w:name="pg15697_169124"/>
    </w:p>
    <w:p>
      <w:pPr>
        <w:pStyle w:val="BookText"/>
        <w:rPr/>
      </w:pPr>
      <w:bookmarkEnd w:id="704"/>
      <w:r>
        <w:rPr>
          <w:rFonts w:ascii="Amiri" w:hAnsi="Amiri" w:eastAsia="Amiri" w:cs="Amiri"/>
          <w:color w:val="111111"/>
          <w:sz w:val="28"/>
          <w:sz w:val="28"/>
          <w:szCs w:val="28"/>
          <w:rtl w:val="true"/>
          <w:lang w:bidi="ar-SA"/>
        </w:rPr>
        <w:t xml:space="preserve">ليس بثمن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إليه التفاوت</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ولو بعنوان آخر</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يبعد جواز سرقة مال مريد المنكر حتى لا يفعله بعد إذن الحاكم الشرعي، وإذا لم يترتب عليه عنوان محرم كتشويه سمعة الإسلام أو المؤمنين أو ترتب ضرر عليه، فإذا لم يكن للفاعل مجال رده صريحاً ردّه بعنوان آخر أو بغير عنوان كدسه في صندوقه</w:t>
      </w:r>
      <w:r>
        <w:rPr>
          <w:rFonts w:eastAsia="Amiri" w:cs="Amiri" w:ascii="Amiri" w:hAnsi="Amiri"/>
          <w:color w:val="111111"/>
          <w:sz w:val="28"/>
          <w:szCs w:val="28"/>
          <w:rtl w:val="true"/>
          <w:lang w:bidi="ar-SA"/>
        </w:rPr>
        <w:t>.</w:t>
      </w:r>
    </w:p>
    <w:p>
      <w:pPr>
        <w:pStyle w:val="Heading2"/>
        <w:numPr>
          <w:ilvl w:val="1"/>
          <w:numId w:val="1"/>
        </w:numPr>
        <w:rPr/>
      </w:pPr>
      <w:bookmarkStart w:id="705" w:name="__RefHeading___Toc11915532_2142443653"/>
      <w:bookmarkStart w:id="706" w:name="_Toc253"/>
      <w:bookmarkEnd w:id="705"/>
      <w:r>
        <w:rPr>
          <w:rtl w:val="true"/>
        </w:rPr>
        <w:t>الاعتماد على آلة الترجمة</w:t>
      </w:r>
      <w:bookmarkEnd w:id="70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ردع بالحرام، فلابدّ من ملاحظة الأهم والمهم،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مرجحات باب التزاحم</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أخذ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يحق له أخذ شيء مطلقاً، بل يجب عليه رد الكل؛ لأنّه قدم إليه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يعود للشارب، وسوء اختياره، وهو وإن أعطاه العصير المغشوش لأمر الشارع، إلاّ أنه عائد لسوء اختيار الشارب، كمَنْ أراد القتل فاضطررنا لأخذه، فشق ثوبه، فإنّه لا ضمان على الآخذ، والمسألة بحاجة للتأمل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كذب؟ وهل هو جائز لأجل الضرورة؟ وهل تجب التورية؟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707" w:name="pg15697_169125"/>
    </w:p>
    <w:p>
      <w:pPr>
        <w:pStyle w:val="BookText"/>
        <w:rPr/>
      </w:pPr>
      <w:bookmarkEnd w:id="707"/>
      <w:r>
        <w:rPr>
          <w:rFonts w:ascii="IRNazanin" w:hAnsi="IRNazanin" w:eastAsia="IRNazanin"/>
          <w:color w:val="111111"/>
          <w:sz w:val="28"/>
          <w:sz w:val="28"/>
          <w:szCs w:val="28"/>
          <w:rtl w:val="true"/>
          <w:lang w:bidi="fa-IR"/>
        </w:rPr>
        <w:t>الاعتماد</w:t>
      </w:r>
      <w:r>
        <w:rPr>
          <w:rStyle w:val="FootnoteAnchor"/>
          <w:rtl w:val="true"/>
        </w:rPr>
        <w:footnoteReference w:id="1098"/>
      </w:r>
      <w:r>
        <w:rPr>
          <w:rFonts w:ascii="Amiri" w:hAnsi="Amiri" w:eastAsia="Amiri" w:cs="Amiri"/>
          <w:color w:val="111111"/>
          <w:sz w:val="28"/>
          <w:sz w:val="28"/>
          <w:szCs w:val="28"/>
          <w:rtl w:val="true"/>
          <w:lang w:bidi="ar-SA"/>
        </w:rPr>
        <w:t xml:space="preserve"> في ترجمة الكتب الدينية وما أشبه بالمطابع التي تترجم الكتب إلى مختلف اللغات، بشرط أن نعلم بصحة الترجمة، وذلك يحصل بالتجربة المكررة</w:t>
      </w:r>
      <w:r>
        <w:rPr>
          <w:rStyle w:val="FootnoteAnchor"/>
          <w:rtl w:val="true"/>
        </w:rPr>
        <w:footnoteReference w:id="1099"/>
      </w:r>
      <w:r>
        <w:rPr>
          <w:rFonts w:ascii="Amiri" w:hAnsi="Amiri" w:eastAsia="Amiri" w:cs="Amiri"/>
          <w:color w:val="111111"/>
          <w:sz w:val="28"/>
          <w:sz w:val="28"/>
          <w:szCs w:val="28"/>
          <w:rtl w:val="true"/>
          <w:lang w:bidi="ar-SA"/>
        </w:rPr>
        <w:t>، أما إذا لم نعلم بصحة الترجمة لم يجز الاعتماد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في صورة العلم بالصحة للقطع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والقطع حجة، وعدم الجواز لأصالة عدم جواز الاعتماد في الأمور الدينية إلا على المقطوع به وجداناً أو شرعاً، كقيام الشاهدين، فكما يجوز الاعتماد على التجربة المكررة المفيدة للاطمئنان، كذلك يجوز الاعتماد على البينة في صحة الترجمة، وكذلك حال الترجمة بسبب الآلة، كما يتعارف في خطاب الخطيب لجماعة من مختلفي الألسنة، حيث يعتمد على مثل هذه الآلة</w:t>
      </w:r>
      <w:r>
        <w:rPr>
          <w:rFonts w:eastAsia="Amiri" w:cs="Amiri" w:ascii="Amiri" w:hAnsi="Amiri"/>
          <w:color w:val="111111"/>
          <w:sz w:val="28"/>
          <w:szCs w:val="28"/>
          <w:rtl w:val="true"/>
          <w:lang w:bidi="ar-SA"/>
        </w:rPr>
        <w:t>.</w:t>
      </w:r>
    </w:p>
    <w:p>
      <w:pPr>
        <w:pStyle w:val="Heading2"/>
        <w:numPr>
          <w:ilvl w:val="1"/>
          <w:numId w:val="1"/>
        </w:numPr>
        <w:rPr/>
      </w:pPr>
      <w:bookmarkStart w:id="708" w:name="__RefHeading___Toc11915534_2142443653"/>
      <w:bookmarkStart w:id="709" w:name="_Toc254"/>
      <w:bookmarkEnd w:id="708"/>
      <w:r>
        <w:rPr>
          <w:rtl w:val="true"/>
        </w:rPr>
        <w:t>الإسراف في الماء</w:t>
      </w:r>
      <w:bookmarkEnd w:id="7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المحرم</w:t>
      </w:r>
      <w:r>
        <w:rPr>
          <w:rStyle w:val="FootnoteAnchor"/>
          <w:rtl w:val="true"/>
        </w:rPr>
        <w:footnoteReference w:id="1100"/>
      </w:r>
      <w:r>
        <w:rPr>
          <w:rFonts w:ascii="Amiri" w:hAnsi="Amiri" w:eastAsia="Amiri" w:cs="Amiri"/>
          <w:color w:val="111111"/>
          <w:sz w:val="28"/>
          <w:sz w:val="28"/>
          <w:szCs w:val="28"/>
          <w:rtl w:val="true"/>
          <w:lang w:bidi="ar-SA"/>
        </w:rPr>
        <w:t xml:space="preserve"> فتح أنبوب الماء أكثر من الحاجة،</w:t>
      </w:r>
    </w:p>
    <w:p>
      <w:pPr>
        <w:pStyle w:val="BookText"/>
        <w:rPr/>
      </w:pP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المطالِع للكتب المترجمة</w:t>
      </w:r>
      <w:r>
        <w:rPr>
          <w:rFonts w:eastAsia="Amiri" w:cs="Amiri" w:ascii="Amiri" w:hAnsi="Amiri"/>
          <w:color w:val="111111"/>
          <w:sz w:val="28"/>
          <w:szCs w:val="28"/>
          <w:rtl w:val="true"/>
          <w:lang w:bidi="ar-SA"/>
        </w:rPr>
        <w:t>.</w:t>
      </w:r>
    </w:p>
    <w:p>
      <w:pPr>
        <w:pStyle w:val="BookText"/>
        <w:rPr/>
      </w:pP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تورث الاطمئنان، كما يظهر في ذيل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 في ماء الوضوء مكروه</w:t>
      </w:r>
      <w:r>
        <w:rPr>
          <w:rFonts w:eastAsia="Amiri" w:cs="Amiri" w:ascii="Amiri" w:hAnsi="Amiri"/>
          <w:color w:val="111111"/>
          <w:sz w:val="28"/>
          <w:szCs w:val="28"/>
          <w:rtl w:val="true"/>
          <w:lang w:bidi="ar-SA"/>
        </w:rPr>
        <w:t>)</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والمحرمات</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710" w:name="pg15697_169126"/>
    </w:p>
    <w:p>
      <w:pPr>
        <w:pStyle w:val="BookText"/>
        <w:rPr/>
      </w:pPr>
      <w:bookmarkEnd w:id="710"/>
      <w:r>
        <w:rPr>
          <w:rFonts w:ascii="Amiri" w:hAnsi="Amiri" w:eastAsia="Amiri" w:cs="Amiri"/>
          <w:color w:val="111111"/>
          <w:sz w:val="28"/>
          <w:sz w:val="28"/>
          <w:szCs w:val="28"/>
          <w:rtl w:val="true"/>
          <w:lang w:bidi="ar-SA"/>
        </w:rPr>
        <w:t>ولو لم يكن ذلك موجباً لمزيد الثمن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حال الغاز والكهرباء والهاتف وما أشبه ذلك، ومن الواضح أنّ معيار الإسراف نفسه لا ملاحظة الثمن، وفي مثل هذه الأمور لا فرق بين الكم، كفتح ساعة عوض نصف ساعة، والكيف كفتح الأكبر في صورة رفع الاحتياج بالأصغر، والمعيار في صدق الإسراف العرف</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1" w:name="__RefHeading___Toc11915536_2142443653"/>
      <w:bookmarkStart w:id="712" w:name="_Toc255"/>
      <w:bookmarkEnd w:id="711"/>
      <w:r>
        <w:rPr>
          <w:rtl w:val="true"/>
        </w:rPr>
        <w:t>الإسراف في الكهرباء</w:t>
      </w:r>
      <w:bookmarkEnd w:id="71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المحرم</w:t>
      </w:r>
      <w:r>
        <w:rPr>
          <w:rStyle w:val="FootnoteAnchor"/>
          <w:rtl w:val="true"/>
        </w:rPr>
        <w:footnoteReference w:id="1106"/>
      </w:r>
      <w:r>
        <w:rPr>
          <w:rFonts w:ascii="Amiri" w:hAnsi="Amiri" w:eastAsia="Amiri" w:cs="Amiri"/>
          <w:color w:val="111111"/>
          <w:sz w:val="28"/>
          <w:sz w:val="28"/>
          <w:szCs w:val="28"/>
          <w:rtl w:val="true"/>
          <w:lang w:bidi="ar-SA"/>
        </w:rPr>
        <w:t xml:space="preserve"> إنارة الكهرباء أكثر من الحاجة وأزيد من التجميل، وتطبيق هذا الكلام على المصداق</w:t>
      </w:r>
      <w:r>
        <w:rPr>
          <w:rStyle w:val="FootnoteAnchor"/>
          <w:rtl w:val="true"/>
        </w:rPr>
        <w:footnoteReference w:id="1107"/>
      </w:r>
      <w:r>
        <w:rPr>
          <w:rFonts w:ascii="Amiri" w:hAnsi="Amiri" w:eastAsia="Amiri" w:cs="Amiri"/>
          <w:color w:val="111111"/>
          <w:sz w:val="28"/>
          <w:sz w:val="28"/>
          <w:szCs w:val="28"/>
          <w:rtl w:val="true"/>
          <w:lang w:bidi="ar-SA"/>
        </w:rPr>
        <w:t xml:space="preserve"> راجع إلى العرف، فربما تكون الإنارة للمنام بمقدار مائة شمعة إسرافاً، وربما تكون الإنارة للتجميل</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الإسراف له مراتب، كما يظهر من روايات الإسراف،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السرف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ابتذالك ثوب صونك، وإلقائك النوى يميناً وشمالاً، وإهراقك فضلة الماء</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حدد الإسراف بما لا يراه العرف إسرافاً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المصاديق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إسراف في الضياء</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وليس المعلوم أنّ الملاك التجميل فقط، بل لعله يسبب انشراح الروح وما أشبه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713" w:name="pg15697_169127"/>
    </w:p>
    <w:p>
      <w:pPr>
        <w:pStyle w:val="BookText"/>
        <w:rPr/>
      </w:pPr>
      <w:bookmarkEnd w:id="713"/>
      <w:r>
        <w:rPr>
          <w:rFonts w:ascii="Amiri" w:hAnsi="Amiri" w:eastAsia="Amiri" w:cs="Amiri"/>
          <w:color w:val="111111"/>
          <w:sz w:val="28"/>
          <w:sz w:val="28"/>
          <w:szCs w:val="28"/>
          <w:rtl w:val="true"/>
          <w:lang w:bidi="ar-SA"/>
        </w:rPr>
        <w:t>مقدار مليون</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شمعة غير إسراف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 التبذير والإسراف وإن كان يطلق أحدهما على الآخر، إلا أنّ الأول</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سبب مطلقاً، والثاني مع السبب الأقل من العمل، مثلاً إنارة النهار في الشمس تبذير، وإنارة الليل أزيد من الحاجة إسراف</w:t>
      </w:r>
      <w:r>
        <w:rPr>
          <w:rFonts w:eastAsia="Amiri" w:cs="Amiri" w:ascii="Amiri" w:hAnsi="Amiri"/>
          <w:color w:val="111111"/>
          <w:sz w:val="28"/>
          <w:szCs w:val="28"/>
          <w:rtl w:val="true"/>
          <w:lang w:bidi="ar-SA"/>
        </w:rPr>
        <w:t>.</w:t>
      </w:r>
    </w:p>
    <w:p>
      <w:pPr>
        <w:pStyle w:val="Heading2"/>
        <w:numPr>
          <w:ilvl w:val="1"/>
          <w:numId w:val="1"/>
        </w:numPr>
        <w:rPr/>
      </w:pPr>
      <w:bookmarkStart w:id="714" w:name="__RefHeading___Toc11915538_2142443653"/>
      <w:bookmarkStart w:id="715" w:name="_Toc256"/>
      <w:bookmarkEnd w:id="714"/>
      <w:r>
        <w:rPr>
          <w:rtl w:val="true"/>
        </w:rPr>
        <w:t>الانتحار البطيء</w:t>
      </w:r>
      <w:bookmarkEnd w:id="71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الانتحار مطلقاً، سواء كان انتحاراً سريعاً أم انتحاراً تدريجياً</w:t>
      </w:r>
      <w:r>
        <w:rPr>
          <w:rStyle w:val="FootnoteAnchor"/>
          <w:rtl w:val="true"/>
        </w:rPr>
        <w:footnoteReference w:id="1117"/>
      </w:r>
      <w:r>
        <w:rPr>
          <w:rFonts w:ascii="Amiri" w:hAnsi="Amiri" w:eastAsia="Amiri" w:cs="Amiri"/>
          <w:color w:val="111111"/>
          <w:sz w:val="28"/>
          <w:sz w:val="28"/>
          <w:szCs w:val="28"/>
          <w:rtl w:val="true"/>
          <w:lang w:bidi="ar-SA"/>
        </w:rPr>
        <w:t>، كأن يمرّ من أمام الأشعة الفنية، التي تنخر في الجسد وتوجب الموت بعد سنة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الأدلة الأربعة، وربما يكون الانتحار البطيء جامعاً بين</w:t>
      </w:r>
    </w:p>
    <w:p>
      <w:pPr>
        <w:pStyle w:val="BookText"/>
        <w:rPr/>
      </w:pPr>
      <w:r>
        <w:rPr>
          <w:rFonts w:ascii="Amiri" w:hAnsi="Amiri" w:eastAsia="Amiri" w:cs="Amiri"/>
          <w:color w:val="111111"/>
          <w:sz w:val="28"/>
          <w:sz w:val="28"/>
          <w:szCs w:val="28"/>
          <w:rtl w:val="true"/>
          <w:lang w:bidi="ar-SA"/>
        </w:rPr>
        <w:t>وهل يؤخذ بإطلاقه؟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 الحديث ظاهر في أنّه لا تلزم المداقة بمقدار الحاجة، أو ذلك هو القدر المتيقن منها، أمّا لو أشعل مليون شمعة في غرفة تحتاج لأربع شمعات فهو إسراف،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أيام المناسبات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اللغة والتفاسير</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صدق قتل النفس، وأمّا مثل التدخين أو التخمة فلا تعد عرفاً منه، غالباً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716" w:name="pg15697_169128"/>
    </w:p>
    <w:p>
      <w:pPr>
        <w:pStyle w:val="BookText"/>
        <w:rPr/>
      </w:pPr>
      <w:bookmarkEnd w:id="716"/>
      <w:r>
        <w:rPr>
          <w:rFonts w:ascii="Amiri" w:hAnsi="Amiri" w:eastAsia="Amiri" w:cs="Amiri"/>
          <w:color w:val="111111"/>
          <w:sz w:val="28"/>
          <w:sz w:val="28"/>
          <w:szCs w:val="28"/>
          <w:rtl w:val="true"/>
          <w:lang w:bidi="ar-SA"/>
        </w:rPr>
        <w:t>محرمين الانتحار وتمريض الجسم مدة بما يكون من الضرر المحرم</w:t>
      </w:r>
      <w:r>
        <w:rPr>
          <w:rFonts w:eastAsia="Amiri" w:cs="Amiri" w:ascii="Amiri" w:hAnsi="Amiri"/>
          <w:color w:val="111111"/>
          <w:sz w:val="28"/>
          <w:szCs w:val="28"/>
          <w:rtl w:val="true"/>
          <w:lang w:bidi="ar-SA"/>
        </w:rPr>
        <w:t>.</w:t>
      </w:r>
    </w:p>
    <w:p>
      <w:pPr>
        <w:pStyle w:val="Heading2"/>
        <w:numPr>
          <w:ilvl w:val="1"/>
          <w:numId w:val="1"/>
        </w:numPr>
        <w:rPr/>
      </w:pPr>
      <w:bookmarkStart w:id="717" w:name="__RefHeading___Toc11915540_2142443653"/>
      <w:bookmarkStart w:id="718" w:name="_Toc257"/>
      <w:bookmarkEnd w:id="717"/>
      <w:r>
        <w:rPr>
          <w:rtl w:val="true"/>
        </w:rPr>
        <w:t>بين التعذيب والانتحار</w:t>
      </w:r>
      <w:bookmarkEnd w:id="71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لو لم ينتحر يبتلى بما لا يطاق</w:t>
      </w:r>
      <w:r>
        <w:rPr>
          <w:rStyle w:val="FootnoteAnchor"/>
          <w:rtl w:val="true"/>
        </w:rPr>
        <w:footnoteReference w:id="1120"/>
      </w:r>
      <w:r>
        <w:rPr>
          <w:rFonts w:ascii="Amiri" w:hAnsi="Amiri" w:eastAsia="Amiri" w:cs="Amiri"/>
          <w:color w:val="111111"/>
          <w:sz w:val="28"/>
          <w:sz w:val="28"/>
          <w:szCs w:val="28"/>
          <w:rtl w:val="true"/>
          <w:lang w:bidi="ar-SA"/>
        </w:rPr>
        <w:t xml:space="preserve"> من التعذيب، أو بالإتيان بالمنكر الأفظع</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الانتحار شرعاً، كبيع البلاد إلى الأجنبي، فهل يجوز الانتحار أم لا؟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لمسألة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حرمة قتل النفس،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إلى غيرها من الآيات والروايات، لكن الصناعة مع الأول على فرض تحقق الموضوع بإجازة</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الحاكم الشرعي إن أمكن</w:t>
      </w:r>
      <w:r>
        <w:rPr>
          <w:rFonts w:eastAsia="Amiri" w:cs="Amiri" w:ascii="Amiri" w:hAnsi="Amiri"/>
          <w:color w:val="111111"/>
          <w:sz w:val="28"/>
          <w:szCs w:val="28"/>
          <w:rtl w:val="true"/>
          <w:lang w:bidi="ar-SA"/>
        </w:rPr>
        <w:t>.</w:t>
      </w:r>
    </w:p>
    <w:p>
      <w:pPr>
        <w:pStyle w:val="Heading2"/>
        <w:numPr>
          <w:ilvl w:val="1"/>
          <w:numId w:val="1"/>
        </w:numPr>
        <w:rPr/>
      </w:pPr>
      <w:bookmarkStart w:id="719" w:name="__RefHeading___Toc11915542_2142443653"/>
      <w:bookmarkStart w:id="720" w:name="_Toc258"/>
      <w:bookmarkEnd w:id="719"/>
      <w:r>
        <w:rPr>
          <w:rtl w:val="true"/>
        </w:rPr>
        <w:t>النطفة الكيماوية</w:t>
      </w:r>
      <w:bookmarkEnd w:id="72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أمكن صنع نطفة البشر بالمواد الكيماوية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بأنّ الناس عادة يمرضون في حياتهم، وقد لا يطاق التحمل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الحوادث، أو في الشيخوخة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لم يعهد طول التاريخ إجازة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للانتحار، ولا نُقل عن أحد من العلماء ذلك، ولا فرق بين الأعم الذي لا يطاق الناشئ من التعذيب أو المرض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أفظع يحتاج إما إلى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حجة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تشخيص الفقيه العارف بالأهم 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الوجه فيه؟</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721" w:name="pg15697_169129"/>
    </w:p>
    <w:p>
      <w:pPr>
        <w:pStyle w:val="BookText"/>
        <w:rPr/>
      </w:pPr>
      <w:bookmarkEnd w:id="721"/>
      <w:r>
        <w:rPr>
          <w:rFonts w:ascii="Amiri" w:hAnsi="Amiri" w:eastAsia="Amiri" w:cs="Amiri"/>
          <w:color w:val="111111"/>
          <w:sz w:val="28"/>
          <w:sz w:val="28"/>
          <w:szCs w:val="28"/>
          <w:rtl w:val="true"/>
          <w:lang w:bidi="ar-SA"/>
        </w:rPr>
        <w:t>بدون الأب والأم، لم يكن للإنسان المصنوع من ذلك النطفة محارم وورّاث من طرف أعلاه، وإنما يكونان من طرف أولاده وأصهاره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دليلاً جديداً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على عظم صنع اللّه سبحانه، حيث يخلق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النطفة لكل ذي روح بدون صعوبة التركيب وغيره من مقدمات النطفة المصطنعة،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وكذلك الحال في تركيب نطفة الحيوان، أو النواة، أو البيض</w:t>
      </w:r>
      <w:r>
        <w:rPr>
          <w:rFonts w:eastAsia="Amiri" w:cs="Amiri" w:ascii="Amiri" w:hAnsi="Amiri"/>
          <w:color w:val="111111"/>
          <w:sz w:val="28"/>
          <w:szCs w:val="28"/>
          <w:rtl w:val="true"/>
          <w:lang w:bidi="ar-SA"/>
        </w:rPr>
        <w:t>.</w:t>
      </w:r>
    </w:p>
    <w:p>
      <w:pPr>
        <w:pStyle w:val="Heading2"/>
        <w:numPr>
          <w:ilvl w:val="1"/>
          <w:numId w:val="1"/>
        </w:numPr>
        <w:rPr/>
      </w:pPr>
      <w:bookmarkStart w:id="722" w:name="__RefHeading___Toc11915544_2142443653"/>
      <w:bookmarkStart w:id="723" w:name="_Toc259"/>
      <w:bookmarkEnd w:id="722"/>
      <w:r>
        <w:rPr>
          <w:rtl w:val="true"/>
        </w:rPr>
        <w:t>النطفة في رحم اليائسة</w:t>
      </w:r>
      <w:bookmarkEnd w:id="72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ربيت النطفة في رحم اليائسة بالوسائل العلمية، فهل لها حكم الأم وما أشبه أم لا؟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الاحتمالين إنما هو فيما إذا حصل الأمر بنطفة نفس اليائسة لا نطفة أخرى، فأما إذا كان بنطفة أخرى فإنه لا شك حينئذٍ في كونها ليست أماً، بل ظرفاً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ووعاءٌ فقط، 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احتمالان، لاحتمال انصراف</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دليل عظمة مَنْ أعطى للإنسان هذا العقل الذي يستطيع أن يصنع هذه الأعاجيب، مثل دقة الكمبيوتر، فإنّها دليل على عظمة صانعها</w:t>
      </w:r>
      <w:r>
        <w:rPr>
          <w:rFonts w:eastAsia="Amiri" w:cs="Amiri" w:ascii="Amiri" w:hAnsi="Amiri"/>
          <w:color w:val="111111"/>
          <w:sz w:val="28"/>
          <w:szCs w:val="28"/>
          <w:rtl w:val="true"/>
          <w:lang w:bidi="ar-SA"/>
        </w:rPr>
        <w:t>.</w:t>
      </w:r>
    </w:p>
    <w:p>
      <w:pPr>
        <w:pStyle w:val="BookText"/>
        <w:rPr/>
      </w:pP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البداية، أمّا البشر فقد توصل إليه بعد ألوف السنوات من البحث والتنقيب وتنامي العلم، ومع مقدمات كثيرة وأجهزة 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التأمّل في المسألة القادمة</w:t>
      </w:r>
      <w:r>
        <w:rPr>
          <w:rStyle w:val="FootnoteAnchor"/>
          <w:rtl w:val="true"/>
        </w:rPr>
        <w:footnoteReference w:id="1126"/>
      </w:r>
      <w:r>
        <w:rPr>
          <w:rFonts w:ascii="IRNazanin" w:hAnsi="IRNazanin" w:eastAsia="IRNazanin"/>
          <w:color w:val="111111"/>
          <w:sz w:val="28"/>
          <w:sz w:val="28"/>
          <w:szCs w:val="28"/>
          <w:rtl w:val="true"/>
          <w:lang w:bidi="fa-IR"/>
        </w:rPr>
        <w:t>، إن شاء اللّه</w:t>
      </w:r>
      <w:r>
        <w:rPr>
          <w:rFonts w:eastAsia="IRNazanin" w:cs="IRNazanin"/>
          <w:color w:val="111111"/>
          <w:sz w:val="28"/>
          <w:szCs w:val="28"/>
          <w:rtl w:val="true"/>
          <w:lang w:bidi="fa-IR"/>
        </w:rPr>
        <w:t>.</w:t>
      </w:r>
    </w:p>
    <w:p>
      <w:pPr>
        <w:pStyle w:val="BookText"/>
        <w:rPr/>
      </w:pP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لندرة الوجود، وقد ذكر في بحث المطلق والمقيد أنّه لا يخل بالإطلاق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724" w:name="pg15697_169130"/>
    </w:p>
    <w:p>
      <w:pPr>
        <w:pStyle w:val="BookText"/>
        <w:rPr/>
      </w:pPr>
      <w:bookmarkEnd w:id="724"/>
      <w:r>
        <w:rPr>
          <w:rFonts w:ascii="Amiri" w:hAnsi="Amiri" w:eastAsia="Amiri" w:cs="Amiri"/>
          <w:color w:val="111111"/>
          <w:sz w:val="28"/>
          <w:sz w:val="28"/>
          <w:szCs w:val="28"/>
          <w:rtl w:val="true"/>
          <w:lang w:bidi="ar-SA"/>
        </w:rPr>
        <w:t>أدلة الأمومة إلى غير اليائسة، لكنه احتمال ضعيف، كما لا يخفى</w:t>
      </w:r>
      <w:r>
        <w:rPr>
          <w:rFonts w:eastAsia="Amiri" w:cs="Amiri" w:ascii="Amiri" w:hAnsi="Amiri"/>
          <w:color w:val="111111"/>
          <w:sz w:val="28"/>
          <w:szCs w:val="28"/>
          <w:rtl w:val="true"/>
          <w:lang w:bidi="ar-SA"/>
        </w:rPr>
        <w:t>.</w:t>
      </w:r>
    </w:p>
    <w:p>
      <w:pPr>
        <w:pStyle w:val="Heading2"/>
        <w:numPr>
          <w:ilvl w:val="1"/>
          <w:numId w:val="1"/>
        </w:numPr>
        <w:rPr/>
      </w:pPr>
      <w:bookmarkStart w:id="725" w:name="__RefHeading___Toc11915546_2142443653"/>
      <w:bookmarkStart w:id="726" w:name="_Toc260"/>
      <w:bookmarkEnd w:id="725"/>
      <w:r>
        <w:rPr>
          <w:rtl w:val="true"/>
        </w:rPr>
        <w:t>نقل النطفة من رحم إلى رحم آخر</w:t>
      </w:r>
      <w:bookmarkEnd w:id="7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نقلت النطفة من رحم إلى رحم وربيت في الجميع، كما لو كانت في رحم نطفة، وفي رحم علقة، وفي رحم مضغة وهكذا، فهل الأم الأولى، أو الأخيرة، أو الجميع؟ احتمالات، والظاهر</w:t>
      </w:r>
      <w:r>
        <w:rPr>
          <w:rStyle w:val="FootnoteAnchor"/>
          <w:rtl w:val="true"/>
        </w:rPr>
        <w:footnoteReference w:id="1128"/>
      </w:r>
      <w:r>
        <w:rPr>
          <w:rFonts w:ascii="Amiri" w:hAnsi="Amiri" w:eastAsia="Amiri" w:cs="Amiri"/>
          <w:color w:val="111111"/>
          <w:sz w:val="28"/>
          <w:sz w:val="28"/>
          <w:szCs w:val="28"/>
          <w:rtl w:val="true"/>
          <w:lang w:bidi="ar-SA"/>
        </w:rPr>
        <w:t xml:space="preserve"> أنّ الأم هي صاحبة البويضة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الأم حقيقة،أما سائر الأرحام فهي أوعية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لا ترتبط بالأم،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من جهة احتمال كون المحل بمنزلة الرضاع في صنع الأم الرضاعي، والتربية أولى بصنع الأم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من اللبن، لكنه قياس لا دليل عليه، ولذا فإذا ساحقت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بعد كون النطفة من المساحِقة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يستشكل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أُمَّهَاتُهُمْ إِلا اللَّائِي وَلَدْنَهُمْ</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إضافي،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المظاهر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أولى من الرضاع، واحتمال أنّ للرضاع خصوصية هو كاحتمال أنّ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كون مجرد التغذي والنمو علّة؛ ولذا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الحولين لا ينشر الحرمة إلى آخر شروط الرضاع،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التأمّل والجواب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خلع عنوان الأم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نفس محل الكلام، فلا يكون دليلاً عليه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727" w:name="pg15697_169131"/>
    </w:p>
    <w:p>
      <w:pPr>
        <w:pStyle w:val="BookText"/>
        <w:rPr/>
      </w:pPr>
      <w:bookmarkEnd w:id="7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هي الأم لا المساحَقة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حملت المساحِقة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هي الأم لا المساحَقة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حملت المساحقة بالكسر نطفة الرجل فقط بدون نطفتها، كما إذا كانت يائسة</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فالولد للمساحَقة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شك أنّ النطفة من أيتهما فالقرعة هي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اقترب رجلان من المرأة فإن علمنا بأنّ أحدهما صاحب النطفة فهي له، وإلا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حلالاً والآخر حراماً، بأن يكون أحدهما زوجاً، أو شبهة والآخر زنا، فالولد للحلال؛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للعاهر الحجر</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كلاهما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 وشبهة أو شبهتين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حراماً كزنائين فالمحكم القرعة، وللمسألة صور أخرى بإدخال الجهل من القاضي بالواقع أو الاضطرار أو الجبر أو الإكراه من أحدهما مذكورة في محالها</w:t>
      </w:r>
      <w:r>
        <w:rPr>
          <w:rFonts w:eastAsia="Amiri" w:cs="Amiri" w:ascii="Amiri" w:hAnsi="Amiri"/>
          <w:color w:val="111111"/>
          <w:sz w:val="28"/>
          <w:szCs w:val="28"/>
          <w:rtl w:val="true"/>
          <w:lang w:bidi="ar-SA"/>
        </w:rPr>
        <w:t>.</w:t>
      </w:r>
    </w:p>
    <w:p>
      <w:pPr>
        <w:pStyle w:val="Heading2"/>
        <w:numPr>
          <w:ilvl w:val="1"/>
          <w:numId w:val="1"/>
        </w:numPr>
        <w:rPr/>
      </w:pPr>
      <w:bookmarkStart w:id="728" w:name="__RefHeading___Toc11915548_2142443653"/>
      <w:bookmarkStart w:id="729" w:name="_Toc261"/>
      <w:bookmarkEnd w:id="728"/>
      <w:r>
        <w:rPr>
          <w:rtl w:val="true"/>
        </w:rPr>
        <w:t>اختلاط النطفة</w:t>
      </w:r>
      <w:bookmarkEnd w:id="7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w:t>
      </w:r>
      <w:r>
        <w:rPr>
          <w:rStyle w:val="FootnoteAnchor"/>
          <w:rtl w:val="true"/>
        </w:rPr>
        <w:footnoteReference w:id="1132"/>
      </w:r>
      <w:r>
        <w:rPr>
          <w:rFonts w:ascii="Amiri" w:hAnsi="Amiri" w:eastAsia="Amiri" w:cs="Amiri"/>
          <w:color w:val="111111"/>
          <w:sz w:val="28"/>
          <w:sz w:val="28"/>
          <w:szCs w:val="28"/>
          <w:rtl w:val="true"/>
          <w:lang w:bidi="ar-SA"/>
        </w:rPr>
        <w:t xml:space="preserve"> إمكان أن تختلط النطفة من حرام سابق وحلال</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أنّ النطفة ليست منها،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عند 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ملاحظة الوضع الفعلي، وحيث إنّه فعلاً زوج فلا بأس بالنطفة السابقة، فلا يكون حراماً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الزوج يحق له النظر إلى صورة زوجته قبل الزواج، ولو كانت آنذاك في حبالة زوج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الاحتياط في الأعراض لا ينبغي تركه، فتأمل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730" w:name="pg15697_169132"/>
    </w:p>
    <w:p>
      <w:pPr>
        <w:pStyle w:val="BookText"/>
        <w:rPr/>
      </w:pPr>
      <w:bookmarkEnd w:id="730"/>
      <w:r>
        <w:rPr>
          <w:rFonts w:ascii="Amiri" w:hAnsi="Amiri" w:eastAsia="Amiri" w:cs="Amiri"/>
          <w:color w:val="111111"/>
          <w:sz w:val="28"/>
          <w:sz w:val="28"/>
          <w:szCs w:val="28"/>
          <w:rtl w:val="true"/>
          <w:lang w:bidi="ar-SA"/>
        </w:rPr>
        <w:t xml:space="preserve">لاحق، أو بالعكس، كما إذا أخذت نطفة رجل غير متزوج،ثم خلطت بنطفته وهو زوج، ثم زرق المجموع في الرحم، فهل الولد حلال أو حرام، يحتمل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احتمال التشريك</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بأن يكون حلالاً وحراماً فلكل حكمه، في النصف مثلاً يرث نصف الميراث، فهو بعيد عن مذاق المتشرعة</w:t>
      </w:r>
      <w:r>
        <w:rPr>
          <w:rFonts w:eastAsia="Amiri" w:cs="Amiri" w:ascii="Amiri" w:hAnsi="Amiri"/>
          <w:color w:val="111111"/>
          <w:sz w:val="28"/>
          <w:szCs w:val="28"/>
          <w:rtl w:val="true"/>
          <w:lang w:bidi="ar-SA"/>
        </w:rPr>
        <w:t>.</w:t>
      </w:r>
    </w:p>
    <w:p>
      <w:pPr>
        <w:pStyle w:val="Heading2"/>
        <w:numPr>
          <w:ilvl w:val="1"/>
          <w:numId w:val="1"/>
        </w:numPr>
        <w:rPr/>
      </w:pPr>
      <w:bookmarkStart w:id="731" w:name="__RefHeading___Toc11915550_2142443653"/>
      <w:bookmarkStart w:id="732" w:name="_Toc262"/>
      <w:bookmarkEnd w:id="731"/>
      <w:r>
        <w:rPr>
          <w:rtl w:val="true"/>
        </w:rPr>
        <w:t>خلط نطفتين</w:t>
      </w:r>
      <w:bookmarkEnd w:id="73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خلطت نطفتان، وزرقت شبهة مثلاً، كما لو أخذت نطفتا رجلين، وبعد الخلط زرق المخلوط في رحم امرأة بشبهة أنها نطفة زوجها، فهل لهذا الولد أبوان، أو أب واحد بالقرعة، أو لا يحكم</w:t>
      </w:r>
      <w:r>
        <w:rPr>
          <w:rStyle w:val="FootnoteAnchor"/>
          <w:rtl w:val="true"/>
        </w:rPr>
        <w:footnoteReference w:id="1135"/>
      </w:r>
      <w:r>
        <w:rPr>
          <w:rFonts w:ascii="Amiri" w:hAnsi="Amiri" w:eastAsia="Amiri" w:cs="Amiri"/>
          <w:color w:val="111111"/>
          <w:sz w:val="28"/>
          <w:sz w:val="28"/>
          <w:szCs w:val="28"/>
          <w:rtl w:val="true"/>
          <w:lang w:bidi="ar-SA"/>
        </w:rPr>
        <w:t xml:space="preserve"> على أحدهما بالأبوة؟ له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أنّه زرق فيها المني قبل الزوجية، ثم فرض أنّه خلط بالنطفة اللاحقة حال الزوجية كان صغرى لما نحن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يكون حراماً؟ مع أنّ مبنى المصنف أنّ استئجار الرحم لا إشكال فيه، فلنفرض أنّ هذا كالاستئجار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نطفة واحدة، فلِمَ يكون التشريك؟ إلاّ أن يفرض تشارك النطفتين واقعاً في تكوين الولد،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مجهول فتجري قاعدة العدل والإنصاف،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فهو كخلط الكلب بالخنزير،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عليه أحدهما، فتأمل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733" w:name="pg15697_169133"/>
    </w:p>
    <w:p>
      <w:pPr>
        <w:pStyle w:val="BookText"/>
        <w:rPr/>
      </w:pPr>
      <w:bookmarkEnd w:id="7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الأول هو الأقرب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إذ لا وجه للآخرين بعد الاشتراك بين النطفتين، والفرق بين هذه المسألة والمسألة السابقة أنه لا فراش في هذه المسألة ، وكذلك الحال لو أخذت نطفة امرأتين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مع رجل واحد حلال، وربيت في الأنبوب، وصور المسألة ومحتملاتها متعددة</w:t>
      </w:r>
      <w:r>
        <w:rPr>
          <w:rFonts w:eastAsia="Amiri" w:cs="Amiri" w:ascii="Amiri" w:hAnsi="Amiri"/>
          <w:color w:val="111111"/>
          <w:sz w:val="28"/>
          <w:szCs w:val="28"/>
          <w:rtl w:val="true"/>
          <w:lang w:bidi="ar-SA"/>
        </w:rPr>
        <w:t>.</w:t>
      </w:r>
    </w:p>
    <w:p>
      <w:pPr>
        <w:pStyle w:val="Heading2"/>
        <w:numPr>
          <w:ilvl w:val="1"/>
          <w:numId w:val="1"/>
        </w:numPr>
        <w:rPr/>
      </w:pPr>
      <w:bookmarkStart w:id="734" w:name="__RefHeading___Toc11915552_2142443653"/>
      <w:bookmarkStart w:id="735" w:name="_Toc263"/>
      <w:bookmarkEnd w:id="734"/>
      <w:r>
        <w:rPr>
          <w:rtl w:val="true"/>
        </w:rPr>
        <w:t>مس العظم الصناعي</w:t>
      </w:r>
      <w:bookmarkEnd w:id="7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الصناعي المركب</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جسم الحي بالعملية الجراحية، وكذا العظم الحقيقي المركب في جسم الحي، والعظم الذي يؤخذ من ميت لا غسل على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مغسّلاً أو لكونه من إنسان لا غسل له</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xml:space="preserve">، أو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مسه الإنسان بعد موت صاحب العظم، لا غسل على الماس؛ لأنّ العظم لا يكون جزءاً من الإنسان المركب فيه، نعم إذا فرض أنه صار جزءاً منه صار بحكم سائر عظامه</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وكذلك لا غسل بمس الأسنان</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الاصطناعية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أنّه تكون حقيقةً من النطفتين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فالظاهر القرعة،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ترثان منه إرثين، أو يكون كالزوجة، حيث يقسم عليها الثمن أو الربع؟</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يصبح جزءاً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الأحكام تابعة للموضوعات، وقد سبق نظير هذه المسألة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تتفاعل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تفاعلت وأصبحت جزءاً حقيقياً، أو اعتبرت جزءاً عرفاً، كما لو ركبت وزرعت أصبحت بحكم سائر أجزائه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736" w:name="pg15697_169134"/>
    </w:p>
    <w:p>
      <w:pPr>
        <w:pStyle w:val="BookText"/>
        <w:rPr/>
      </w:pPr>
      <w:bookmarkEnd w:id="7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صيرورة</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العظم جزءاً أقرب إلى الفرض منه إلى الواقع، فيكون عليه الغسل للصدق العرفي، أما الأسنان الاصطناعية فالظاهر عدم الصدق العرفي، والحكم في المسائل المذكورة واضح</w:t>
      </w:r>
      <w:r>
        <w:rPr>
          <w:rFonts w:eastAsia="Amiri" w:cs="Amiri" w:ascii="Amiri" w:hAnsi="Amiri"/>
          <w:color w:val="111111"/>
          <w:sz w:val="28"/>
          <w:szCs w:val="28"/>
          <w:rtl w:val="true"/>
          <w:lang w:bidi="ar-SA"/>
        </w:rPr>
        <w:t>.</w:t>
      </w:r>
    </w:p>
    <w:p>
      <w:pPr>
        <w:pStyle w:val="Heading2"/>
        <w:numPr>
          <w:ilvl w:val="1"/>
          <w:numId w:val="1"/>
        </w:numPr>
        <w:rPr/>
      </w:pPr>
      <w:bookmarkStart w:id="737" w:name="__RefHeading___Toc11915554_2142443653"/>
      <w:bookmarkStart w:id="738" w:name="_Toc264"/>
      <w:bookmarkEnd w:id="737"/>
      <w:r>
        <w:rPr>
          <w:rtl w:val="true"/>
        </w:rPr>
        <w:t>توأمان متلاصقان</w:t>
      </w:r>
      <w:bookmarkEnd w:id="7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 توأمان متلاصقان، وبقيا متلاصقين، فهل يحق لهما الزواج بامرأتين، لكل واحد زوجة؟ الظاهر ذلك، ويجوز اقتراب كل من زوجته إذا لم يوجب</w:t>
      </w:r>
      <w:r>
        <w:rPr>
          <w:rStyle w:val="FootnoteAnchor"/>
          <w:rtl w:val="true"/>
        </w:rPr>
        <w:footnoteReference w:id="1137"/>
      </w:r>
      <w:r>
        <w:rPr>
          <w:rFonts w:ascii="Amiri" w:hAnsi="Amiri" w:eastAsia="Amiri" w:cs="Amiri"/>
          <w:color w:val="111111"/>
          <w:sz w:val="28"/>
          <w:sz w:val="28"/>
          <w:szCs w:val="28"/>
          <w:rtl w:val="true"/>
          <w:lang w:bidi="ar-SA"/>
        </w:rPr>
        <w:t xml:space="preserve"> الاقتراب أمراً محرماً بالنسبة إلى الشخص الآخر الملصق بالذي اقترب من زوجته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لأنهما إنسانان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حسب الفرض، فلكل حكمه، ومنه يعلم أنه لو احتلم أحدهما لا يجب الغسل إلا عليه، ويجوز للثاني مس القرآن مثلاً أو قراءة آيات السجدة، وكذا الحال لو كانتا بنتين أو كانا ذكراً وأنثى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اختلاف الإرادتين، بأن أراد أحدهما شيئاً، والآخر شيئاً</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الملاك النظر العرفي المسامحي أو الدقة العرفيّة أو العقليّة؟ الظاهر الأوسط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أول مسألة في الكتاب</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أوجب دخل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التعاون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والمحلل عند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علامات مذكورة في كتاب الإرث لمعرفة التعدد والوحدة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فاللازم</w:t>
      </w:r>
      <w:r>
        <w:rPr>
          <w:rStyle w:val="FootnoteAnchor"/>
          <w:rtl w:val="true"/>
        </w:rPr>
        <w:footnoteReference w:id="1142"/>
      </w:r>
      <w:r>
        <w:rPr>
          <w:rFonts w:ascii="Amiri" w:hAnsi="Amiri" w:eastAsia="Amiri" w:cs="Amiri"/>
          <w:color w:val="111111"/>
          <w:sz w:val="28"/>
          <w:sz w:val="28"/>
          <w:szCs w:val="28"/>
          <w:rtl w:val="true"/>
          <w:lang w:bidi="ar-SA"/>
        </w:rPr>
        <w:t xml:space="preserve"> أن تنفذ إرادة كل واحد منهما مرة،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أحدهما الصلاة أول الوقت والآخر آخر الوقت، فمرة تنفذ إرادة هذا ومرة ذلك، أو أراد أحدهما الاقتراب من زوجته لاستلزام</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ولم يرد الآخر، أو أراد أحدهما الحج أو الزيارة، ولم يرد الآخر، ولا يلزم تشابه الإرادتين، بل يكفي إرادتان،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أحدهما المشي صباحاً والآخر النوم ظهراً، لكن اللازم تساوي قدر الزمانين وقدر السهولة والصعوبة فيهما، لا أن تكون إرادة أحدهما أسهل والآخر أصعب، وهكذا بالنسبة إلى الزمان الأقصر والأطول، وإنما قلنا بلزوم أن تنفذ إرادة كل واحدة مرة لعدم الترجيح</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ولقاعدة العدل</w:t>
      </w:r>
      <w:r>
        <w:rPr>
          <w:rFonts w:eastAsia="Times New Roman" w:cs="Times New Roman" w:ascii="Times New Roman" w:hAnsi="Times New Roman"/>
          <w:color w:val="111111"/>
          <w:sz w:val="28"/>
          <w:szCs w:val="28"/>
          <w:lang w:val="en-US" w:bidi="en-US"/>
        </w:rPr>
        <w:t>6</w:t>
      </w:r>
      <w:r>
        <w:rPr>
          <w:rFonts w:ascii="Amiri" w:hAnsi="Amiri" w:eastAsia="Amiri" w:cs="Amiri"/>
          <w:color w:val="111111"/>
          <w:sz w:val="28"/>
          <w:sz w:val="28"/>
          <w:szCs w:val="28"/>
          <w:rtl w:val="true"/>
          <w:lang w:bidi="ar-SA"/>
        </w:rPr>
        <w:t>، ولقاعدة المهاياة</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ملاكاً</w:t>
      </w:r>
      <w:r>
        <w:rPr>
          <w:rFonts w:eastAsia="Amiri" w:cs="Amiri" w:ascii="Amiri" w:hAnsi="Amiri"/>
          <w:color w:val="111111"/>
          <w:sz w:val="28"/>
          <w:szCs w:val="28"/>
          <w:rtl w:val="true"/>
          <w:lang w:bidi="ar-SA"/>
        </w:rPr>
        <w:t>.</w:t>
      </w:r>
    </w:p>
    <w:p>
      <w:pPr>
        <w:pStyle w:val="BookText"/>
        <w:rPr/>
      </w:pP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القرعة؛ لأنّها لكل أمر مشكل، لكن ما ذكره من الأدلة في ذيل المسألة لعلها حاكمة على القرعة،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الخمس في قاعدة العدل</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تأخيره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يرد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ينهض دليلاً، بل لا تنفذ إرادة أي منهما عليه،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مستندها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أو بناء العقلاء، وقد اختلف رأي للشيخ في ذلك، فمرة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عليها إلاّ عذوبة لفظها، ومرة اعتبرها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في كتاب العتق</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739" w:name="pg15697_169136"/>
    </w:p>
    <w:p>
      <w:pPr>
        <w:pStyle w:val="Heading2"/>
        <w:numPr>
          <w:ilvl w:val="1"/>
          <w:numId w:val="1"/>
        </w:numPr>
        <w:rPr/>
      </w:pPr>
      <w:bookmarkStart w:id="740" w:name="__RefHeading___Toc11915556_2142443653"/>
      <w:bookmarkStart w:id="741" w:name="_Toc265"/>
      <w:bookmarkEnd w:id="739"/>
      <w:bookmarkEnd w:id="740"/>
      <w:r>
        <w:rPr>
          <w:rtl w:val="true"/>
        </w:rPr>
        <w:t>جسدان على حقو واحد</w:t>
      </w:r>
      <w:bookmarkEnd w:id="74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جسدان</w:t>
      </w:r>
      <w:r>
        <w:rPr>
          <w:rStyle w:val="FootnoteAnchor"/>
          <w:rtl w:val="true"/>
        </w:rPr>
        <w:footnoteReference w:id="1147"/>
      </w:r>
      <w:r>
        <w:rPr>
          <w:rFonts w:ascii="IRNazanin" w:hAnsi="IRNazanin" w:eastAsia="IRNazanin"/>
          <w:color w:val="111111"/>
          <w:sz w:val="28"/>
          <w:sz w:val="28"/>
          <w:szCs w:val="28"/>
          <w:rtl w:val="true"/>
          <w:lang w:bidi="fa-IR"/>
        </w:rPr>
        <w:t xml:space="preserve"> على حقو</w:t>
      </w:r>
      <w:r>
        <w:rPr>
          <w:rStyle w:val="FootnoteAnchor"/>
          <w:rtl w:val="true"/>
        </w:rPr>
        <w:footnoteReference w:id="1148"/>
      </w:r>
      <w:r>
        <w:rPr>
          <w:rFonts w:ascii="Amiri" w:hAnsi="Amiri" w:eastAsia="Amiri" w:cs="Amiri"/>
          <w:color w:val="111111"/>
          <w:sz w:val="28"/>
          <w:sz w:val="28"/>
          <w:szCs w:val="28"/>
          <w:rtl w:val="true"/>
          <w:lang w:bidi="ar-SA"/>
        </w:rPr>
        <w:t>واحد، فيما يُعد شخصان</w:t>
      </w:r>
      <w:r>
        <w:rPr>
          <w:rStyle w:val="FootnoteAnchor"/>
          <w:rtl w:val="true"/>
        </w:rPr>
        <w:footnoteReference w:id="1149"/>
      </w:r>
      <w:r>
        <w:rPr>
          <w:rFonts w:ascii="Amiri" w:hAnsi="Amiri" w:eastAsia="Amiri" w:cs="Amiri"/>
          <w:color w:val="111111"/>
          <w:sz w:val="28"/>
          <w:sz w:val="28"/>
          <w:szCs w:val="28"/>
          <w:rtl w:val="true"/>
          <w:lang w:bidi="ar-SA"/>
        </w:rPr>
        <w:t>، يكون الحكم كالمسألة السابقة، أما لو كان رأسان على جسم واحد، مما عُدّا</w:t>
      </w:r>
      <w:r>
        <w:rPr>
          <w:rStyle w:val="FootnoteAnchor"/>
          <w:rtl w:val="true"/>
        </w:rPr>
        <w:footnoteReference w:id="1150"/>
      </w:r>
      <w:r>
        <w:rPr>
          <w:rFonts w:ascii="Amiri" w:hAnsi="Amiri" w:eastAsia="Amiri" w:cs="Amiri"/>
          <w:color w:val="111111"/>
          <w:sz w:val="28"/>
          <w:sz w:val="28"/>
          <w:szCs w:val="28"/>
          <w:rtl w:val="true"/>
          <w:lang w:bidi="ar-SA"/>
        </w:rPr>
        <w:t xml:space="preserve"> شرعاً لإنسان واحد، فالحكم مثل ذي الرأس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الغسل حيث إنّ مقداراً من بدنه محجوب فهل يغسل الجانب الآخر باعتباره جبيرة، أو يسقط باعتباره باطناً؟ الظاهر الأخير، فهو مثل مَنْ له إصبع زائدة، أو لحم زائد، فإنّ ما تحته لا يجب غسله؛ لأنّه باطن، والجانب الآخر لا يعد جزءاً من بدنه حتى يجب غسله،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أنّه ورد مثله في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وراجع المسألة السابقة</w:t>
      </w:r>
      <w:r>
        <w:rPr>
          <w:rFonts w:eastAsia="Amiri" w:cs="Amiri" w:ascii="Amiri" w:hAnsi="Amiri"/>
          <w:color w:val="111111"/>
          <w:sz w:val="28"/>
          <w:szCs w:val="28"/>
          <w:rtl w:val="true"/>
          <w:lang w:bidi="ar-SA"/>
        </w:rPr>
        <w:t>.</w:t>
      </w:r>
    </w:p>
    <w:p>
      <w:pPr>
        <w:pStyle w:val="BookText"/>
        <w:rPr/>
      </w:pP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العلاقة في كتاب الإرث</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كتاب الصوم، بحث الارتماس</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742" w:name="pg15697_169137"/>
    </w:p>
    <w:p>
      <w:pPr>
        <w:pStyle w:val="BookText"/>
        <w:rPr/>
      </w:pPr>
      <w:bookmarkEnd w:id="7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الحكم كالمسألة السابقة، أي لكلٍّ حكمه، ولكن يشكل ذلك في الزواج رجلاً كان أو امرأة؛ لأنّ الآلة لهما لا لأحدهما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فهل يجوز باعتبار الآلة الواحدة؟ أو لا، باعتبار اثنينية الجسد؟ احتمالان، وإذا كان في عسر وحرج من جهة الاحتياج إلى الجنس فهل يجوز أو لا؟ أو يستفرغ المني بواسطة أخرى؟ المسألة بحاجة إلى مزيد من التأمل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3" w:name="__RefHeading___Toc11915558_2142443653"/>
      <w:bookmarkStart w:id="744" w:name="_Toc266"/>
      <w:bookmarkEnd w:id="743"/>
      <w:r>
        <w:rPr>
          <w:rtl w:val="true"/>
        </w:rPr>
        <w:t>ذو العورتين المتشابهتين</w:t>
      </w:r>
      <w:bookmarkEnd w:id="74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لإنسان عورتان طبيعيتان أو ملتصقتان</w:t>
      </w:r>
      <w:r>
        <w:rPr>
          <w:rStyle w:val="FootnoteAnchor"/>
          <w:rtl w:val="true"/>
        </w:rPr>
        <w:footnoteReference w:id="1156"/>
      </w:r>
      <w:r>
        <w:rPr>
          <w:rFonts w:ascii="Amiri" w:hAnsi="Amiri" w:eastAsia="Amiri" w:cs="Amiri"/>
          <w:color w:val="111111"/>
          <w:sz w:val="28"/>
          <w:sz w:val="28"/>
          <w:szCs w:val="28"/>
          <w:rtl w:val="true"/>
          <w:lang w:bidi="ar-SA"/>
        </w:rPr>
        <w:t xml:space="preserve"> أو بالاختلاف، فالظاهر جواز الملامسة بهما مع زوجها أو زوجته، سواء كان الشخص رجلاً أم امرأة، لكن بشرط أن تصير الملصقة جزءاً منه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العلائم لمعرفة تبعية الآلة لأيٍّ منهما؟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بناءهم أنّ الحرج لا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المحرمات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ما بلغ،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الملصقة بحث؛ لأنّها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تتفاعل، وأن تتفاعل وتصبح جزءاً عرفاً، فإن لم تتفاعل ففيه إشكال، فهو مثل تركيب ذكر مطاطي على وسطه وشده به بواسطة حزام، فهل يجوز ذلك؟ وكذا في طرف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مثل لمس ثوب المرأة بشهوة، أو شعرها الاصطناعي، فإنّه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لكن الصدق مطلقاً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جارية على مثل الثوب،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745" w:name="pg15697_169138"/>
    </w:p>
    <w:p>
      <w:pPr>
        <w:pStyle w:val="BookText"/>
        <w:rPr/>
      </w:pPr>
      <w:bookmarkEnd w:id="7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زيادة العورة كزيادة سائر الأعضاء، فإذا كان يجوز أن يلمس زوجته بالإصبع الزائدة أو اليد الزائدة، فكذا يجوز بالعورة الزائدة، لعدم الفرق وإطلاق الأدلة، وإذا كان له ما للرجل وللمرأة، وكان الأصل الرجل تزوج بأنثى، وحق لهما الاستفادة من العورة الأخرى، لعدم دليل على الحرمة، ولو كان الأصل المرأة تزوجت برجل كذلك، ولو فرض زوج وزوجة كذلك جاز لهما الاستفادة من العورتين فاعلاً وقابلاً، لإطلاق الأدلة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6" w:name="__RefHeading___Toc11915560_2142443653"/>
      <w:bookmarkStart w:id="747" w:name="_Toc267"/>
      <w:bookmarkEnd w:id="746"/>
      <w:r>
        <w:rPr>
          <w:rtl w:val="true"/>
        </w:rPr>
        <w:t>ذو العورتين المختلفتين</w:t>
      </w:r>
      <w:bookmarkEnd w:id="74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لإنسان عورتا رجل وامرأة، طبيعيتان، أو ملصقتان، جزءاً</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بالاختلاف</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لا يجوز له الملامسة بهما إلى النوعين، بأن يتخذ زوجاً وزوجة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العورة المشدودة،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الكلام في الممسوح والعنين الذي يشد على وسطه آلة اصطناعية، وسيأتي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أن تصير جزءاً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الحاشية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الملتصقان جزءاً منه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إحداهما جزءاً والأُخرى غير جزء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إما رجل أو امرأة، فلا يجوز</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اتخاذهُ زوجاً وزوجة للقطع</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بارتكاب الحرام، وقد ذكرنا أحكام الخنثى</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زوج وزوجة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ترجع للعلامات المذكورة في كتاب الإرث، فإن لم تكن، فإمّا أن يمتنع عن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يقرع، أو يتخير أحد الطريقين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748" w:name="pg15697_169140"/>
    </w:p>
    <w:p>
      <w:pPr>
        <w:pStyle w:val="Heading2"/>
        <w:numPr>
          <w:ilvl w:val="1"/>
          <w:numId w:val="1"/>
        </w:numPr>
        <w:rPr/>
      </w:pPr>
      <w:bookmarkStart w:id="749" w:name="__RefHeading___Toc11915562_2142443653"/>
      <w:bookmarkStart w:id="750" w:name="_Toc268"/>
      <w:bookmarkEnd w:id="748"/>
      <w:bookmarkEnd w:id="749"/>
      <w:r>
        <w:rPr>
          <w:rtl w:val="true"/>
        </w:rPr>
        <w:t>الانتفاع بإحدى العورتين</w:t>
      </w:r>
      <w:bookmarkEnd w:id="75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يجوز</w:t>
      </w:r>
      <w:r>
        <w:rPr>
          <w:rStyle w:val="FootnoteAnchor"/>
          <w:rtl w:val="true"/>
        </w:rPr>
        <w:footnoteReference w:id="1161"/>
      </w:r>
      <w:r>
        <w:rPr>
          <w:rFonts w:ascii="Amiri" w:hAnsi="Amiri" w:eastAsia="Amiri" w:cs="Amiri"/>
          <w:color w:val="111111"/>
          <w:sz w:val="28"/>
          <w:sz w:val="28"/>
          <w:szCs w:val="28"/>
          <w:rtl w:val="true"/>
          <w:lang w:bidi="ar-SA"/>
        </w:rPr>
        <w:t xml:space="preserve"> في فرض المسألة السابقة الانتفاع بإحدى العورتين بالنسبة إلى الجنس المخالف لصاحب العورة، 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صاحبهما رجلاً، جاز له الانتفاع بآلة الرجولية بالنسبة إلى زوجته، وإذا كان امرأة جاز لها الانتفاع بآلة الأنوثة بالنسبة إلى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وهكذا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1" w:name="__RefHeading___Toc11915564_2142443653"/>
      <w:bookmarkStart w:id="752" w:name="_Toc269"/>
      <w:bookmarkEnd w:id="751"/>
      <w:r>
        <w:rPr>
          <w:rtl w:val="true"/>
        </w:rPr>
        <w:t>الانتفاع بكلتا العورتين</w:t>
      </w:r>
      <w:bookmarkEnd w:id="7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في المسألة السابقة، انتفاع الزوجين بكلتا العورتين بأن يحق لهما التفاعل معاً أم لا؟ احتمالان،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Style w:val="FootnoteAnchor"/>
          <w:rtl w:val="true"/>
        </w:rPr>
        <w:footnoteReference w:id="1162"/>
      </w:r>
      <w:r>
        <w:rPr>
          <w:rFonts w:ascii="IRNazanin" w:hAnsi="IRNazanin" w:eastAsia="IRNazanin"/>
          <w:color w:val="111111"/>
          <w:sz w:val="28"/>
          <w:sz w:val="28"/>
          <w:szCs w:val="28"/>
          <w:rtl w:val="true"/>
          <w:lang w:bidi="fa-IR"/>
        </w:rPr>
        <w:t xml:space="preserve"> لإطلاق</w:t>
      </w:r>
      <w:r>
        <w:rPr>
          <w:rStyle w:val="FootnoteAnchor"/>
          <w:rtl w:val="true"/>
        </w:rPr>
        <w:footnoteReference w:id="1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أداء العلامات إلى كونه رجلاً، أو قلنا بالقرعة أو التخير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قريباً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ما يرتبط بنحو ذلك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المنع؛ وذلك لأنّه منكر في أذهان المتشرعة، وفيه منع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753" w:name="pg15697_169141"/>
    </w:p>
    <w:p>
      <w:pPr>
        <w:pStyle w:val="BookText"/>
        <w:rPr/>
      </w:pPr>
      <w:bookmarkEnd w:id="7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لما أشرنا إليه في شرح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لأحدهما اثنان دون الآخر جاز استعمال الآخر في الملامسة والاستمناء بيد الآخر وهكذا</w:t>
      </w:r>
      <w:r>
        <w:rPr>
          <w:rFonts w:eastAsia="Amiri" w:cs="Amiri" w:ascii="Amiri" w:hAnsi="Amiri"/>
          <w:color w:val="111111"/>
          <w:sz w:val="28"/>
          <w:szCs w:val="28"/>
          <w:rtl w:val="true"/>
          <w:lang w:bidi="ar-SA"/>
        </w:rPr>
        <w:t>.</w:t>
      </w:r>
    </w:p>
    <w:p>
      <w:pPr>
        <w:pStyle w:val="Heading2"/>
        <w:numPr>
          <w:ilvl w:val="1"/>
          <w:numId w:val="1"/>
        </w:numPr>
        <w:rPr/>
      </w:pPr>
      <w:bookmarkStart w:id="754" w:name="__RefHeading___Toc11915566_2142443653"/>
      <w:bookmarkStart w:id="755" w:name="_Toc270"/>
      <w:bookmarkEnd w:id="754"/>
      <w:r>
        <w:rPr>
          <w:rtl w:val="true"/>
        </w:rPr>
        <w:t>الزراعة في البحار</w:t>
      </w:r>
      <w:bookmarkEnd w:id="7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الزرع في البحر، لتكثير الأسماك، كما هو المعتاد عند الأمم المتقدمة صناعياً، والطعام لو كان حراماً</w:t>
      </w:r>
      <w:r>
        <w:rPr>
          <w:rStyle w:val="FootnoteAnchor"/>
          <w:rtl w:val="true"/>
        </w:rPr>
        <w:footnoteReference w:id="1169"/>
      </w:r>
      <w:r>
        <w:rPr>
          <w:rFonts w:ascii="Amiri" w:hAnsi="Amiri" w:eastAsia="Amiri" w:cs="Amiri"/>
          <w:color w:val="111111"/>
          <w:sz w:val="28"/>
          <w:sz w:val="28"/>
          <w:szCs w:val="28"/>
          <w:rtl w:val="true"/>
          <w:lang w:bidi="ar-SA"/>
        </w:rPr>
        <w:t xml:space="preserve"> لم يؤثر في حرمة السمك، أما لو كان نجساً فما يسبب صيرورة السمك جلالاً يلزم تطهير السمك بالطريق المقرّر في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يصير جلالاً إذا كانت النجاسة مما يوجب الجلل، وإلا لم يكن موجباً للتطهير</w:t>
      </w:r>
      <w:r>
        <w:rPr>
          <w:rFonts w:eastAsia="Amiri" w:cs="Amiri" w:ascii="Amiri" w:hAnsi="Amiri"/>
          <w:color w:val="111111"/>
          <w:sz w:val="28"/>
          <w:szCs w:val="28"/>
          <w:rtl w:val="true"/>
          <w:lang w:bidi="ar-SA"/>
        </w:rPr>
        <w:t>.</w:t>
      </w:r>
    </w:p>
    <w:p>
      <w:pPr>
        <w:pStyle w:val="Heading2"/>
        <w:numPr>
          <w:ilvl w:val="1"/>
          <w:numId w:val="1"/>
        </w:numPr>
        <w:rPr/>
      </w:pPr>
      <w:bookmarkStart w:id="756" w:name="__RefHeading___Toc11915568_2142443653"/>
      <w:bookmarkStart w:id="757" w:name="_Toc271"/>
      <w:bookmarkEnd w:id="756"/>
      <w:r>
        <w:rPr>
          <w:rtl w:val="true"/>
        </w:rPr>
        <w:t>انعدام فلس السمك</w:t>
      </w:r>
      <w:bookmarkEnd w:id="75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السمك ما أوجب ذهاب فلسه لم يحرم</w:t>
      </w:r>
      <w:r>
        <w:rPr>
          <w:rStyle w:val="FootnoteAnchor"/>
          <w:rtl w:val="true"/>
        </w:rPr>
        <w:footnoteReference w:id="1170"/>
      </w:r>
      <w:r>
        <w:rPr>
          <w:rFonts w:ascii="IRNazanin" w:hAnsi="IRNazanin" w:eastAsia="IRNazanin"/>
          <w:color w:val="111111"/>
          <w:sz w:val="28"/>
          <w:sz w:val="28"/>
          <w:szCs w:val="28"/>
          <w:rtl w:val="true"/>
          <w:lang w:bidi="fa-IR"/>
        </w:rPr>
        <w:t>، حتى</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ظاهر للتفكيك بين الحرمة والنجاسة، بل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كتاب الطهارة بحث النجاسات</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التغذي على عذرة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كسمك الكنعت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الشرائع</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758" w:name="pg15697_169142"/>
    </w:p>
    <w:p>
      <w:pPr>
        <w:pStyle w:val="BookText"/>
        <w:rPr/>
      </w:pPr>
      <w:bookmarkEnd w:id="758"/>
      <w:r>
        <w:rPr>
          <w:rFonts w:ascii="Amiri" w:hAnsi="Amiri" w:eastAsia="Amiri" w:cs="Amiri"/>
          <w:color w:val="111111"/>
          <w:sz w:val="28"/>
          <w:sz w:val="28"/>
          <w:szCs w:val="28"/>
          <w:rtl w:val="true"/>
          <w:lang w:bidi="ar-SA"/>
        </w:rPr>
        <w:t>إذا سرى ذلك إلى نسله، إلا إذا انطبق</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عنوان آخر لا فلس له مما هو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بالنسبة إلى كل من المستثنى والمستثنى منه واضح، وكذا الحال في المسألة الآتية</w:t>
      </w:r>
      <w:r>
        <w:rPr>
          <w:rFonts w:eastAsia="Amiri" w:cs="Amiri" w:ascii="Amiri" w:hAnsi="Amiri"/>
          <w:color w:val="111111"/>
          <w:sz w:val="28"/>
          <w:szCs w:val="28"/>
          <w:rtl w:val="true"/>
          <w:lang w:bidi="ar-SA"/>
        </w:rPr>
        <w:t>.</w:t>
      </w:r>
    </w:p>
    <w:p>
      <w:pPr>
        <w:pStyle w:val="Heading2"/>
        <w:numPr>
          <w:ilvl w:val="1"/>
          <w:numId w:val="1"/>
        </w:numPr>
        <w:rPr/>
      </w:pPr>
      <w:bookmarkStart w:id="759" w:name="__RefHeading___Toc11915570_2142443653"/>
      <w:bookmarkStart w:id="760" w:name="_Toc272"/>
      <w:bookmarkEnd w:id="759"/>
      <w:r>
        <w:rPr>
          <w:rtl w:val="true"/>
        </w:rPr>
        <w:t>إحداث الفلس للسمك</w:t>
      </w:r>
      <w:bookmarkEnd w:id="76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زرق السمك الذي لا فلس له خلقة، بما سبب له فلساً، فالظاهر أنه لا يحل بذلك، ولو سرى ذلك إلى نسله، بأن خرج نسله ذا فلس، إلا إذا انطبق</w:t>
      </w:r>
      <w:r>
        <w:rPr>
          <w:rStyle w:val="FootnoteAnchor"/>
          <w:rtl w:val="true"/>
        </w:rPr>
        <w:footnoteReference w:id="1175"/>
      </w:r>
      <w:r>
        <w:rPr>
          <w:rFonts w:ascii="Amiri" w:hAnsi="Amiri" w:eastAsia="Amiri" w:cs="Amiri"/>
          <w:color w:val="111111"/>
          <w:sz w:val="28"/>
          <w:sz w:val="28"/>
          <w:szCs w:val="28"/>
          <w:rtl w:val="true"/>
          <w:lang w:bidi="ar-SA"/>
        </w:rPr>
        <w:t xml:space="preserve"> عليه عنوان سمك له فلس، مما هو محلل في الشريعة، بأنه صدق عرفاً بأنه سمك له فلس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صيرورة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بعض السمك ذا فلس لا كله بسقوط بعض فلسه، أو</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موهمة، والظاهر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انطبق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 لا فلس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انطبق عليه عنوان الجرّي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انطباق عنوان الأسماك الفاقدة للفلس الموجودة فعلاً، بل انطبق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فلس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نظير فيما لا فلس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الأحكام تابعة للعناوين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العرف يفرق بين السراية الدائمة والمؤقتة، وهل المراد في جيل أو الأجيال؟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177"/>
      </w:r>
      <w:r>
        <w:rPr>
          <w:rFonts w:ascii="Amiri" w:hAnsi="Amiri" w:eastAsia="Amiri" w:cs="Amiri"/>
          <w:color w:val="111111"/>
          <w:sz w:val="28"/>
          <w:sz w:val="28"/>
          <w:szCs w:val="28"/>
          <w:rtl w:val="true"/>
          <w:lang w:bidi="ar-SA"/>
        </w:rPr>
        <w:t>، وفي العبارة نوع غموض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لحاظ الانطباق المذكور في صدر المسألة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761" w:name="pg15697_169143"/>
    </w:p>
    <w:p>
      <w:pPr>
        <w:pStyle w:val="BookText"/>
        <w:rPr/>
      </w:pPr>
      <w:bookmarkEnd w:id="761"/>
      <w:r>
        <w:rPr>
          <w:rFonts w:ascii="Amiri" w:hAnsi="Amiri" w:eastAsia="Amiri" w:cs="Amiri"/>
          <w:color w:val="111111"/>
          <w:sz w:val="28"/>
          <w:sz w:val="28"/>
          <w:szCs w:val="28"/>
          <w:rtl w:val="true"/>
          <w:lang w:bidi="ar-SA"/>
        </w:rPr>
        <w:t>خروج بعض الفلس في جسده، فالأول أقرب إلى صدق أنه ذو فلس، بخلاف</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وإن كانت المسألة بحاجة إلى التأمل لاحتمال</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بذي الفلس في الروايات</w:t>
      </w:r>
      <w:r>
        <w:rPr>
          <w:rStyle w:val="FootnoteAnchor"/>
          <w:rtl w:val="true"/>
        </w:rPr>
        <w:footnoteReference w:id="1178"/>
      </w:r>
      <w:r>
        <w:rPr>
          <w:rFonts w:ascii="Amiri" w:hAnsi="Amiri" w:eastAsia="Amiri" w:cs="Amiri"/>
          <w:color w:val="111111"/>
          <w:sz w:val="28"/>
          <w:sz w:val="28"/>
          <w:szCs w:val="28"/>
          <w:rtl w:val="true"/>
          <w:lang w:bidi="ar-SA"/>
        </w:rPr>
        <w:t>ما يغطي كل جسده</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2"/>
        <w:numPr>
          <w:ilvl w:val="1"/>
          <w:numId w:val="1"/>
        </w:numPr>
        <w:rPr/>
      </w:pPr>
      <w:bookmarkStart w:id="762" w:name="__RefHeading___Toc11915572_2142443653"/>
      <w:bookmarkStart w:id="763" w:name="_Toc273"/>
      <w:bookmarkEnd w:id="762"/>
      <w:r>
        <w:rPr>
          <w:rtl w:val="true"/>
        </w:rPr>
        <w:t>السمكة الآكلة والمأكولة</w:t>
      </w:r>
      <w:bookmarkEnd w:id="7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أكلت</w:t>
      </w:r>
      <w:r>
        <w:rPr>
          <w:rStyle w:val="FootnoteAnchor"/>
          <w:rtl w:val="true"/>
        </w:rPr>
        <w:footnoteReference w:id="1179"/>
      </w:r>
      <w:r>
        <w:rPr>
          <w:rFonts w:ascii="Amiri" w:hAnsi="Amiri" w:eastAsia="Amiri" w:cs="Amiri"/>
          <w:color w:val="111111"/>
          <w:sz w:val="28"/>
          <w:sz w:val="28"/>
          <w:szCs w:val="28"/>
          <w:rtl w:val="true"/>
          <w:lang w:bidi="ar-SA"/>
        </w:rPr>
        <w:t xml:space="preserve"> سمكة سمكة محللة، فماتت في جوفها، فالظاهر أنّ المأكول حلال إذا كان فيها شرط التحلل، كما لو صاد السمك إنسان فألقاه إلى سمكة كبيرة لتلتهمها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الفرضين غير واضح،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الألفاظ تحمل على المتعارف،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الندرة تصرف إطلاق المطلق؟</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تخرج بعض الأسماك التي يُدّعى أنّ لها فلساً واحداً تحت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 مذكور في كتاب الأطعمة والأشربة، لكن الظاهر التفصيل في صورة اصطياد السمكة الآكلة من الماء، وفرض المسألة هنا في صورة كون الآكلة خارج الماء، كما يظهر من سياق المسألة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التهمت المأكولة وماتت المأكولة والآكلة خارج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بعيد جداً،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خارج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الداخل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ماتت السمكة في غواصة، أو في كيس داخل الماء، أو في كف خالية من الماء، وكلّ ذلك في داخل الماء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764" w:name="pg15697_169144"/>
    </w:p>
    <w:p>
      <w:pPr>
        <w:pStyle w:val="BookText"/>
        <w:rPr/>
      </w:pPr>
      <w:bookmarkEnd w:id="7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دليل على لزوم أن يموت السمك خارج الجوف، وأي فرق بين أن يموت داخل حيوان أو في بر أو ما أشبه ذلك، كما لو صادها في غواصة</w:t>
      </w:r>
      <w:r>
        <w:rPr>
          <w:rFonts w:eastAsia="Amiri" w:cs="Amiri" w:ascii="Amiri" w:hAnsi="Amiri"/>
          <w:color w:val="111111"/>
          <w:sz w:val="28"/>
          <w:szCs w:val="28"/>
          <w:rtl w:val="true"/>
          <w:lang w:bidi="ar-SA"/>
        </w:rPr>
        <w:t>.</w:t>
      </w:r>
    </w:p>
    <w:p>
      <w:pPr>
        <w:pStyle w:val="Heading2"/>
        <w:numPr>
          <w:ilvl w:val="1"/>
          <w:numId w:val="1"/>
        </w:numPr>
        <w:rPr/>
      </w:pPr>
      <w:bookmarkStart w:id="765" w:name="__RefHeading___Toc11915574_2142443653"/>
      <w:bookmarkStart w:id="766" w:name="_Toc274"/>
      <w:bookmarkEnd w:id="765"/>
      <w:r>
        <w:rPr>
          <w:rtl w:val="true"/>
        </w:rPr>
        <w:t>الصفيف والدفيف</w:t>
      </w:r>
      <w:bookmarkEnd w:id="76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Style w:val="FootnoteAnchor"/>
          <w:rtl w:val="true"/>
        </w:rPr>
        <w:footnoteReference w:id="1181"/>
      </w:r>
      <w:r>
        <w:rPr>
          <w:rFonts w:ascii="Amiri" w:hAnsi="Amiri" w:eastAsia="Amiri" w:cs="Amiri"/>
          <w:color w:val="111111"/>
          <w:sz w:val="28"/>
          <w:sz w:val="28"/>
          <w:szCs w:val="28"/>
          <w:rtl w:val="true"/>
          <w:lang w:bidi="ar-SA"/>
        </w:rPr>
        <w:t xml:space="preserve"> أنّ الطائر الذي صفيفه أكثر بسبب الوسائل الحديثة صار دفيفه أكثر لم يحل، ولو صار صفيفه أكثر بسبب الوسائل الحديثة وكان دفيفه أكثر خلقة،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تمامية ذلك موقوف على العلم بكون داخل بطن الآكلة خالياً من الماء،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ففي صدق الأدلة في الآكلة داخل الماء نظر،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أنّ في داخل الآكلة ماءً فالحكم استصحاب عدم 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مسألة أصالة عدم التذكية</w:t>
      </w:r>
      <w:r>
        <w:rPr>
          <w:rStyle w:val="FootnoteAnchor"/>
          <w:rtl w:val="true"/>
        </w:rPr>
        <w:footnoteReference w:id="1182"/>
      </w:r>
      <w:r>
        <w:rPr>
          <w:rFonts w:ascii="Amiri" w:hAnsi="Amiri" w:eastAsia="Amiri" w:cs="Amiri"/>
          <w:color w:val="111111"/>
          <w:sz w:val="28"/>
          <w:sz w:val="28"/>
          <w:szCs w:val="28"/>
          <w:rtl w:val="true"/>
          <w:lang w:bidi="ar-SA"/>
        </w:rPr>
        <w:t>، ومسألة السمكة الآكلة والمأكولة في كتاب الأطعمة والأشربة</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متوقف على أنّ الصفيف والدفيف طريقي أو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موضوعياً كان الحكم نفسه، إلاّ أنّه منصرف عن العارض،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العرضية الطارئة،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طريقياً كان طريقاً إلى تحريم طيور معينة بأعيانها، فلا يؤثر تخلف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الأصل في العناوين الموضوعية لا الطريقية، إلاّ ما خرج، مثل تبين الفجر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767" w:name="pg15697_169145"/>
    </w:p>
    <w:p>
      <w:pPr>
        <w:pStyle w:val="BookText"/>
        <w:rPr/>
      </w:pPr>
      <w:bookmarkEnd w:id="7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خرج عن العنوان الأول إلى العنوان الثاني عرفاً كان حكم الثاني؛ لأنه من تبدل الموضوع، والحكم تابع للموضوع</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8" w:name="__RefHeading___Toc11915576_2142443653"/>
      <w:bookmarkStart w:id="769" w:name="_Toc275"/>
      <w:bookmarkEnd w:id="768"/>
      <w:r>
        <w:rPr>
          <w:rtl w:val="true"/>
        </w:rPr>
        <w:t>التغيير في نسل الطائر</w:t>
      </w:r>
      <w:bookmarkEnd w:id="76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سبب</w:t>
      </w:r>
      <w:r>
        <w:rPr>
          <w:rStyle w:val="FootnoteAnchor"/>
          <w:rtl w:val="true"/>
        </w:rPr>
        <w:footnoteReference w:id="1185"/>
      </w:r>
      <w:r>
        <w:rPr>
          <w:rFonts w:ascii="Amiri" w:hAnsi="Amiri" w:eastAsia="Amiri" w:cs="Amiri"/>
          <w:color w:val="111111"/>
          <w:sz w:val="28"/>
          <w:sz w:val="28"/>
          <w:szCs w:val="28"/>
          <w:rtl w:val="true"/>
          <w:lang w:bidi="ar-SA"/>
        </w:rPr>
        <w:t xml:space="preserve"> التغيير في الطائر سريانه إلى نسله في مفروض المسألة السابقة لا يسبب ذلك حلية النسل فيما كان حراماً، أو حرمة النسل فيما كان حلالاً، إلا إذا دخل النسل في العنوان المحلل، أو العنوان المحرم، بأن صار من تبدل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تقدم، وكذا الحال فيما لو ظهرت العلامتان الأخريان بعد أن لم تكونا، أو اختفت العلامتان الأخريان بعد أن كانتا، وهكذا حال البيض باستواء</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طرفيه وعدم استوائهما حيث ذكرا علامة للحل والحرمة</w:t>
      </w:r>
      <w:r>
        <w:rPr>
          <w:rFonts w:eastAsia="Amiri" w:cs="Amiri" w:ascii="Amiri" w:hAnsi="Amiri"/>
          <w:color w:val="111111"/>
          <w:sz w:val="28"/>
          <w:szCs w:val="28"/>
          <w:rtl w:val="true"/>
          <w:lang w:bidi="ar-SA"/>
        </w:rPr>
        <w:t>.</w:t>
      </w:r>
    </w:p>
    <w:p>
      <w:pPr>
        <w:pStyle w:val="Heading2"/>
        <w:numPr>
          <w:ilvl w:val="1"/>
          <w:numId w:val="1"/>
        </w:numPr>
        <w:rPr/>
      </w:pPr>
      <w:bookmarkStart w:id="770" w:name="__RefHeading___Toc11915578_2142443653"/>
      <w:bookmarkStart w:id="771" w:name="_Toc276"/>
      <w:bookmarkEnd w:id="770"/>
      <w:r>
        <w:rPr>
          <w:rtl w:val="true"/>
        </w:rPr>
        <w:t>الصناديق الخيرية</w:t>
      </w:r>
      <w:bookmarkEnd w:id="77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Style w:val="FootnoteAnchor"/>
          <w:rtl w:val="true"/>
        </w:rPr>
        <w:footnoteReference w:id="1186"/>
      </w:r>
      <w:r>
        <w:rPr>
          <w:rFonts w:ascii="Amiri" w:hAnsi="Amiri" w:eastAsia="Amiri" w:cs="Amiri"/>
          <w:color w:val="111111"/>
          <w:sz w:val="28"/>
          <w:sz w:val="28"/>
          <w:szCs w:val="28"/>
          <w:rtl w:val="true"/>
          <w:lang w:bidi="ar-SA"/>
        </w:rPr>
        <w:t xml:space="preserve"> جعل صناديق لأجل جمع المال لمختلف</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نظيره، وقد سبق أنّ الأحكام تابعة للعناوين</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مستوي الطرفين حرام، في حالة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البحث في أنّ استحباب الطبيعي هل يسري للفرد أو لا؟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772" w:name="pg15697_169146"/>
    </w:p>
    <w:p>
      <w:pPr>
        <w:pStyle w:val="BookText"/>
        <w:rPr/>
      </w:pPr>
      <w:bookmarkEnd w:id="772"/>
      <w:r>
        <w:rPr>
          <w:rFonts w:ascii="Amiri" w:hAnsi="Amiri" w:eastAsia="Amiri" w:cs="Amiri"/>
          <w:color w:val="111111"/>
          <w:sz w:val="28"/>
          <w:sz w:val="28"/>
          <w:szCs w:val="28"/>
          <w:rtl w:val="true"/>
          <w:lang w:bidi="ar-SA"/>
        </w:rPr>
        <w:t>المشاريع الإسلامية والإنسانية</w:t>
      </w:r>
      <w:r>
        <w:rPr>
          <w:rStyle w:val="FootnoteAnchor"/>
          <w:rtl w:val="true"/>
        </w:rPr>
        <w:footnoteReference w:id="1190"/>
      </w:r>
      <w:r>
        <w:rPr>
          <w:rFonts w:ascii="Amiri" w:hAnsi="Amiri" w:eastAsia="Amiri" w:cs="Amiri"/>
          <w:color w:val="111111"/>
          <w:sz w:val="28"/>
          <w:sz w:val="28"/>
          <w:szCs w:val="28"/>
          <w:rtl w:val="true"/>
          <w:lang w:bidi="ar-SA"/>
        </w:rPr>
        <w:t>، بل قد يجب</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تلك الجهة 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الاستحباب والوجوب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كل في مورده،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والمهم جمع المال سواء كان بالصناديق أم غيرها، ومن موارد الوجوب ما لو كان سبباً لعلوّ الإسلام، فإنّ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3" w:name="__RefHeading___Toc11915580_2142443653"/>
      <w:bookmarkStart w:id="774" w:name="_Toc277"/>
      <w:bookmarkEnd w:id="773"/>
      <w:r>
        <w:rPr>
          <w:rtl w:val="true"/>
        </w:rPr>
        <w:t>استبدال موضوع الطير والسمك</w:t>
      </w:r>
      <w:bookmarkEnd w:id="7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استبدل موضوع السمك أو الطير من الحلال إلى الحرام، أو من الحرام إلى الحلال، تبعه في ذلك بيضه ولبنه ونتاجه وما أشبه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النتاج تابع للحيوان إذا لم يكن النتاج على غير شاكلته، فإذا غيرنا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طيراً إلى الصفيف حتى صدق عليه ذلك عرفاً، لكن نتاجه صار أكثر دفيفاً، فإنه يحل لما تقدم من تبعية الحكم للموضوع</w:t>
      </w:r>
      <w:r>
        <w:rPr>
          <w:rFonts w:eastAsia="Amiri" w:cs="Amiri" w:ascii="Amiri" w:hAnsi="Amiri"/>
          <w:color w:val="111111"/>
          <w:sz w:val="28"/>
          <w:szCs w:val="28"/>
          <w:rtl w:val="true"/>
          <w:lang w:bidi="ar-SA"/>
        </w:rPr>
        <w:t>.</w:t>
      </w:r>
    </w:p>
    <w:p>
      <w:pPr>
        <w:pStyle w:val="BookText"/>
        <w:rPr/>
      </w:pP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إنساني فهو إسلامي للأمر في الإسلام نجدته الناس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عطف الخاص على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المقدمي العقلي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الاستدلال بوجوب الأمر والنهي والإرشاد والدعوة،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جملة تحتمل الخبر والإنشاء،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تفريع على كون النتاج على غير المشاكلة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775" w:name="pg15697_169147"/>
    </w:p>
    <w:p>
      <w:pPr>
        <w:pStyle w:val="Heading2"/>
        <w:numPr>
          <w:ilvl w:val="1"/>
          <w:numId w:val="1"/>
        </w:numPr>
        <w:rPr/>
      </w:pPr>
      <w:bookmarkStart w:id="776" w:name="__RefHeading___Toc11915582_2142443653"/>
      <w:bookmarkStart w:id="777" w:name="_Toc278"/>
      <w:bookmarkEnd w:id="775"/>
      <w:bookmarkEnd w:id="776"/>
      <w:r>
        <w:rPr>
          <w:rtl w:val="true"/>
        </w:rPr>
        <w:t>تطعيم الأعضاء</w:t>
      </w:r>
      <w:bookmarkEnd w:id="7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طُعّم جسد غزال برجل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جزءاً</w:t>
      </w:r>
      <w:r>
        <w:rPr>
          <w:rStyle w:val="FootnoteAnchor"/>
          <w:rtl w:val="true"/>
        </w:rPr>
        <w:footnoteReference w:id="1193"/>
      </w:r>
      <w:r>
        <w:rPr>
          <w:rFonts w:ascii="Amiri" w:hAnsi="Amiri" w:eastAsia="Amiri" w:cs="Amiri"/>
          <w:color w:val="111111"/>
          <w:sz w:val="28"/>
          <w:sz w:val="28"/>
          <w:szCs w:val="28"/>
          <w:rtl w:val="true"/>
          <w:lang w:bidi="ar-SA"/>
        </w:rPr>
        <w:t xml:space="preserve"> منه حلّ، ولو طُعّم جسد كلب برجل غزال حتى صار جزءاً منه حرم، وكذا في كل حيوان حلال أو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لما صار جزءاً منه، وصدق عليه الحيوان المنتقل إليه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عرفاً، لكن اللازم الجزء العرفي لا أن يبقى الجزء بصورته السابقة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حيث لا صدق حينئذ فلا تبدل</w:t>
      </w:r>
      <w:r>
        <w:rPr>
          <w:rFonts w:eastAsia="Amiri" w:cs="Amiri" w:ascii="Amiri" w:hAnsi="Amiri"/>
          <w:color w:val="111111"/>
          <w:sz w:val="28"/>
          <w:szCs w:val="28"/>
          <w:rtl w:val="true"/>
          <w:lang w:bidi="ar-SA"/>
        </w:rPr>
        <w:t>.</w:t>
      </w:r>
    </w:p>
    <w:p>
      <w:pPr>
        <w:pStyle w:val="Heading2"/>
        <w:numPr>
          <w:ilvl w:val="1"/>
          <w:numId w:val="1"/>
        </w:numPr>
        <w:rPr/>
      </w:pPr>
      <w:bookmarkStart w:id="778" w:name="__RefHeading___Toc11915584_2142443653"/>
      <w:bookmarkStart w:id="779" w:name="_Toc279"/>
      <w:bookmarkEnd w:id="778"/>
      <w:r>
        <w:rPr>
          <w:rtl w:val="true"/>
        </w:rPr>
        <w:t>أنواع الموسيقى</w:t>
      </w:r>
      <w:bookmarkEnd w:id="77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الموسيقى</w:t>
      </w:r>
      <w:r>
        <w:rPr>
          <w:rStyle w:val="FootnoteAnchor"/>
          <w:rtl w:val="true"/>
        </w:rPr>
        <w:footnoteReference w:id="1194"/>
      </w:r>
      <w:r>
        <w:rPr>
          <w:rFonts w:ascii="Amiri" w:hAnsi="Amiri" w:eastAsia="Amiri" w:cs="Amiri"/>
          <w:color w:val="111111"/>
          <w:sz w:val="28"/>
          <w:sz w:val="28"/>
          <w:szCs w:val="28"/>
          <w:rtl w:val="true"/>
          <w:lang w:bidi="ar-SA"/>
        </w:rPr>
        <w:t xml:space="preserve"> بين أن يكون في آلة لهو كالكمنجة، أو في آلة أخرى كالساعة</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ملاك الجزئية التفاعل، أو العرف، أو هما متلازمان؟ لعل الظاهر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الانتقال في المطهرات</w:t>
      </w:r>
      <w:r>
        <w:rPr>
          <w:rStyle w:val="FootnoteAnchor"/>
          <w:rtl w:val="true"/>
        </w:rPr>
        <w:footnoteReference w:id="1196"/>
      </w:r>
      <w:r>
        <w:rPr>
          <w:rFonts w:ascii="Amiri" w:hAnsi="Amiri" w:eastAsia="Amiri" w:cs="Amiri"/>
          <w:color w:val="111111"/>
          <w:sz w:val="28"/>
          <w:sz w:val="28"/>
          <w:szCs w:val="28"/>
          <w:rtl w:val="true"/>
          <w:lang w:bidi="ar-SA"/>
        </w:rPr>
        <w:t>فلعله ينفع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تفاعل قد لا يصدق عليه أنّه جزء الحيوان المنتقل إليه،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بعض بحثه أنّ هذا اللفظ لم يرد في الروايات الشريفة، والملاك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ذكر ذلك هنا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في الساعة صوت سجل من آلات اللّهو كان 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780" w:name="pg15697_169148"/>
    </w:p>
    <w:p>
      <w:pPr>
        <w:pStyle w:val="BookText"/>
        <w:rPr/>
      </w:pPr>
      <w:bookmarkEnd w:id="7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للصدق العرفي، نعم لا يخفى أنّ الموسيقى لا عنوان له في الأدلة، وإنّما العنوان آلة اللّهو والغناء، فإن كان أحدهما حرم، وإلا لم يحرم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1" w:name="__RefHeading___Toc11915586_2142443653"/>
      <w:bookmarkStart w:id="782" w:name="_Toc280"/>
      <w:bookmarkEnd w:id="781"/>
      <w:r>
        <w:rPr>
          <w:rtl w:val="true"/>
        </w:rPr>
        <w:t>المسابقات الجوية والبرية</w:t>
      </w:r>
      <w:bookmarkEnd w:id="78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198"/>
      </w:r>
      <w:r>
        <w:rPr>
          <w:rFonts w:ascii="Amiri" w:hAnsi="Amiri" w:eastAsia="Amiri" w:cs="Amiri"/>
          <w:color w:val="111111"/>
          <w:sz w:val="28"/>
          <w:sz w:val="28"/>
          <w:szCs w:val="28"/>
          <w:rtl w:val="true"/>
          <w:lang w:bidi="ar-SA"/>
        </w:rPr>
        <w:t xml:space="preserve"> تسابق الطائرات والسيارات والدراجات إذا</w:t>
      </w:r>
    </w:p>
    <w:p>
      <w:pPr>
        <w:pStyle w:val="BookText"/>
        <w:rPr/>
      </w:pPr>
      <w:r>
        <w:rPr>
          <w:rFonts w:ascii="Amiri" w:hAnsi="Amiri" w:eastAsia="Amiri" w:cs="Amiri"/>
          <w:color w:val="111111"/>
          <w:sz w:val="28"/>
          <w:sz w:val="28"/>
          <w:szCs w:val="28"/>
          <w:rtl w:val="true"/>
          <w:lang w:bidi="ar-SA"/>
        </w:rPr>
        <w:t xml:space="preserve">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العروة</w:t>
      </w:r>
      <w:r>
        <w:rPr>
          <w:rStyle w:val="FootnoteAnchor"/>
          <w:rtl w:val="true"/>
        </w:rPr>
        <w:footnoteReference w:id="1199"/>
      </w:r>
      <w:r>
        <w:rPr>
          <w:rFonts w:ascii="Amiri" w:hAnsi="Amiri" w:eastAsia="Amiri" w:cs="Amiri"/>
          <w:color w:val="111111"/>
          <w:sz w:val="28"/>
          <w:sz w:val="28"/>
          <w:szCs w:val="28"/>
          <w:rtl w:val="true"/>
          <w:lang w:bidi="ar-SA"/>
        </w:rPr>
        <w:t xml:space="preserve">لو قرأت آية السجدة من صندوق حبس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فرضنا أنّ نفس الساعة أخرجت صوت آلات اللّهو، أو أخرجناه بالفم أو الدَق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المؤثرات الصوتية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موضوعية؟ فهذه ليست آلة 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لها طريقية إلى الصوت،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الصوت هو الملاك، ولا خصوصية لصدوره عن آلة خشبية لها مواصفات كذائية من طول وعرض وعمق؟</w:t>
      </w:r>
    </w:p>
    <w:p>
      <w:pPr>
        <w:pStyle w:val="BookText"/>
        <w:rPr/>
      </w:pPr>
      <w:r>
        <w:rPr>
          <w:rFonts w:ascii="Amiri" w:hAnsi="Amiri" w:eastAsia="Amiri" w:cs="Amiri"/>
          <w:color w:val="111111"/>
          <w:sz w:val="28"/>
          <w:sz w:val="28"/>
          <w:szCs w:val="28"/>
          <w:rtl w:val="true"/>
          <w:lang w:bidi="ar-SA"/>
        </w:rPr>
        <w:t xml:space="preserve">الظاهر عرفاً هو الأخير، وإلا لاستطعنا أن نحلل جميع أصوات آلات اللّهو بهذه الكيفية، لكن ظاهر كلمات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الاستفتاءات هو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لأنّه مقدمة الحرام،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الإلقاء حرام في حدّ ذاته؛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إلاّ أنّ وجود حرمتين غير ظاهر، فتأمل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783" w:name="pg15697_169149"/>
    </w:p>
    <w:p>
      <w:pPr>
        <w:pStyle w:val="BookText"/>
        <w:rPr/>
      </w:pPr>
      <w:bookmarkEnd w:id="783"/>
      <w:r>
        <w:rPr>
          <w:rFonts w:ascii="Amiri" w:hAnsi="Amiri" w:eastAsia="Amiri" w:cs="Amiri"/>
          <w:color w:val="111111"/>
          <w:sz w:val="28"/>
          <w:sz w:val="28"/>
          <w:szCs w:val="28"/>
          <w:rtl w:val="true"/>
          <w:lang w:bidi="ar-SA"/>
        </w:rPr>
        <w:t>كان محل الخوف</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العقلائي أو الخطر</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خوف الضرر المتزايد موجب للحرمة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نعم إذا كان خوف ضرر قليل، وكان برضا المتضرر جاز، من غير فرق في الضرر بين المال والنفس، والخطر يطلق غالباً على ضرر بالغ مثل خطر الموت أو شلل الأعضاء، وإن كان بينهما عند الجمع العموم المطلق</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وهذا يجري في مسابقة سائر وسائل النقل، كالسفن والدواب ونحو ذلك</w:t>
      </w:r>
      <w:r>
        <w:rPr>
          <w:rFonts w:eastAsia="Amiri" w:cs="Amiri" w:ascii="Amiri" w:hAnsi="Amiri"/>
          <w:color w:val="111111"/>
          <w:sz w:val="28"/>
          <w:szCs w:val="28"/>
          <w:rtl w:val="true"/>
          <w:lang w:bidi="ar-SA"/>
        </w:rPr>
        <w:t>.</w:t>
      </w:r>
    </w:p>
    <w:p>
      <w:pPr>
        <w:pStyle w:val="Heading2"/>
        <w:numPr>
          <w:ilvl w:val="1"/>
          <w:numId w:val="1"/>
        </w:numPr>
        <w:rPr/>
      </w:pPr>
      <w:bookmarkStart w:id="784" w:name="__RefHeading___Toc11915588_2142443653"/>
      <w:bookmarkStart w:id="785" w:name="_Toc281"/>
      <w:bookmarkEnd w:id="784"/>
      <w:r>
        <w:rPr>
          <w:rtl w:val="true"/>
        </w:rPr>
        <w:t>البيوت والمدن البحرية</w:t>
      </w:r>
      <w:bookmarkEnd w:id="78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اعتيد</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البلاد الساحلية صنع البيوت والمدن على سطح البحر من الأخشاب، فلو تحركت المدينة الخشبية من مكان البحر إلى مكان آخر، كان الراكب فيه في حكم المسافر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فرقه عن الخطر أنّ الخوف محتمل، والخطر يقيني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الإسراف والتبذير وغيرهما من العناوين المحرّمة، ومنه يظهر النظر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 ضرر قليل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على تأملٍ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الخوف مطلقاً؛ إذ الضرر غير البالغ لا إشكال فيه في حدّ ذاته، فلِمَ ذكر كلاهما في المتن؟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بالفرق بين المدن الكبيرة والبيوت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المدن الكبيرة لا يصدق السفر، فهي كحركة نفس الكرة الأرضية، وهذا بخلاف البيت الصغير الذي يتحرك، فإنّه كالقارب، ويصدق السفر، وقد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صدق وجب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السفر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786" w:name="pg15697_169150"/>
    </w:p>
    <w:p>
      <w:pPr>
        <w:pStyle w:val="BookText"/>
        <w:rPr/>
      </w:pPr>
      <w:bookmarkEnd w:id="7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لصدق السفر ولا اعتبار بكونه مع بيته، إلا إذا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سائر العناوين الموجبة للتمام، وكذلك الحال في البيوت المنتقلة في الأرض على العجلات، وهكذا لو فرض صنع البيوت الطائرة في الجو، لوحدة الملاك</w:t>
      </w:r>
      <w:r>
        <w:rPr>
          <w:rFonts w:eastAsia="Amiri" w:cs="Amiri" w:ascii="Amiri" w:hAnsi="Amiri"/>
          <w:color w:val="111111"/>
          <w:sz w:val="28"/>
          <w:szCs w:val="28"/>
          <w:rtl w:val="true"/>
          <w:lang w:bidi="ar-SA"/>
        </w:rPr>
        <w:t>.</w:t>
      </w:r>
    </w:p>
    <w:p>
      <w:pPr>
        <w:pStyle w:val="Heading2"/>
        <w:numPr>
          <w:ilvl w:val="1"/>
          <w:numId w:val="1"/>
        </w:numPr>
        <w:rPr/>
      </w:pPr>
      <w:bookmarkStart w:id="787" w:name="__RefHeading___Toc11915590_2142443653"/>
      <w:bookmarkStart w:id="788" w:name="_Toc282"/>
      <w:bookmarkEnd w:id="787"/>
      <w:r>
        <w:rPr>
          <w:rtl w:val="true"/>
        </w:rPr>
        <w:t>الاستيطان في البحار</w:t>
      </w:r>
      <w:bookmarkEnd w:id="78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 المحل الجديد من البحر لا يعد</w:t>
      </w:r>
      <w:r>
        <w:rPr>
          <w:rStyle w:val="FootnoteAnchor"/>
          <w:rtl w:val="true"/>
        </w:rPr>
        <w:footnoteReference w:id="1202"/>
      </w:r>
      <w:r>
        <w:rPr>
          <w:rFonts w:ascii="Amiri" w:hAnsi="Amiri" w:eastAsia="Amiri" w:cs="Amiri"/>
          <w:color w:val="111111"/>
          <w:sz w:val="28"/>
          <w:sz w:val="28"/>
          <w:szCs w:val="28"/>
          <w:rtl w:val="true"/>
          <w:lang w:bidi="ar-SA"/>
        </w:rPr>
        <w:t xml:space="preserve"> وطناً للساكن في تلك المدينة، إلا إذا توفرت شرائط الاستيطان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فرق بين البر والبحر والهواء في ملاك السفر والإقامة والاستيطان للإطلاقات</w:t>
      </w:r>
      <w:r>
        <w:rPr>
          <w:rFonts w:eastAsia="Amiri" w:cs="Amiri" w:ascii="Amiri" w:hAnsi="Amiri"/>
          <w:color w:val="111111"/>
          <w:sz w:val="28"/>
          <w:szCs w:val="28"/>
          <w:rtl w:val="true"/>
          <w:lang w:bidi="ar-SA"/>
        </w:rPr>
        <w:t>.</w:t>
      </w:r>
    </w:p>
    <w:p>
      <w:pPr>
        <w:pStyle w:val="Heading2"/>
        <w:numPr>
          <w:ilvl w:val="1"/>
          <w:numId w:val="1"/>
        </w:numPr>
        <w:rPr/>
      </w:pPr>
      <w:bookmarkStart w:id="789" w:name="__RefHeading___Toc11915592_2142443653"/>
      <w:bookmarkStart w:id="790" w:name="_Toc283"/>
      <w:bookmarkEnd w:id="789"/>
      <w:r>
        <w:rPr>
          <w:rtl w:val="true"/>
        </w:rPr>
        <w:t>تحنيط الأموات بالتزريق</w:t>
      </w:r>
      <w:bookmarkEnd w:id="79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تزريق الإبرة للميت بما لا يتعفن معه، وذلك بقصد نقله إلى الأعتاب المقدسة أو ما أشبه؟ احتمالان، وربما يفصل بين ما إذا أوصى</w:t>
      </w:r>
      <w:r>
        <w:rPr>
          <w:rStyle w:val="FootnoteAnchor"/>
          <w:rtl w:val="true"/>
        </w:rPr>
        <w:footnoteReference w:id="1203"/>
      </w:r>
      <w:r>
        <w:rPr>
          <w:rFonts w:ascii="Amiri" w:hAnsi="Amiri" w:eastAsia="Amiri" w:cs="Amiri"/>
          <w:color w:val="111111"/>
          <w:sz w:val="28"/>
          <w:sz w:val="28"/>
          <w:szCs w:val="28"/>
          <w:rtl w:val="true"/>
          <w:lang w:bidi="ar-SA"/>
        </w:rPr>
        <w:t xml:space="preserve"> هو بذلك فجائز، وبين ما إذا لم يوص فلم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مدينة متحركة، وكانت كبيرة فربما يصدق الاستيطان فيها، ولا عبرة بالحيز المتنقل الذي تشغله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مسلطون،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منصرف إلى حال الحياة، ولوجوب تنفيذ الوصية إلاّ ما خرج، وليس هذا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حول قاعدة السلطنة بعد قليل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791" w:name="pg15697_169151"/>
    </w:p>
    <w:p>
      <w:pPr>
        <w:pStyle w:val="BookText"/>
        <w:rPr/>
      </w:pPr>
      <w:bookmarkEnd w:id="7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للأصل، والمنع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فتوقي</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الميت مما توقي منه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لكن الأول أقرب؛ لأنّ الميت يحفظ</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من الفساد بسبب الإبرة، ولا ينافي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 ميتاً كحرمته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2" w:name="__RefHeading___Toc11915594_2142443653"/>
      <w:bookmarkStart w:id="793" w:name="_Toc284"/>
      <w:bookmarkEnd w:id="792"/>
      <w:r>
        <w:rPr>
          <w:rtl w:val="true"/>
        </w:rPr>
        <w:t>تحنيط الموتى بالتشريح</w:t>
      </w:r>
      <w:bookmarkEnd w:id="7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206"/>
      </w:r>
      <w:r>
        <w:rPr>
          <w:rFonts w:ascii="Amiri" w:hAnsi="Amiri" w:eastAsia="Amiri" w:cs="Amiri"/>
          <w:color w:val="111111"/>
          <w:sz w:val="28"/>
          <w:sz w:val="28"/>
          <w:szCs w:val="28"/>
          <w:rtl w:val="true"/>
          <w:lang w:bidi="ar-SA"/>
        </w:rPr>
        <w:t xml:space="preserve"> شق بطن الميت وإخراج ما فيه لأجل أن لا يفسد، حتى ينقل من مكان إلى مكان، وهل له أن يوصي بذلك؟ احتمالان</w:t>
      </w:r>
      <w:r>
        <w:rPr>
          <w:rFonts w:eastAsia="Amiri" w:cs="Amiri" w:ascii="Amiri" w:hAnsi="Amiri"/>
          <w:color w:val="111111"/>
          <w:sz w:val="28"/>
          <w:szCs w:val="28"/>
          <w:rtl w:val="true"/>
          <w:lang w:bidi="ar-SA"/>
        </w:rPr>
        <w:t>.</w:t>
      </w:r>
    </w:p>
    <w:p>
      <w:pPr>
        <w:pStyle w:val="BookText"/>
        <w:rPr/>
      </w:pP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اللاحقة</w:t>
      </w:r>
      <w:r>
        <w:rPr>
          <w:rStyle w:val="FootnoteAnchor"/>
          <w:rtl w:val="true"/>
        </w:rPr>
        <w:footnoteReference w:id="1208"/>
      </w:r>
      <w:r>
        <w:rPr>
          <w:rFonts w:ascii="Amiri" w:hAnsi="Amiri" w:eastAsia="Amiri" w:cs="Amiri"/>
          <w:color w:val="111111"/>
          <w:sz w:val="28"/>
          <w:sz w:val="28"/>
          <w:szCs w:val="28"/>
          <w:rtl w:val="true"/>
          <w:lang w:bidi="ar-SA"/>
        </w:rPr>
        <w:t>كلام كاشف الغطاء، وتوجيهه بالأهم والمهم</w:t>
      </w:r>
      <w:r>
        <w:rPr>
          <w:rFonts w:eastAsia="Amiri" w:cs="Amiri" w:ascii="Amiri" w:hAnsi="Amiri"/>
          <w:color w:val="111111"/>
          <w:sz w:val="28"/>
          <w:szCs w:val="28"/>
          <w:rtl w:val="true"/>
          <w:lang w:bidi="ar-SA"/>
        </w:rPr>
        <w:t>.</w:t>
      </w:r>
    </w:p>
    <w:p>
      <w:pPr>
        <w:pStyle w:val="BookText"/>
        <w:rPr/>
      </w:pP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إيذاء للحي، فلا يجوز للميت</w:t>
      </w:r>
      <w:r>
        <w:rPr>
          <w:rFonts w:eastAsia="Amiri" w:cs="Amiri" w:ascii="Amiri" w:hAnsi="Amiri"/>
          <w:color w:val="111111"/>
          <w:sz w:val="28"/>
          <w:szCs w:val="28"/>
          <w:rtl w:val="true"/>
          <w:lang w:bidi="ar-SA"/>
        </w:rPr>
        <w:t>.</w:t>
      </w:r>
    </w:p>
    <w:p>
      <w:pPr>
        <w:pStyle w:val="BookText"/>
        <w:rPr/>
      </w:pP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فهدفه هو الحفظ من الفساد، ولا يقي الحي نفسه مما يحفظه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المنافاة إنما هي في صورة عدم وجود الفرض العقلائي الذي يبرّر ذلك الإيذاء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مُثلة وهتك للاحترام، وقد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كحرمته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w:t>
      </w:r>
      <w:r>
        <w:rPr>
          <w:rStyle w:val="FootnoteAnchor"/>
          <w:rtl w:val="true"/>
        </w:rPr>
        <w:footnoteReference w:id="1212"/>
      </w:r>
      <w:r>
        <w:rPr>
          <w:rFonts w:ascii="Amiri" w:hAnsi="Amiri" w:eastAsia="Amiri" w:cs="Amiri"/>
          <w:color w:val="111111"/>
          <w:sz w:val="28"/>
          <w:sz w:val="28"/>
          <w:szCs w:val="28"/>
          <w:rtl w:val="true"/>
          <w:lang w:bidi="ar-SA"/>
        </w:rPr>
        <w:t>وللارتكاز المتشرعي، فإنّه منكر في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الجواز؛ لأنّه أهم 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دفع العذاب عن الميت أهم، فإنّ عذاب الآخرة القليل منه كثير، وإذا جاز شق البطن لأجل دفع عذاب دنيوي حقير، فكيف</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794" w:name="pg15697_169152"/>
    </w:p>
    <w:p>
      <w:pPr>
        <w:pStyle w:val="BookText"/>
        <w:rPr/>
      </w:pPr>
      <w:bookmarkEnd w:id="7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عدم الجواز؛ فلأنه ليس من الأهم والمهم، فهو كالحي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قول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مع الوصية فاحتمال الجواز لتسلّط</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الناس على أنفسهم بعد أن لم يكن ضاراً بهم، فإنه إنما لم يجز في الحياة 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واحتمال العدم؛ لأنه تشريح</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 ميتاً كحرمته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هو الأقرب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5" w:name="__RefHeading___Toc11915596_2142443653"/>
      <w:bookmarkStart w:id="796" w:name="_Toc285"/>
      <w:bookmarkEnd w:id="795"/>
      <w:r>
        <w:rPr>
          <w:rtl w:val="true"/>
        </w:rPr>
        <w:t>إحراق الكفار أمواتهم في بلاد الإسلام</w:t>
      </w:r>
      <w:bookmarkEnd w:id="7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للدولة الإسلامية أن تسمح بإحراق الكفار</w:t>
      </w:r>
    </w:p>
    <w:p>
      <w:pPr>
        <w:pStyle w:val="BookText"/>
        <w:rPr/>
      </w:pPr>
      <w:r>
        <w:rPr>
          <w:rFonts w:ascii="Amiri" w:hAnsi="Amiri" w:eastAsia="Amiri" w:cs="Amiri"/>
          <w:color w:val="111111"/>
          <w:sz w:val="28"/>
          <w:sz w:val="28"/>
          <w:szCs w:val="28"/>
          <w:rtl w:val="true"/>
          <w:lang w:bidi="ar-SA"/>
        </w:rPr>
        <w:t>بالعذاب الأخروي الكبير؟</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العذاب محتمل وليس بمقطوع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محتملاً إلاّ أنه باعتبار أهميته يكفي صرف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المنكرات لدى أذهان المتشرعة كما سبق</w:t>
      </w:r>
      <w:r>
        <w:rPr>
          <w:rFonts w:eastAsia="Amiri" w:cs="Amiri" w:ascii="Amiri" w:hAnsi="Amiri"/>
          <w:color w:val="111111"/>
          <w:sz w:val="28"/>
          <w:szCs w:val="28"/>
          <w:rtl w:val="true"/>
          <w:lang w:bidi="ar-SA"/>
        </w:rPr>
        <w:t>.</w:t>
      </w:r>
    </w:p>
    <w:p>
      <w:pPr>
        <w:pStyle w:val="BookText"/>
        <w:rPr/>
      </w:pP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احتمال الانصراف إلى حال الحياة</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عليه عنوان المُثلة،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 الميت مما توقي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المسألة السابقة</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الفرق بين هذه المسألة والسابقة؛ إذ ما الفرق بين الإبرة وشق البطن، إلاّ أن يكون الارتكاز فارقاً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وحفظ الميت من الفساد مشترك بين الحالين، فكيف أصبح فارقاً بين المسألتين مع وحدة ذلك الملاك؟</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797" w:name="pg15697_169153"/>
    </w:p>
    <w:p>
      <w:pPr>
        <w:pStyle w:val="BookText"/>
        <w:rPr/>
      </w:pPr>
      <w:bookmarkEnd w:id="797"/>
      <w:r>
        <w:rPr>
          <w:rFonts w:ascii="IRNazanin" w:hAnsi="IRNazanin" w:eastAsia="IRNazanin"/>
          <w:color w:val="111111"/>
          <w:sz w:val="28"/>
          <w:sz w:val="28"/>
          <w:szCs w:val="28"/>
          <w:rtl w:val="true"/>
          <w:lang w:bidi="fa-IR"/>
        </w:rPr>
        <w:t>أمواتهم أم لا؟ احتمالان</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بالإضافة إلى عدم احترام</w:t>
      </w:r>
      <w:r>
        <w:rPr>
          <w:rStyle w:val="FootnoteAnchor"/>
          <w:rtl w:val="true"/>
        </w:rPr>
        <w:footnoteReference w:id="1218"/>
      </w:r>
      <w:r>
        <w:rPr>
          <w:rFonts w:ascii="Amiri" w:hAnsi="Amiri" w:eastAsia="Amiri" w:cs="Amiri"/>
          <w:color w:val="111111"/>
          <w:sz w:val="28"/>
          <w:sz w:val="28"/>
          <w:szCs w:val="28"/>
          <w:rtl w:val="true"/>
          <w:lang w:bidi="ar-SA"/>
        </w:rPr>
        <w:t xml:space="preserve"> جسد الكافر، ومن أنه لا يصح الإتيان بالمنكرات في البلاد الإسلامية، ولعل الإحراق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الجواز أقرب للقاعدة المذكورة، وكذلك كيفية دفن المجوس لموتاهم في الدخمة، وليس ذلك من إظهار المناكير مما يمنع منه الإسلام، وليس ذلك بأسوأ</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من تزويج الكفار محارمهم في بلاد الإسلام، أو شربهم الخمر في غير العلن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2"/>
        <w:numPr>
          <w:ilvl w:val="1"/>
          <w:numId w:val="1"/>
        </w:numPr>
        <w:rPr/>
      </w:pPr>
      <w:bookmarkStart w:id="798" w:name="__RefHeading___Toc11915598_2142443653"/>
      <w:bookmarkStart w:id="799" w:name="_Toc286"/>
      <w:bookmarkEnd w:id="798"/>
      <w:r>
        <w:rPr>
          <w:rtl w:val="true"/>
        </w:rPr>
        <w:t>تصفية السكر بالعظم</w:t>
      </w:r>
      <w:bookmarkEnd w:id="79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 به لأجل التصفية</w:t>
      </w:r>
      <w:r>
        <w:rPr>
          <w:rStyle w:val="FootnoteAnchor"/>
          <w:rtl w:val="true"/>
        </w:rPr>
        <w:footnoteReference w:id="1219"/>
      </w:r>
      <w:r>
        <w:rPr>
          <w:rFonts w:ascii="Amiri" w:hAnsi="Amiri" w:eastAsia="Amiri" w:cs="Amiri"/>
          <w:color w:val="111111"/>
          <w:sz w:val="28"/>
          <w:sz w:val="28"/>
          <w:szCs w:val="28"/>
          <w:rtl w:val="true"/>
          <w:lang w:bidi="ar-SA"/>
        </w:rPr>
        <w:t xml:space="preserve"> شيء من عظم الأموات المحرمة، فإن علمنا أنّ العظم قبل الاستحالة يخلط بذلك</w:t>
      </w:r>
    </w:p>
    <w:p>
      <w:pPr>
        <w:pStyle w:val="BookText"/>
        <w:rPr/>
      </w:pP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يتظاهروا بالمناكير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الجهاد</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الكافر الحربي لا الذمي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الأولوية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المنكرات العقائدية، كالذهاب للكنائس وما أشبه، وإنّما مثّل بما ذكر؛ لأنّ الكلام في الفروع يكون أشبه بها، إلا أنّ الأولوية موجودة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مقتضاه تقيد الجواز في الإحراق بالسرّ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التحقيق في الموضوع الخارجي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يجز استعماله، وإلا جاز، ومع الشك</w:t>
      </w:r>
      <w:r>
        <w:rPr>
          <w:rStyle w:val="FootnoteAnchor"/>
          <w:rtl w:val="true"/>
        </w:rPr>
        <w:footnoteReference w:id="1224"/>
      </w:r>
      <w:r>
        <w:rPr>
          <w:rFonts w:ascii="Amiri" w:hAnsi="Amiri" w:eastAsia="Amiri" w:cs="Amiri"/>
          <w:color w:val="111111"/>
          <w:sz w:val="28"/>
          <w:sz w:val="28"/>
          <w:szCs w:val="28"/>
          <w:rtl w:val="true"/>
          <w:lang w:bidi="ar-SA"/>
        </w:rPr>
        <w:t xml:space="preserve"> فالأصل الحلية</w:t>
      </w:r>
      <w:r>
        <w:rPr>
          <w:rFonts w:eastAsia="Amiri" w:cs="Amiri" w:ascii="Amiri" w:hAnsi="Amiri"/>
          <w:color w:val="111111"/>
          <w:sz w:val="28"/>
          <w:szCs w:val="28"/>
          <w:rtl w:val="true"/>
          <w:lang w:bidi="ar-SA"/>
        </w:rPr>
        <w:t>.</w:t>
      </w:r>
    </w:p>
    <w:p>
      <w:pPr>
        <w:pStyle w:val="BookText"/>
        <w:rPr/>
      </w:pP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كعظم الشاة المذكاة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حلية أكل العظم حلال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محرّم بلا استحالة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محرّم مع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محذور خارجي كالنجاسة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نشكّ أنّه محلّل أو محرّم، فقد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حلال، لكن الظاهر جريان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يفصل بين الشكّ في التذكية فيكون محرماً، أو نعلم بالتذكية ونشك أنّه محلّل أو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كالشاة أو الهرّة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القطع بعدم قابلية المحرّم للتذكية، أو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محللاً،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الأصول</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أنّ الخلط كان قبل الاستحالة فيكون محللاً، أو بعدها، والظاهر أنّه لا أثر له؛ إذ المفروض أنّه استحال، سواء كان قبل الخلط أم بعده، إلاّ أن يفرض وجود محذور خارجي كالنجاسة، إلاّ أن يراد الصورة الثانية أو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أنّه استحال أو لا؟ والظاهر جريان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الاستحالة في العروة</w:t>
      </w:r>
      <w:r>
        <w:rPr>
          <w:rStyle w:val="FootnoteAnchor"/>
          <w:rtl w:val="true"/>
        </w:rPr>
        <w:footnoteReference w:id="1227"/>
      </w:r>
      <w:r>
        <w:rPr>
          <w:rFonts w:ascii="Amiri" w:hAnsi="Amiri" w:eastAsia="Amiri" w:cs="Amiri"/>
          <w:color w:val="111111"/>
          <w:sz w:val="28"/>
          <w:sz w:val="28"/>
          <w:szCs w:val="28"/>
          <w:rtl w:val="true"/>
          <w:lang w:bidi="ar-SA"/>
        </w:rPr>
        <w:t>، والاستصحاب في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وحدة الموضوع</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أنّه خلط بعظم أو لا، والأصل الحل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800" w:name="pg15697_169155"/>
    </w:p>
    <w:p>
      <w:pPr>
        <w:pStyle w:val="BookText"/>
        <w:rPr/>
      </w:pPr>
      <w:bookmarkEnd w:id="8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الشك</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أي في أنه من المحلل أو المحرم، أما إذا شك في أن الخلط كان قبل الاستحالة أو بعدها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الحرمة حاكمة على أصالة الحل فلا يجوز، ولو شك في أنه خلط بعظم أم لا، فالأصل أيضاً الحل</w:t>
      </w:r>
      <w:r>
        <w:rPr>
          <w:rFonts w:eastAsia="Amiri" w:cs="Amiri" w:ascii="Amiri" w:hAnsi="Amiri"/>
          <w:color w:val="111111"/>
          <w:sz w:val="28"/>
          <w:szCs w:val="28"/>
          <w:rtl w:val="true"/>
          <w:lang w:bidi="ar-SA"/>
        </w:rPr>
        <w:t>.</w:t>
      </w:r>
    </w:p>
    <w:p>
      <w:pPr>
        <w:pStyle w:val="Heading2"/>
        <w:numPr>
          <w:ilvl w:val="1"/>
          <w:numId w:val="1"/>
        </w:numPr>
        <w:rPr/>
      </w:pPr>
      <w:bookmarkStart w:id="801" w:name="__RefHeading___Toc11915600_2142443653"/>
      <w:bookmarkStart w:id="802" w:name="_Toc287"/>
      <w:bookmarkEnd w:id="801"/>
      <w:r>
        <w:rPr>
          <w:rtl w:val="true"/>
        </w:rPr>
        <w:t>الحيوان المركّب من حيوانين</w:t>
      </w:r>
      <w:bookmarkEnd w:id="80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w:t>
      </w:r>
      <w:r>
        <w:rPr>
          <w:rStyle w:val="FootnoteAnchor"/>
          <w:rtl w:val="true"/>
        </w:rPr>
        <w:footnoteReference w:id="1229"/>
      </w:r>
      <w:r>
        <w:rPr>
          <w:rFonts w:ascii="Amiri" w:hAnsi="Amiri" w:eastAsia="Amiri" w:cs="Amiri"/>
          <w:color w:val="111111"/>
          <w:sz w:val="28"/>
          <w:sz w:val="28"/>
          <w:szCs w:val="28"/>
          <w:rtl w:val="true"/>
          <w:lang w:bidi="ar-SA"/>
        </w:rPr>
        <w:t xml:space="preserve"> حيوان من حيوانين، فكان الرأس للكلب والجسد للغزال، أو بالعكس مثلاً، فهل تحل بالذبح أم لا؟ وهل هو نجس أم طاهر؟ احتمالان، والكلام إنما هو في الجزء الطاهر الحلال من الجزءين،</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النظر فيه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النظر فيه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أنّ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عظم أو لا؟ هل خلط بعظم أو لا؟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مذكى أو لا؟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محلّل أو محرّم؟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استحال أو لا؟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الاستحالة قبل الخلط أو بعده؟</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أنّه لم يصدق عليه عنوان محلّل،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 رجل كلب على غزال فالظاهر صدق الغزال على المجموع المركب، أو باستثناء الرجل، فتأمل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النجس والحرام</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أنه ليس من الحيوانات المحللة، وهي محصورة، ولعل الثاني أقرب إلى الصناعة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وإن كان يمكن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أن يقال بقول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من الأصل فيهما، كما ذهب إليه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التركب الذي لا يكون أحد الجزءين محتفظاً بعنوانه السابق الكلّي مع إضافة جزء جديد،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تفاعل مع البدن فله حكم الجزء الحلال، إلاّ أن يورد عليه بأن أكله خلاف ارتكاز المتشرعة،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المسألة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الأطعمة والأشربة</w:t>
      </w:r>
      <w:r>
        <w:rPr>
          <w:rStyle w:val="FootnoteAnchor"/>
          <w:rtl w:val="true"/>
        </w:rPr>
        <w:footnoteReference w:id="1237"/>
      </w:r>
      <w:r>
        <w:rPr>
          <w:rFonts w:ascii="Amiri" w:hAnsi="Amiri" w:eastAsia="Amiri" w:cs="Amiri"/>
          <w:color w:val="111111"/>
          <w:sz w:val="28"/>
          <w:sz w:val="28"/>
          <w:szCs w:val="28"/>
          <w:rtl w:val="true"/>
          <w:lang w:bidi="ar-SA"/>
        </w:rPr>
        <w:t>، ولعل المواد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الحمام مطلقاً حلال، فإذا صدق عليه الحمام كان حلالاً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نقيض ذلك في 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الطهارة مفروغ منها، أمّا مع صدق عنوان طاهر فظاهر، وأمّا مع العدم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w:t>
      </w:r>
    </w:p>
    <w:p>
      <w:pPr>
        <w:pStyle w:val="BookText"/>
        <w:rPr/>
      </w:pP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ذكره في مشكوك التذكية، وهل لذلك ربط بالمقام؟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المسألة اللاحقة</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803" w:name="pg15697_169157"/>
    </w:p>
    <w:p>
      <w:pPr>
        <w:pStyle w:val="Heading2"/>
        <w:numPr>
          <w:ilvl w:val="1"/>
          <w:numId w:val="1"/>
        </w:numPr>
        <w:rPr/>
      </w:pPr>
      <w:bookmarkStart w:id="804" w:name="__RefHeading___Toc11915602_2142443653"/>
      <w:bookmarkStart w:id="805" w:name="_Toc288"/>
      <w:bookmarkEnd w:id="803"/>
      <w:bookmarkEnd w:id="804"/>
      <w:r>
        <w:rPr>
          <w:rtl w:val="true"/>
        </w:rPr>
        <w:t>استحالة الجزء المركب</w:t>
      </w:r>
      <w:bookmarkEnd w:id="80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المسألة السابقة إنما هو فيما إذا لم يستحل</w:t>
      </w:r>
      <w:r>
        <w:rPr>
          <w:rStyle w:val="FootnoteAnchor"/>
          <w:rtl w:val="true"/>
        </w:rPr>
        <w:footnoteReference w:id="1242"/>
      </w:r>
      <w:r>
        <w:rPr>
          <w:rFonts w:ascii="IRNazanin" w:hAnsi="IRNazanin" w:eastAsia="IRNazanin"/>
          <w:color w:val="111111"/>
          <w:sz w:val="28"/>
          <w:sz w:val="28"/>
          <w:szCs w:val="28"/>
          <w:rtl w:val="true"/>
          <w:lang w:bidi="fa-IR"/>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 أحد الجزءين، وإلا كان الحكم تابعاً للمستحال إليه،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استحال جسم الغزال تدريجياً إلى جسم الكلب، بأن صدق الكلب على هذا الحيوان المركب فإنه لا إشكال في حرمته ونجاسته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للصدق</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العرفي الموجب لترتب الحكم</w:t>
      </w:r>
      <w:r>
        <w:rPr>
          <w:rFonts w:eastAsia="Amiri" w:cs="Amiri" w:ascii="Amiri" w:hAnsi="Amiri"/>
          <w:color w:val="111111"/>
          <w:sz w:val="28"/>
          <w:szCs w:val="28"/>
          <w:rtl w:val="true"/>
          <w:lang w:bidi="ar-SA"/>
        </w:rPr>
        <w:t>.</w:t>
      </w:r>
    </w:p>
    <w:p>
      <w:pPr>
        <w:pStyle w:val="Heading2"/>
        <w:numPr>
          <w:ilvl w:val="1"/>
          <w:numId w:val="1"/>
        </w:numPr>
        <w:rPr/>
      </w:pPr>
      <w:bookmarkStart w:id="806" w:name="__RefHeading___Toc11915604_2142443653"/>
      <w:bookmarkStart w:id="807" w:name="_Toc289"/>
      <w:bookmarkEnd w:id="806"/>
      <w:r>
        <w:rPr>
          <w:rtl w:val="true"/>
        </w:rPr>
        <w:t>إخصاب نطفة الحيوان</w:t>
      </w:r>
      <w:bookmarkEnd w:id="8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أن تربى نطفة الشاة في رحم الكلب، وخرج الجنين شبيهاً</w:t>
      </w:r>
      <w:r>
        <w:rPr>
          <w:rStyle w:val="FootnoteAnchor"/>
          <w:rtl w:val="true"/>
        </w:rPr>
        <w:footnoteReference w:id="1244"/>
      </w:r>
      <w:r>
        <w:rPr>
          <w:rFonts w:ascii="Amiri" w:hAnsi="Amiri" w:eastAsia="Amiri" w:cs="Amiri"/>
          <w:color w:val="111111"/>
          <w:sz w:val="28"/>
          <w:sz w:val="28"/>
          <w:szCs w:val="28"/>
          <w:rtl w:val="true"/>
          <w:lang w:bidi="ar-SA"/>
        </w:rPr>
        <w:t xml:space="preserve"> بأحدهما، كان الحكم تابعاً للمشبه به، وكذلك إن أمكن تربية نطفة الكلب في رحم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صدق العنوان الآخر على المجموع المركب</w:t>
      </w:r>
      <w:r>
        <w:rPr>
          <w:rFonts w:eastAsia="Amiri" w:cs="Amiri" w:ascii="Amiri" w:hAnsi="Amiri"/>
          <w:color w:val="111111"/>
          <w:sz w:val="28"/>
          <w:szCs w:val="28"/>
          <w:rtl w:val="true"/>
          <w:lang w:bidi="ar-SA"/>
        </w:rPr>
        <w:t>.</w:t>
      </w:r>
    </w:p>
    <w:p>
      <w:pPr>
        <w:pStyle w:val="BookText"/>
        <w:rPr/>
      </w:pP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تابعة للعناوين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 بحيث لا ينطبق عليه أي عنوان ففيه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العروة، بحث النجاسات</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الأطعمة والأشربة</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808" w:name="pg15697_169158"/>
    </w:p>
    <w:p>
      <w:pPr>
        <w:pStyle w:val="BookText"/>
        <w:rPr/>
      </w:pPr>
      <w:bookmarkEnd w:id="8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بالشبه بحيث كان يصدق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عليه أنه شاة أو كلب؛ وذلك للصدق، وكلما صدق الموضوع صدق الحكم، وهكذا حال ما إذا أخذت نطفتان من كلب وشاة وربيت في أنبوب الاختبار</w:t>
      </w:r>
      <w:r>
        <w:rPr>
          <w:rFonts w:eastAsia="Amiri" w:cs="Amiri" w:ascii="Amiri" w:hAnsi="Amiri"/>
          <w:color w:val="111111"/>
          <w:sz w:val="28"/>
          <w:szCs w:val="28"/>
          <w:rtl w:val="true"/>
          <w:lang w:bidi="ar-SA"/>
        </w:rPr>
        <w:t>.</w:t>
      </w:r>
    </w:p>
    <w:p>
      <w:pPr>
        <w:pStyle w:val="Heading2"/>
        <w:numPr>
          <w:ilvl w:val="1"/>
          <w:numId w:val="1"/>
        </w:numPr>
        <w:rPr/>
      </w:pPr>
      <w:bookmarkStart w:id="809" w:name="__RefHeading___Toc11915606_2142443653"/>
      <w:bookmarkStart w:id="810" w:name="_Toc290"/>
      <w:bookmarkEnd w:id="809"/>
      <w:r>
        <w:rPr>
          <w:rtl w:val="true"/>
        </w:rPr>
        <w:t>المتولد بين حيوانين</w:t>
      </w:r>
      <w:bookmarkEnd w:id="81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المتولد بين حيوانين</w:t>
      </w:r>
      <w:r>
        <w:rPr>
          <w:rStyle w:val="FootnoteAnchor"/>
          <w:rtl w:val="true"/>
        </w:rPr>
        <w:footnoteReference w:id="1252"/>
      </w:r>
      <w:r>
        <w:rPr>
          <w:rFonts w:ascii="Amiri" w:hAnsi="Amiri" w:eastAsia="Amiri" w:cs="Amiri"/>
          <w:color w:val="111111"/>
          <w:sz w:val="28"/>
          <w:sz w:val="28"/>
          <w:szCs w:val="28"/>
          <w:rtl w:val="true"/>
          <w:lang w:bidi="ar-SA"/>
        </w:rPr>
        <w:t xml:space="preserve"> لا يشبه أحدهما كان الأصل فيه الطهارة والحلية</w:t>
      </w:r>
      <w:r>
        <w:rPr>
          <w:rStyle w:val="FootnoteAnchor"/>
          <w:rtl w:val="true"/>
        </w:rPr>
        <w:footnoteReference w:id="1253"/>
      </w:r>
      <w:r>
        <w:rPr>
          <w:rFonts w:ascii="Amiri" w:hAnsi="Amiri" w:eastAsia="Amiri" w:cs="Amiri"/>
          <w:color w:val="111111"/>
          <w:sz w:val="28"/>
          <w:sz w:val="28"/>
          <w:szCs w:val="28"/>
          <w:rtl w:val="true"/>
          <w:lang w:bidi="ar-SA"/>
        </w:rPr>
        <w:t>، وكذلك إذا خرج يشبه حيواناً طاهراً حلالاً، أما إذا خرج يشبه حيواناً نجساً أو حراماً، فالحكم تابع للمشبه به، والمراد بالمشابهة الصدق العرفي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صدق عليه الكلب كان كلباً، وإن تولد من شاتين، وإذا صدق عليه الشاة كانت شاة، وإن تولدت من كلبين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 من حلالين حلال؛ لأنه لا وجه للحرمة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هو الصدق</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الإطلاق</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أنواع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بالاختلاف، 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المسألة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الصورتين الأوليين</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ما بنى عليه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 والأحكام تابعة للعناوين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إطلاق الأدلة،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حلية الغنم يشمل هذا، وإن ولدت كلباً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811" w:name="pg15697_169159"/>
    </w:p>
    <w:p>
      <w:pPr>
        <w:pStyle w:val="Heading2"/>
        <w:numPr>
          <w:ilvl w:val="1"/>
          <w:numId w:val="1"/>
        </w:numPr>
        <w:rPr/>
      </w:pPr>
      <w:bookmarkStart w:id="812" w:name="__RefHeading___Toc11915608_2142443653"/>
      <w:bookmarkStart w:id="813" w:name="_Toc291"/>
      <w:bookmarkEnd w:id="811"/>
      <w:bookmarkEnd w:id="812"/>
      <w:r>
        <w:rPr>
          <w:rtl w:val="true"/>
        </w:rPr>
        <w:t>نزو الحيوانات فيما بينها</w:t>
      </w:r>
      <w:bookmarkEnd w:id="81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Style w:val="FootnoteAnchor"/>
          <w:rtl w:val="true"/>
        </w:rPr>
        <w:footnoteReference w:id="1258"/>
      </w:r>
      <w:r>
        <w:rPr>
          <w:rFonts w:ascii="Amiri" w:hAnsi="Amiri" w:eastAsia="Amiri" w:cs="Amiri"/>
          <w:color w:val="111111"/>
          <w:sz w:val="28"/>
          <w:sz w:val="28"/>
          <w:szCs w:val="28"/>
          <w:rtl w:val="true"/>
          <w:lang w:bidi="ar-SA"/>
        </w:rPr>
        <w:t xml:space="preserve"> المسألتين السابقتين جار فيما لو نزا كلب على شاة، أو العكس، أو نزا ابن آوى على شاة، أو بالعكس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اعتبار بالنزو أو التربية في أنبوب الاختبار، وإنما الاعتبار بالاسم على ما عرفت، فإنّ الحكم تابع لموضوعه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4" w:name="__RefHeading___Toc11915610_2142443653"/>
      <w:bookmarkStart w:id="815" w:name="_Toc292"/>
      <w:bookmarkEnd w:id="814"/>
      <w:r>
        <w:rPr>
          <w:rtl w:val="true"/>
        </w:rPr>
        <w:t>تركيب نطفة الحيوان</w:t>
      </w:r>
      <w:bookmarkEnd w:id="81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استيلاد الحيوان من نطفة مركبة من نطفتي الشاة والكلب، فالولد إن كان شبيهاً</w:t>
      </w:r>
      <w:r>
        <w:rPr>
          <w:rStyle w:val="FootnoteAnchor"/>
          <w:rtl w:val="true"/>
        </w:rPr>
        <w:footnoteReference w:id="1259"/>
      </w:r>
      <w:r>
        <w:rPr>
          <w:rFonts w:ascii="Amiri" w:hAnsi="Amiri" w:eastAsia="Amiri" w:cs="Amiri"/>
          <w:color w:val="111111"/>
          <w:sz w:val="28"/>
          <w:sz w:val="28"/>
          <w:szCs w:val="28"/>
          <w:rtl w:val="true"/>
          <w:lang w:bidi="ar-SA"/>
        </w:rPr>
        <w:t xml:space="preserve"> بأحدهما كان له حكم المشبه به، وإن كان شبيهاً بثالث، طاهر أو نجس، حلال أو حرام، فالحكم تابع للحيوان الثالث، ولو لم يشبه شيئاً كان طاهراً حلالاً</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طاهراً حلالاً، لإطلاق دليلهما، مع احتمال القولين الآخرين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مما قدمناه في شبيه هذه المسألة ، وما سيأتي في المسألة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المسألة السابقة في اتحاد الحيوانين، وهنا في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الصدق العرفي، كما مضى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نقيضه</w:t>
      </w:r>
      <w:r>
        <w:rPr>
          <w:rStyle w:val="FootnoteAnchor"/>
          <w:rtl w:val="true"/>
        </w:rPr>
        <w:footnoteReference w:id="1265"/>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وحرام وطاهر وحرام، إلاّ أنّ الظاهر أنّه لا وجه للقول بالنجاسة،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816" w:name="pg15697_169160"/>
    </w:p>
    <w:p>
      <w:pPr>
        <w:pStyle w:val="Heading2"/>
        <w:numPr>
          <w:ilvl w:val="1"/>
          <w:numId w:val="1"/>
        </w:numPr>
        <w:rPr/>
      </w:pPr>
      <w:bookmarkStart w:id="817" w:name="__RefHeading___Toc11915612_2142443653"/>
      <w:bookmarkStart w:id="818" w:name="_Toc293"/>
      <w:bookmarkEnd w:id="816"/>
      <w:bookmarkEnd w:id="817"/>
      <w:r>
        <w:rPr>
          <w:rtl w:val="true"/>
        </w:rPr>
        <w:t>حكم الحيوان المركب</w:t>
      </w:r>
      <w:bookmarkEnd w:id="81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بعض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المسائل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بأحد الحيوانين، والبعض الآخر شبيهاً بحيوان آخر، كما لو كان رأسه رأس كلب، وجسمه جسم شاة، ففي الحلية والطهارة، أو الحرمة والنجاسة، أو اتباع كل جزء للجزء الشبيه به، احتمالات</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الحلية والطهارة للأصل فيهما، واحتمال خلافهما؛ لصدق الكلب في الجملة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واحتمال التفصيل؛ لأنّ كل جزء منه تابع للمشبه به، ولكن لا يبعد الثاني، لأنّ الحيوان حرام ما لم يدل دليل على حليته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 وهذا لم يدل الدليل على حليته، وفي المسألة خلاف، أما الطهارة فهي تابعة للقول بمقالة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من قوله الأصل فيهما، أو عدمه كما ذكره المشهور، ويأتي مثل ذلك في مسألة سابقة مرّ ذكرها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هنالك قول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والطهارة، كما سبق في قول الشهيد</w:t>
      </w:r>
      <w:r>
        <w:rPr>
          <w:rFonts w:eastAsia="Amiri" w:cs="Amiri" w:ascii="Amiri" w:hAnsi="Amiri"/>
          <w:color w:val="111111"/>
          <w:sz w:val="28"/>
          <w:szCs w:val="28"/>
          <w:rtl w:val="true"/>
          <w:lang w:bidi="ar-SA"/>
        </w:rPr>
        <w:t>.</w:t>
      </w:r>
    </w:p>
    <w:p>
      <w:pPr>
        <w:pStyle w:val="BookText"/>
        <w:rPr/>
      </w:pP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ضعيف؛ وذلك لصدق الشاة في الجملة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جانب الحرمة يغلب جانب الحلّيّة، نظير ما قيل من أن دفع المفسدة أولى من جلب المنفعة،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نظير ذلك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التأمّل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819" w:name="pg15697_169161"/>
    </w:p>
    <w:p>
      <w:pPr>
        <w:pStyle w:val="Heading2"/>
        <w:numPr>
          <w:ilvl w:val="1"/>
          <w:numId w:val="1"/>
        </w:numPr>
        <w:rPr/>
      </w:pPr>
      <w:bookmarkStart w:id="820" w:name="__RefHeading___Toc11915614_2142443653"/>
      <w:bookmarkStart w:id="821" w:name="_Toc294"/>
      <w:bookmarkEnd w:id="819"/>
      <w:bookmarkEnd w:id="820"/>
      <w:r>
        <w:rPr>
          <w:rtl w:val="true"/>
        </w:rPr>
        <w:t>الطيران بالأجنحة والبالون</w:t>
      </w:r>
      <w:bookmarkEnd w:id="82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طيران الإنسان بأجنحة مصنوعة، أو بالبالون، لكن لا يجوز</w:t>
      </w:r>
      <w:r>
        <w:rPr>
          <w:rStyle w:val="FootnoteAnchor"/>
          <w:rtl w:val="true"/>
        </w:rPr>
        <w:footnoteReference w:id="1273"/>
      </w:r>
      <w:r>
        <w:rPr>
          <w:rFonts w:ascii="Amiri" w:hAnsi="Amiri" w:eastAsia="Amiri" w:cs="Amiri"/>
          <w:color w:val="111111"/>
          <w:sz w:val="28"/>
          <w:sz w:val="28"/>
          <w:szCs w:val="28"/>
          <w:rtl w:val="true"/>
          <w:lang w:bidi="ar-SA"/>
        </w:rPr>
        <w:t xml:space="preserve"> له الإشراف على البيوت والعورات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العورات فواضح، وأما البيوت؛ فلأنه من قبيل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التطلّع على البيت من ثقبة الباب الذي ثبت نصاً وإجماعاً حرمته واستحقاق الفاعل العقاب والتعزير</w:t>
      </w:r>
      <w:r>
        <w:rPr>
          <w:rFonts w:eastAsia="Amiri" w:cs="Amiri" w:ascii="Amiri" w:hAnsi="Amiri"/>
          <w:color w:val="111111"/>
          <w:sz w:val="28"/>
          <w:szCs w:val="28"/>
          <w:rtl w:val="true"/>
          <w:lang w:bidi="ar-SA"/>
        </w:rPr>
        <w:t>.</w:t>
      </w:r>
    </w:p>
    <w:p>
      <w:pPr>
        <w:pStyle w:val="Heading2"/>
        <w:numPr>
          <w:ilvl w:val="1"/>
          <w:numId w:val="1"/>
        </w:numPr>
        <w:rPr/>
      </w:pPr>
      <w:bookmarkStart w:id="822" w:name="__RefHeading___Toc11915616_2142443653"/>
      <w:bookmarkStart w:id="823" w:name="_Toc295"/>
      <w:bookmarkEnd w:id="822"/>
      <w:r>
        <w:rPr>
          <w:rtl w:val="true"/>
        </w:rPr>
        <w:t>تكوين أجنحة</w:t>
      </w:r>
      <w:bookmarkEnd w:id="82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تكوين أجنحة لحمية وعظمية للإنسان، بحيث تكون جزءاً له، فهل يجوز أم لا؟ احتمالان، احتمال الحرمة؛ لاحتمال دخوله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w:t>
      </w:r>
      <w:r>
        <w:rPr>
          <w:rStyle w:val="FootnoteAnchor"/>
          <w:rtl w:val="true"/>
        </w:rPr>
        <w:footnoteReference w:id="1274"/>
      </w:r>
      <w:r>
        <w:rPr>
          <w:rFonts w:ascii="Amiri" w:hAnsi="Amiri" w:eastAsia="Amiri" w:cs="Amiri"/>
          <w:color w:val="111111"/>
          <w:sz w:val="28"/>
          <w:sz w:val="28"/>
          <w:szCs w:val="28"/>
          <w:rtl w:val="true"/>
          <w:lang w:bidi="ar-SA"/>
        </w:rPr>
        <w:t xml:space="preserve">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النظر من الطائرة؟</w:t>
      </w:r>
    </w:p>
    <w:p>
      <w:pPr>
        <w:pStyle w:val="BookText"/>
        <w:rPr/>
      </w:pPr>
      <w:r>
        <w:rPr>
          <w:rFonts w:ascii="Amiri" w:hAnsi="Amiri" w:eastAsia="Amiri" w:cs="Amiri"/>
          <w:color w:val="111111"/>
          <w:sz w:val="28"/>
          <w:sz w:val="28"/>
          <w:szCs w:val="28"/>
          <w:rtl w:val="true"/>
          <w:lang w:bidi="ar-SA"/>
        </w:rPr>
        <w:t>إن كان بعيداً بحيث لا يرى إلاّ الشبح فلا إشكال، وإن كان قريباً بحيث تبدو له التفاصيل، كالاستراق من ثقب الباب، فالظاهر أن حكمه حكمه،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منكر في أذهان المتشرعة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عرفاً بين أن يسترق من ثقب الباب أو من فوق الفضاء، بل لعل الثاني أولى بالإنكار؛ لأنّه يطلع أكثر مما يطلع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مضى التأمّل منّا باعتبار أنّ المراد أو المحتمل تغيير الفطرة، ومن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تغيير حسن لا سيئ،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نظير المسألة سابقاً</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824" w:name="pg15697_169162"/>
    </w:p>
    <w:p>
      <w:pPr>
        <w:pStyle w:val="BookText"/>
        <w:rPr/>
      </w:pPr>
      <w:bookmarkEnd w:id="8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الحلية فللأصل، والمسألة بحاجة إلى التأمل، أما جعل الجناح اللحمي للحيوان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فلا إشكال فيه، كما أن قطع الجناح من الطائر إذا لم يوجب أذاه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فكذلك</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وهكذا لو جرى ذلك في نسل الحيوان</w:t>
      </w:r>
      <w:r>
        <w:rPr>
          <w:rFonts w:eastAsia="Amiri" w:cs="Amiri" w:ascii="Amiri" w:hAnsi="Amiri"/>
          <w:color w:val="111111"/>
          <w:sz w:val="28"/>
          <w:szCs w:val="28"/>
          <w:rtl w:val="true"/>
          <w:lang w:bidi="ar-SA"/>
        </w:rPr>
        <w:t>.</w:t>
      </w:r>
    </w:p>
    <w:p>
      <w:pPr>
        <w:pStyle w:val="Heading2"/>
        <w:numPr>
          <w:ilvl w:val="1"/>
          <w:numId w:val="1"/>
        </w:numPr>
        <w:rPr/>
      </w:pPr>
      <w:bookmarkStart w:id="825" w:name="__RefHeading___Toc11915618_2142443653"/>
      <w:bookmarkStart w:id="826" w:name="_Toc296"/>
      <w:bookmarkEnd w:id="825"/>
      <w:r>
        <w:rPr>
          <w:rtl w:val="true"/>
        </w:rPr>
        <w:t>تعليم الإجرام للحيوانات</w:t>
      </w:r>
      <w:bookmarkEnd w:id="8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278"/>
      </w:r>
      <w:r>
        <w:rPr>
          <w:rFonts w:ascii="Amiri" w:hAnsi="Amiri" w:eastAsia="Amiri" w:cs="Amiri"/>
          <w:color w:val="111111"/>
          <w:sz w:val="28"/>
          <w:sz w:val="28"/>
          <w:szCs w:val="28"/>
          <w:rtl w:val="true"/>
          <w:lang w:bidi="ar-SA"/>
        </w:rPr>
        <w:t xml:space="preserve"> تعليم الإجرام للحيوان إذا كان معرضاً لأن يجرم، كأن يعلم القردة قتل الإنسان</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وإذا أجرم كان المعلم ضامناً إذا أسند الفعل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يشترط أن يكون معرضاً؛ لأنه في هذه الصورة يكون من مقدمة الحرام، ثم الضمان قد يكون بالمال، وقد يكون باستحقاق القصاص، كل حسب موازينه المذكورة 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الحرمة السابق موجود فيه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إيذاء الحيوان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المقدار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كقطع جناح الحيوان لئلا يهرب، أو وضع الدبوس في جناحه، فتأمل؛ إذ قد يشكك في كونها سيرة متصلة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الملاحظة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ومقدمة الحرام حرام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السرقة مثلاً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827" w:name="pg15697_169163"/>
    </w:p>
    <w:p>
      <w:pPr>
        <w:pStyle w:val="Heading2"/>
        <w:numPr>
          <w:ilvl w:val="1"/>
          <w:numId w:val="1"/>
        </w:numPr>
        <w:rPr/>
      </w:pPr>
      <w:bookmarkStart w:id="828" w:name="__RefHeading___Toc11915620_2142443653"/>
      <w:bookmarkStart w:id="829" w:name="_Toc297"/>
      <w:bookmarkEnd w:id="827"/>
      <w:bookmarkEnd w:id="828"/>
      <w:r>
        <w:rPr>
          <w:rtl w:val="true"/>
        </w:rPr>
        <w:t>تعليم الإجرام للأطفال والمجانين</w:t>
      </w:r>
      <w:bookmarkEnd w:id="8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281"/>
      </w:r>
      <w:r>
        <w:rPr>
          <w:rFonts w:ascii="Amiri" w:hAnsi="Amiri" w:eastAsia="Amiri" w:cs="Amiri"/>
          <w:color w:val="111111"/>
          <w:sz w:val="28"/>
          <w:sz w:val="28"/>
          <w:szCs w:val="28"/>
          <w:rtl w:val="true"/>
          <w:lang w:bidi="ar-SA"/>
        </w:rPr>
        <w:t xml:space="preserve"> تعليم الإجرام للأطفال والمجانين، وإذا أجرموا كان المعلم ضامناً إذا كان الفعل مسنداً</w:t>
      </w:r>
      <w:r>
        <w:rPr>
          <w:rStyle w:val="FootnoteAnchor"/>
          <w:rtl w:val="true"/>
        </w:rPr>
        <w:footnoteReference w:id="1282"/>
      </w:r>
      <w:r>
        <w:rPr>
          <w:rFonts w:ascii="Amiri" w:hAnsi="Amiri" w:eastAsia="Amiri" w:cs="Amiri"/>
          <w:color w:val="111111"/>
          <w:sz w:val="28"/>
          <w:sz w:val="28"/>
          <w:szCs w:val="28"/>
          <w:rtl w:val="true"/>
          <w:lang w:bidi="ar-SA"/>
        </w:rPr>
        <w:t xml:space="preserve">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في المقام هو الدليل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830" w:name="__RefHeading___Toc11915622_2142443653"/>
      <w:bookmarkStart w:id="831" w:name="_Toc298"/>
      <w:bookmarkEnd w:id="830"/>
      <w:r>
        <w:rPr>
          <w:rtl w:val="true"/>
        </w:rPr>
        <w:t>دفع المنكر بالحيوان</w:t>
      </w:r>
      <w:bookmarkEnd w:id="8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دفع المنكر</w:t>
      </w:r>
      <w:r>
        <w:rPr>
          <w:rStyle w:val="FootnoteAnchor"/>
          <w:rtl w:val="true"/>
        </w:rPr>
        <w:footnoteReference w:id="1283"/>
      </w:r>
      <w:r>
        <w:rPr>
          <w:rFonts w:ascii="Amiri" w:hAnsi="Amiri" w:eastAsia="Amiri" w:cs="Amiri"/>
          <w:color w:val="111111"/>
          <w:sz w:val="28"/>
          <w:sz w:val="28"/>
          <w:szCs w:val="28"/>
          <w:rtl w:val="true"/>
          <w:lang w:bidi="ar-SA"/>
        </w:rPr>
        <w:t xml:space="preserve"> بسبب الحيوان، كإرسال الكلب المعلم بواسطة صفارات لا تحس بالأذن أو غيرها لاتباع السرقة والقتلة ومنعهم من الإجرام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كالسابق</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يسند، كما لو كان الطفل عاقلاً مميزاً فاهماً،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يستحق التعزير على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الدفع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 في بحث الإعانة على الإثم</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المنكر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الدِّينَ</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 xml:space="preserve">، وبأنّه لا فرق عرفاً بين الدفع والرفع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نصفين وألقه في البالوعة</w:t>
      </w:r>
      <w:r>
        <w:rPr>
          <w:rFonts w:eastAsia="Amiri" w:cs="Amiri" w:ascii="Amiri" w:hAnsi="Amiri"/>
          <w:color w:val="111111"/>
          <w:sz w:val="28"/>
          <w:szCs w:val="28"/>
          <w:rtl w:val="true"/>
          <w:lang w:bidi="ar-SA"/>
        </w:rPr>
        <w:t>»</w:t>
      </w:r>
      <w:r>
        <w:rPr>
          <w:rStyle w:val="FootnoteAnchor"/>
          <w:rtl w:val="true"/>
        </w:rPr>
        <w:footnoteReference w:id="1290"/>
      </w:r>
      <w:r>
        <w:rPr>
          <w:rFonts w:ascii="IRNazanin" w:hAnsi="IRNazanin" w:eastAsia="IRNazanin"/>
          <w:color w:val="111111"/>
          <w:sz w:val="28"/>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832" w:name="pg15697_169164"/>
    </w:p>
    <w:p>
      <w:pPr>
        <w:pStyle w:val="BookText"/>
        <w:rPr/>
      </w:pPr>
      <w:bookmarkEnd w:id="8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من مصاديق دفع المنكر، وكذلك في مورد رفعه، وهكذا حال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دفع المكروه أو فعل المستحب؛ لوحدة الدليل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في المباشرة والتسبيب، وهكذا الحال فيما إذا أمكن النهي بسبب المجنون والطفل أو الإنسان الآلي مثلاً</w:t>
      </w:r>
      <w:r>
        <w:rPr>
          <w:rFonts w:eastAsia="Amiri" w:cs="Amiri" w:ascii="Amiri" w:hAnsi="Amiri"/>
          <w:color w:val="111111"/>
          <w:sz w:val="28"/>
          <w:szCs w:val="28"/>
          <w:rtl w:val="true"/>
          <w:lang w:bidi="ar-SA"/>
        </w:rPr>
        <w:t>.</w:t>
      </w:r>
    </w:p>
    <w:p>
      <w:pPr>
        <w:pStyle w:val="Heading2"/>
        <w:numPr>
          <w:ilvl w:val="1"/>
          <w:numId w:val="1"/>
        </w:numPr>
        <w:rPr/>
      </w:pPr>
      <w:bookmarkStart w:id="833" w:name="__RefHeading___Toc11915624_2142443653"/>
      <w:bookmarkStart w:id="834" w:name="_Toc299"/>
      <w:bookmarkEnd w:id="833"/>
      <w:r>
        <w:rPr>
          <w:rtl w:val="true"/>
        </w:rPr>
        <w:t>المعاملات بواسطة الحيوان</w:t>
      </w:r>
      <w:bookmarkEnd w:id="8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بجعل الحيوان وسيلة للمعاملات المراضاتية، كأن يرسل الكلب وفي عنقه الظرف والثمن، ليشتري المتاع، وهذا ليس اشتراء حقيقة</w:t>
      </w:r>
      <w:r>
        <w:rPr>
          <w:rStyle w:val="FootnoteAnchor"/>
          <w:rtl w:val="true"/>
        </w:rPr>
        <w:footnoteReference w:id="1291"/>
      </w:r>
      <w:r>
        <w:rPr>
          <w:rFonts w:ascii="Amiri" w:hAnsi="Amiri" w:eastAsia="Amiri" w:cs="Amiri"/>
          <w:color w:val="111111"/>
          <w:sz w:val="28"/>
          <w:sz w:val="28"/>
          <w:szCs w:val="28"/>
          <w:rtl w:val="true"/>
          <w:lang w:bidi="ar-SA"/>
        </w:rPr>
        <w:t>، وإنما هو مراضاة والحيوان آلة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الحال بسبب المجنون والطفل، لكن 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معاملة الأطفال مكروهة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ومنه يعلم حكم البيع والشراء بسبب الإنسان الآلي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حسم مادة الفساد في الواجبات</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مستحباً</w:t>
      </w:r>
      <w:r>
        <w:rPr>
          <w:rFonts w:eastAsia="Amiri" w:cs="Amiri" w:ascii="Amiri" w:hAnsi="Amiri"/>
          <w:color w:val="111111"/>
          <w:sz w:val="28"/>
          <w:szCs w:val="28"/>
          <w:rtl w:val="true"/>
          <w:lang w:bidi="ar-SA"/>
        </w:rPr>
        <w:t>.</w:t>
      </w:r>
    </w:p>
    <w:p>
      <w:pPr>
        <w:pStyle w:val="BookText"/>
        <w:rPr/>
      </w:pP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يسند النهي إليه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اشتراء حقيقة، منتهى الأمر أنّه معاطاتي، وهو عرفاً كذلك، وسيأتي ذلك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استقلالاً أو حتى آلة، وبأي دليل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835" w:name="pg15697_169165"/>
    </w:p>
    <w:p>
      <w:pPr>
        <w:pStyle w:val="Heading2"/>
        <w:numPr>
          <w:ilvl w:val="1"/>
          <w:numId w:val="1"/>
        </w:numPr>
        <w:rPr/>
      </w:pPr>
      <w:bookmarkStart w:id="836" w:name="__RefHeading___Toc11915626_2142443653"/>
      <w:bookmarkStart w:id="837" w:name="_Toc300"/>
      <w:bookmarkEnd w:id="835"/>
      <w:bookmarkEnd w:id="836"/>
      <w:r>
        <w:rPr>
          <w:rtl w:val="true"/>
        </w:rPr>
        <w:t>المعاملات الآلية</w:t>
      </w:r>
      <w:bookmarkEnd w:id="83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يعتاد في بعض البلاد من إلقاء الثمن في محل خاص فيخرج المتاع المجهز، لا بأس به فإنه من المراضاة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بيع معاطاتي، وكذلك في المسألة السابقة، وعليه فيحرم الربا كذلك، أما على الاحتمال السابق فليس بربا، بل برضا،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فساد المال المذكور في علة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تحريم الربا، فالرضا أيضاً إذا كان بداعٍ ربوي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عرفاً، فتشمله إطلاقات أدلة البيع، كما في المسألة السابقة</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أمثال هذه الأدلة أنّها حكم، لا علل يدور مدارها الحكم وجوداً وعدماً، إلاّ أنّ الأصل الأولي هو العلّية، باستثناء ما ثبت خروجه،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 فالملاك بالعواقب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الحيل الشرعية في باب الربا، التي ورد في بعضها الروايات،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كون عاقبة الحيل عاقبة الربا؛ إذ الربا جريان، والحيل لا تشكل جرياناً، فهو كالحيل القانونية،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السيارة إلى الخلف، أو تسجيل الدار باسم ما يصطلح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علل الربا شاملة للفرض المزبور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838" w:name="pg15697_169166"/>
    </w:p>
    <w:p>
      <w:pPr>
        <w:pStyle w:val="Heading2"/>
        <w:numPr>
          <w:ilvl w:val="1"/>
          <w:numId w:val="1"/>
        </w:numPr>
        <w:rPr/>
      </w:pPr>
      <w:bookmarkStart w:id="839" w:name="__RefHeading___Toc11915628_2142443653"/>
      <w:bookmarkStart w:id="840" w:name="_Toc301"/>
      <w:bookmarkEnd w:id="838"/>
      <w:bookmarkEnd w:id="839"/>
      <w:r>
        <w:rPr>
          <w:rtl w:val="true"/>
        </w:rPr>
        <w:t>السرقة في المعاملات الآلية</w:t>
      </w:r>
      <w:bookmarkEnd w:id="84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المتاع بدون إلقاء الثمن في المسألة السابقة، ولو فعل ذلك كان ضامناً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من التصرف في أموال الغير من دون رضاه فلا يجوز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 والضمان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وحينئذٍ يكون سرقة إذا اجتمعت فيه شرائطها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1" w:name="__RefHeading___Toc11915630_2142443653"/>
      <w:bookmarkStart w:id="842" w:name="_Toc302"/>
      <w:bookmarkEnd w:id="841"/>
      <w:r>
        <w:rPr>
          <w:rtl w:val="true"/>
        </w:rPr>
        <w:t>أجرة جهاز الوزن</w:t>
      </w:r>
      <w:bookmarkEnd w:id="84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1303"/>
      </w:r>
      <w:r>
        <w:rPr>
          <w:rFonts w:ascii="Amiri" w:hAnsi="Amiri" w:eastAsia="Amiri" w:cs="Amiri"/>
          <w:color w:val="111111"/>
          <w:sz w:val="28"/>
          <w:sz w:val="28"/>
          <w:szCs w:val="28"/>
          <w:rtl w:val="true"/>
          <w:lang w:bidi="ar-SA"/>
        </w:rPr>
        <w:t xml:space="preserve"> وزن الإنسان نفسه في مقابل الثمن يلقيه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والثمن يكون لمالك الوزان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وزن الإنسان نفسه أو متاعه، ولا يجوز سرقة الثمن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بإلقاء شيء آخر في الوزان، كما لا يجوز سرقة الماء والكهرباء</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ظلم 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أربعين شرطاً أو أكثر لقطع يد السارق</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انطباق عنوان الإجارة على هذه المعاملة،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مقابل ثمن</w:t>
      </w:r>
      <w:r>
        <w:rPr>
          <w:rFonts w:eastAsia="Amiri" w:cs="Amiri" w:ascii="Amiri" w:hAnsi="Amiri"/>
          <w:color w:val="111111"/>
          <w:sz w:val="28"/>
          <w:szCs w:val="28"/>
          <w:rtl w:val="true"/>
          <w:lang w:bidi="ar-SA"/>
        </w:rPr>
        <w:t>.</w:t>
      </w:r>
    </w:p>
    <w:p>
      <w:pPr>
        <w:pStyle w:val="BookText"/>
        <w:rPr/>
      </w:pP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دفع الثمن، وليست هذه سرقة مصطلحة ظاهراً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843" w:name="pg15697_169167"/>
    </w:p>
    <w:p>
      <w:pPr>
        <w:pStyle w:val="BookText"/>
        <w:rPr/>
      </w:pPr>
      <w:bookmarkEnd w:id="843"/>
      <w:r>
        <w:rPr>
          <w:rFonts w:ascii="Amiri" w:hAnsi="Amiri" w:eastAsia="Amiri" w:cs="Amiri"/>
          <w:color w:val="111111"/>
          <w:sz w:val="28"/>
          <w:sz w:val="28"/>
          <w:szCs w:val="28"/>
          <w:rtl w:val="true"/>
          <w:lang w:bidi="ar-SA"/>
        </w:rPr>
        <w:t>والهاتف وغيرها من محترم المال</w:t>
      </w:r>
      <w:r>
        <w:rPr>
          <w:rStyle w:val="FootnoteAnchor"/>
          <w:rtl w:val="true"/>
        </w:rPr>
        <w:footnoteReference w:id="1310"/>
      </w:r>
      <w:r>
        <w:rPr>
          <w:rFonts w:ascii="Amiri" w:hAnsi="Amiri" w:eastAsia="Amiri" w:cs="Amiri"/>
          <w:color w:val="111111"/>
          <w:sz w:val="28"/>
          <w:sz w:val="28"/>
          <w:szCs w:val="28"/>
          <w:rtl w:val="true"/>
          <w:lang w:bidi="ar-SA"/>
        </w:rPr>
        <w:t>، وكذا إذا كان غير محترم المال، وكانت السرقة توجب محذوراً آخر، كتشويه سمعة المسلمين مثلاً لم يجز ذلك أيضاً، نعم يجوز ذلك من الكافر المحارب</w:t>
      </w:r>
      <w:r>
        <w:rPr>
          <w:rStyle w:val="FootnoteAnchor"/>
          <w:rtl w:val="true"/>
        </w:rPr>
        <w:footnoteReference w:id="1311"/>
      </w:r>
      <w:r>
        <w:rPr>
          <w:rFonts w:ascii="Amiri" w:hAnsi="Amiri" w:eastAsia="Amiri" w:cs="Amiri"/>
          <w:color w:val="111111"/>
          <w:sz w:val="28"/>
          <w:sz w:val="28"/>
          <w:szCs w:val="28"/>
          <w:rtl w:val="true"/>
          <w:lang w:bidi="ar-SA"/>
        </w:rPr>
        <w:t xml:space="preserve"> مقابلة بالمثل</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4" w:name="__RefHeading___Toc11915632_2142443653"/>
      <w:bookmarkStart w:id="845" w:name="_Toc303"/>
      <w:bookmarkEnd w:id="844"/>
      <w:r>
        <w:rPr>
          <w:rtl w:val="true"/>
        </w:rPr>
        <w:t>الوزن بالاحتيال</w:t>
      </w:r>
      <w:bookmarkEnd w:id="8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313"/>
      </w:r>
      <w:r>
        <w:rPr>
          <w:rFonts w:ascii="IRNazanin" w:hAnsi="IRNazanin" w:eastAsia="IRNazanin"/>
          <w:color w:val="111111"/>
          <w:sz w:val="28"/>
          <w:sz w:val="28"/>
          <w:szCs w:val="28"/>
          <w:rtl w:val="true"/>
          <w:lang w:bidi="fa-IR"/>
        </w:rPr>
        <w:t xml:space="preserve"> وزن النفس</w:t>
      </w:r>
      <w:r>
        <w:rPr>
          <w:rStyle w:val="FootnoteAnchor"/>
          <w:rtl w:val="true"/>
        </w:rPr>
        <w:footnoteReference w:id="1314"/>
      </w:r>
      <w:r>
        <w:rPr>
          <w:rFonts w:ascii="Amiri" w:hAnsi="Amiri" w:eastAsia="Amiri" w:cs="Amiri"/>
          <w:color w:val="111111"/>
          <w:sz w:val="28"/>
          <w:sz w:val="28"/>
          <w:szCs w:val="28"/>
          <w:rtl w:val="true"/>
          <w:lang w:bidi="ar-SA"/>
        </w:rPr>
        <w:t xml:space="preserve">بالاحتيال بعدم إلقاء الثمن، بل إلقاء شيء آخر أو ما أشبه ذلك، فإذا فعل ذلك كان ضامناً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فعل ذلك فاللازم إعطاء صاحب الوزان الثمن، ولو بإلقائه في الوزان بدون توزين؛ لأنه يعد عرفاً من إيصال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المال إلى صاحبه، وإذا لم يعرفه كان مجهول المالك فيرجع إلى الحاكم الشرعي</w:t>
      </w:r>
      <w:r>
        <w:rPr>
          <w:rFonts w:eastAsia="Amiri" w:cs="Amiri" w:ascii="Amiri" w:hAnsi="Amiri"/>
          <w:color w:val="111111"/>
          <w:sz w:val="28"/>
          <w:szCs w:val="28"/>
          <w:rtl w:val="true"/>
          <w:lang w:bidi="ar-SA"/>
        </w:rPr>
        <w:t>.</w:t>
      </w:r>
    </w:p>
    <w:p>
      <w:pPr>
        <w:pStyle w:val="BookText"/>
        <w:rPr/>
      </w:pP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فرداً أم هيئة لها شخصية حقوقية</w:t>
      </w:r>
      <w:r>
        <w:rPr>
          <w:rFonts w:eastAsia="Amiri" w:cs="Amiri" w:ascii="Amiri" w:hAnsi="Amiri"/>
          <w:color w:val="111111"/>
          <w:sz w:val="28"/>
          <w:szCs w:val="28"/>
          <w:rtl w:val="true"/>
          <w:lang w:bidi="ar-SA"/>
        </w:rPr>
        <w:t>.</w:t>
      </w:r>
    </w:p>
    <w:p>
      <w:pPr>
        <w:pStyle w:val="BookText"/>
        <w:rPr/>
      </w:pP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تحديد موضوعه بحث يراجع فيه كتاب الجهاد</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ليس محترم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ظلم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 أداء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846" w:name="pg15697_169168"/>
    </w:p>
    <w:p>
      <w:pPr>
        <w:pStyle w:val="BookText"/>
        <w:rPr/>
      </w:pPr>
      <w:bookmarkEnd w:id="846"/>
      <w:r>
        <w:rPr>
          <w:rFonts w:ascii="Amiri" w:hAnsi="Amiri" w:eastAsia="Amiri" w:cs="Amiri"/>
          <w:color w:val="111111"/>
          <w:sz w:val="28"/>
          <w:sz w:val="28"/>
          <w:szCs w:val="28"/>
          <w:rtl w:val="true"/>
          <w:lang w:bidi="ar-SA"/>
        </w:rPr>
        <w:t>نعم لو انعكس الأمر بأن ألقى الثمن ولم يظهر الوزن للاختلال في الوزان حقّ له الوزن بعد ذلك بذلك الثمن</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والظاهر</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التصالح بينهما إذا زاد الثمن أو نقص وقت الإعطاء عن وقت السرقة</w:t>
      </w:r>
      <w:r>
        <w:rPr>
          <w:rFonts w:eastAsia="Amiri" w:cs="Amiri" w:ascii="Amiri" w:hAnsi="Amiri"/>
          <w:color w:val="111111"/>
          <w:sz w:val="28"/>
          <w:szCs w:val="28"/>
          <w:rtl w:val="true"/>
          <w:lang w:bidi="ar-SA"/>
        </w:rPr>
        <w:t>.</w:t>
      </w:r>
    </w:p>
    <w:p>
      <w:pPr>
        <w:pStyle w:val="Heading2"/>
        <w:numPr>
          <w:ilvl w:val="1"/>
          <w:numId w:val="1"/>
        </w:numPr>
        <w:rPr/>
      </w:pPr>
      <w:bookmarkStart w:id="847" w:name="__RefHeading___Toc11915634_2142443653"/>
      <w:bookmarkStart w:id="848" w:name="_Toc304"/>
      <w:bookmarkEnd w:id="847"/>
      <w:r>
        <w:rPr>
          <w:rtl w:val="true"/>
        </w:rPr>
        <w:t>ثمن التذاكر في الألعاب الرياضية</w:t>
      </w:r>
      <w:bookmarkEnd w:id="8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الأجرة لمن حضر المحل الخاص لمشاهدة المصارعة، فإذا دخل المتفرّج بدون إعطاء الأجرة كان ضامناً للأجرة، لكن أنما يجوز أخذ الأجرة إذا كانت المصارعة جائزة</w:t>
      </w:r>
      <w:r>
        <w:rPr>
          <w:rStyle w:val="FootnoteAnchor"/>
          <w:rtl w:val="true"/>
        </w:rPr>
        <w:footnoteReference w:id="1321"/>
      </w:r>
      <w:r>
        <w:rPr>
          <w:rFonts w:ascii="Amiri" w:hAnsi="Amiri" w:eastAsia="Amiri" w:cs="Amiri"/>
          <w:color w:val="111111"/>
          <w:sz w:val="28"/>
          <w:sz w:val="28"/>
          <w:szCs w:val="28"/>
          <w:rtl w:val="true"/>
          <w:lang w:bidi="ar-SA"/>
        </w:rPr>
        <w:t>، فإذا لم تكن جائزة كان لصاحب المحل أجرة مثل حضور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إذا بطل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يطلبه هذا المال، ولا فرق بين إعطائه أو حساب ما عليه في مثل الفرض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يرتبط ببحث حجم النقد أو القدرة الشرائية، ورأي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إلاّ أنّه مراعاة للمشهور ذهب إلى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توجب الضرر الكثير مثلاً، أو لأنّها مصارعة بين الرجل والمرأة مما يوجب الإثارة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فرضنا أنّ مشاهدة المحرّم محرم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الواجبات والمحرمات</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xml:space="preserve">أو أن حضور مجلس يعصى اللّه تعالى فيه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الحضور في مثل ذلك خلاف ارتكاز المتشرعة، أو انطبق عليه عنوان التشجيع على الحرام وتأييد المنكر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ثمن المسمى</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ثمن المثل، لكن الكلام في أنه إذا كان يعرض المحرمات، فهل لمحله أجرة، حيث يحتمل أن يشمله ولو بالملاك</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حرم اللّه شيئاً حرّم ثمنه</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إذا بطل ثمن المسمى رجع إلى ثمن مثل حضور نفس المحل،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اشغال هذا الحيز لمدة ساعة مثلاً، بلا لحاظ مسألة المشاهدة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أجرة لقاء عمل محرم، سواء كان ذلك لقاء نفس العمل المحرّم أم لقاء مشاهدة العمل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المشاهدة محرمّة، فيكون مشمولاً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ثمنه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أو تكليفاً أو كليهما، وفي كليهما إمّا عرضاً أو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المكاسب</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الثمن في قبال المشاهدة، وهذا مشمول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الثمن في قبال نفس الحضور وإشغال الحيز واستهلاك المحل، وهذا غير مشمول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أنّ الأجرة في قبال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يختلف الثمن باعتبار المحل، فإذا كان في الصحراء أخذ ثمناً أقل، وإذا كان في محل مملوك أو مستأجر أخذ ثمناً أكثر،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849" w:name="pg15697_169170"/>
    </w:p>
    <w:p>
      <w:pPr>
        <w:pStyle w:val="BookText"/>
        <w:rPr/>
      </w:pPr>
      <w:bookmarkEnd w:id="849"/>
      <w:r>
        <w:rPr>
          <w:rFonts w:ascii="Amiri" w:hAnsi="Amiri" w:eastAsia="Amiri" w:cs="Amiri"/>
          <w:color w:val="111111"/>
          <w:sz w:val="28"/>
          <w:sz w:val="28"/>
          <w:szCs w:val="28"/>
          <w:rtl w:val="true"/>
          <w:lang w:bidi="ar-SA"/>
        </w:rPr>
        <w:t>أو يشملهم قولهم</w:t>
      </w:r>
      <w:r>
        <w:rPr>
          <w:rFonts w:eastAsia="Times New Roman" w:cs="Times New Roman" w:ascii="Times New Roman" w:hAnsi="Times New Roman"/>
          <w:color w:val="111111"/>
          <w:sz w:val="28"/>
          <w:szCs w:val="28"/>
          <w:lang w:val="en-US" w:bidi="en-US"/>
        </w:rPr>
        <w:t>7</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كاسر البربط والقمار والصليب ليس عليه ضمان، مع أنه يجب التلف بالنسبة إلى المادة التي هي محللة، إذ الفرض حرمة الصورة فقط؟</w:t>
      </w:r>
    </w:p>
    <w:p>
      <w:pPr>
        <w:pStyle w:val="Heading2"/>
        <w:numPr>
          <w:ilvl w:val="1"/>
          <w:numId w:val="1"/>
        </w:numPr>
        <w:rPr/>
      </w:pPr>
      <w:bookmarkStart w:id="850" w:name="__RefHeading___Toc11915636_2142443653"/>
      <w:bookmarkStart w:id="851" w:name="_Toc305"/>
      <w:bookmarkEnd w:id="850"/>
      <w:r>
        <w:rPr>
          <w:rtl w:val="true"/>
        </w:rPr>
        <w:t>أجرة الحضور</w:t>
      </w:r>
      <w:bookmarkEnd w:id="85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الأجرة لصاحب المحل ممن يريد حضور احتفال أو تمثيلية جائزين، أو ما أشبههما، فإذا حضر إنسان ولم يدفع الأجرة كان ضامناً للأجرة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الضمان ودليل السلطنة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2" w:name="__RefHeading___Toc11915638_2142443653"/>
      <w:bookmarkStart w:id="853" w:name="_Toc306"/>
      <w:bookmarkEnd w:id="852"/>
      <w:r>
        <w:rPr>
          <w:rtl w:val="true"/>
        </w:rPr>
        <w:t>مشاهدة المهرجانات من بعيد</w:t>
      </w:r>
      <w:bookmarkEnd w:id="8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مشاهدة الإنسان المصارعة أو الاحتفال أو التمثيلية،</w:t>
      </w:r>
    </w:p>
    <w:p>
      <w:pPr>
        <w:pStyle w:val="BookText"/>
        <w:rPr/>
      </w:pPr>
      <w:r>
        <w:rPr>
          <w:rFonts w:ascii="Amiri" w:hAnsi="Amiri" w:eastAsia="Amiri" w:cs="Amiri"/>
          <w:color w:val="111111"/>
          <w:sz w:val="28"/>
          <w:sz w:val="28"/>
          <w:szCs w:val="28"/>
          <w:rtl w:val="true"/>
          <w:lang w:bidi="ar-SA"/>
        </w:rPr>
        <w:t>ليس دخيلاً في نفس الاتفاق، فإنّ الاتفاق هو على الثمن قبال المشاهدة، فيكون كلّ الثمن محرّماً،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بالحكم؛ إذ ذلك من باب الردع أو النهي عن المنكر، أو حسم مادة الفساد، وهنا ليس الأمر كذلك، بل لعله تشويق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الحرمة التكليفية وأدلة الضمان تفيد الضمان الوضعي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لها عقداً سلبياً،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للآخرين في التصرّف إلاّ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854" w:name="pg15697_169171"/>
    </w:p>
    <w:p>
      <w:pPr>
        <w:pStyle w:val="BookText"/>
        <w:rPr/>
      </w:pPr>
      <w:bookmarkEnd w:id="854"/>
      <w:r>
        <w:rPr>
          <w:rFonts w:ascii="Amiri" w:hAnsi="Amiri" w:eastAsia="Amiri" w:cs="Amiri"/>
          <w:color w:val="111111"/>
          <w:sz w:val="28"/>
          <w:sz w:val="28"/>
          <w:szCs w:val="28"/>
          <w:rtl w:val="true"/>
          <w:lang w:bidi="ar-SA"/>
        </w:rPr>
        <w:t>أو ما أشبهها من مكان مرتفع يتعلّق بنفسه أو يتعلق بإنسان يبيح له حضوره أو محل مباح، وليس لصاحب المصارعة أو ما أشبه أن يمنعه عن ذلك، وإذا نظر بدون رضاه أو مع نهيه لم يكن آثماً ولا ضامناً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مثل النظر أو الاستماع إلى الأصوات كشم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له رائحة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مطلقاً من التصرف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ولا من الحق عرفاً حتى 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يتوى حق امرئ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5" w:name="__RefHeading___Toc11915640_2142443653"/>
      <w:bookmarkStart w:id="856" w:name="_Toc307"/>
      <w:bookmarkEnd w:id="855"/>
      <w:r>
        <w:rPr>
          <w:rtl w:val="true"/>
        </w:rPr>
        <w:t>تنمية الإنسان</w:t>
      </w:r>
      <w:bookmarkEnd w:id="8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تنمية الإنسان بواسطة الأدوية الموجبة لإفراز الغدد المنمية، حتى أمكن إيصال طفل ذي خمس سنوات، إلى شاب عمره خمس عشرة سنة مثلاً، فهل يكون بالغاً بلوغاً شرعياً، أم لا؟</w:t>
      </w:r>
    </w:p>
    <w:p>
      <w:pPr>
        <w:pStyle w:val="BookText"/>
        <w:rPr/>
      </w:pP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له حقّ أن ينظر إلى أي مكان أراد، ولا حقّ للآخرين في منعه عن ذلك، إلاّ إذا عدّ تصرفاً في حقه، ولو فرض أنّه عُدّ تصرفاً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يتعارض الحقان ولا ترجيح لأحدهما على الآخر، لكنه منظور فيه؛ لأنّ المرجح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حقّ للإنسان في توي حقّ الآخرين، إلاّ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حق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ولاحق لصاحب التمثيلية في منعه عن ممارسة حقه هذا،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يُقال بمثل ذلك في مطالعة رسالة شخص لا يرضى بذلك إذا كان في محل عام؟ الملاك جارٍ فيه أيضاً،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تجسس عرفاً،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احتمالان</w:t>
      </w:r>
      <w:r>
        <w:rPr>
          <w:rStyle w:val="FootnoteAnchor"/>
          <w:rtl w:val="true"/>
        </w:rPr>
        <w:footnoteReference w:id="1329"/>
      </w:r>
      <w:r>
        <w:rPr>
          <w:rFonts w:ascii="Amiri" w:hAnsi="Amiri" w:eastAsia="Amiri" w:cs="Amiri"/>
          <w:color w:val="111111"/>
          <w:sz w:val="28"/>
          <w:sz w:val="28"/>
          <w:szCs w:val="28"/>
          <w:rtl w:val="true"/>
          <w:lang w:bidi="ar-SA"/>
        </w:rPr>
        <w:t>، من أنه والبالغ هذا العمر سواء في الجسم والإدراك والنمو، ومن أنه لم يبلغ السن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حسب الصناعة إذا تحقق الموضوع</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تحقق الحكم، اللّهم إلا أن يقال بالانصراف</w:t>
      </w:r>
      <w:r>
        <w:rPr>
          <w:rFonts w:eastAsia="Amiri" w:cs="Amiri" w:ascii="Amiri" w:hAnsi="Amiri"/>
          <w:color w:val="111111"/>
          <w:sz w:val="28"/>
          <w:szCs w:val="28"/>
          <w:rtl w:val="true"/>
          <w:lang w:bidi="ar-SA"/>
        </w:rPr>
        <w:t>.</w:t>
      </w:r>
    </w:p>
    <w:p>
      <w:pPr>
        <w:pStyle w:val="BookText"/>
        <w:rPr/>
      </w:pP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السن الشرعية لها موضوعية، أو أنّها طريق إلى الإدراك والنمو؟ ظاهر الأدلة هي الموضوعية، والطريقية خلاف الأصل، ومثله ما قيل في التغير التقديري في كتاب الطهارة</w:t>
      </w:r>
      <w:r>
        <w:rPr>
          <w:rStyle w:val="FootnoteAnchor"/>
          <w:rtl w:val="true"/>
        </w:rPr>
        <w:footnoteReference w:id="133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ونظير ذلك ما لو أصبح ذو الأربعين في وضعِ مَنْ عُمُرُهُ عشرُ سنوات بلحاظ الجسم والإدراك، فهل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تجب عليه العبادات؟</w:t>
      </w:r>
    </w:p>
    <w:p>
      <w:pPr>
        <w:pStyle w:val="BookText"/>
        <w:rPr/>
      </w:pPr>
      <w:r>
        <w:rPr>
          <w:rFonts w:ascii="Amiri" w:hAnsi="Amiri" w:eastAsia="Amiri" w:cs="Amiri"/>
          <w:color w:val="111111"/>
          <w:sz w:val="28"/>
          <w:sz w:val="28"/>
          <w:szCs w:val="28"/>
          <w:rtl w:val="true"/>
          <w:lang w:bidi="ar-SA"/>
        </w:rPr>
        <w:t>وكذا في النوابغ الذين لهم نضج مبكر، فهل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بلوغهم يختلف عن الآخرين؟</w:t>
      </w:r>
    </w:p>
    <w:p>
      <w:pPr>
        <w:pStyle w:val="BookText"/>
        <w:rPr/>
      </w:pP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الموضوعية فالموضوع لم يتحقّق فلا وجه للإلحاق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بحث وهو أنّه لو سببت إنباته أو إمناءه فقد تحقق الموضوع بنفسه، إلاّ أنّ الظاهر انصراف الأدلة عنه، فهل إذا سببت الأدوية إمناء طفل عمره ثلاث سنوات أصبح بالغاً؟ لكن هذا هو بحث المسألة القادمة</w:t>
      </w:r>
      <w:r>
        <w:rPr>
          <w:rStyle w:val="FootnoteAnchor"/>
          <w:rtl w:val="true"/>
        </w:rPr>
        <w:footnoteReference w:id="1333"/>
      </w:r>
      <w:r>
        <w:rPr>
          <w:rFonts w:ascii="Amiri" w:hAnsi="Amiri" w:eastAsia="Amiri" w:cs="Amiri"/>
          <w:color w:val="111111"/>
          <w:sz w:val="28"/>
          <w:sz w:val="28"/>
          <w:szCs w:val="28"/>
          <w:rtl w:val="true"/>
          <w:lang w:bidi="ar-SA"/>
        </w:rPr>
        <w:t xml:space="preserve">لا هذه المسألة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857" w:name="pg15697_169173"/>
    </w:p>
    <w:p>
      <w:pPr>
        <w:pStyle w:val="Heading2"/>
        <w:numPr>
          <w:ilvl w:val="1"/>
          <w:numId w:val="1"/>
        </w:numPr>
        <w:rPr/>
      </w:pPr>
      <w:bookmarkStart w:id="858" w:name="__RefHeading___Toc11915642_2142443653"/>
      <w:bookmarkStart w:id="859" w:name="_Toc308"/>
      <w:bookmarkEnd w:id="857"/>
      <w:bookmarkEnd w:id="858"/>
      <w:r>
        <w:rPr>
          <w:rtl w:val="true"/>
        </w:rPr>
        <w:t>الإمناء بالأدوية</w:t>
      </w:r>
      <w:bookmarkEnd w:id="8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سببت</w:t>
      </w:r>
      <w:r>
        <w:rPr>
          <w:rStyle w:val="FootnoteAnchor"/>
          <w:rtl w:val="true"/>
        </w:rPr>
        <w:footnoteReference w:id="1334"/>
      </w:r>
      <w:r>
        <w:rPr>
          <w:rFonts w:ascii="Amiri" w:hAnsi="Amiri" w:eastAsia="Amiri" w:cs="Amiri"/>
          <w:color w:val="111111"/>
          <w:sz w:val="28"/>
          <w:sz w:val="28"/>
          <w:szCs w:val="28"/>
          <w:rtl w:val="true"/>
          <w:lang w:bidi="ar-SA"/>
        </w:rPr>
        <w:t xml:space="preserve"> الأدوية الإمناء أو نبات العانة، فإن كان المستعمل للدواء مدركاً لوقت نباتها أو لوقت الإمناء لم يستبعد حصول البلوغ الشرعي لوجود المناط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لتحقق الموضوع، وكذا لو سبب ذلك الحمل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والحيض</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في الفتاة دون العاشرة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فإنه بتحقق الموضوع يتحقق الحكم</w:t>
      </w:r>
      <w:r>
        <w:rPr>
          <w:rFonts w:eastAsia="Amiri" w:cs="Amiri" w:ascii="Amiri" w:hAnsi="Amiri"/>
          <w:color w:val="111111"/>
          <w:sz w:val="28"/>
          <w:szCs w:val="28"/>
          <w:rtl w:val="true"/>
          <w:lang w:bidi="ar-SA"/>
        </w:rPr>
        <w:t>.</w:t>
      </w:r>
    </w:p>
    <w:p>
      <w:pPr>
        <w:pStyle w:val="Heading2"/>
        <w:numPr>
          <w:ilvl w:val="1"/>
          <w:numId w:val="1"/>
        </w:numPr>
        <w:rPr/>
      </w:pPr>
      <w:bookmarkStart w:id="860" w:name="__RefHeading___Toc11915644_2142443653"/>
      <w:bookmarkStart w:id="861" w:name="_Toc309"/>
      <w:bookmarkEnd w:id="860"/>
      <w:r>
        <w:rPr>
          <w:rtl w:val="true"/>
        </w:rPr>
        <w:t>الأدوية المنمية وعدم الإدراك</w:t>
      </w:r>
      <w:bookmarkEnd w:id="8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 إذا لم يدرك مستعمل الدواء لوقت نباتها أو لوقت الإمناء، ففي البلوغ الشرعي وعدمه احتمالان</w:t>
      </w:r>
      <w:r>
        <w:rPr>
          <w:rStyle w:val="FootnoteAnchor"/>
          <w:rtl w:val="true"/>
        </w:rPr>
        <w:footnoteReference w:id="1335"/>
      </w:r>
      <w:r>
        <w:rPr>
          <w:rFonts w:ascii="Amiri" w:hAnsi="Amiri" w:eastAsia="Amiri" w:cs="Amiri"/>
          <w:color w:val="111111"/>
          <w:sz w:val="28"/>
          <w:sz w:val="28"/>
          <w:szCs w:val="28"/>
          <w:rtl w:val="true"/>
          <w:lang w:bidi="ar-SA"/>
        </w:rPr>
        <w:t>، ومع الشك في البلوغ يستصحب عدم البلوغ</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البحث في المسألة السابقة</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علامة؟</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علامة سبق البلوغ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 المستعمل مدركاً لوقت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صدر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حاضت ذات الثلاثة أعوام لم يحكم ببلوغها أو تقدم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ترجيح احتمال عدم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التفصيل بين قرب الإدراك وعدمه،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الوقت الطبيعي للإمناء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استصحاباً موضوعياً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862" w:name="pg15697_169174"/>
    </w:p>
    <w:p>
      <w:pPr>
        <w:pStyle w:val="BookText"/>
        <w:rPr/>
      </w:pPr>
      <w:bookmarkEnd w:id="8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في المسألتين السابقتين</w:t>
      </w:r>
      <w:r>
        <w:rPr>
          <w:rFonts w:eastAsia="Amiri" w:cs="Amiri" w:ascii="Amiri" w:hAnsi="Amiri"/>
          <w:color w:val="111111"/>
          <w:sz w:val="28"/>
          <w:szCs w:val="28"/>
          <w:rtl w:val="true"/>
          <w:lang w:bidi="ar-SA"/>
        </w:rPr>
        <w:t>.</w:t>
      </w:r>
    </w:p>
    <w:p>
      <w:pPr>
        <w:pStyle w:val="Heading2"/>
        <w:numPr>
          <w:ilvl w:val="1"/>
          <w:numId w:val="1"/>
        </w:numPr>
        <w:rPr/>
      </w:pPr>
      <w:bookmarkStart w:id="863" w:name="__RefHeading___Toc11915646_2142443653"/>
      <w:bookmarkStart w:id="864" w:name="_Toc310"/>
      <w:bookmarkEnd w:id="863"/>
      <w:r>
        <w:rPr>
          <w:rtl w:val="true"/>
        </w:rPr>
        <w:t>إرجاع البالغ طفلاً</w:t>
      </w:r>
      <w:bookmarkEnd w:id="86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أمكن إرجاع الإنسان البالغ إلى حالة الطفولة بأن صار طفلاً حقيقة</w:t>
      </w:r>
      <w:r>
        <w:rPr>
          <w:rStyle w:val="FootnoteAnchor"/>
          <w:rtl w:val="true"/>
        </w:rPr>
        <w:footnoteReference w:id="1339"/>
      </w:r>
      <w:r>
        <w:rPr>
          <w:rFonts w:ascii="IRNazanin" w:hAnsi="IRNazanin" w:eastAsia="IRNazanin"/>
          <w:color w:val="111111"/>
          <w:sz w:val="28"/>
          <w:sz w:val="28"/>
          <w:szCs w:val="28"/>
          <w:rtl w:val="true"/>
          <w:lang w:bidi="fa-IR"/>
        </w:rPr>
        <w:t xml:space="preserve">، </w:t>
      </w:r>
      <w:r>
        <w:rPr>
          <w:rStyle w:val="FootnoteAnchor"/>
          <w:rtl w:val="true"/>
        </w:rPr>
        <w:footnoteReference w:id="1340"/>
      </w:r>
      <w:r>
        <w:rPr>
          <w:rFonts w:ascii="Amiri" w:hAnsi="Amiri" w:eastAsia="Amiri" w:cs="Amiri"/>
          <w:color w:val="111111"/>
          <w:sz w:val="28"/>
          <w:sz w:val="28"/>
          <w:szCs w:val="28"/>
          <w:rtl w:val="true"/>
          <w:lang w:bidi="ar-SA"/>
        </w:rPr>
        <w:t>، رفع عنه التكليف؛ لأنّ الحكم تابع للموضوع، وقد فرض تحقق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فرض مستبعد جداً، إلا عن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قدرة اللّه تعالى، القادر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استصحاب في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منه فيها،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الاستصحاب الحكمي إذا فرض عدم الموضوعي،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جريان الاستصحابين المتوافقين، ولو كان بينهما سببية ومسببية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بمجرد تصغير بدنه والتلاعب بجيناته</w:t>
      </w:r>
      <w:r>
        <w:rPr>
          <w:rFonts w:eastAsia="Amiri" w:cs="Amiri" w:ascii="Amiri" w:hAnsi="Amiri"/>
          <w:color w:val="111111"/>
          <w:sz w:val="28"/>
          <w:szCs w:val="28"/>
          <w:rtl w:val="true"/>
          <w:lang w:bidi="ar-SA"/>
        </w:rPr>
        <w:t>.</w:t>
      </w:r>
    </w:p>
    <w:p>
      <w:pPr>
        <w:pStyle w:val="BookText"/>
        <w:rPr/>
      </w:pP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الملاك في ذلك إدراكاته ومشاعره، أو جسمه الظاهري؟ الأولى إيكال الموضوع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ما ذكر في ذيل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قضية تحويل الرجل امرأة بإعجاز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865" w:name="pg15697_169175"/>
    </w:p>
    <w:p>
      <w:pPr>
        <w:pStyle w:val="Heading2"/>
        <w:numPr>
          <w:ilvl w:val="1"/>
          <w:numId w:val="1"/>
        </w:numPr>
        <w:rPr/>
      </w:pPr>
      <w:bookmarkStart w:id="866" w:name="__RefHeading___Toc11915648_2142443653"/>
      <w:bookmarkStart w:id="867" w:name="_Toc311"/>
      <w:bookmarkEnd w:id="865"/>
      <w:bookmarkEnd w:id="866"/>
      <w:r>
        <w:rPr>
          <w:rtl w:val="true"/>
        </w:rPr>
        <w:t>تعريض الحيوان للأبحاث الطبية</w:t>
      </w:r>
      <w:bookmarkEnd w:id="86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تعريض الحيوان، لأجل الاستفادة العلمية أو الاستفادة العملية، كما يعتاد تزريق الخيل بالسم، لأجل أخذ المادة المقاومة للسم من جسمه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من اللازم التخفيف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الممكن عن ألم الحيوان؛ لوجوب حقوق الحيوان، كما ذكرناه في كتاب النفقات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8" w:name="__RefHeading___Toc11915650_2142443653"/>
      <w:bookmarkStart w:id="869" w:name="_Toc312"/>
      <w:bookmarkEnd w:id="868"/>
      <w:r>
        <w:rPr>
          <w:rtl w:val="true"/>
        </w:rPr>
        <w:t>تكبير وتصغير الغلات</w:t>
      </w:r>
      <w:bookmarkEnd w:id="86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تغيير الغلات الأربع إلى أكبر أو أصغر، لكن كان الاسم موجوداً، كما لو أمكن تكبير الحنطة إلى حدّ البيضة، أو تصغير التمرة إلى حد الحنطة، كان فيه الزكاة، لبقاء الموضوع التابع له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سقط عن الصدق لم يكن فيه زكاة؛ لأنّ الحكم دائر مدار الموضوع المفروض فقده في المقام، ومنه يعلم حال ما إذا غُيّر الزكوي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بواسطة الدواء إلى ما لم يصدق عليه الزكوي فلم يُسمَّ حنطة أو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إيذاء الحيوان محرم مطلقاً، كما ذكر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والمحرمات</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 إلاّ للأهم، كألمه لنجاة الملايين من البشر،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تعلق به الوجوب لم ينفع التغيير، فهو كالإتلاف الذي لا يسقط</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870" w:name="pg15697_169176"/>
    </w:p>
    <w:p>
      <w:pPr>
        <w:pStyle w:val="Heading2"/>
        <w:numPr>
          <w:ilvl w:val="1"/>
          <w:numId w:val="1"/>
        </w:numPr>
        <w:rPr/>
      </w:pPr>
      <w:bookmarkStart w:id="871" w:name="__RefHeading___Toc11915652_2142443653"/>
      <w:bookmarkStart w:id="872" w:name="_Toc313"/>
      <w:bookmarkEnd w:id="870"/>
      <w:bookmarkEnd w:id="871"/>
      <w:r>
        <w:rPr>
          <w:rtl w:val="true"/>
        </w:rPr>
        <w:t>الخمس في المعادن</w:t>
      </w:r>
      <w:bookmarkEnd w:id="8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المعدن الواجب فيه الخمس بين المعادن تحت الأرض، أو تحت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الدليل، والظاهر أنّ الملح المأخوذ من البحر حاله حال سائر المعادن، وكذا سائر المعادن المأخوذة من البحار</w:t>
      </w:r>
      <w:r>
        <w:rPr>
          <w:rFonts w:eastAsia="Amiri" w:cs="Amiri" w:ascii="Amiri" w:hAnsi="Amiri"/>
          <w:color w:val="111111"/>
          <w:sz w:val="28"/>
          <w:szCs w:val="28"/>
          <w:rtl w:val="true"/>
          <w:lang w:bidi="ar-SA"/>
        </w:rPr>
        <w:t>.</w:t>
      </w:r>
    </w:p>
    <w:p>
      <w:pPr>
        <w:pStyle w:val="Heading2"/>
        <w:numPr>
          <w:ilvl w:val="1"/>
          <w:numId w:val="1"/>
        </w:numPr>
        <w:rPr/>
      </w:pPr>
      <w:bookmarkStart w:id="873" w:name="__RefHeading___Toc11915654_2142443653"/>
      <w:bookmarkStart w:id="874" w:name="_Toc314"/>
      <w:bookmarkEnd w:id="873"/>
      <w:r>
        <w:rPr>
          <w:rtl w:val="true"/>
        </w:rPr>
        <w:t>الخمس في معادن القمر</w:t>
      </w:r>
      <w:bookmarkEnd w:id="8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الموجودة في القمر وسائر الكواكب، الظاهر أن فيها الخمس؛ لصدق</w:t>
      </w:r>
      <w:r>
        <w:rPr>
          <w:rStyle w:val="FootnoteAnchor"/>
          <w:rtl w:val="true"/>
        </w:rPr>
        <w:footnoteReference w:id="1348"/>
      </w:r>
      <w:r>
        <w:rPr>
          <w:rFonts w:ascii="Amiri" w:hAnsi="Amiri" w:eastAsia="Amiri" w:cs="Amiri"/>
          <w:color w:val="111111"/>
          <w:sz w:val="28"/>
          <w:sz w:val="28"/>
          <w:szCs w:val="28"/>
          <w:rtl w:val="true"/>
          <w:lang w:bidi="ar-SA"/>
        </w:rPr>
        <w:t xml:space="preserve"> المعدن فيتبعه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ذكر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875" w:name="__RefHeading___Toc11915656_2142443653"/>
      <w:bookmarkStart w:id="876" w:name="_Toc315"/>
      <w:bookmarkEnd w:id="875"/>
      <w:r>
        <w:rPr>
          <w:rtl w:val="true"/>
        </w:rPr>
        <w:t>الخمس في المعادن الاصطناعية</w:t>
      </w:r>
      <w:bookmarkEnd w:id="87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الاصطناعي لا خمس فيه</w:t>
      </w:r>
      <w:r>
        <w:rPr>
          <w:rStyle w:val="FootnoteAnchor"/>
          <w:rtl w:val="true"/>
        </w:rPr>
        <w:footnoteReference w:id="13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 ومنه يعلم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وندرة استخراج المعدن من البحر لا يقدح بإطلاق المطلق،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الندرة لا تقدح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لو صدق المعدن حقيقة، كما لو خلق وليّ من الأولياء الذهب بإرادته، إلاّ أن يُقال بانصراف أدلة المعدن عنه، فتأمل، وراجع كتاب الخمس</w:t>
      </w:r>
      <w:r>
        <w:rPr>
          <w:rStyle w:val="FootnoteAnchor"/>
          <w:rtl w:val="true"/>
        </w:rPr>
        <w:footnoteReference w:id="135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877" w:name="pg15697_169177"/>
    </w:p>
    <w:p>
      <w:pPr>
        <w:pStyle w:val="BookText"/>
        <w:rPr/>
      </w:pPr>
      <w:bookmarkEnd w:id="877"/>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فلو فرضنا أنه تمكنا من صنع الذهب أو الفضة لم يكن فيه الخمس؛ لأن الظاهر اعتبار الاستخراج، فالمصطنع ليس بمنزلة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صدق المعدن عليه، وكذلك الحال في الغلات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الاصطناعية وسائر ما فيه الزكاة للانصراف</w:t>
      </w:r>
      <w:r>
        <w:rPr>
          <w:rFonts w:eastAsia="Amiri" w:cs="Amiri" w:ascii="Amiri" w:hAnsi="Amiri"/>
          <w:color w:val="111111"/>
          <w:sz w:val="28"/>
          <w:szCs w:val="28"/>
          <w:rtl w:val="true"/>
          <w:lang w:bidi="ar-SA"/>
        </w:rPr>
        <w:t>.</w:t>
      </w:r>
    </w:p>
    <w:p>
      <w:pPr>
        <w:pStyle w:val="Heading2"/>
        <w:numPr>
          <w:ilvl w:val="1"/>
          <w:numId w:val="1"/>
        </w:numPr>
        <w:rPr/>
      </w:pPr>
      <w:bookmarkStart w:id="878" w:name="__RefHeading___Toc11915658_2142443653"/>
      <w:bookmarkStart w:id="879" w:name="_Toc316"/>
      <w:bookmarkEnd w:id="878"/>
      <w:r>
        <w:rPr>
          <w:rtl w:val="true"/>
        </w:rPr>
        <w:t>تنمية الأنعام والزكاة</w:t>
      </w:r>
      <w:bookmarkEnd w:id="87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إمكان تنمية الأنعام التي فيها الزكاة، كما لو أنميت الشاة إلى أن صارت بحجم الإبل، أو تصغيرها كما لو صغرت البقرة حتى صارت بحجم السخلة، كان فيها الزكاة؛ لصدق الاسم الذي هو موضوع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خرجت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 الاسم لم تكن فيها الزكاة</w:t>
      </w:r>
      <w:r>
        <w:rPr>
          <w:rFonts w:eastAsia="Amiri" w:cs="Amiri" w:ascii="Amiri" w:hAnsi="Amiri"/>
          <w:color w:val="111111"/>
          <w:sz w:val="28"/>
          <w:szCs w:val="28"/>
          <w:rtl w:val="true"/>
          <w:lang w:bidi="ar-SA"/>
        </w:rPr>
        <w:t>.</w:t>
      </w:r>
    </w:p>
    <w:p>
      <w:pPr>
        <w:pStyle w:val="Heading2"/>
        <w:numPr>
          <w:ilvl w:val="1"/>
          <w:numId w:val="1"/>
        </w:numPr>
        <w:rPr/>
      </w:pPr>
      <w:bookmarkStart w:id="880" w:name="__RefHeading___Toc11915660_2142443653"/>
      <w:bookmarkStart w:id="881" w:name="_Toc317"/>
      <w:bookmarkEnd w:id="880"/>
      <w:r>
        <w:rPr>
          <w:rtl w:val="true"/>
        </w:rPr>
        <w:t>قبض الروح بالوسائل النفسية</w:t>
      </w:r>
      <w:bookmarkEnd w:id="88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اعتبار الاستخراج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فوري فيه، وإلا فلو زاد عن المؤونة وجب فيه الخمس ككل فائدة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فيها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حنطة ففيها زكاة فتأمل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المذكور بدوي،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حاشية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882" w:name="pg15697_169178"/>
    </w:p>
    <w:p>
      <w:pPr>
        <w:pStyle w:val="BookText"/>
        <w:rPr/>
      </w:pPr>
      <w:bookmarkEnd w:id="882"/>
      <w:r>
        <w:rPr>
          <w:rFonts w:ascii="Amiri" w:hAnsi="Amiri" w:eastAsia="Amiri" w:cs="Amiri"/>
          <w:color w:val="111111"/>
          <w:sz w:val="28"/>
          <w:sz w:val="28"/>
          <w:szCs w:val="28"/>
          <w:rtl w:val="true"/>
          <w:lang w:bidi="ar-SA"/>
        </w:rPr>
        <w:t>لو أمكن</w:t>
      </w:r>
      <w:r>
        <w:rPr>
          <w:rStyle w:val="FootnoteAnchor"/>
          <w:rtl w:val="true"/>
        </w:rPr>
        <w:footnoteReference w:id="1356"/>
      </w:r>
      <w:r>
        <w:rPr>
          <w:rFonts w:ascii="Amiri" w:hAnsi="Amiri" w:eastAsia="Amiri" w:cs="Amiri"/>
          <w:color w:val="111111"/>
          <w:sz w:val="28"/>
          <w:sz w:val="28"/>
          <w:szCs w:val="28"/>
          <w:rtl w:val="true"/>
          <w:lang w:bidi="ar-SA"/>
        </w:rPr>
        <w:t xml:space="preserve"> قبض روح الإنسان بالوسائل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الأحاديث أنه كان في الزمن السابق في البلاد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إنسان روح إنسان ظلماً، فالظاهر وجوب إرجاعه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يرجع كان قاتلاً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وإنما يجب الإرجاع؛ لحرمة القتل ولأنه أولى</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من إرجاع المال المسروق ونحوه</w:t>
      </w:r>
      <w:r>
        <w:rPr>
          <w:rFonts w:eastAsia="IRNazanin" w:cs="IRNazanin"/>
          <w:color w:val="111111"/>
          <w:sz w:val="28"/>
          <w:szCs w:val="28"/>
          <w:rtl w:val="true"/>
          <w:lang w:bidi="fa-IR"/>
        </w:rPr>
        <w:t>.</w:t>
      </w:r>
    </w:p>
    <w:p>
      <w:pPr>
        <w:pStyle w:val="Heading2"/>
        <w:numPr>
          <w:ilvl w:val="1"/>
          <w:numId w:val="1"/>
        </w:numPr>
        <w:rPr/>
      </w:pPr>
      <w:bookmarkStart w:id="883" w:name="__RefHeading___Toc11915662_2142443653"/>
      <w:bookmarkStart w:id="884" w:name="_Toc318"/>
      <w:bookmarkEnd w:id="883"/>
      <w:r>
        <w:rPr>
          <w:rtl w:val="true"/>
        </w:rPr>
        <w:t>قتل الحيوانات بالمواد السامة</w:t>
      </w:r>
      <w:bookmarkEnd w:id="88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قتل الحيوانات المؤذية بالمواد السامة كالفئران والذباب والبعوض وغيرها</w:t>
      </w:r>
      <w:r>
        <w:rPr>
          <w:rFonts w:eastAsia="Amiri" w:cs="Amiri" w:ascii="Amiri" w:hAnsi="Amiri"/>
          <w:color w:val="111111"/>
          <w:sz w:val="28"/>
          <w:szCs w:val="28"/>
          <w:rtl w:val="true"/>
          <w:lang w:bidi="ar-SA"/>
        </w:rPr>
        <w:t>.</w:t>
      </w:r>
    </w:p>
    <w:p>
      <w:pPr>
        <w:pStyle w:val="BookText"/>
        <w:rPr/>
      </w:pP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نظير هذه المسألة </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w:t>
      </w:r>
    </w:p>
    <w:p>
      <w:pPr>
        <w:pStyle w:val="BookText"/>
        <w:rPr/>
      </w:pP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أرجعه كان قاتلاً أيضاً؛ لصدق أنّه قتله، فهو كما لو قتل إنساناً ثم أحياه ولي من الأولياء، كما في قضية سورة البقرة</w:t>
      </w:r>
      <w:r>
        <w:rPr>
          <w:rStyle w:val="FootnoteAnchor"/>
          <w:rtl w:val="true"/>
        </w:rPr>
        <w:footnoteReference w:id="1360"/>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إرجاع الروح بنفسه لا يطلق عليه القاتل عرفاً، بخلاف مسألة دعاء الولي،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النفوس أهم من الأموال، ولأنّه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885" w:name="pg15697_169179"/>
    </w:p>
    <w:p>
      <w:pPr>
        <w:pStyle w:val="BookText"/>
        <w:rPr/>
      </w:pPr>
      <w:bookmarkEnd w:id="8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جواز قتل المؤذي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يجب إذا كان فيه جهة وجوب</w:t>
      </w:r>
      <w:r>
        <w:rPr>
          <w:rFonts w:eastAsia="Amiri" w:cs="Amiri" w:ascii="Amiri" w:hAnsi="Amiri"/>
          <w:color w:val="111111"/>
          <w:sz w:val="28"/>
          <w:szCs w:val="28"/>
          <w:rtl w:val="true"/>
          <w:lang w:bidi="ar-SA"/>
        </w:rPr>
        <w:t>.</w:t>
      </w:r>
    </w:p>
    <w:p>
      <w:pPr>
        <w:pStyle w:val="Heading2"/>
        <w:numPr>
          <w:ilvl w:val="1"/>
          <w:numId w:val="1"/>
        </w:numPr>
        <w:rPr/>
      </w:pPr>
      <w:bookmarkStart w:id="886" w:name="__RefHeading___Toc11915664_2142443653"/>
      <w:bookmarkStart w:id="887" w:name="_Toc319"/>
      <w:bookmarkEnd w:id="886"/>
      <w:r>
        <w:rPr>
          <w:rtl w:val="true"/>
        </w:rPr>
        <w:t>إطعام اللحوم المحرمة للحيوان</w:t>
      </w:r>
      <w:bookmarkEnd w:id="88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إطعام اللحوم المحرمة كالقردة ونحوها للحيوانات الطاهرة، كما يجوز جعلها سماداً، ويجوز الاستفادة منها للدواء الضروري، وكفى بمثل ذلك فائدة لهذه الحيوانات،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يجز أكلها فما فائدتها التي خلقت من أجلها؟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أنه نوع من جمال الكون وعبرة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الاقتصار على أقل المؤذي أو ما يتعارف، أمّا لو كان شيء فيه أذية متزايدة فيحتمل أن يُقال بالحرمة؛ لما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من حرمة إيذاء الحيوان، والقدر الزائد ليس مضطراً إليه، ولا يشمله الإطلاق، فهو كالتمثيل بالحيوان وتقطيعه قطعة قطعة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للفئران فتلصق به وتبقى جائعة عطشى حتى تموت جوعاً وعطشاً، فإنّ في جوازه تأملاً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وإفاضة للوجود على كلّ قابل، وقد ثبت في الحكمة أنّ الوجود لا يكون شراً، لأنّه إمّا شر لنفسه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الذي ذكر في شرح التجريد</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888" w:name="pg15697_169180"/>
    </w:p>
    <w:p>
      <w:pPr>
        <w:pStyle w:val="BookText"/>
        <w:rPr/>
      </w:pPr>
      <w:bookmarkEnd w:id="888"/>
      <w:r>
        <w:rPr>
          <w:rStyle w:val="FootnoteAnchor"/>
          <w:rtl w:val="true"/>
        </w:rPr>
        <w:footnoteReference w:id="1365"/>
      </w:r>
      <w:r>
        <w:rPr>
          <w:rFonts w:ascii="Amiri" w:hAnsi="Amiri" w:eastAsia="Amiri" w:cs="Amiri"/>
          <w:color w:val="111111"/>
          <w:sz w:val="28"/>
          <w:sz w:val="28"/>
          <w:szCs w:val="28"/>
          <w:rtl w:val="true"/>
          <w:lang w:bidi="ar-SA"/>
        </w:rPr>
        <w:t>، ولا يلزم أن يكون كلّ شيء للأكل ونحوه، هذا بالإضافة إلى فوائد أخرى، كصنع الألبسة والركوب والتجسس كما في الدلفين وغيرها</w:t>
      </w:r>
      <w:r>
        <w:rPr>
          <w:rStyle w:val="FootnoteAnchor"/>
          <w:rtl w:val="true"/>
        </w:rPr>
        <w:footnoteReference w:id="1366"/>
      </w:r>
      <w:r>
        <w:rPr>
          <w:rFonts w:ascii="IRNazanin" w:hAnsi="IRNazanin" w:eastAsia="IRNazanin"/>
          <w:color w:val="111111"/>
          <w:sz w:val="28"/>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9" w:name="__RefHeading___Toc11915666_2142443653"/>
      <w:bookmarkStart w:id="890" w:name="_Toc320"/>
      <w:bookmarkEnd w:id="889"/>
      <w:r>
        <w:rPr>
          <w:rtl w:val="true"/>
        </w:rPr>
        <w:t>استخدام الحيوان</w:t>
      </w:r>
      <w:bookmarkEnd w:id="89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استخدام الحيوان محللاً كان أم محرماً، طاهراً أم نجساً، في مختلف الأغراض والوسائل المباحة</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الحل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والمراد بالمباحة في قبال المحرمة، وإلا فقد يجب لاستعمال</w:t>
      </w:r>
      <w:r>
        <w:rPr>
          <w:rFonts w:eastAsia="Amiri" w:cs="Amiri" w:ascii="Amiri" w:hAnsi="Amiri"/>
          <w:color w:val="111111"/>
          <w:sz w:val="28"/>
          <w:szCs w:val="28"/>
          <w:rtl w:val="true"/>
          <w:lang w:bidi="ar-SA"/>
        </w:rPr>
        <w:t>.</w:t>
      </w:r>
    </w:p>
    <w:p>
      <w:pPr>
        <w:pStyle w:val="BookText"/>
        <w:rPr/>
      </w:pP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الاعتبار بصمود النمل وتخطيطه البعيد المدى، وحذر الغراب وغيرة الديك</w:t>
      </w:r>
      <w:r>
        <w:rPr>
          <w:rFonts w:eastAsia="Amiri" w:cs="Amiri" w:ascii="Amiri" w:hAnsi="Amiri"/>
          <w:color w:val="111111"/>
          <w:sz w:val="28"/>
          <w:szCs w:val="28"/>
          <w:rtl w:val="true"/>
          <w:lang w:bidi="ar-SA"/>
        </w:rPr>
        <w:t>.</w:t>
      </w:r>
    </w:p>
    <w:p>
      <w:pPr>
        <w:pStyle w:val="BookText"/>
        <w:rPr/>
      </w:pP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كاستخراج السموم من الثعابين، وكمعرفة عظمة الخالق</w:t>
      </w:r>
      <w:r>
        <w:rPr>
          <w:rFonts w:eastAsia="Amiri" w:cs="Amiri" w:ascii="Amiri" w:hAnsi="Amiri"/>
          <w:color w:val="111111"/>
          <w:sz w:val="28"/>
          <w:szCs w:val="28"/>
          <w:rtl w:val="true"/>
          <w:lang w:bidi="ar-SA"/>
        </w:rPr>
        <w:t>.</w:t>
      </w:r>
    </w:p>
    <w:p>
      <w:pPr>
        <w:pStyle w:val="BookText"/>
        <w:rPr/>
      </w:pP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كمعرفة الإنسان بضعفه وعجزه أمام الذباب والثعابين والحيوانات المفترسة،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تؤلمه البقة</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ليذل به الجبارين</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الإشارة لبعضها في المسألة السابقة</w:t>
      </w:r>
      <w:r>
        <w:rPr>
          <w:rFonts w:eastAsia="Amiri" w:cs="Amiri" w:ascii="Amiri" w:hAnsi="Amiri"/>
          <w:color w:val="111111"/>
          <w:sz w:val="28"/>
          <w:szCs w:val="28"/>
          <w:rtl w:val="true"/>
          <w:lang w:bidi="ar-SA"/>
        </w:rPr>
        <w:t>.</w:t>
      </w:r>
    </w:p>
    <w:p>
      <w:pPr>
        <w:pStyle w:val="BookText"/>
        <w:rPr/>
      </w:pP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891" w:name="pg15697_169181"/>
    </w:p>
    <w:p>
      <w:pPr>
        <w:pStyle w:val="Heading2"/>
        <w:numPr>
          <w:ilvl w:val="1"/>
          <w:numId w:val="1"/>
        </w:numPr>
        <w:rPr/>
      </w:pPr>
      <w:bookmarkStart w:id="892" w:name="__RefHeading___Toc11915668_2142443653"/>
      <w:bookmarkStart w:id="893" w:name="_Toc321"/>
      <w:bookmarkEnd w:id="891"/>
      <w:bookmarkEnd w:id="892"/>
      <w:r>
        <w:rPr>
          <w:rtl w:val="true"/>
        </w:rPr>
        <w:t>رش المواد السامة</w:t>
      </w:r>
      <w:bookmarkEnd w:id="8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رش المواد السامة في المزارع وفي البلاد، لأجل الوقاية والعلاج، والأضرار الناجمة منها على الإنسان قليلة</w:t>
      </w:r>
      <w:r>
        <w:rPr>
          <w:rStyle w:val="FootnoteAnchor"/>
          <w:rtl w:val="true"/>
        </w:rPr>
        <w:footnoteReference w:id="1378"/>
      </w:r>
      <w:r>
        <w:rPr>
          <w:rFonts w:ascii="Amiri" w:hAnsi="Amiri" w:eastAsia="Amiri" w:cs="Amiri"/>
          <w:color w:val="111111"/>
          <w:sz w:val="28"/>
          <w:sz w:val="28"/>
          <w:szCs w:val="28"/>
          <w:rtl w:val="true"/>
          <w:lang w:bidi="ar-SA"/>
        </w:rPr>
        <w:t xml:space="preserve"> جداً، فلا يشملها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الضرر وكان من الأهم والمهم جاز، ولزم تداركه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من بيت المال أو من الناحية التي سببت الضرر، كأن كانت شركة أو مؤسسة أو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ليست ملاكاً، فإنّ إضرار الآخرين محرم مطلقاً، ولو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يكون المراد أنّ القلة سبب أن لا يُقال له ضرر، أو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بحث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أو ناهية، والظاهر أنّه يمكن الاستدلال للمقام بها على كلا التقديرين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الجواز شرعاً يلازم عدم الضمان، وقد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 كما لو كسر آنية الخمر،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لا يقولون بذلك، كما في أكل المخمصة</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تدارك، كضيق النفس الذي تضرر بذلك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894" w:name="pg15697_169182"/>
    </w:p>
    <w:p>
      <w:pPr>
        <w:pStyle w:val="Heading2"/>
        <w:numPr>
          <w:ilvl w:val="1"/>
          <w:numId w:val="1"/>
        </w:numPr>
        <w:rPr/>
      </w:pPr>
      <w:bookmarkStart w:id="895" w:name="__RefHeading___Toc11915670_2142443653"/>
      <w:bookmarkStart w:id="896" w:name="_Toc322"/>
      <w:bookmarkEnd w:id="894"/>
      <w:bookmarkEnd w:id="895"/>
      <w:r>
        <w:rPr>
          <w:rtl w:val="true"/>
        </w:rPr>
        <w:t>عندما ينتشر الوباء</w:t>
      </w:r>
      <w:bookmarkEnd w:id="8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خوف الوباء أو الأمراض الفتاكة، كان للدولة الإسلامية وكذلك الفرد المسلم إجبار الناس على استعمال الوقاية والعلاج،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تسمّم الهواء بالوباء</w:t>
      </w:r>
      <w:r>
        <w:rPr>
          <w:rStyle w:val="FootnoteAnchor"/>
          <w:rtl w:val="true"/>
        </w:rPr>
        <w:footnoteReference w:id="1384"/>
      </w:r>
      <w:r>
        <w:rPr>
          <w:rFonts w:ascii="Amiri" w:hAnsi="Amiri" w:eastAsia="Amiri" w:cs="Amiri"/>
          <w:color w:val="111111"/>
          <w:sz w:val="28"/>
          <w:sz w:val="28"/>
          <w:szCs w:val="28"/>
          <w:rtl w:val="true"/>
          <w:lang w:bidi="ar-SA"/>
        </w:rPr>
        <w:t xml:space="preserve"> أو بالجدري أو بالملاريا، وأراد الطبيب تطعيم الناس فأبى إنسان،كان للطبيب إجباره</w:t>
      </w:r>
      <w:r>
        <w:rPr>
          <w:rStyle w:val="FootnoteAnchor"/>
          <w:rtl w:val="true"/>
        </w:rPr>
        <w:footnoteReference w:id="1385"/>
      </w:r>
      <w:r>
        <w:rPr>
          <w:rFonts w:ascii="Amiri" w:hAnsi="Amiri" w:eastAsia="Amiri" w:cs="Amiri"/>
          <w:color w:val="111111"/>
          <w:sz w:val="28"/>
          <w:sz w:val="28"/>
          <w:szCs w:val="28"/>
          <w:rtl w:val="true"/>
          <w:lang w:bidi="ar-SA"/>
        </w:rPr>
        <w:t xml:space="preserve">، فإنّ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تسليط الناس على أنفسهم وأموالهم</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المرض المحتمل يسيراً</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تحمله شرعاً لم يجز إجبار الناس في الوقاية أو العلاج بعد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الخطير كما سيصرح به بعد ذلك، وكذا فيما بعد من الأمثلة</w:t>
      </w:r>
      <w:r>
        <w:rPr>
          <w:rFonts w:eastAsia="Amiri" w:cs="Amiri" w:ascii="Amiri" w:hAnsi="Amiri"/>
          <w:color w:val="111111"/>
          <w:sz w:val="28"/>
          <w:szCs w:val="28"/>
          <w:rtl w:val="true"/>
          <w:lang w:bidi="ar-SA"/>
        </w:rPr>
        <w:t>.</w:t>
      </w:r>
    </w:p>
    <w:p>
      <w:pPr>
        <w:pStyle w:val="BookText"/>
        <w:rPr/>
      </w:pP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التدرج في 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الأمر بالمعروف</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حاكم على كلّ الأحكام الأولية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هذا المرض اليسير سبب لعدوى الآخرين فالظاهر أنّ دليل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897" w:name="pg15697_169183"/>
    </w:p>
    <w:p>
      <w:pPr>
        <w:pStyle w:val="BookText"/>
        <w:rPr/>
      </w:pPr>
      <w:bookmarkEnd w:id="8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الأضرار اليسيرة، كما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إضرار الإنسان نفسه أو تحمّله للضرر الذي توجّه إليه</w:t>
      </w:r>
      <w:r>
        <w:rPr>
          <w:rFonts w:eastAsia="Amiri" w:cs="Amiri" w:ascii="Amiri" w:hAnsi="Amiri"/>
          <w:color w:val="111111"/>
          <w:sz w:val="28"/>
          <w:szCs w:val="28"/>
          <w:rtl w:val="true"/>
          <w:lang w:bidi="ar-SA"/>
        </w:rPr>
        <w:t>.</w:t>
      </w:r>
    </w:p>
    <w:p>
      <w:pPr>
        <w:pStyle w:val="Heading2"/>
        <w:numPr>
          <w:ilvl w:val="1"/>
          <w:numId w:val="1"/>
        </w:numPr>
        <w:rPr/>
      </w:pPr>
      <w:bookmarkStart w:id="898" w:name="__RefHeading___Toc11915672_2142443653"/>
      <w:bookmarkStart w:id="899" w:name="_Toc323"/>
      <w:bookmarkEnd w:id="898"/>
      <w:r>
        <w:rPr>
          <w:rtl w:val="true"/>
        </w:rPr>
        <w:t>حكم البحار</w:t>
      </w:r>
      <w:bookmarkEnd w:id="89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طاهرة مطهرة وإن كانت المواد العالقة بالماء كثيرة، اللّهم إذا خرج عن صدق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فالبحر الميت</w:t>
      </w:r>
      <w:r>
        <w:rPr>
          <w:rStyle w:val="FootnoteAnchor"/>
          <w:rtl w:val="true"/>
        </w:rPr>
        <w:footnoteReference w:id="1390"/>
      </w:r>
      <w:r>
        <w:rPr>
          <w:rFonts w:ascii="IRNazanin" w:hAnsi="IRNazanin" w:eastAsia="IRNazanin"/>
          <w:color w:val="111111"/>
          <w:sz w:val="28"/>
          <w:sz w:val="28"/>
          <w:szCs w:val="28"/>
          <w:rtl w:val="true"/>
          <w:lang w:bidi="fa-IR"/>
        </w:rPr>
        <w:t xml:space="preserve"> الموجود قرب الأردن طاهر 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المحيطات؛ وذلك لصدق الماء المطلق عليها، ومن الممكن الصدق في البحار والمحيطات وعدم الصدق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في ما إذا خلط الماء المحقون بقدر تلك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الصدق واللاصدق تابعان للعرف</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حضور الشخص المبتلى بالأمراض المعدية في الأماكن العامة، وقد تطرق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آخر</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أريد به النفي أم النهي على 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دليل الأهم والمهم، وكذلك الردع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 إلى تنقيح الموضوع، وكذا بحيرة الملح قرب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درياچه نمك</w:t>
      </w:r>
      <w:r>
        <w:rPr>
          <w:rFonts w:eastAsia="IRNazanin" w:cs="IRNazanin"/>
          <w:color w:val="111111"/>
          <w:sz w:val="28"/>
          <w:szCs w:val="28"/>
          <w:rtl w:val="true"/>
          <w:lang w:bidi="fa-IR"/>
        </w:rPr>
        <w:t>).</w:t>
      </w:r>
    </w:p>
    <w:p>
      <w:pPr>
        <w:pStyle w:val="BookText"/>
        <w:rPr/>
      </w:pP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يستشكل في ذلك بأنّه لو جلبنا ماء البحر في إناء ثم صببنا ماءً مطلقاً في إناء آخر، وألقينا فيه الملح فأصبح مالحاً بقدر ذلك الماء، فكيف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900" w:name="pg15697_169184"/>
    </w:p>
    <w:p>
      <w:pPr>
        <w:pStyle w:val="BookText"/>
        <w:rPr/>
      </w:pPr>
      <w:bookmarkEnd w:id="900"/>
      <w:r>
        <w:rPr>
          <w:rFonts w:ascii="Amiri" w:hAnsi="Amiri" w:eastAsia="Amiri" w:cs="Amiri"/>
          <w:color w:val="111111"/>
          <w:sz w:val="28"/>
          <w:sz w:val="28"/>
          <w:szCs w:val="28"/>
          <w:rtl w:val="true"/>
          <w:lang w:bidi="ar-SA"/>
        </w:rPr>
        <w:t>هذا بالإضافة إلى إطلاق بعض النصوص في ماء البحر</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1" w:name="__RefHeading___Toc11915674_2142443653"/>
      <w:bookmarkStart w:id="902" w:name="_Toc324"/>
      <w:bookmarkEnd w:id="901"/>
      <w:r>
        <w:rPr>
          <w:rtl w:val="true"/>
        </w:rPr>
        <w:t>إبكاء الغير وإضحاكه</w:t>
      </w:r>
      <w:bookmarkEnd w:id="90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إبكاء الغير بدون رضاه، كما لا يجوز إضحاكه بدون رضاه؛ لأنه تصرف فيه، نعم المبكي والمضحك لو كان في كل مكان، وكان الطرف يمكنه التخلص</w:t>
      </w:r>
      <w:r>
        <w:rPr>
          <w:rStyle w:val="FootnoteAnchor"/>
          <w:rtl w:val="true"/>
        </w:rPr>
        <w:footnoteReference w:id="13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مطلق والثاني مضاف، ومقتضى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سألنا العرف عن ماء مالح أنّه مطلق أو مضاف يتوقف إلى أن يعرف أنّه من البحر أو لا؟</w:t>
      </w:r>
    </w:p>
    <w:p>
      <w:pPr>
        <w:pStyle w:val="BookText"/>
        <w:rPr/>
      </w:pPr>
      <w:r>
        <w:rPr>
          <w:rFonts w:ascii="Amiri" w:hAnsi="Amiri" w:eastAsia="Amiri" w:cs="Amiri"/>
          <w:color w:val="111111"/>
          <w:sz w:val="28"/>
          <w:sz w:val="28"/>
          <w:szCs w:val="28"/>
          <w:rtl w:val="true"/>
          <w:lang w:bidi="ar-SA"/>
        </w:rPr>
        <w:t>وعليه فالدليل الأوّل محل نظر، ويبقى إطلاق بعض النصوص في ماء البحر، وقد يشكل فيه بأنّه كان ماء البحر، والآن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ماء بحر،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ماء الفرات، أو هذا الماء المعدني ماء دماوند،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البحث يجري في الماء المخلوط بالطين في الأنهار، وماء مطلق نضع فيه الطين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كتاب الطهارة، بحث المياه</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إمكان التخلص ليس ملاكاً، بل إنّه تصرف فيه، بأن يقلقله مثلاً كان حراماً، أما لو كان يلقي نكتة مثلاً فهو حرّ في ذلك، وإذا أراد الطرف</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أعمال المبكي والمضحك النفسية محرمة؛ لأن بقاء الطرف في المكان بدون أن يتخلص يجعله مسؤولاً عن نفسه، وليس المسؤول المضحك أو المبكي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الإضحاك والإبكاء حين يتمكّن الطرف من التخلّص، ليس تصرفاً عرفاً، ففرق بين أن يضربه وهو يتمكن من التخلص وبين الإضحاك والإبكاء، وهو يتمكن من التخلص، والفارق العرف</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وكذلك الحال فيما يطلق الفاعل غازاً حاراً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أو بارداً أو مرطباً إلى طرف يتمكن من</w:t>
      </w:r>
    </w:p>
    <w:p>
      <w:pPr>
        <w:pStyle w:val="BookText"/>
        <w:rPr/>
      </w:pPr>
      <w:r>
        <w:rPr>
          <w:rFonts w:ascii="Amiri" w:hAnsi="Amiri" w:eastAsia="Amiri" w:cs="Amiri"/>
          <w:color w:val="111111"/>
          <w:sz w:val="28"/>
          <w:sz w:val="28"/>
          <w:szCs w:val="28"/>
          <w:rtl w:val="true"/>
          <w:lang w:bidi="ar-SA"/>
        </w:rPr>
        <w:t xml:space="preserve">فليسدّ أذنه مثلاً، ولو فرض أنّه لم يستطع فهذا لا يحول دون حرية هذا، وقد مضى قريباً نظير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العبارة أنّ المناط إمكان التخلّص، وظاهر الذيل أنّ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بإمكان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عدم العلم لا إمكان للتخلص؛ لأنّ حركة العضلات تابعة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مباحث القطع</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المراد ظاهراً هو الإمكان مع العلم، لا صرف العلم فقط ولو كان جهلاً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نقيض ما سيأتي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من حرمة إلقاء المواد المبكية</w:t>
      </w:r>
      <w:r>
        <w:rPr>
          <w:rFonts w:eastAsia="Amiri" w:cs="Amiri" w:ascii="Amiri" w:hAnsi="Amiri"/>
          <w:color w:val="111111"/>
          <w:sz w:val="28"/>
          <w:szCs w:val="28"/>
          <w:rtl w:val="true"/>
          <w:lang w:bidi="ar-SA"/>
        </w:rPr>
        <w:t>.</w:t>
      </w:r>
    </w:p>
    <w:p>
      <w:pPr>
        <w:pStyle w:val="BookText"/>
        <w:rPr/>
      </w:pP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التنظير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مثل مدّ يده إليه ليصفعه، فإنّه يتمكن من التخلص، ومع ذلك هو محرّم، ثم إنّه نوع إيذاء وهو محرّم،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أن يقوم بعمل مباح، كإلقاء نكتة، وبين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القلقلة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903" w:name="pg15697_169186"/>
    </w:p>
    <w:p>
      <w:pPr>
        <w:pStyle w:val="BookText"/>
        <w:rPr/>
      </w:pPr>
      <w:bookmarkEnd w:id="903"/>
      <w:r>
        <w:rPr>
          <w:rFonts w:ascii="Amiri" w:hAnsi="Amiri" w:eastAsia="Amiri" w:cs="Amiri"/>
          <w:color w:val="111111"/>
          <w:sz w:val="28"/>
          <w:sz w:val="28"/>
          <w:szCs w:val="28"/>
          <w:rtl w:val="true"/>
          <w:lang w:bidi="ar-SA"/>
        </w:rPr>
        <w:t xml:space="preserve">التخلص، فإنه مع علم المتصرف فيه بإمكان التخلص ولم يتخلص يكون هو المسؤول في المكان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حق السبق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جهل، فإنه يعد تصرفاً في الغير</w:t>
      </w:r>
      <w:r>
        <w:rPr>
          <w:rFonts w:eastAsia="Amiri" w:cs="Amiri" w:ascii="Amiri" w:hAnsi="Amiri"/>
          <w:color w:val="111111"/>
          <w:sz w:val="28"/>
          <w:szCs w:val="28"/>
          <w:rtl w:val="true"/>
          <w:lang w:bidi="ar-SA"/>
        </w:rPr>
        <w:t>.</w:t>
      </w:r>
    </w:p>
    <w:p>
      <w:pPr>
        <w:pStyle w:val="Heading2"/>
        <w:numPr>
          <w:ilvl w:val="1"/>
          <w:numId w:val="1"/>
        </w:numPr>
        <w:rPr/>
      </w:pPr>
      <w:bookmarkStart w:id="904" w:name="__RefHeading___Toc11915676_2142443653"/>
      <w:bookmarkStart w:id="905" w:name="_Toc325"/>
      <w:bookmarkEnd w:id="904"/>
      <w:r>
        <w:rPr>
          <w:rtl w:val="true"/>
        </w:rPr>
        <w:t>المظاهرات والمسيرات الشعبية</w:t>
      </w:r>
      <w:bookmarkEnd w:id="90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مظاهرة وكان المتظاهرون بحق في مطالبهم، لم يجز للسلطة إرهابهم وتفريقهم وإلقاء المواد المبكية أو تسليط خراطيم الماء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لأنّ المظاهرة من حقهم، للحرية الممنوحة للإنسان الشاملة للمظاهرة والاعتصاب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تجوزان لطلب الباطل؛ لأنهما حينئذٍ من مقدمة الحرام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6" w:name="__RefHeading___Toc11915678_2142443653"/>
      <w:bookmarkStart w:id="907" w:name="_Toc326"/>
      <w:bookmarkEnd w:id="906"/>
      <w:r>
        <w:rPr>
          <w:rtl w:val="true"/>
        </w:rPr>
        <w:t>المظاهرات والدولة الإسلامية</w:t>
      </w:r>
      <w:bookmarkEnd w:id="9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المتظاهرون على الباطل، جاز للدولة الإسلامية ردعهم بما هو الميزان</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ردع المنكر</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إطلاق الغاز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لا وجه للتصرف فيهم وإيذائهم؛ إذ لا ينطبق عنوان النهي عن المنكر أو شبهه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عقلاً، وقد تكون نفس المظاهرة محرمة لانطباق عنوان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ويراعى في ذلك سمعة الدولة الإسلامية، وسمعة الإسلام وقوانين الأهم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908" w:name="pg15697_169187"/>
    </w:p>
    <w:p>
      <w:pPr>
        <w:pStyle w:val="BookText"/>
        <w:rPr/>
      </w:pPr>
      <w:bookmarkEnd w:id="9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هذا مع لزوم حفظ حقوق المعارضة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 كما يعرف ذلك من سيرة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والدولة الإسلامية من باب المثال، وإلا فالردع واجب كفائي على كل متمكن بشرائط الأمر بالمعروف والنهي عن المنكر، والمراد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الحرام، وإلا فهو واجب بشروط الأمر والنهي، كما أنه يستحب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في ما إذا لم يكن فعلهم حراماً،بل خلاف المستحب أو كان من المكروه</w:t>
      </w:r>
      <w:r>
        <w:rPr>
          <w:rFonts w:eastAsia="Amiri" w:cs="Amiri" w:ascii="Amiri" w:hAnsi="Amiri"/>
          <w:color w:val="111111"/>
          <w:sz w:val="28"/>
          <w:szCs w:val="28"/>
          <w:rtl w:val="true"/>
          <w:lang w:bidi="ar-SA"/>
        </w:rPr>
        <w:t>.</w:t>
      </w:r>
    </w:p>
    <w:p>
      <w:pPr>
        <w:pStyle w:val="Heading2"/>
        <w:numPr>
          <w:ilvl w:val="1"/>
          <w:numId w:val="1"/>
        </w:numPr>
        <w:rPr/>
      </w:pPr>
      <w:bookmarkStart w:id="909" w:name="__RefHeading___Toc11915680_2142443653"/>
      <w:bookmarkStart w:id="910" w:name="_Toc327"/>
      <w:bookmarkEnd w:id="909"/>
      <w:r>
        <w:rPr>
          <w:rtl w:val="true"/>
        </w:rPr>
        <w:t>سرقة الماء والكهرباء من الحكومة</w:t>
      </w:r>
      <w:bookmarkEnd w:id="91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التي حكمها مشروع أو كانت مالكة</w:t>
      </w:r>
      <w:r>
        <w:rPr>
          <w:rStyle w:val="FootnoteAnchor"/>
          <w:rtl w:val="true"/>
        </w:rPr>
        <w:footnoteReference w:id="1405"/>
      </w:r>
      <w:r>
        <w:rPr>
          <w:rFonts w:ascii="Amiri" w:hAnsi="Amiri" w:eastAsia="Amiri" w:cs="Amiri"/>
          <w:color w:val="111111"/>
          <w:sz w:val="28"/>
          <w:sz w:val="28"/>
          <w:szCs w:val="28"/>
          <w:rtl w:val="true"/>
          <w:lang w:bidi="ar-SA"/>
        </w:rPr>
        <w:t xml:space="preserve"> لا يجوز</w:t>
      </w:r>
    </w:p>
    <w:p>
      <w:pPr>
        <w:pStyle w:val="BookText"/>
        <w:rPr/>
      </w:pPr>
      <w:r>
        <w:rPr>
          <w:rFonts w:ascii="Amiri" w:hAnsi="Amiri" w:eastAsia="Amiri" w:cs="Amiri"/>
          <w:color w:val="111111"/>
          <w:sz w:val="28"/>
          <w:sz w:val="28"/>
          <w:szCs w:val="28"/>
          <w:rtl w:val="true"/>
          <w:lang w:bidi="ar-SA"/>
        </w:rPr>
        <w:t xml:space="preserve">والمهم، ولعله لذا لم يردع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مظاهرات صلاة التراويح</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قبيل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لا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ينطبق عليه الثاني؛ إذ لو اشتغلوا بالمنكر كان رفعاً، وإلا كان دفعاً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يقوم بعمل يعتبر ظلماً، وإلا فالردع 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يجب أن لا يصدر منكر للردع، مثل ضربهم، فإنّ الردع عن المكروه لا يكون بالضرب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أحيت أرضاً للسكنى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شخص أرضاً لذلك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سرقة</w:t>
      </w:r>
      <w:r>
        <w:rPr>
          <w:rStyle w:val="FootnoteAnchor"/>
          <w:rtl w:val="true"/>
        </w:rPr>
        <w:footnoteReference w:id="1409"/>
      </w:r>
      <w:r>
        <w:rPr>
          <w:rFonts w:ascii="Amiri" w:hAnsi="Amiri" w:eastAsia="Amiri" w:cs="Amiri"/>
          <w:color w:val="111111"/>
          <w:sz w:val="28"/>
          <w:sz w:val="28"/>
          <w:szCs w:val="28"/>
          <w:rtl w:val="true"/>
          <w:lang w:bidi="ar-SA"/>
        </w:rPr>
        <w:t xml:space="preserve"> الماء والكهرباء وما أشبه منها، أما إذا لم يكن حكمها مشروعاً، فالأولى اجتناب مثل هذه الأمور، إلا إذا أخذ الآخذ من باب التقاص أو لوجه محلّل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كان الأولى الاجتناب؛ لأنّه نوع من الدناءة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عرفاً، وهي تنافي مكارم الأخلاق، والوجه المحلل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ونحوه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سرقة مصطلحة ظاهراً، بل عدم دفع للأجرة،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أن يذهب شخص للفندق ولا يدفع الأجرة</w:t>
      </w:r>
      <w:r>
        <w:rPr>
          <w:rFonts w:eastAsia="Amiri" w:cs="Amiri" w:ascii="Amiri" w:hAnsi="Amiri"/>
          <w:color w:val="111111"/>
          <w:sz w:val="28"/>
          <w:szCs w:val="28"/>
          <w:rtl w:val="true"/>
          <w:lang w:bidi="ar-SA"/>
        </w:rPr>
        <w:t>.</w:t>
      </w:r>
    </w:p>
    <w:p>
      <w:pPr>
        <w:pStyle w:val="BookText"/>
        <w:rPr/>
      </w:pP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بل هو استنقاذ للمال، فهو كلص في جبل لسلب المارة، فلو احتال عليه شخص ولم يدفع إليه المال فهل هو دناءة؟ ويدل عليه ما ورد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التهرب من العشار</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 والحلف على ذلك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في نفسه دناءة عرفاً، والآداب العرفيّة يطلب مراعاتها شرعاً،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فعاشر بآداب أربابها</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 بحث لباس الشهرة في المحرمات</w:t>
      </w:r>
      <w:r>
        <w:rPr>
          <w:rStyle w:val="FootnoteAnchor"/>
          <w:rtl w:val="true"/>
        </w:rPr>
        <w:footnoteReference w:id="1414"/>
      </w:r>
      <w:r>
        <w:rPr>
          <w:rFonts w:ascii="Amiri" w:hAnsi="Amiri" w:eastAsia="Amiri" w:cs="Amiri"/>
          <w:color w:val="111111"/>
          <w:sz w:val="28"/>
          <w:sz w:val="28"/>
          <w:szCs w:val="28"/>
          <w:rtl w:val="true"/>
          <w:lang w:bidi="ar-SA"/>
        </w:rPr>
        <w:t>، ولباس المصلي</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911" w:name="pg15697_169189"/>
    </w:p>
    <w:p>
      <w:pPr>
        <w:pStyle w:val="Heading2"/>
        <w:numPr>
          <w:ilvl w:val="1"/>
          <w:numId w:val="1"/>
        </w:numPr>
        <w:rPr/>
      </w:pPr>
      <w:bookmarkStart w:id="912" w:name="__RefHeading___Toc11915682_2142443653"/>
      <w:bookmarkStart w:id="913" w:name="_Toc328"/>
      <w:bookmarkEnd w:id="911"/>
      <w:bookmarkEnd w:id="912"/>
      <w:r>
        <w:rPr>
          <w:rtl w:val="true"/>
        </w:rPr>
        <w:t>تجارب الأسلحة النووية والهيدروجينية</w:t>
      </w:r>
      <w:bookmarkEnd w:id="91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تجارب الأسلحة والرؤوس النووية والهيدروجينية وسائر الوسائل الحربية جائزة، بشرط أن لا توجب ضرر إنسان محترم أو حيوان محترم</w:t>
      </w:r>
      <w:r>
        <w:rPr>
          <w:rStyle w:val="FootnoteAnchor"/>
          <w:rtl w:val="true"/>
        </w:rPr>
        <w:footnoteReference w:id="1416"/>
      </w:r>
      <w:r>
        <w:rPr>
          <w:rFonts w:ascii="Amiri" w:hAnsi="Amiri" w:eastAsia="Amiri" w:cs="Amiri"/>
          <w:color w:val="111111"/>
          <w:sz w:val="28"/>
          <w:sz w:val="28"/>
          <w:szCs w:val="28"/>
          <w:rtl w:val="true"/>
          <w:lang w:bidi="ar-SA"/>
        </w:rPr>
        <w:t>، ولم يكن هناك وجه آخر للتحريم، وقد يجوز مع فقد الشرط فيما إذا دار الأمر بين 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الوجه الآخر للتحريم، فهو مثل أن يكون ذلك خلاف نزاهة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سمعة الدولة الإسلامية، حيث اللازم الإبقاء</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يزاحم بعنوان أهم أو مساوٍ،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الدناءة التي ذكرها في المتن، شراء الأشراف الأُمور اليسيرة بأنفسهم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كإسقاط الدولة وتضعيفها، فإنّ الدولة تتقوى بهذه القطرات، وتضعف بها،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بني أمية وجدوا من يجبي لهم الفيء</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نبات محترم أو جماد محترم، كإتلاف الأبنية مثلاً</w:t>
      </w:r>
      <w:r>
        <w:rPr>
          <w:rFonts w:eastAsia="Amiri" w:cs="Amiri" w:ascii="Amiri" w:hAnsi="Amiri"/>
          <w:color w:val="111111"/>
          <w:sz w:val="28"/>
          <w:szCs w:val="28"/>
          <w:rtl w:val="true"/>
          <w:lang w:bidi="ar-SA"/>
        </w:rPr>
        <w:t>.</w:t>
      </w:r>
    </w:p>
    <w:p>
      <w:pPr>
        <w:pStyle w:val="BookText"/>
        <w:rPr/>
      </w:pP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مقدمات الجهاد،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فهو كما لو سببت الصلاة نفرة البعض، فإنّها لا تترك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المسألة على قاعدة الأهم والمهم كلاً</w:t>
      </w:r>
      <w:r>
        <w:rPr>
          <w:rFonts w:eastAsia="Amiri" w:cs="Amiri" w:ascii="Amiri" w:hAnsi="Amiri"/>
          <w:color w:val="111111"/>
          <w:sz w:val="28"/>
          <w:szCs w:val="28"/>
          <w:rtl w:val="true"/>
          <w:lang w:bidi="ar-SA"/>
        </w:rPr>
        <w:t>.</w:t>
      </w:r>
    </w:p>
    <w:p>
      <w:pPr>
        <w:pStyle w:val="BookText"/>
        <w:rPr/>
      </w:pP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w:t>
      </w:r>
      <w:r>
        <w:rPr>
          <w:rFonts w:eastAsia="IRNazanin" w:cs="IRNazanin"/>
          <w:color w:val="111111"/>
          <w:sz w:val="28"/>
          <w:szCs w:val="28"/>
          <w:rtl w:val="true"/>
          <w:lang w:bidi="fa-IR"/>
        </w:rPr>
        <w:t>..»</w:t>
      </w:r>
      <w:r>
        <w:rPr>
          <w:rStyle w:val="FootnoteAnchor"/>
          <w:rtl w:val="true"/>
        </w:rPr>
        <w:footnoteReference w:id="142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قومك</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914" w:name="pg15697_169190"/>
    </w:p>
    <w:p>
      <w:pPr>
        <w:pStyle w:val="BookText"/>
        <w:rPr/>
      </w:pPr>
      <w:bookmarkEnd w:id="914"/>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سمعة الإسلام ونزاهة الدولة الإسلامية حتى لا ينفر الناس منهما، وأما الأهم والمهم فهو مثل ما إذا تعارض بين النزاهة وبين القضاء على بيضة الإسلام، حيث إنّ الإبقاء على الإسلام أهم، والأحكام المذكورة في المسألة حسب القواعد والأدلة العامة</w:t>
      </w:r>
      <w:r>
        <w:rPr>
          <w:rFonts w:eastAsia="Amiri" w:cs="Amiri" w:ascii="Amiri" w:hAnsi="Amiri"/>
          <w:color w:val="111111"/>
          <w:sz w:val="28"/>
          <w:szCs w:val="28"/>
          <w:rtl w:val="true"/>
          <w:lang w:bidi="ar-SA"/>
        </w:rPr>
        <w:t>.</w:t>
      </w:r>
    </w:p>
    <w:p>
      <w:pPr>
        <w:pStyle w:val="Heading2"/>
        <w:numPr>
          <w:ilvl w:val="1"/>
          <w:numId w:val="1"/>
        </w:numPr>
        <w:rPr/>
      </w:pPr>
      <w:bookmarkStart w:id="915" w:name="__RefHeading___Toc11915684_2142443653"/>
      <w:bookmarkStart w:id="916" w:name="_Toc329"/>
      <w:bookmarkEnd w:id="915"/>
      <w:r>
        <w:rPr>
          <w:rtl w:val="true"/>
        </w:rPr>
        <w:t>تسريع العمر بالدواء</w:t>
      </w:r>
      <w:bookmarkEnd w:id="91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استعمال دواء يوجب تسريع العمر، حتى إن الولد الذي له عمر خمس سنوات، يكون كالولد الذي له عمر عشر سنوات، وبالعكس بأن يستعمل دواءً، يوجب إبطاء العمر، حتى إنّ الولد الذي عمره عشر سنوات، يكون كالذي له عمر خمس سنوات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أدلة الحل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حديثو عهد بالإسلام</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 xml:space="preserve">، وفي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من أهداف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الحجة، وهذا خلاف إتمام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بَعْدَ الرُّسُلِ</w:t>
      </w:r>
      <w:r>
        <w:rPr>
          <w:rFonts w:eastAsia="Amiri" w:cs="Amiri" w:ascii="Amiri" w:hAnsi="Amiri"/>
          <w:color w:val="111111"/>
          <w:sz w:val="28"/>
          <w:szCs w:val="28"/>
          <w:rtl w:val="true"/>
          <w:lang w:bidi="ar-SA"/>
        </w:rPr>
        <w:t>}</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مقدمة وجودية للواجب المطلق وهو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917" w:name="pg15697_169191"/>
    </w:p>
    <w:p>
      <w:pPr>
        <w:pStyle w:val="BookText"/>
        <w:rPr/>
      </w:pPr>
      <w:bookmarkEnd w:id="917"/>
      <w:r>
        <w:rPr>
          <w:rStyle w:val="FootnoteAnchor"/>
          <w:rtl w:val="true"/>
        </w:rPr>
        <w:footnoteReference w:id="1429"/>
      </w:r>
      <w:r>
        <w:rPr>
          <w:rFonts w:ascii="Amiri" w:hAnsi="Amiri" w:eastAsia="Amiri" w:cs="Amiri"/>
          <w:color w:val="111111"/>
          <w:sz w:val="28"/>
          <w:sz w:val="28"/>
          <w:szCs w:val="28"/>
          <w:rtl w:val="true"/>
          <w:lang w:bidi="ar-SA"/>
        </w:rPr>
        <w:t>، إلا في صورة يعد ضرراً بالغاً عرفاً فلا يجوز، نعم في المرأة المزوجة لا يجوز ما ينافي جمالها مما يعد حقاً عرفاً</w:t>
      </w:r>
      <w:r>
        <w:rPr>
          <w:rStyle w:val="FootnoteAnchor"/>
          <w:rtl w:val="true"/>
        </w:rPr>
        <w:footnoteReference w:id="1430"/>
      </w:r>
      <w:r>
        <w:rPr>
          <w:rFonts w:ascii="Amiri" w:hAnsi="Amiri" w:eastAsia="Amiri" w:cs="Amiri"/>
          <w:color w:val="111111"/>
          <w:sz w:val="28"/>
          <w:sz w:val="28"/>
          <w:szCs w:val="28"/>
          <w:rtl w:val="true"/>
          <w:lang w:bidi="ar-SA"/>
        </w:rPr>
        <w:t xml:space="preserve"> للزوج، سواءً كان إبطاءً أم إسراعاً</w:t>
      </w:r>
      <w:r>
        <w:rPr>
          <w:rFonts w:eastAsia="Amiri" w:cs="Amiri" w:ascii="Amiri" w:hAnsi="Amiri"/>
          <w:color w:val="111111"/>
          <w:sz w:val="28"/>
          <w:szCs w:val="28"/>
          <w:rtl w:val="true"/>
          <w:lang w:bidi="ar-SA"/>
        </w:rPr>
        <w:t>.</w:t>
      </w:r>
    </w:p>
    <w:p>
      <w:pPr>
        <w:pStyle w:val="Heading2"/>
        <w:numPr>
          <w:ilvl w:val="1"/>
          <w:numId w:val="1"/>
        </w:numPr>
        <w:rPr/>
      </w:pPr>
      <w:bookmarkStart w:id="918" w:name="__RefHeading___Toc11915686_2142443653"/>
      <w:bookmarkStart w:id="919" w:name="_Toc330"/>
      <w:bookmarkEnd w:id="918"/>
      <w:r>
        <w:rPr>
          <w:rtl w:val="true"/>
        </w:rPr>
        <w:t>التصرف في عمر الصبي</w:t>
      </w:r>
      <w:bookmarkEnd w:id="91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المسألة السابقة أنما هو بالنسبة إلى الإنسان نفسه أو استعماله بالنسبة إلى إنسان آخر عاقل بالغ يأذن في ذلك ولم يكن هناك محذور آخر، أما بالنسبة إلى الصبي غير البالغ فلا يجوز إلاّ إذا كانت مصلحة</w:t>
      </w:r>
      <w:r>
        <w:rPr>
          <w:rStyle w:val="FootnoteAnchor"/>
          <w:rtl w:val="true"/>
        </w:rPr>
        <w:footnoteReference w:id="1431"/>
      </w:r>
      <w:r>
        <w:rPr>
          <w:rFonts w:ascii="Amiri" w:hAnsi="Amiri" w:eastAsia="Amiri" w:cs="Amiri"/>
          <w:color w:val="111111"/>
          <w:sz w:val="28"/>
          <w:sz w:val="28"/>
          <w:szCs w:val="28"/>
          <w:rtl w:val="true"/>
          <w:lang w:bidi="ar-SA"/>
        </w:rPr>
        <w:t xml:space="preserve"> من غير مفسدة، وكان الفاعل لذلك هو الوليّ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مأذوناً من قبله، والمسألة مبتنية على الخلاف بين الفقهاء في أنه هل يلزم المصلحة، أو عدم المفسدة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استشكل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في تغيير خلق اللّه، إلاّ لو كان حسناً، وقد تكون بعض مصاديق ما ذكر من غير الحسن،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المنفرات في كتاب النكاح</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ما ذكر منفر على إطلاقه؟ والشارع حدد الحقوق، فهل هذا منها؟ وهل هو خلاف الشرط الضمني ولو في الجملة؟ وهل يجري الأمر في جانب الرجل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مِثْلُ الَّذِي عَلَيْهِنَّ</w:t>
      </w:r>
      <w:r>
        <w:rPr>
          <w:rFonts w:eastAsia="Amiri" w:cs="Amiri" w:ascii="Amiri" w:hAnsi="Amiri"/>
          <w:color w:val="111111"/>
          <w:sz w:val="28"/>
          <w:szCs w:val="28"/>
          <w:rtl w:val="true"/>
          <w:lang w:bidi="ar-SA"/>
        </w:rPr>
        <w:t>}</w:t>
      </w:r>
      <w:r>
        <w:rPr>
          <w:rStyle w:val="FootnoteAnchor"/>
          <w:rtl w:val="true"/>
        </w:rPr>
        <w:footnoteReference w:id="14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لا يؤخذ للجندية على أثر صغر عمره الظاهري، أو للسجن في عهد الظالم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920" w:name="pg15697_169192"/>
    </w:p>
    <w:p>
      <w:pPr>
        <w:pStyle w:val="Heading2"/>
        <w:numPr>
          <w:ilvl w:val="1"/>
          <w:numId w:val="1"/>
        </w:numPr>
        <w:rPr/>
      </w:pPr>
      <w:bookmarkStart w:id="921" w:name="__RefHeading___Toc11915688_2142443653"/>
      <w:bookmarkStart w:id="922" w:name="_Toc331"/>
      <w:bookmarkEnd w:id="920"/>
      <w:bookmarkEnd w:id="921"/>
      <w:r>
        <w:rPr>
          <w:rtl w:val="true"/>
        </w:rPr>
        <w:t>الاضطرار إلى حلق اللحية</w:t>
      </w:r>
      <w:bookmarkEnd w:id="92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w:t>
      </w:r>
      <w:r>
        <w:rPr>
          <w:rStyle w:val="FootnoteAnchor"/>
          <w:rtl w:val="true"/>
        </w:rPr>
        <w:footnoteReference w:id="1437"/>
      </w:r>
      <w:r>
        <w:rPr>
          <w:rFonts w:ascii="IRNazanin" w:hAnsi="IRNazanin" w:eastAsia="IRNazanin"/>
          <w:color w:val="111111"/>
          <w:sz w:val="28"/>
          <w:sz w:val="28"/>
          <w:szCs w:val="28"/>
          <w:rtl w:val="true"/>
          <w:lang w:bidi="fa-IR"/>
        </w:rPr>
        <w:t xml:space="preserve">، </w:t>
      </w:r>
      <w:r>
        <w:rPr>
          <w:rStyle w:val="FootnoteAnchor"/>
          <w:rtl w:val="true"/>
        </w:rPr>
        <w:footnoteReference w:id="1438"/>
      </w:r>
      <w:r>
        <w:rPr>
          <w:rFonts w:ascii="Amiri" w:hAnsi="Amiri" w:eastAsia="Amiri" w:cs="Amiri"/>
          <w:color w:val="111111"/>
          <w:sz w:val="28"/>
          <w:sz w:val="28"/>
          <w:szCs w:val="28"/>
          <w:rtl w:val="true"/>
          <w:lang w:bidi="ar-SA"/>
        </w:rPr>
        <w:t>، الجندي أو الموظف إلى حلق</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 التخلص عن الاضطرار بحلق بعض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المتجددون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متعيناً؛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تقدر بقدرها</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حلق الكل خلاف الفتوى، أمّا حلق البعض فربما يكون خلاف الاحتياط</w:t>
      </w:r>
      <w:r>
        <w:rPr>
          <w:rFonts w:eastAsia="Amiri" w:cs="Amiri" w:ascii="Amiri" w:hAnsi="Amiri"/>
          <w:color w:val="111111"/>
          <w:sz w:val="28"/>
          <w:szCs w:val="28"/>
          <w:rtl w:val="true"/>
          <w:lang w:bidi="ar-SA"/>
        </w:rPr>
        <w:t>.</w:t>
      </w:r>
    </w:p>
    <w:p>
      <w:pPr>
        <w:pStyle w:val="BookText"/>
        <w:rPr/>
      </w:pP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حرجاً عليه فهو مبني على أنّ الحرج يرفع حرمة المحرمات أو لا؟ ولو أورث الضرر؟ فالظاهر رفع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للحرمة، ولو أورث هتك حرمة المؤمن فالحرام قد ارتكبه الغير، فلا يفعل هو حراماً؛ لئلا يقع الغير في الحرام،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أذل نفسه بنفسه،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أورث السخرية لم يجز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الرسائل</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حرجاً عليه، فيرجع لمسألة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استطاع تغيير العمل وجب؛ لأنّه مقدمة وجودية، والاضطرار بالاختيار لا ينافيه، إلاّ أن يكون في بقائه جهة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العناوين الحاكمة في المقام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السخرية والإهانة والإيذاء والهتك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لحيته</w:t>
      </w:r>
      <w:r>
        <w:rPr>
          <w:rStyle w:val="FootnoteAnchor"/>
          <w:rtl w:val="true"/>
        </w:rPr>
        <w:footnoteReference w:id="1443"/>
      </w:r>
      <w:r>
        <w:rPr>
          <w:rFonts w:ascii="Amiri" w:hAnsi="Amiri" w:eastAsia="Amiri" w:cs="Amiri"/>
          <w:color w:val="111111"/>
          <w:sz w:val="28"/>
          <w:sz w:val="28"/>
          <w:szCs w:val="28"/>
          <w:rtl w:val="true"/>
          <w:lang w:bidi="ar-SA"/>
        </w:rPr>
        <w:t xml:space="preserve"> اضطراراً شرعياً</w:t>
      </w:r>
      <w:r>
        <w:rPr>
          <w:rStyle w:val="FootnoteAnchor"/>
          <w:rtl w:val="true"/>
        </w:rPr>
        <w:footnoteReference w:id="1444"/>
      </w:r>
      <w:r>
        <w:rPr>
          <w:rFonts w:ascii="IRNazanin" w:hAnsi="IRNazanin" w:eastAsia="IRNazanin"/>
          <w:color w:val="111111"/>
          <w:sz w:val="28"/>
          <w:sz w:val="28"/>
          <w:szCs w:val="28"/>
          <w:rtl w:val="true"/>
          <w:lang w:bidi="fa-IR"/>
        </w:rPr>
        <w:t>، جاز</w:t>
      </w:r>
      <w:r>
        <w:rPr>
          <w:rFonts w:eastAsia="IRNazanin" w:cs="IRNazanin"/>
          <w:color w:val="111111"/>
          <w:sz w:val="28"/>
          <w:szCs w:val="28"/>
          <w:rtl w:val="true"/>
          <w:lang w:bidi="fa-IR"/>
        </w:rPr>
        <w:t>.</w:t>
      </w:r>
    </w:p>
    <w:p>
      <w:pPr>
        <w:pStyle w:val="BookText"/>
        <w:rPr/>
      </w:pP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يصدق عليه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لأنّه لا موضوع للاضطرار حينئذٍ</w:t>
      </w:r>
      <w:r>
        <w:rPr>
          <w:rFonts w:eastAsia="Amiri" w:cs="Amiri" w:ascii="Amiri" w:hAnsi="Amiri"/>
          <w:color w:val="111111"/>
          <w:sz w:val="28"/>
          <w:szCs w:val="28"/>
          <w:rtl w:val="true"/>
          <w:lang w:bidi="ar-SA"/>
        </w:rPr>
        <w:t>.</w:t>
      </w:r>
    </w:p>
    <w:p>
      <w:pPr>
        <w:pStyle w:val="BookText"/>
        <w:rPr/>
      </w:pP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بقاؤه في الجندية أهمّ؛ لأنه يخدم الإسلام بذلك، لاحظ مسألة وضوء علي بن يقطين</w:t>
      </w:r>
      <w:r>
        <w:rPr>
          <w:rStyle w:val="FootnoteAnchor"/>
          <w:rtl w:val="true"/>
        </w:rPr>
        <w:footnoteReference w:id="1447"/>
      </w:r>
      <w:r>
        <w:rPr>
          <w:rFonts w:ascii="Amiri" w:hAnsi="Amiri" w:eastAsia="Amiri" w:cs="Amiri"/>
          <w:color w:val="111111"/>
          <w:sz w:val="28"/>
          <w:sz w:val="28"/>
          <w:szCs w:val="28"/>
          <w:rtl w:val="true"/>
          <w:lang w:bidi="ar-SA"/>
        </w:rPr>
        <w:t>، وكلي بحث الولاية من قبل الجائر</w:t>
      </w:r>
      <w:r>
        <w:rPr>
          <w:rStyle w:val="FootnoteAnchor"/>
          <w:rtl w:val="true"/>
        </w:rPr>
        <w:footnoteReference w:id="1448"/>
      </w:r>
      <w:r>
        <w:rPr>
          <w:rFonts w:ascii="Amiri" w:hAnsi="Amiri" w:eastAsia="Amiri" w:cs="Amiri"/>
          <w:color w:val="111111"/>
          <w:sz w:val="28"/>
          <w:sz w:val="28"/>
          <w:szCs w:val="28"/>
          <w:rtl w:val="true"/>
          <w:lang w:bidi="ar-SA"/>
        </w:rPr>
        <w:t>، وكون عبد اللّه بن سنان وزيراً للعباسيين</w:t>
      </w:r>
      <w:r>
        <w:rPr>
          <w:rStyle w:val="FootnoteAnchor"/>
          <w:rtl w:val="true"/>
        </w:rPr>
        <w:footnoteReference w:id="144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خَزَآئِنِ الأَرْضِ</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923" w:name="pg15697_169194"/>
    </w:p>
    <w:p>
      <w:pPr>
        <w:pStyle w:val="BookText"/>
        <w:rPr/>
      </w:pPr>
      <w:bookmarkEnd w:id="9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 اللّه إلا وقد أحله لمن اضطر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وأدلة الاضطرار حاكمة على الأدلة الأولية بالأدلة الأربعة، وإنما قلنا اضطراراً شرعياً لإخراج ما إذا كان اضطراراً تسامحياً الذي هو في الحقيقة ليس باضطرار</w:t>
      </w:r>
      <w:r>
        <w:rPr>
          <w:rFonts w:eastAsia="Amiri" w:cs="Amiri" w:ascii="Amiri" w:hAnsi="Amiri"/>
          <w:color w:val="111111"/>
          <w:sz w:val="28"/>
          <w:szCs w:val="28"/>
          <w:rtl w:val="true"/>
          <w:lang w:bidi="ar-SA"/>
        </w:rPr>
        <w:t>.</w:t>
      </w:r>
    </w:p>
    <w:p>
      <w:pPr>
        <w:pStyle w:val="Heading2"/>
        <w:numPr>
          <w:ilvl w:val="1"/>
          <w:numId w:val="1"/>
        </w:numPr>
        <w:rPr/>
      </w:pPr>
      <w:bookmarkStart w:id="924" w:name="__RefHeading___Toc11915690_2142443653"/>
      <w:bookmarkStart w:id="925" w:name="_Toc332"/>
      <w:bookmarkEnd w:id="924"/>
      <w:r>
        <w:rPr>
          <w:rtl w:val="true"/>
        </w:rPr>
        <w:t>الاحتيال للإنقاذ</w:t>
      </w:r>
      <w:bookmarkEnd w:id="9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w:t>
      </w:r>
      <w:r>
        <w:rPr>
          <w:rStyle w:val="FootnoteAnchor"/>
          <w:rtl w:val="true"/>
        </w:rPr>
        <w:footnoteReference w:id="1451"/>
      </w:r>
      <w:r>
        <w:rPr>
          <w:rFonts w:ascii="Amiri" w:hAnsi="Amiri" w:eastAsia="Amiri" w:cs="Amiri"/>
          <w:color w:val="111111"/>
          <w:sz w:val="28"/>
          <w:sz w:val="28"/>
          <w:szCs w:val="28"/>
          <w:rtl w:val="true"/>
          <w:lang w:bidi="ar-SA"/>
        </w:rPr>
        <w:t xml:space="preserve"> التزيّي بزي</w:t>
      </w:r>
      <w:r>
        <w:rPr>
          <w:rStyle w:val="FootnoteAnchor"/>
          <w:rtl w:val="true"/>
        </w:rPr>
        <w:footnoteReference w:id="1452"/>
      </w:r>
      <w:r>
        <w:rPr>
          <w:rFonts w:ascii="Amiri" w:hAnsi="Amiri" w:eastAsia="Amiri" w:cs="Amiri"/>
          <w:color w:val="111111"/>
          <w:sz w:val="28"/>
          <w:sz w:val="28"/>
          <w:szCs w:val="28"/>
          <w:rtl w:val="true"/>
          <w:lang w:bidi="ar-SA"/>
        </w:rPr>
        <w:t xml:space="preserve"> غير جائز شرعاً، لأجل كشف أسرار الفئات الباطلة، لإنقاذ الناس عن التردي في مزالقهم، كما ينقل عن أحد المراجع أنه أجاز لأحد ثقاته حلق اللحية والتشبه بفئة ضالة، لأجل الدخول في جماعتهم وكشف أسرارهم، حتى ينقذ المغررين والجاهلين، أم لا يجوز ذلك؟ احتمالان</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والظاهر أنّ المسألة من دوران الأمر بين الأهم</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بضميمة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اللازم انتخاب فرد لا يُخشى عليه من الانزلاق، وأن لا يكون الحرام المرتكب أهم</w:t>
      </w:r>
      <w:r>
        <w:rPr>
          <w:rFonts w:eastAsia="Amiri" w:cs="Amiri" w:ascii="Amiri" w:hAnsi="Amiri"/>
          <w:color w:val="111111"/>
          <w:sz w:val="28"/>
          <w:szCs w:val="28"/>
          <w:rtl w:val="true"/>
          <w:lang w:bidi="ar-SA"/>
        </w:rPr>
        <w:t>.</w:t>
      </w:r>
    </w:p>
    <w:p>
      <w:pPr>
        <w:pStyle w:val="BookText"/>
        <w:rPr/>
      </w:pP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كحلق اللحية ووضع الرباط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يفعله الجواسيس في الوقت الراهن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الاحتمال الآخر أنّه لا يطاع تعالى من حيث يعصى، وأنّ الغاية لا تبرر الوسيلة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والمهم</w:t>
      </w:r>
      <w:r>
        <w:rPr>
          <w:rStyle w:val="FootnoteAnchor"/>
          <w:rtl w:val="true"/>
        </w:rPr>
        <w:footnoteReference w:id="1456"/>
      </w:r>
      <w:r>
        <w:rPr>
          <w:rFonts w:ascii="Amiri" w:hAnsi="Amiri" w:eastAsia="Amiri" w:cs="Amiri"/>
          <w:color w:val="111111"/>
          <w:sz w:val="28"/>
          <w:sz w:val="28"/>
          <w:szCs w:val="28"/>
          <w:rtl w:val="true"/>
          <w:lang w:bidi="ar-SA"/>
        </w:rPr>
        <w:t>، فكلما تحققت الأهمية جاز، وكلما لم تعلم</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الأهمية لم يجز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وتشخيص موضوع الأهم والمهم بيد الإنسان نفسه إذا كان خبيراً</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وبيد أهل الخبرة العدول إذا لم يكن بنفسه خبيراً، والاحتياج إلى اثنين أو كفاية الواحد مربوط بالاختلاف في كلّي المسألة، كما أن كفاية كونه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اشتراط العدالة أيضاً منوط بالاختلاف في كلي المسألة</w:t>
      </w:r>
      <w:r>
        <w:rPr>
          <w:rFonts w:eastAsia="Amiri" w:cs="Amiri" w:ascii="Amiri" w:hAnsi="Amiri"/>
          <w:color w:val="111111"/>
          <w:sz w:val="28"/>
          <w:szCs w:val="28"/>
          <w:rtl w:val="true"/>
          <w:lang w:bidi="ar-SA"/>
        </w:rPr>
        <w:t>.</w:t>
      </w:r>
    </w:p>
    <w:p>
      <w:pPr>
        <w:pStyle w:val="BookText"/>
        <w:rPr/>
      </w:pP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قاعدة عقلية، مضافاً إلى أدلة التترس،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باهتوهم</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يأتي هنا بحث احتمال الأهمية؛ فإنّ المحتمل إذا كان خطيراً جاز، وإن استلزم ارتكاب حرام أقل أهمية، كما أجاز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السرطان للمبتلى بالسرطان إذا احتمل فيه العلاج</w:t>
      </w:r>
      <w:r>
        <w:rPr>
          <w:rStyle w:val="FootnoteAnchor"/>
          <w:rtl w:val="true"/>
        </w:rPr>
        <w:footnoteReference w:id="1459"/>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القطع، ولعل اشتراط الخبروية لأنّه لا يحصل عادة القطع إلا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اشتراط التدين والحزم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القادمة</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عارفاً بزمانه أولاً، وبالأحكام الشرعية والدين ثانياً، وإلا فلو اختل أحدهما لم يحصل القطع عادة بالأهمية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بين الثقة والعادل عموماً من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كتاب الاجتهاد والتقليد</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926" w:name="pg15697_169196"/>
    </w:p>
    <w:p>
      <w:pPr>
        <w:pStyle w:val="Heading2"/>
        <w:numPr>
          <w:ilvl w:val="1"/>
          <w:numId w:val="1"/>
        </w:numPr>
        <w:rPr/>
      </w:pPr>
      <w:bookmarkStart w:id="927" w:name="__RefHeading___Toc11915692_2142443653"/>
      <w:bookmarkStart w:id="928" w:name="_Toc333"/>
      <w:bookmarkEnd w:id="926"/>
      <w:bookmarkEnd w:id="927"/>
      <w:r>
        <w:rPr>
          <w:rtl w:val="true"/>
        </w:rPr>
        <w:t>التسلل في</w:t>
      </w:r>
      <w:r>
        <w:rPr/>
        <w:t>1</w:t>
      </w:r>
      <w:r>
        <w:rPr>
          <w:rtl w:val="true"/>
        </w:rPr>
        <w:t xml:space="preserve"> </w:t>
      </w:r>
      <w:r>
        <w:rPr>
          <w:rtl w:val="true"/>
        </w:rPr>
        <w:t>الموضوعات</w:t>
      </w:r>
      <w:bookmarkEnd w:id="92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انكشاف الأهمية في المسألة السابقة من الموضوعات </w:t>
      </w:r>
      <w:r>
        <w:rPr>
          <w:rStyle w:val="FootnoteAnchor"/>
          <w:rtl w:val="true"/>
        </w:rPr>
        <w:footnoteReference w:id="1462"/>
      </w:r>
      <w:r>
        <w:rPr>
          <w:rFonts w:ascii="Amiri" w:hAnsi="Amiri" w:eastAsia="Amiri" w:cs="Amiri"/>
          <w:color w:val="111111"/>
          <w:sz w:val="28"/>
          <w:sz w:val="28"/>
          <w:szCs w:val="28"/>
          <w:rtl w:val="true"/>
          <w:lang w:bidi="ar-SA"/>
        </w:rPr>
        <w:t>، فالمتديّن الحازم</w:t>
      </w:r>
      <w:r>
        <w:rPr>
          <w:rStyle w:val="FootnoteAnchor"/>
          <w:rtl w:val="true"/>
        </w:rPr>
        <w:footnoteReference w:id="1463"/>
      </w:r>
      <w:r>
        <w:rPr>
          <w:rFonts w:ascii="Amiri" w:hAnsi="Amiri" w:eastAsia="Amiri" w:cs="Amiri"/>
          <w:color w:val="111111"/>
          <w:sz w:val="28"/>
          <w:sz w:val="28"/>
          <w:szCs w:val="28"/>
          <w:rtl w:val="true"/>
          <w:lang w:bidi="ar-SA"/>
        </w:rPr>
        <w:t xml:space="preserve"> إذا عرف الأهمية جاز له، ولا يحتاج بعد ذلك إلى فتوى الفقيه، نعم إذا منع</w:t>
      </w:r>
      <w:r>
        <w:rPr>
          <w:rStyle w:val="FootnoteAnchor"/>
          <w:rtl w:val="true"/>
        </w:rPr>
        <w:footnoteReference w:id="1464"/>
      </w:r>
      <w:r>
        <w:rPr>
          <w:rFonts w:ascii="Amiri" w:hAnsi="Amiri" w:eastAsia="Amiri" w:cs="Amiri"/>
          <w:color w:val="111111"/>
          <w:sz w:val="28"/>
          <w:sz w:val="28"/>
          <w:szCs w:val="28"/>
          <w:rtl w:val="true"/>
          <w:lang w:bidi="ar-SA"/>
        </w:rPr>
        <w:t xml:space="preserve"> المرجع للمسلمين عن ذلك، لم يجز لوجوب اتباع أوامره ونواهيه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وإنما لا يحتاج</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p>
    <w:p>
      <w:pPr>
        <w:pStyle w:val="BookText"/>
        <w:rPr/>
      </w:pP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 الصرفة في الاجتهاد والتقليد</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 وهل هذا موضوع صرف، أم أنّه يحتاج إلى ملاحظة لسان الأدلة؟ راجع المسألة السابقة</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كفاية القطع هنا، واشتراط الخبروية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كفاية القطع، لما ذكر في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اشتراط التدين لكي يكون تشخيصه شرعياً لا نابعاً من الهوى والشهوات، وكذا اشتراط الحزم،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 في تدينه لا الهرهري</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قطع بأهميته فالقطع حجة مطلقاً، وكذا فيما لو أفتى بحكم كلّي نقطع بخلافه،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في التعيينيات إلى التقليد</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شورى الفقهاء في الأُمور العامة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929" w:name="pg15697_169197"/>
    </w:p>
    <w:p>
      <w:pPr>
        <w:pStyle w:val="BookText"/>
        <w:rPr/>
      </w:pPr>
      <w:bookmarkEnd w:id="929"/>
      <w:r>
        <w:rPr>
          <w:rFonts w:ascii="Amiri" w:hAnsi="Amiri" w:eastAsia="Amiri" w:cs="Amiri"/>
          <w:color w:val="111111"/>
          <w:sz w:val="28"/>
          <w:sz w:val="28"/>
          <w:szCs w:val="28"/>
          <w:rtl w:val="true"/>
          <w:lang w:bidi="ar-SA"/>
        </w:rPr>
        <w:t xml:space="preserve">بعد ذلك إلى الفتوى؛ لأنه إذا ثبت الموضوع ترتب عليه الحكم، فإذا ثبت لديه أنّ هذا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جاز له شربه، هذا فيما إذا لم تكن الأهمية</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الموضوعات العامة</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الموضوعات المستنبطة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احتاج إلى فتوى الفقيه</w:t>
      </w:r>
      <w:r>
        <w:rPr>
          <w:rFonts w:eastAsia="Amiri" w:cs="Amiri" w:ascii="Amiri" w:hAnsi="Amiri"/>
          <w:color w:val="111111"/>
          <w:sz w:val="28"/>
          <w:szCs w:val="28"/>
          <w:rtl w:val="true"/>
          <w:lang w:bidi="ar-SA"/>
        </w:rPr>
        <w:t>.</w:t>
      </w:r>
    </w:p>
    <w:p>
      <w:pPr>
        <w:pStyle w:val="Heading2"/>
        <w:numPr>
          <w:ilvl w:val="1"/>
          <w:numId w:val="1"/>
        </w:numPr>
        <w:rPr/>
      </w:pPr>
      <w:bookmarkStart w:id="930" w:name="__RefHeading___Toc11915694_2142443653"/>
      <w:bookmarkStart w:id="931" w:name="_Toc334"/>
      <w:bookmarkEnd w:id="930"/>
      <w:r>
        <w:rPr>
          <w:rtl w:val="true"/>
        </w:rPr>
        <w:t>صور النساء في الجوازات</w:t>
      </w:r>
      <w:bookmarkEnd w:id="9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صور النساء إلى الدفاتر والأوراق التي هي</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القطع لا فرق، إلاّ أن يكون القطع موضوعياً لا طريقياً، فلو قطع بأنّه طريقي فلا حاجة لفتوى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أزالت الفتوى قطعه زال المحمول بزوال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جعلها بيد الفقيه، فلا حقّ لأحدٍ للتدخل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w:t>
      </w:r>
      <w:r>
        <w:rPr>
          <w:rFonts w:eastAsia="Amiri" w:cs="Amiri" w:ascii="Amiri" w:hAnsi="Amiri"/>
          <w:color w:val="111111"/>
          <w:sz w:val="28"/>
          <w:szCs w:val="28"/>
          <w:rtl w:val="true"/>
          <w:lang w:bidi="ar-SA"/>
        </w:rPr>
        <w:t>»</w:t>
      </w:r>
      <w:r>
        <w:rPr>
          <w:rStyle w:val="FootnoteAnchor"/>
          <w:rtl w:val="true"/>
        </w:rPr>
        <w:footnoteReference w:id="1473"/>
      </w:r>
      <w:r>
        <w:rPr>
          <w:rFonts w:ascii="Amiri" w:hAnsi="Amiri" w:eastAsia="Amiri" w:cs="Amiri"/>
          <w:color w:val="111111"/>
          <w:sz w:val="28"/>
          <w:sz w:val="28"/>
          <w:szCs w:val="28"/>
          <w:rtl w:val="true"/>
          <w:lang w:bidi="ar-SA"/>
        </w:rPr>
        <w:t>، إلاّ أنه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ظرف حجية الأمارات الشكّ، ومع القطع ينتفي موضوع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لا فرق بين المنع وعدمه؛ إذ الشارع أوكله إليه، فاللازم مراجعته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يستنبط هو حكمها، ولا حاجة في المستنبط إلى الاجتهاد، كما في معرفة موضوع الغناء والوطن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التقليد</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932" w:name="pg15697_169198"/>
    </w:p>
    <w:p>
      <w:pPr>
        <w:pStyle w:val="BookText"/>
        <w:rPr/>
      </w:pPr>
      <w:bookmarkEnd w:id="932"/>
      <w:r>
        <w:rPr>
          <w:rFonts w:ascii="Amiri" w:hAnsi="Amiri" w:eastAsia="Amiri" w:cs="Amiri"/>
          <w:color w:val="111111"/>
          <w:sz w:val="28"/>
          <w:sz w:val="28"/>
          <w:szCs w:val="28"/>
          <w:rtl w:val="true"/>
          <w:lang w:bidi="ar-SA"/>
        </w:rPr>
        <w:t>عرضة</w:t>
      </w:r>
      <w:r>
        <w:rPr>
          <w:rStyle w:val="FootnoteAnchor"/>
          <w:rtl w:val="true"/>
        </w:rPr>
        <w:footnoteReference w:id="1475"/>
      </w:r>
      <w:r>
        <w:rPr>
          <w:rFonts w:ascii="Amiri" w:hAnsi="Amiri" w:eastAsia="Amiri" w:cs="Amiri"/>
          <w:color w:val="111111"/>
          <w:sz w:val="28"/>
          <w:sz w:val="28"/>
          <w:szCs w:val="28"/>
          <w:rtl w:val="true"/>
          <w:lang w:bidi="ar-SA"/>
        </w:rPr>
        <w:t xml:space="preserve"> لنظر الأجنبي، كما يعتاد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في بعض البلاد، إلا إذا اضطر الإنسان إلى ذلك اضطراراً شرعياً</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على القاعدة في المستثنى والمستثنى منه،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المحرمة، لا قرص الوجه فقط، فإنّ كثيراً من الفقهاء، ومنهم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يوجبون ستره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بشرط أن لا يكون بتزيين ولا خوف افتتان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3" w:name="__RefHeading___Toc11915696_2142443653"/>
      <w:bookmarkStart w:id="934" w:name="_Toc335"/>
      <w:bookmarkEnd w:id="933"/>
      <w:r>
        <w:rPr>
          <w:rtl w:val="true"/>
        </w:rPr>
        <w:t>الجنود وكيفية الصلاة</w:t>
      </w:r>
      <w:bookmarkEnd w:id="9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الجندي في الثكنة يتم الصلاة بأحد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فهو محرم، أمّا مجرد المعرّضية فهل توجب الحرمة؟</w:t>
      </w:r>
    </w:p>
    <w:p>
      <w:pPr>
        <w:pStyle w:val="BookText"/>
        <w:rPr/>
      </w:pPr>
      <w:r>
        <w:rPr>
          <w:rFonts w:ascii="Amiri" w:hAnsi="Amiri" w:eastAsia="Amiri" w:cs="Amiri"/>
          <w:color w:val="111111"/>
          <w:sz w:val="28"/>
          <w:sz w:val="28"/>
          <w:szCs w:val="28"/>
          <w:rtl w:val="true"/>
          <w:lang w:bidi="ar-SA"/>
        </w:rPr>
        <w:t>تقتضى أصالة البراءة واستصحاب عدم النظر المحرّم، إلاّ أنّه ذُكر في مباحث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وجوب التستر حتى عن المحتمل، فراجع</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الصورة حكم ذويها، وهنالك احتمال الجواز مطلقاً، واحتمال التفصيل بين المرأة المعروفة والمجهولة؛ وذلك للعلة في الآية الكريمة</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التفصيل بين معرضية الإيذاء والعدم لنفس العلة</w:t>
      </w:r>
      <w:r>
        <w:rPr>
          <w:rFonts w:eastAsia="Amiri" w:cs="Amiri" w:ascii="Amiri" w:hAnsi="Amiri"/>
          <w:color w:val="111111"/>
          <w:sz w:val="28"/>
          <w:szCs w:val="28"/>
          <w:rtl w:val="true"/>
          <w:lang w:bidi="ar-SA"/>
        </w:rPr>
        <w:t>.</w:t>
      </w:r>
    </w:p>
    <w:p>
      <w:pPr>
        <w:pStyle w:val="BookText"/>
        <w:rPr/>
      </w:pP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لو اضطر للهجرة إلى الخارج وتوقف على تصوير الأذن ونحوها</w:t>
      </w:r>
      <w:r>
        <w:rPr>
          <w:rFonts w:eastAsia="Amiri" w:cs="Amiri" w:ascii="Amiri" w:hAnsi="Amiri"/>
          <w:color w:val="111111"/>
          <w:sz w:val="28"/>
          <w:szCs w:val="28"/>
          <w:rtl w:val="true"/>
          <w:lang w:bidi="ar-SA"/>
        </w:rPr>
        <w:t>.</w:t>
      </w:r>
    </w:p>
    <w:p>
      <w:pPr>
        <w:pStyle w:val="BookText"/>
        <w:rPr/>
      </w:pP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ناظر ينظر بلذة أو 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العروة، النكاح، ولباس المصلي</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935" w:name="pg15697_169199"/>
    </w:p>
    <w:p>
      <w:pPr>
        <w:pStyle w:val="BookText"/>
        <w:rPr/>
      </w:pPr>
      <w:bookmarkEnd w:id="935"/>
      <w:r>
        <w:rPr>
          <w:rFonts w:ascii="Amiri" w:hAnsi="Amiri" w:eastAsia="Amiri" w:cs="Amiri"/>
          <w:color w:val="111111"/>
          <w:sz w:val="28"/>
          <w:sz w:val="28"/>
          <w:szCs w:val="28"/>
          <w:rtl w:val="true"/>
          <w:lang w:bidi="ar-SA"/>
        </w:rPr>
        <w:t>ينوي إقامة عشر أيام أو أكثر، الثاني</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تصبح الثكنة محلاً له، بأن قرر بقاؤهُ فيها، لثلاث</w:t>
      </w:r>
      <w:r>
        <w:rPr>
          <w:rStyle w:val="FootnoteAnchor"/>
          <w:rtl w:val="true"/>
        </w:rPr>
        <w:footnoteReference w:id="1485"/>
      </w:r>
      <w:r>
        <w:rPr>
          <w:rFonts w:ascii="Amiri" w:hAnsi="Amiri" w:eastAsia="Amiri" w:cs="Amiri"/>
          <w:color w:val="111111"/>
          <w:sz w:val="28"/>
          <w:sz w:val="28"/>
          <w:szCs w:val="28"/>
          <w:rtl w:val="true"/>
          <w:lang w:bidi="ar-SA"/>
        </w:rPr>
        <w:t xml:space="preserve"> أو أربع سنوات مثلاً مما لا يسمى أنه فيها مسافر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الجندي لا يختلف عن غيره في حكم المسافر والحاضر بجميع الخصوصيات المذكورة في ذلك الباب</w:t>
      </w:r>
      <w:r>
        <w:rPr>
          <w:rFonts w:eastAsia="Amiri" w:cs="Amiri" w:ascii="Amiri" w:hAnsi="Amiri"/>
          <w:color w:val="111111"/>
          <w:sz w:val="28"/>
          <w:szCs w:val="28"/>
          <w:rtl w:val="true"/>
          <w:lang w:bidi="ar-SA"/>
        </w:rPr>
        <w:t>.</w:t>
      </w:r>
    </w:p>
    <w:p>
      <w:pPr>
        <w:pStyle w:val="Heading2"/>
        <w:numPr>
          <w:ilvl w:val="1"/>
          <w:numId w:val="1"/>
        </w:numPr>
        <w:rPr/>
      </w:pPr>
      <w:bookmarkStart w:id="936" w:name="__RefHeading___Toc11915698_2142443653"/>
      <w:bookmarkStart w:id="937" w:name="_Toc336"/>
      <w:bookmarkEnd w:id="936"/>
      <w:r>
        <w:rPr>
          <w:rtl w:val="true"/>
        </w:rPr>
        <w:t>كيفية الصلاة للطلاب المهاجرين</w:t>
      </w:r>
      <w:bookmarkEnd w:id="93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الطلاب</w:t>
      </w:r>
      <w:r>
        <w:rPr>
          <w:rStyle w:val="FootnoteAnchor"/>
          <w:rtl w:val="true"/>
        </w:rPr>
        <w:footnoteReference w:id="1486"/>
      </w:r>
      <w:r>
        <w:rPr>
          <w:rFonts w:ascii="Amiri" w:hAnsi="Amiri" w:eastAsia="Amiri" w:cs="Amiri"/>
          <w:color w:val="111111"/>
          <w:sz w:val="28"/>
          <w:sz w:val="28"/>
          <w:szCs w:val="28"/>
          <w:rtl w:val="true"/>
          <w:lang w:bidi="ar-SA"/>
        </w:rPr>
        <w:t xml:space="preserve"> الذين يذهبون إلى بلاد غير بلادهم لأجل الدراسة، حالهم حال الجندي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أدلة القصر والتمام الشامل للجندي والطالب والطيار والملاّح والسائق وغيرهم</w:t>
      </w:r>
      <w:r>
        <w:rPr>
          <w:rFonts w:eastAsia="Amiri" w:cs="Amiri" w:ascii="Amiri" w:hAnsi="Amiri"/>
          <w:color w:val="111111"/>
          <w:sz w:val="28"/>
          <w:szCs w:val="28"/>
          <w:rtl w:val="true"/>
          <w:lang w:bidi="ar-SA"/>
        </w:rPr>
        <w:t>.</w:t>
      </w:r>
    </w:p>
    <w:p>
      <w:pPr>
        <w:pStyle w:val="Heading2"/>
        <w:numPr>
          <w:ilvl w:val="1"/>
          <w:numId w:val="1"/>
        </w:numPr>
        <w:rPr/>
      </w:pPr>
      <w:bookmarkStart w:id="938" w:name="__RefHeading___Toc11915700_2142443653"/>
      <w:bookmarkStart w:id="939" w:name="_Toc337"/>
      <w:bookmarkEnd w:id="938"/>
      <w:r>
        <w:rPr>
          <w:rtl w:val="true"/>
        </w:rPr>
        <w:t>كيفية الصلاة للتجار والموظفين</w:t>
      </w:r>
      <w:bookmarkEnd w:id="93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يصدق عليه عنوان عمله السفر أو في السفر، أو كثير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ممن بيته معه، أو يكون سفره سفر معصية</w:t>
      </w:r>
      <w:r>
        <w:rPr>
          <w:rFonts w:eastAsia="Amiri" w:cs="Amiri" w:ascii="Amiri" w:hAnsi="Amiri"/>
          <w:color w:val="111111"/>
          <w:sz w:val="28"/>
          <w:szCs w:val="28"/>
          <w:rtl w:val="true"/>
          <w:lang w:bidi="ar-SA"/>
        </w:rPr>
        <w:t>.</w:t>
      </w:r>
    </w:p>
    <w:p>
      <w:pPr>
        <w:pStyle w:val="BookText"/>
        <w:rPr/>
      </w:pP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 لسنتين، بل أو أقل بما لا يسمى مسافراً فيها، وقد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بعض استفتاءاته، والثاني مذكور في بعض حواشي العروة</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نوى الإقامة عشراً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الطالب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940" w:name="pg15697_169200"/>
    </w:p>
    <w:p>
      <w:pPr>
        <w:pStyle w:val="BookText"/>
        <w:rPr/>
      </w:pPr>
      <w:bookmarkEnd w:id="940"/>
      <w:r>
        <w:rPr>
          <w:rFonts w:ascii="IRNazanin" w:hAnsi="IRNazanin" w:eastAsia="IRNazanin"/>
          <w:color w:val="111111"/>
          <w:sz w:val="28"/>
          <w:sz w:val="28"/>
          <w:szCs w:val="28"/>
          <w:rtl w:val="true"/>
          <w:lang w:bidi="fa-IR"/>
        </w:rPr>
        <w:t>الموظفون</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والتجار ومن أشبههم، الذين يذهبون إلى بلاد غير بلادهم، لأجل الوظيفة والتجارة ونحوهما، حالهم حال الجندي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كان تاجر جملة أم تاجر فرد، من أي نوع من التجارة، وكذا في الموظف حسب وظيفته لما عرفت من وحدة الدليل في الجميع</w:t>
      </w:r>
      <w:r>
        <w:rPr>
          <w:rFonts w:eastAsia="Amiri" w:cs="Amiri" w:ascii="Amiri" w:hAnsi="Amiri"/>
          <w:color w:val="111111"/>
          <w:sz w:val="28"/>
          <w:szCs w:val="28"/>
          <w:rtl w:val="true"/>
          <w:lang w:bidi="ar-SA"/>
        </w:rPr>
        <w:t>.</w:t>
      </w:r>
    </w:p>
    <w:p>
      <w:pPr>
        <w:pStyle w:val="Heading2"/>
        <w:numPr>
          <w:ilvl w:val="1"/>
          <w:numId w:val="1"/>
        </w:numPr>
        <w:rPr/>
      </w:pPr>
      <w:bookmarkStart w:id="941" w:name="__RefHeading___Toc11915702_2142443653"/>
      <w:bookmarkStart w:id="942" w:name="_Toc338"/>
      <w:bookmarkEnd w:id="941"/>
      <w:r>
        <w:rPr>
          <w:rtl w:val="true"/>
        </w:rPr>
        <w:t>الحملدار وكيفية الصلاة</w:t>
      </w:r>
      <w:bookmarkEnd w:id="94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الحملدار الذي عمله الذهاب إلى الحج، كل عام شهرين</w:t>
      </w:r>
      <w:r>
        <w:rPr>
          <w:rStyle w:val="FootnoteAnchor"/>
          <w:rtl w:val="true"/>
        </w:rPr>
        <w:footnoteReference w:id="1494"/>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333</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يصدق عليه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السفر أو في السفر؟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 يتاجر فقط كلّ عام شهراً أو شهرين، 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عملي التجارة؟ وكذا خطيب يخطب شهري محرم وصفر فقط، فهل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عملي الخطابة؟ أو طالب يدرس كلّ عام كذلك؟ وهل يفرق بين أن يعمل أعمالاً أخرى أو لا؟</w:t>
      </w:r>
    </w:p>
    <w:p>
      <w:pPr>
        <w:pStyle w:val="BookText"/>
        <w:rPr/>
      </w:pPr>
      <w:r>
        <w:rPr>
          <w:rFonts w:ascii="Amiri" w:hAnsi="Amiri" w:eastAsia="Amiri" w:cs="Amiri"/>
          <w:color w:val="111111"/>
          <w:sz w:val="28"/>
          <w:sz w:val="28"/>
          <w:szCs w:val="28"/>
          <w:rtl w:val="true"/>
          <w:lang w:bidi="ar-SA"/>
        </w:rPr>
        <w:t>في مثال الخطيب الظاهر الصدق إذا لم يعمل عملاً آخر ولو في شهر،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يختلف ذلك باختلاف الأعمال، وانتظار أن يعمل معظم السنة أو لا؟</w:t>
      </w:r>
    </w:p>
    <w:p>
      <w:pPr>
        <w:pStyle w:val="BookText"/>
        <w:rPr/>
      </w:pPr>
      <w:r>
        <w:rPr>
          <w:rFonts w:ascii="Amiri" w:hAnsi="Amiri" w:eastAsia="Amiri" w:cs="Amiri"/>
          <w:color w:val="111111"/>
          <w:sz w:val="28"/>
          <w:sz w:val="28"/>
          <w:szCs w:val="28"/>
          <w:rtl w:val="true"/>
          <w:lang w:bidi="ar-SA"/>
        </w:rPr>
        <w:t>وفي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يعمل عملاً آخر فالظاهر الصدق ولو بشهرٍ إذا تعيّش من ذلك فقط، وفي المسألة غموض واختلاف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الاستفتاءات</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ظاهراً، وفي حاشية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أشهر ونحوها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يجب عليه إتمام الصلاة في غير السفرة الأولى</w:t>
      </w:r>
      <w:r>
        <w:rPr>
          <w:rStyle w:val="FootnoteAnchor"/>
          <w:rtl w:val="true"/>
        </w:rPr>
        <w:footnoteReference w:id="1501"/>
      </w:r>
      <w:r>
        <w:rPr>
          <w:rFonts w:ascii="Amiri" w:hAnsi="Amiri" w:eastAsia="Amiri" w:cs="Amiri"/>
          <w:color w:val="111111"/>
          <w:sz w:val="28"/>
          <w:sz w:val="28"/>
          <w:szCs w:val="28"/>
          <w:rtl w:val="true"/>
          <w:lang w:bidi="ar-SA"/>
        </w:rPr>
        <w:t>، على نحو ما ذكروا في كثير السفر</w:t>
      </w:r>
      <w:r>
        <w:rPr>
          <w:rStyle w:val="FootnoteAnchor"/>
          <w:rtl w:val="true"/>
        </w:rPr>
        <w:footnoteReference w:id="1502"/>
      </w:r>
      <w:r>
        <w:rPr>
          <w:rFonts w:ascii="IRNazanin" w:hAnsi="IRNazanin" w:eastAsia="IRNazanin"/>
          <w:color w:val="111111"/>
          <w:sz w:val="28"/>
          <w:sz w:val="28"/>
          <w:szCs w:val="28"/>
          <w:rtl w:val="true"/>
          <w:lang w:bidi="fa-IR"/>
        </w:rPr>
        <w:t>، إذ هو مثل</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البيدر المذكور في الروايات</w:t>
      </w:r>
      <w:r>
        <w:rPr>
          <w:rStyle w:val="FootnoteAnchor"/>
          <w:rtl w:val="true"/>
        </w:rPr>
        <w:footnoteReference w:id="1503"/>
      </w:r>
      <w:r>
        <w:rPr>
          <w:rFonts w:ascii="Amiri" w:hAnsi="Amiri" w:eastAsia="Amiri" w:cs="Amiri"/>
          <w:color w:val="111111"/>
          <w:sz w:val="28"/>
          <w:sz w:val="28"/>
          <w:szCs w:val="28"/>
          <w:rtl w:val="true"/>
          <w:lang w:bidi="ar-SA"/>
        </w:rPr>
        <w:t>، فإنّ عمل أمير البيدر ليس أزيد من شهرين ونحوه في كل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سفره ليس سفراً واحداً كالحاج</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نفسه، بل أسفار</w:t>
      </w:r>
    </w:p>
    <w:p>
      <w:pPr>
        <w:pStyle w:val="BookText"/>
        <w:rPr/>
      </w:pP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1505"/>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ونحوها</w:t>
      </w:r>
      <w:r>
        <w:rPr>
          <w:rFonts w:eastAsia="Amiri" w:cs="Amiri" w:ascii="Amiri" w:hAnsi="Amiri"/>
          <w:color w:val="111111"/>
          <w:sz w:val="28"/>
          <w:szCs w:val="28"/>
          <w:rtl w:val="true"/>
          <w:lang w:bidi="ar-SA"/>
        </w:rPr>
        <w:t>.</w:t>
      </w:r>
    </w:p>
    <w:p>
      <w:pPr>
        <w:pStyle w:val="BookText"/>
        <w:rPr/>
      </w:pP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ملاك السفرة الأولى؟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من هنا إلى طهران، ثم من طهران إلى مشهد، فهل هي سفرة واحدة أو سفرتان؟ ولو سافر من كربلاء إلى مكة خلال ثلاثين يوماً، ونام ثلاثين ليلة، فهل هي سفرة واحدة أو ثلاثين سفرة؟ وهل كلّ توقف ثم انطلاق يكون ملاكاً للسفر، ولو كان التوقف للطعام مثلاً؟</w:t>
      </w:r>
    </w:p>
    <w:p>
      <w:pPr>
        <w:pStyle w:val="BookText"/>
        <w:rPr/>
      </w:pPr>
      <w:r>
        <w:rPr>
          <w:rFonts w:ascii="Amiri" w:hAnsi="Amiri" w:eastAsia="Amiri" w:cs="Amiri"/>
          <w:color w:val="111111"/>
          <w:sz w:val="28"/>
          <w:sz w:val="28"/>
          <w:szCs w:val="28"/>
          <w:rtl w:val="true"/>
          <w:lang w:bidi="ar-SA"/>
        </w:rPr>
        <w:t>يرى العرف في مثل سفرة مشهد أنها سفرة واحدة، وفي سفر الحج إلى مكة والمدينة يراها سفرتين،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عنواناً في الأدلة،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السفر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1508"/>
      </w:r>
      <w:r>
        <w:rPr>
          <w:rFonts w:ascii="Amiri" w:hAnsi="Amiri" w:eastAsia="Amiri" w:cs="Amiri"/>
          <w:color w:val="111111"/>
          <w:sz w:val="28"/>
          <w:sz w:val="28"/>
          <w:szCs w:val="28"/>
          <w:rtl w:val="true"/>
          <w:lang w:bidi="ar-SA"/>
        </w:rPr>
        <w:t>، إلاّ أنّه عدل أخيراً في الاستفتاءات، واعتبره عنواناً برأسه</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القياس، بل إما إلغاء الخصوصية عرفاً، أو أنّ ذلك ذكر مثالاً في الروايات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صدق العنوان على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للنفي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943" w:name="pg15697_169202"/>
    </w:p>
    <w:p>
      <w:pPr>
        <w:pStyle w:val="BookText"/>
        <w:rPr/>
      </w:pPr>
      <w:bookmarkEnd w:id="943"/>
      <w:r>
        <w:rPr>
          <w:rFonts w:ascii="Amiri" w:hAnsi="Amiri" w:eastAsia="Amiri" w:cs="Amiri"/>
          <w:color w:val="111111"/>
          <w:sz w:val="28"/>
          <w:sz w:val="28"/>
          <w:szCs w:val="28"/>
          <w:rtl w:val="true"/>
          <w:lang w:bidi="ar-SA"/>
        </w:rPr>
        <w:t>متعددة</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 نعم في هذه الأيام حيث الوسائل السريعة الموجبة لأن لا تطول السفرة أكثر من عشرة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لا يكون الحلمدار من كثير السفر حاله حال أمير البيدر إذا لم يطل رقابته للبيادر إلا عشرة أيام وما أشبه، فليس حينئذٍ داخلاً في عنوان الرواية، ولو شك في مكان كان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w:t>
      </w:r>
      <w:r>
        <w:rPr>
          <w:rFonts w:eastAsia="Amiri" w:cs="Amiri" w:ascii="Amiri" w:hAnsi="Amiri"/>
          <w:color w:val="111111"/>
          <w:sz w:val="28"/>
          <w:szCs w:val="28"/>
          <w:rtl w:val="true"/>
          <w:lang w:bidi="ar-SA"/>
        </w:rPr>
        <w:t>.</w:t>
      </w:r>
    </w:p>
    <w:p>
      <w:pPr>
        <w:pStyle w:val="Heading2"/>
        <w:numPr>
          <w:ilvl w:val="1"/>
          <w:numId w:val="1"/>
        </w:numPr>
        <w:rPr/>
      </w:pPr>
      <w:bookmarkStart w:id="944" w:name="__RefHeading___Toc11915704_2142443653"/>
      <w:bookmarkStart w:id="945" w:name="_Toc339"/>
      <w:bookmarkEnd w:id="944"/>
      <w:r>
        <w:rPr>
          <w:rtl w:val="true"/>
        </w:rPr>
        <w:t>المبلغون وكيفية الصلاة</w:t>
      </w:r>
      <w:bookmarkEnd w:id="9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Style w:val="FootnoteAnchor"/>
          <w:rtl w:val="true"/>
        </w:rPr>
        <w:footnoteReference w:id="1510"/>
      </w:r>
      <w:r>
        <w:rPr>
          <w:rFonts w:ascii="Amiri" w:hAnsi="Amiri" w:eastAsia="Amiri" w:cs="Amiri"/>
          <w:color w:val="111111"/>
          <w:sz w:val="28"/>
          <w:sz w:val="28"/>
          <w:szCs w:val="28"/>
          <w:rtl w:val="true"/>
          <w:lang w:bidi="ar-SA"/>
        </w:rPr>
        <w:t xml:space="preserve"> أنّ قرّاء تعزية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يذهبون في شهري محرم وصفر وشهر رمضان لأجل القراءة وتكون لهم مجالس في مختلف المناطق التي بينها المسافة أو أقل</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xml:space="preserve">، حيث يذهبون إلى تلك المجالس في كل يوم، حالهم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أنّه يتعيش بهذه الأيام العشرة طول السنة فهل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وخاصة إذا لم يعمل عملاً آخر؟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صدق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في السفر عليه، أو الاستصحاب الحكمي لو سافر 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التنجيزي لو شكّ في الانقلاب بعد بدء السفر أو جميعها معاً، على بعض المباني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السفر حينئذٍ،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يصدق عليه الاستقرار حينئذ، فيكون مسافراً دائماً،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للكويت ومنها للجهراء كلّ يوم، فلا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946" w:name="pg15697_169203"/>
    </w:p>
    <w:p>
      <w:pPr>
        <w:pStyle w:val="BookText"/>
        <w:rPr/>
      </w:pPr>
      <w:bookmarkEnd w:id="9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لشمول الأدلة لهم أيضاً، فيعدون من كثير السفر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فصلاتهم وصيامهم تمام،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مثل هذا الزمان لا يعدّ القارئ</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من كثير السفر للوسائل الحديثة، كما أشرنا إلى ذلك في شرح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947" w:name="__RefHeading___Toc11915706_2142443653"/>
      <w:bookmarkStart w:id="948" w:name="_Toc340"/>
      <w:bookmarkEnd w:id="947"/>
      <w:r>
        <w:rPr>
          <w:rtl w:val="true"/>
        </w:rPr>
        <w:t>حكم الصيام للفئات المتقدمة</w:t>
      </w:r>
      <w:bookmarkEnd w:id="9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الصوم حال الصلاة في المسائل المتقدمة، فكلما</w:t>
      </w:r>
      <w:r>
        <w:rPr>
          <w:rStyle w:val="FootnoteAnchor"/>
          <w:rtl w:val="true"/>
        </w:rPr>
        <w:footnoteReference w:id="1513"/>
      </w:r>
      <w:r>
        <w:rPr>
          <w:rFonts w:ascii="Amiri" w:hAnsi="Amiri" w:eastAsia="Amiri" w:cs="Amiri"/>
          <w:color w:val="111111"/>
          <w:sz w:val="28"/>
          <w:sz w:val="28"/>
          <w:szCs w:val="28"/>
          <w:rtl w:val="true"/>
          <w:lang w:bidi="ar-SA"/>
        </w:rPr>
        <w:t xml:space="preserve"> أتم الإنسان صام، كما أنه كلما قصر أفطر، إلا في الموارد المستثناة</w:t>
      </w:r>
      <w:r>
        <w:rPr>
          <w:rStyle w:val="FootnoteAnchor"/>
          <w:rtl w:val="true"/>
        </w:rPr>
        <w:footnoteReference w:id="1514"/>
      </w:r>
      <w:r>
        <w:rPr>
          <w:rFonts w:ascii="Amiri" w:hAnsi="Amiri" w:eastAsia="Amiri" w:cs="Amiri"/>
          <w:color w:val="111111"/>
          <w:sz w:val="28"/>
          <w:sz w:val="28"/>
          <w:szCs w:val="28"/>
          <w:rtl w:val="true"/>
          <w:lang w:bidi="ar-SA"/>
        </w:rPr>
        <w:t xml:space="preserve"> 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التلازم في المستثنى منه، ودليل الاستثناء في المستثنى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يصدق أنّه أقام في الكويت فيكون دائماً مسافراً، وكذا في كربلاء والحرّ سابقاً، والشام والزينبية سابقاً، والكوفة والنجف سابقاً، وبغداد والكاظمية سابقاً</w:t>
      </w:r>
      <w:r>
        <w:rPr>
          <w:rFonts w:eastAsia="Amiri" w:cs="Amiri" w:ascii="Amiri" w:hAnsi="Amiri"/>
          <w:color w:val="111111"/>
          <w:sz w:val="28"/>
          <w:szCs w:val="28"/>
          <w:rtl w:val="true"/>
          <w:lang w:bidi="ar-SA"/>
        </w:rPr>
        <w:t>.</w:t>
      </w:r>
    </w:p>
    <w:p>
      <w:pPr>
        <w:pStyle w:val="BookText"/>
        <w:rPr/>
      </w:pP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التأمّل</w:t>
      </w:r>
      <w:r>
        <w:rPr>
          <w:rStyle w:val="FootnoteAnchor"/>
          <w:rtl w:val="true"/>
        </w:rPr>
        <w:footnoteReference w:id="1516"/>
      </w:r>
      <w:r>
        <w:rPr>
          <w:rFonts w:ascii="Amiri" w:hAnsi="Amiri" w:eastAsia="Amiri" w:cs="Amiri"/>
          <w:color w:val="111111"/>
          <w:sz w:val="28"/>
          <w:sz w:val="28"/>
          <w:szCs w:val="28"/>
          <w:rtl w:val="true"/>
          <w:lang w:bidi="ar-SA"/>
        </w:rPr>
        <w:t>في عنوانية 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هنا قواعد أربعاً، بضميمة كلما صام أتم، وكلما أفطر قصر، راجع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شرائط وجوب الصوم</w:t>
      </w:r>
      <w:r>
        <w:rPr>
          <w:rFonts w:eastAsia="Amiri" w:cs="Amiri" w:ascii="Amiri" w:hAnsi="Amiri"/>
          <w:color w:val="111111"/>
          <w:sz w:val="28"/>
          <w:szCs w:val="28"/>
          <w:rtl w:val="true"/>
          <w:lang w:bidi="ar-SA"/>
        </w:rPr>
        <w:t>)</w:t>
      </w:r>
      <w:r>
        <w:rPr>
          <w:rStyle w:val="FootnoteAnchor"/>
          <w:rtl w:val="true"/>
        </w:rPr>
        <w:footnoteReference w:id="1518"/>
      </w:r>
      <w:r>
        <w:rPr>
          <w:rFonts w:ascii="IRNazanin" w:hAnsi="IRNazanin" w:eastAsia="IRNazanin"/>
          <w:color w:val="111111"/>
          <w:sz w:val="28"/>
          <w:sz w:val="28"/>
          <w:szCs w:val="28"/>
          <w:rtl w:val="true"/>
          <w:lang w:bidi="fa-IR"/>
        </w:rPr>
        <w:t>، وتأمل</w:t>
      </w:r>
      <w:r>
        <w:rPr>
          <w:rFonts w:eastAsia="IRNazanin" w:cs="IRNazanin"/>
          <w:color w:val="111111"/>
          <w:sz w:val="28"/>
          <w:szCs w:val="28"/>
          <w:rtl w:val="true"/>
          <w:lang w:bidi="fa-IR"/>
        </w:rPr>
        <w:t>.</w:t>
      </w:r>
    </w:p>
    <w:p>
      <w:pPr>
        <w:pStyle w:val="BookText"/>
        <w:rPr/>
      </w:pP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العروة كتاب الصوم</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949" w:name="pg15697_169204"/>
    </w:p>
    <w:p>
      <w:pPr>
        <w:pStyle w:val="Heading2"/>
        <w:numPr>
          <w:ilvl w:val="1"/>
          <w:numId w:val="1"/>
        </w:numPr>
        <w:rPr/>
      </w:pPr>
      <w:bookmarkStart w:id="950" w:name="__RefHeading___Toc11915708_2142443653"/>
      <w:bookmarkStart w:id="951" w:name="_Toc341"/>
      <w:bookmarkEnd w:id="949"/>
      <w:bookmarkEnd w:id="950"/>
      <w:r>
        <w:rPr>
          <w:rtl w:val="true"/>
        </w:rPr>
        <w:t>لا جمارك ولا تهريب في الإسلام</w:t>
      </w:r>
      <w:bookmarkEnd w:id="95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جمارك في الإسلام ولا تهريب، وإنما المحرم التعامل بالأمور المحرمة، مثل الخمر والخنزير وما أشبههما، نعم إذا كان عدم إعطاء الكمرك أو التهريب خطراً</w:t>
      </w:r>
      <w:r>
        <w:rPr>
          <w:rStyle w:val="FootnoteAnchor"/>
          <w:rtl w:val="true"/>
        </w:rPr>
        <w:footnoteReference w:id="1521"/>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النفس وضرراً بالغاً لم يجز بعنوان ثانوي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العنوان الثانوي يقدر بقدره،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فتح الحدود بين بلد إسلامي وبلد كافر يوجب دخول البضائع الأجنبية بما يضرر اقتصاد بلد الإسلام أو خروج البضائع الإسلامية بما يضرر الناس</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كان اللازم على الدولة الإسلامية الوقوف دون الضرر، وذلك بأية كيفية تكون أقرب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إلى الحرية الإسلامية، لا أن يضع الجمرك فإنه</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Style w:val="FootnoteAnchor"/>
          <w:rtl w:val="true"/>
        </w:rPr>
        <w:footnoteReference w:id="1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عنوانان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خطر على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خطر على الأمة،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الشرح إلى الثاني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في مثل هذه العهود تحكم البلاد على أثر الأحكام الوضعية، فأصبح ذلك ضرورياً في كثير من الأحيان، وإلا تحطم اقتصاد البلد أمام المنافسة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ضوابط الضرر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الجمارك على بعض الحدود دون بعض، وبعض البضائع، وبعض الأزمنة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محرم شديد، كما أن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الجمرك عموماً</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كما لا يخفى، وقد فصلنا ذلك في بعض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حال التهريب، فإنّ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من وجه، ويمكن تحديد الأمر بتشكيل الدولة الإسلامية لجاناً مركبة من الإسلاميين</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المطلعين والأخصائيين</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لتحديد الأمر، ومع ذلك فليس التحديد له صبغة القانون، بل الاستثناء والوقتية ما دامت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التدافع، وكذلك حال ما إذا اصطدمت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الحريات الإسلامية في مختلف الأبعاد، هذا ويشترط في تطبيق العناوين الثانوية العامة فتوى 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 ضرر في الصلاة القيامية مثلاً، وقد يكون جمرك بلا ضرر، وقد يتحدان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عرض الأمر على المجتهدين أو كونهم بأنفسهم مجتهدين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الأمر بحاجة إلى معرفة الحكم والموضوع، ويتكفل بالأول الإسلاميون والثاني الأخصائيون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وبحدود التدافع لا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أنّها هي الحاكمة في البلاد، ومع عدم الإمكان يكفي فتوى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 الحاكم نافذ أو لا</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الأمر يرتبط بالمقلد، أمّا المجتهد فإذا شخص الضرر البالغ حكّمه بالقوة،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الإمكان فعدول المؤمنين، إلى آخر المراتب المذكورة في كتاب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952" w:name="pg15697_169206"/>
    </w:p>
    <w:p>
      <w:pPr>
        <w:pStyle w:val="Heading2"/>
        <w:numPr>
          <w:ilvl w:val="1"/>
          <w:numId w:val="1"/>
        </w:numPr>
        <w:rPr/>
      </w:pPr>
      <w:bookmarkStart w:id="953" w:name="__RefHeading___Toc11915710_2142443653"/>
      <w:bookmarkStart w:id="954" w:name="_Toc342"/>
      <w:bookmarkEnd w:id="952"/>
      <w:bookmarkEnd w:id="953"/>
      <w:r>
        <w:rPr>
          <w:rtl w:val="true"/>
        </w:rPr>
        <w:t>لا حدود جغرافية في الإسلام</w:t>
      </w:r>
      <w:bookmarkEnd w:id="95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حدود</w:t>
      </w:r>
      <w:r>
        <w:rPr>
          <w:rStyle w:val="FootnoteAnchor"/>
          <w:rtl w:val="true"/>
        </w:rPr>
        <w:footnoteReference w:id="1525"/>
      </w:r>
      <w:r>
        <w:rPr>
          <w:rFonts w:ascii="Amiri" w:hAnsi="Amiri" w:eastAsia="Amiri" w:cs="Amiri"/>
          <w:color w:val="111111"/>
          <w:sz w:val="28"/>
          <w:sz w:val="28"/>
          <w:szCs w:val="28"/>
          <w:rtl w:val="true"/>
          <w:lang w:bidi="ar-SA"/>
        </w:rPr>
        <w:t xml:space="preserve"> في الإسلام للبلاد، فالذهاب والمجيء، والسفر والإقامة، كلها حق للمسلم بما منحه الإسلام من الحرية، ولا مانع شرعاً من كل ذلك، إلا إذا كان خطراً وضرراً كما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هنا كالكلام في المسألة السابقة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في كيفية الجمع بين الأمرين، وإن الذي يوضع جمعاً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له صبغة الوقتية لا القانونية، ثم إذا أثبت بعض من يريد السفر أو البقاء أو إدخال بضاعة أو عملة صعبة أو إخراجها أنه ليس من مورد الضرر ونحوه، وقد أخذ منه حسب القانون الموضوع مؤقّتاً شيء أو سببوا له ضرراً وجب على بيت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خلاف الحرية الإسلامية، وخلاف الأمة الواحدة، المدلول عليها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وَاحِدَةً</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حواشينا عليها</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والثانوي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955" w:name="pg15697_169207"/>
    </w:p>
    <w:p>
      <w:pPr>
        <w:pStyle w:val="BookText"/>
        <w:rPr/>
      </w:pPr>
      <w:bookmarkEnd w:id="955"/>
      <w:r>
        <w:rPr>
          <w:rFonts w:ascii="Amiri" w:hAnsi="Amiri" w:eastAsia="Amiri" w:cs="Amiri"/>
          <w:color w:val="111111"/>
          <w:sz w:val="28"/>
          <w:sz w:val="28"/>
          <w:szCs w:val="28"/>
          <w:rtl w:val="true"/>
          <w:lang w:bidi="ar-SA"/>
        </w:rPr>
        <w:t>تداركه</w:t>
      </w:r>
      <w:r>
        <w:rPr>
          <w:rStyle w:val="FootnoteAnchor"/>
          <w:rtl w:val="true"/>
        </w:rPr>
        <w:footnoteReference w:id="1532"/>
      </w:r>
      <w:r>
        <w:rPr>
          <w:rFonts w:ascii="Amiri" w:hAnsi="Amiri" w:eastAsia="Amiri" w:cs="Amiri"/>
          <w:color w:val="111111"/>
          <w:sz w:val="28"/>
          <w:sz w:val="28"/>
          <w:szCs w:val="28"/>
          <w:rtl w:val="true"/>
          <w:lang w:bidi="ar-SA"/>
        </w:rPr>
        <w:t xml:space="preserve">، كما تقدم في مسألة الألبان لأجل الوباء المشتبه في بعضها، إذ ليس الجمع بين الدليلين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تطّرد، بل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خاصة بمورد المشكلة</w:t>
      </w:r>
      <w:r>
        <w:rPr>
          <w:rFonts w:eastAsia="Amiri" w:cs="Amiri" w:ascii="Amiri" w:hAnsi="Amiri"/>
          <w:color w:val="111111"/>
          <w:sz w:val="28"/>
          <w:szCs w:val="28"/>
          <w:rtl w:val="true"/>
          <w:lang w:bidi="ar-SA"/>
        </w:rPr>
        <w:t>.</w:t>
      </w:r>
    </w:p>
    <w:p>
      <w:pPr>
        <w:pStyle w:val="Heading2"/>
        <w:numPr>
          <w:ilvl w:val="1"/>
          <w:numId w:val="1"/>
        </w:numPr>
        <w:rPr/>
      </w:pPr>
      <w:bookmarkStart w:id="956" w:name="__RefHeading___Toc11915712_2142443653"/>
      <w:bookmarkStart w:id="957" w:name="_Toc343"/>
      <w:bookmarkEnd w:id="956"/>
      <w:r>
        <w:rPr>
          <w:rtl w:val="true"/>
        </w:rPr>
        <w:t>حرية الحيازة والتحجير</w:t>
      </w:r>
      <w:bookmarkEnd w:id="95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حيازة المباحات وتحجير الأراضي والعمارة وما أشبهها، كلها جائزة</w:t>
      </w:r>
      <w:r>
        <w:rPr>
          <w:rStyle w:val="FootnoteAnchor"/>
          <w:rtl w:val="true"/>
        </w:rPr>
        <w:footnoteReference w:id="1534"/>
      </w:r>
      <w:r>
        <w:rPr>
          <w:rFonts w:ascii="Amiri" w:hAnsi="Amiri" w:eastAsia="Amiri" w:cs="Amiri"/>
          <w:color w:val="111111"/>
          <w:sz w:val="28"/>
          <w:sz w:val="28"/>
          <w:szCs w:val="28"/>
          <w:rtl w:val="true"/>
          <w:lang w:bidi="ar-SA"/>
        </w:rPr>
        <w:t xml:space="preserve"> في الإسلام، فلا يقيد الإنسان بقيود تفرضها السلطات حول هذه الأمور، ويجوز للإنسان مزاولة حرياته الإسلامية في هذه الأمور، إلا إذا كان خطراً وضرراً،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القضاة من بيت المال</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بيت المال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خاص بأصل التشريع من قبل الشارع،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أشق على أمتي </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 وأمّا ما نحن فيه فالملاك الضرر، وقد ثبت أنّه لا ضرر في هذا المورد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للحرية الإسلامية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لم يسبق</w:t>
      </w:r>
      <w:r>
        <w:rPr>
          <w:rFonts w:eastAsia="Amiri" w:cs="Amiri" w:ascii="Amiri" w:hAnsi="Amiri"/>
          <w:color w:val="111111"/>
          <w:sz w:val="28"/>
          <w:szCs w:val="28"/>
          <w:rtl w:val="true"/>
          <w:lang w:bidi="ar-SA"/>
        </w:rPr>
        <w:t>»</w:t>
      </w:r>
      <w:r>
        <w:rPr>
          <w:rStyle w:val="FootnoteAnchor"/>
          <w:rtl w:val="true"/>
        </w:rPr>
        <w:footnoteReference w:id="15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إحياء الموات</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958" w:name="pg15697_169208"/>
    </w:p>
    <w:p>
      <w:pPr>
        <w:pStyle w:val="BookText"/>
        <w:rPr/>
      </w:pPr>
      <w:bookmarkEnd w:id="9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ذلك خطراً أو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نادر، كالضرر في الغسل والوضوء والصوم، والضرر يقدر بقدره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نعم يجب أن لا يتعدى</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إنسان في هذه الأمور على حق الآخرين ولا حق الأجيال، كما ذكرنا تفصيله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2"/>
        <w:numPr>
          <w:ilvl w:val="1"/>
          <w:numId w:val="1"/>
        </w:numPr>
        <w:rPr/>
      </w:pPr>
      <w:bookmarkStart w:id="959" w:name="__RefHeading___Toc11915714_2142443653"/>
      <w:bookmarkStart w:id="960" w:name="_Toc344"/>
      <w:bookmarkEnd w:id="959"/>
      <w:r>
        <w:rPr>
          <w:rtl w:val="true"/>
        </w:rPr>
        <w:t>الضرائب الإسلامية الواجبة</w:t>
      </w:r>
      <w:bookmarkEnd w:id="96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والزكاة</w:t>
      </w:r>
      <w:r>
        <w:rPr>
          <w:rStyle w:val="FootnoteAnchor"/>
          <w:rtl w:val="true"/>
        </w:rPr>
        <w:footnoteReference w:id="1543"/>
      </w:r>
      <w:r>
        <w:rPr>
          <w:rFonts w:ascii="Amiri" w:hAnsi="Amiri" w:eastAsia="Amiri" w:cs="Amiri"/>
          <w:color w:val="111111"/>
          <w:sz w:val="28"/>
          <w:sz w:val="28"/>
          <w:szCs w:val="28"/>
          <w:rtl w:val="true"/>
          <w:lang w:bidi="ar-SA"/>
        </w:rPr>
        <w:t xml:space="preserve"> هما فقط ضريبة الإسلام للمسلم، فلا يجب على الإنسان المسلم إعطاء سائر الضرائب إطلاقاً، إلا إذا كان عدم الإعطاء خطراً</w:t>
      </w:r>
      <w:r>
        <w:rPr>
          <w:rStyle w:val="FootnoteAnchor"/>
          <w:rtl w:val="true"/>
        </w:rPr>
        <w:footnoteReference w:id="1544"/>
      </w:r>
      <w:r>
        <w:rPr>
          <w:rFonts w:ascii="Amiri" w:hAnsi="Amiri" w:eastAsia="Amiri" w:cs="Amiri"/>
          <w:color w:val="111111"/>
          <w:sz w:val="28"/>
          <w:sz w:val="28"/>
          <w:szCs w:val="28"/>
          <w:rtl w:val="true"/>
          <w:lang w:bidi="ar-SA"/>
        </w:rPr>
        <w:t xml:space="preserve"> وضرراً،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المستثنى هو كما لو اتفقت حرب بين المسلمين والكفار، ولم يكف بيت المال لسد النفقات، ولم يمكن جمع التبرّعات، فإنه حينئذٍ يجب على</w:t>
      </w:r>
    </w:p>
    <w:p>
      <w:pPr>
        <w:pStyle w:val="BookText"/>
        <w:rPr/>
      </w:pP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توضيحه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 xml:space="preserve">، لكن فيه نظر؛ إذ هو ليس بمعنى توزيع الكل على الكل، كما ذكروا نظيره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مورد لا للجميع، وكذا وقف المدرسة للطلاب، إلاّ أن يوجب الهرج والمرج، أو ما علم أنّ الشارع لا يريد وقوعه في الخارج، والمسألة بحاجة إلى مراجعة وتأمل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 أو نوعياً، كما سبق</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961" w:name="pg15697_169209"/>
    </w:p>
    <w:p>
      <w:pPr>
        <w:pStyle w:val="BookText"/>
        <w:rPr/>
      </w:pPr>
      <w:bookmarkEnd w:id="961"/>
      <w:r>
        <w:rPr>
          <w:rFonts w:ascii="Amiri" w:hAnsi="Amiri" w:eastAsia="Amiri" w:cs="Amiri"/>
          <w:color w:val="111111"/>
          <w:sz w:val="28"/>
          <w:sz w:val="28"/>
          <w:szCs w:val="28"/>
          <w:rtl w:val="true"/>
          <w:lang w:bidi="ar-SA"/>
        </w:rPr>
        <w:t>المسلمين بذل المال؛ لوجوب</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بالنفس والمال، ولأنه حينئذ من الأهم والمهم</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ولو أمكن الاقتراض ثم سده من بيت المال في المستقبل كان مقدماً</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عليهم</w:t>
      </w:r>
      <w:r>
        <w:rPr>
          <w:rFonts w:eastAsia="Amiri" w:cs="Amiri" w:ascii="Amiri" w:hAnsi="Amiri"/>
          <w:color w:val="111111"/>
          <w:sz w:val="28"/>
          <w:szCs w:val="28"/>
          <w:rtl w:val="true"/>
          <w:lang w:bidi="ar-SA"/>
        </w:rPr>
        <w:t>.</w:t>
      </w:r>
    </w:p>
    <w:p>
      <w:pPr>
        <w:pStyle w:val="Heading2"/>
        <w:numPr>
          <w:ilvl w:val="1"/>
          <w:numId w:val="1"/>
        </w:numPr>
        <w:rPr/>
      </w:pPr>
      <w:bookmarkStart w:id="962" w:name="__RefHeading___Toc11915716_2142443653"/>
      <w:bookmarkStart w:id="963" w:name="_Toc345"/>
      <w:bookmarkEnd w:id="962"/>
      <w:r>
        <w:rPr>
          <w:rtl w:val="true"/>
        </w:rPr>
        <w:t>جواز التمثيل على المسرح</w:t>
      </w:r>
      <w:bookmarkEnd w:id="9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التمثيلية حلال، بشرط أن لا تكون مكذوبة</w:t>
      </w:r>
      <w:r>
        <w:rPr>
          <w:rStyle w:val="FootnoteAnchor"/>
          <w:rtl w:val="true"/>
        </w:rPr>
        <w:footnoteReference w:id="1548"/>
      </w:r>
      <w:r>
        <w:rPr>
          <w:rFonts w:ascii="Amiri" w:hAnsi="Amiri" w:eastAsia="Amiri" w:cs="Amiri"/>
          <w:color w:val="111111"/>
          <w:sz w:val="28"/>
          <w:sz w:val="28"/>
          <w:szCs w:val="28"/>
          <w:rtl w:val="true"/>
          <w:lang w:bidi="ar-SA"/>
        </w:rPr>
        <w:t>، ولا مختلطة بالمحرم، ولا محرمة من جهة أخرى كترويج الباطل</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الأخذ أمر بالمعروف عملاً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الزكاة من بعض ما لا تجب فيه الزكاة وذلك للضرورة</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ولكن ذلك يتقدر ويقيد بالضرورة ومقدارها؛ ولذا لم يأخذ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الضرائب إطلاقاً مع كونه في حالة حرب دائمة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الضرورات تقدر بقدرها، وأخذ العين فقط بلا أخذ البدل أيضاً أقرب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ينسب قولاً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التمثيليات المجعولة كلها مع وضوح أنّها 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غرار كليلة ودمنة</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 كذباً عرفاً</w:t>
      </w:r>
      <w:r>
        <w:rPr>
          <w:rFonts w:eastAsia="Amiri" w:cs="Amiri" w:ascii="Amiri" w:hAnsi="Amiri"/>
          <w:color w:val="111111"/>
          <w:sz w:val="28"/>
          <w:szCs w:val="28"/>
          <w:rtl w:val="true"/>
          <w:lang w:bidi="ar-SA"/>
        </w:rPr>
        <w:t>.</w:t>
      </w:r>
    </w:p>
    <w:p>
      <w:pPr>
        <w:pStyle w:val="BookText"/>
        <w:rPr/>
      </w:pP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كالهتك لحرمة، خاصة حرمة النبي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964" w:name="pg15697_169210"/>
    </w:p>
    <w:p>
      <w:pPr>
        <w:pStyle w:val="BookText"/>
        <w:rPr/>
      </w:pPr>
      <w:bookmarkEnd w:id="9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أصل الحل فلأدلته، والاستثناءات هي على القاعدة، وما يقال في التمثيلية يقال في السينما وغيرها من وسائل التفريح المحللة</w:t>
      </w:r>
      <w:r>
        <w:rPr>
          <w:rFonts w:eastAsia="Amiri" w:cs="Amiri" w:ascii="Amiri" w:hAnsi="Amiri"/>
          <w:color w:val="111111"/>
          <w:sz w:val="28"/>
          <w:szCs w:val="28"/>
          <w:rtl w:val="true"/>
          <w:lang w:bidi="ar-SA"/>
        </w:rPr>
        <w:t>.</w:t>
      </w:r>
    </w:p>
    <w:p>
      <w:pPr>
        <w:pStyle w:val="Heading2"/>
        <w:numPr>
          <w:ilvl w:val="1"/>
          <w:numId w:val="1"/>
        </w:numPr>
        <w:rPr/>
      </w:pPr>
      <w:bookmarkStart w:id="965" w:name="__RefHeading___Toc11915718_2142443653"/>
      <w:bookmarkStart w:id="966" w:name="_Toc346"/>
      <w:bookmarkEnd w:id="965"/>
      <w:r>
        <w:rPr>
          <w:rtl w:val="true"/>
        </w:rPr>
        <w:t>المعاهدات العسكرية</w:t>
      </w:r>
      <w:bookmarkEnd w:id="96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الاتفاقات العسكرية إذا كانت في نفع المسلمين</w:t>
      </w:r>
      <w:r>
        <w:rPr>
          <w:rStyle w:val="FootnoteAnchor"/>
          <w:rtl w:val="true"/>
        </w:rPr>
        <w:footnoteReference w:id="1554"/>
      </w:r>
      <w:r>
        <w:rPr>
          <w:rFonts w:ascii="Amiri" w:hAnsi="Amiri" w:eastAsia="Amiri" w:cs="Amiri"/>
          <w:color w:val="111111"/>
          <w:sz w:val="28"/>
          <w:sz w:val="28"/>
          <w:szCs w:val="28"/>
          <w:rtl w:val="true"/>
          <w:lang w:bidi="ar-SA"/>
        </w:rPr>
        <w:t>، كانت محللة</w:t>
      </w:r>
      <w:r>
        <w:rPr>
          <w:rStyle w:val="FootnoteAnchor"/>
          <w:rtl w:val="true"/>
        </w:rPr>
        <w:footnoteReference w:id="1555"/>
      </w:r>
      <w:r>
        <w:rPr>
          <w:rFonts w:ascii="Amiri" w:hAnsi="Amiri" w:eastAsia="Amiri" w:cs="Amiri"/>
          <w:color w:val="111111"/>
          <w:sz w:val="28"/>
          <w:sz w:val="28"/>
          <w:szCs w:val="28"/>
          <w:rtl w:val="true"/>
          <w:lang w:bidi="ar-SA"/>
        </w:rPr>
        <w:t>، بل واجبة إذا سببت درء الخطر عن بلاد الإسلام، وإذا كانت في ضرر المسلمين كانت محرمة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والحرمة حسب الأدلة العامة، لكن يجب أن تكون الاتفاقية حسب أدق</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الموازين العلمية، مما ينظمها الأخصائيون زمنياً ودينياً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وذلك ما لا يمكن في الحكومات المستبدة إطلاقاً</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خصوصاً إذا كانت</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Style w:val="FootnoteAnchor"/>
          <w:rtl w:val="true"/>
        </w:rPr>
        <w:footnoteReference w:id="1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الإسلام</w:t>
      </w:r>
      <w:r>
        <w:rPr>
          <w:rFonts w:eastAsia="IRNazanin" w:cs="IRNazanin"/>
          <w:color w:val="111111"/>
          <w:sz w:val="28"/>
          <w:szCs w:val="28"/>
          <w:rtl w:val="true"/>
          <w:lang w:bidi="fa-IR"/>
        </w:rPr>
        <w:t>.</w:t>
      </w:r>
    </w:p>
    <w:p>
      <w:pPr>
        <w:pStyle w:val="BookText"/>
        <w:rPr/>
      </w:pP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للأدلة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اليهود ومع المشركين في الحديبية، وكذا هدنة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أُمور دقيقة وتكثر فيها القرارات، والأمور متشابكة بين الحاضر والمستقبل، والداخل والخارج والسياسة والاقتصاد والاجتماع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لابدّ من مراعاة منتهى الدقة،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المسألة </w:t>
      </w:r>
      <w:r>
        <w:rPr>
          <w:rFonts w:eastAsia="Amiri" w:cs="Amiri" w:ascii="Amiri" w:hAnsi="Amiri"/>
          <w:color w:val="111111"/>
          <w:sz w:val="28"/>
          <w:szCs w:val="28"/>
          <w:lang w:bidi="ar-SA"/>
        </w:rPr>
        <w:t>339</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الحاكم فيها رأي الفرد، وهو عرضة لاتباع الهوى، كما أنّه لا يرى الأُمور من كافّة أطرافها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شاركها في عقولها</w:t>
      </w:r>
      <w:r>
        <w:rPr>
          <w:rFonts w:eastAsia="Amiri" w:cs="Amiri" w:ascii="Amiri" w:hAnsi="Amiri"/>
          <w:color w:val="111111"/>
          <w:sz w:val="28"/>
          <w:szCs w:val="28"/>
          <w:rtl w:val="true"/>
          <w:lang w:bidi="ar-SA"/>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967" w:name="pg15697_169211"/>
    </w:p>
    <w:p>
      <w:pPr>
        <w:pStyle w:val="BookText"/>
        <w:rPr/>
      </w:pPr>
      <w:bookmarkEnd w:id="967"/>
      <w:r>
        <w:rPr>
          <w:rFonts w:ascii="Amiri" w:hAnsi="Amiri" w:eastAsia="Amiri" w:cs="Amiri"/>
          <w:color w:val="111111"/>
          <w:sz w:val="28"/>
          <w:sz w:val="28"/>
          <w:szCs w:val="28"/>
          <w:rtl w:val="true"/>
          <w:lang w:bidi="ar-SA"/>
        </w:rPr>
        <w:t>الحكومة التي هي في الطرف المقابل استشارية</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8" w:name="__RefHeading___Toc11915720_2142443653"/>
      <w:bookmarkStart w:id="969" w:name="_Toc347"/>
      <w:bookmarkEnd w:id="968"/>
      <w:r>
        <w:rPr>
          <w:rtl w:val="true"/>
        </w:rPr>
        <w:t>الاتفاقيات الاقتصادية</w:t>
      </w:r>
      <w:bookmarkEnd w:id="96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الاتفاقيات</w:t>
      </w:r>
      <w:r>
        <w:rPr>
          <w:rStyle w:val="FootnoteAnchor"/>
          <w:rtl w:val="true"/>
        </w:rPr>
        <w:footnoteReference w:id="1562"/>
      </w:r>
      <w:r>
        <w:rPr>
          <w:rFonts w:ascii="Amiri" w:hAnsi="Amiri" w:eastAsia="Amiri" w:cs="Amiri"/>
          <w:color w:val="111111"/>
          <w:sz w:val="28"/>
          <w:sz w:val="28"/>
          <w:szCs w:val="28"/>
          <w:rtl w:val="true"/>
          <w:lang w:bidi="ar-SA"/>
        </w:rPr>
        <w:t xml:space="preserve"> حول التجارة والصناعة والزراعة وما أشبه بين بلاد الإسلام بعضها مع بعض، أو بين بلاد الإسلام والبلاد غير الإسلامية جائزة إذا لم تكن مضرة لبلاد الإسلام، بل واجبة إذا توقف عليها تقدم المسلمين</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درء الخطر عن البلاد، وأما إذا كانت مضرة فهي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هنا كالمسألة السابقة، كما أنّ الأمر جار في الاتفاقيات الأخر، كالثقافية والتربوية والفنية وما أشبه ذلك، ثم اللازم أن تعقد الاتفاقية بحيث إنه إذا تبدلت إلى الضرر أمكن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نقضها، وإلا لربما تحمّل المسلمون ضرراً لا يتدارك</w:t>
      </w:r>
      <w:r>
        <w:rPr>
          <w:rFonts w:eastAsia="Amiri" w:cs="Amiri" w:ascii="Amiri" w:hAnsi="Amiri"/>
          <w:color w:val="111111"/>
          <w:sz w:val="28"/>
          <w:szCs w:val="28"/>
          <w:rtl w:val="true"/>
          <w:lang w:bidi="ar-SA"/>
        </w:rPr>
        <w:t>.</w:t>
      </w:r>
    </w:p>
    <w:p>
      <w:pPr>
        <w:pStyle w:val="Heading2"/>
        <w:numPr>
          <w:ilvl w:val="1"/>
          <w:numId w:val="1"/>
        </w:numPr>
        <w:rPr/>
      </w:pPr>
      <w:bookmarkStart w:id="970" w:name="__RefHeading___Toc11915722_2142443653"/>
      <w:bookmarkStart w:id="971" w:name="_Toc348"/>
      <w:bookmarkEnd w:id="970"/>
      <w:r>
        <w:rPr>
          <w:rtl w:val="true"/>
        </w:rPr>
        <w:t>متى يجب العمل الفدائي؟</w:t>
      </w:r>
      <w:bookmarkEnd w:id="97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الفدائي إذا توقف إنقاذ بلاد الإسلام عليه وجب</w:t>
      </w:r>
      <w:r>
        <w:rPr>
          <w:rStyle w:val="FootnoteAnchor"/>
          <w:rtl w:val="true"/>
        </w:rPr>
        <w:footnoteReference w:id="156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عقولاً كثيرة في قبال عقل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يجب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لوحظ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اللازم ملاحظة عدم تشويه سمعة الإسلام، خاصة إذا تضمن ذلك</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972" w:name="pg15697_169212"/>
    </w:p>
    <w:p>
      <w:pPr>
        <w:pStyle w:val="BookText"/>
        <w:rPr/>
      </w:pPr>
      <w:bookmarkEnd w:id="972"/>
      <w:r>
        <w:rPr>
          <w:rFonts w:ascii="Amiri" w:hAnsi="Amiri" w:eastAsia="Amiri" w:cs="Amiri"/>
          <w:color w:val="111111"/>
          <w:sz w:val="28"/>
          <w:sz w:val="28"/>
          <w:szCs w:val="28"/>
          <w:rtl w:val="true"/>
          <w:lang w:bidi="ar-SA"/>
        </w:rPr>
        <w:t>والإنسان الذي يدخل في العمل الفدائي إذا كانت قيادته</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إسلامية عادلة وكان قصده</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 بلاد الإسلام إذا استشهد كان محكوماً بحكم الشهيد</w:t>
      </w:r>
      <w:r>
        <w:rPr>
          <w:rFonts w:eastAsia="Times New Roman" w:cs="Times New Roman" w:ascii="Times New Roman" w:hAnsi="Times New Roman"/>
          <w:color w:val="111111"/>
          <w:sz w:val="28"/>
          <w:szCs w:val="28"/>
          <w:lang w:val="en-US" w:bidi="en-US"/>
        </w:rPr>
        <w:t>5</w:t>
      </w:r>
      <w:r>
        <w:rPr>
          <w:rFonts w:ascii="Amiri" w:hAnsi="Amiri" w:eastAsia="Amiri" w:cs="Amiri"/>
          <w:color w:val="111111"/>
          <w:sz w:val="28"/>
          <w:sz w:val="28"/>
          <w:szCs w:val="28"/>
          <w:rtl w:val="true"/>
          <w:lang w:bidi="ar-SA"/>
        </w:rPr>
        <w:t>، إذ عمله يكون جهاداً في سبيل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لعموم أدلة الجهاد، ولحكومة قانون الأهم والمهم، وإنما يكون بحكم الشهيد في الأحكام؛ لأنه قسم من الجهاد، لكن بشرائط</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الشهيد المذكورة في محلها</w:t>
      </w:r>
      <w:r>
        <w:rPr>
          <w:rFonts w:eastAsia="Amiri" w:cs="Amiri" w:ascii="Amiri" w:hAnsi="Amiri"/>
          <w:color w:val="111111"/>
          <w:sz w:val="28"/>
          <w:szCs w:val="28"/>
          <w:rtl w:val="true"/>
          <w:lang w:bidi="ar-SA"/>
        </w:rPr>
        <w:t>.</w:t>
      </w:r>
    </w:p>
    <w:p>
      <w:pPr>
        <w:pStyle w:val="Heading2"/>
        <w:numPr>
          <w:ilvl w:val="1"/>
          <w:numId w:val="1"/>
        </w:numPr>
        <w:rPr/>
      </w:pPr>
      <w:bookmarkStart w:id="973" w:name="__RefHeading___Toc11915724_2142443653"/>
      <w:bookmarkStart w:id="974" w:name="_Toc349"/>
      <w:bookmarkEnd w:id="973"/>
      <w:r>
        <w:rPr>
          <w:rtl w:val="true"/>
        </w:rPr>
        <w:t>التزوير في التخفيضات الاقتصادية</w:t>
      </w:r>
      <w:bookmarkEnd w:id="9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التزوير بإدخال النفس في التسهيلات المعدة لقسم خاص من الناس، مثلاً إذا قررت شركة الطيران الأهلية أن تنقص من أجور الطائرة لطلبة العلوم لا يجوز لإنسان ليس من طلبة العلوم أن يسجل نفسه طالباً ليستفيد من هذه المساهلة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بعض الأبرياء، ومع التزاحم تلاحظ الأهمية، راجع ما ذكرناه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هجوماً، وإلا فالدفاع لا يحتاج إلى إذن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الحمار</w:t>
      </w:r>
      <w:r>
        <w:rPr>
          <w:rStyle w:val="FootnoteAnchor"/>
          <w:rtl w:val="true"/>
        </w:rPr>
        <w:footnoteReference w:id="1567"/>
      </w:r>
      <w:r>
        <w:rPr>
          <w:rFonts w:ascii="Amiri" w:hAnsi="Amiri" w:eastAsia="Amiri" w:cs="Amiri"/>
          <w:color w:val="111111"/>
          <w:sz w:val="28"/>
          <w:sz w:val="28"/>
          <w:szCs w:val="28"/>
          <w:rtl w:val="true"/>
          <w:lang w:bidi="ar-SA"/>
        </w:rPr>
        <w:t>وأمثاله لا تجري عليه أحكام الشهيد؛ لأنّ عمله ليس جهاداً، لأن الجهاد عبادة، والعبادة متقومة بقصد القربة، فهو كصلاة بلا قصد القربة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بشرائطه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يقتل في ميدان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975" w:name="pg15697_169213"/>
    </w:p>
    <w:p>
      <w:pPr>
        <w:pStyle w:val="BookText"/>
        <w:rPr/>
      </w:pPr>
      <w:bookmarkEnd w:id="9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من أكل أموال الناس بالباطل فيما كان التزوير يستلزم ذلك، وفيما لم يستلزم المال يكون من التصرف في سلطان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الناس، مثلاً كان السفر إلى الحج مجاناً لشركة متبرعة، لكن قررت الشركة أن يقدّم طلاب العلوم الدينية على غيرهم في الطيران فجعل نفسه من الطلاب، والمفروض أنه تزوير على من يجب احترام ماله وسلطانه من فرد أو شركة أو حكومة مشروعة أو ما أشبه ذلك، نعم في غير محترم المال والسلطان لا بأس</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بذلك، كما في الكافر الحربي</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6" w:name="__RefHeading___Toc11915726_2142443653"/>
      <w:bookmarkStart w:id="977" w:name="_Toc350"/>
      <w:bookmarkEnd w:id="976"/>
      <w:r>
        <w:rPr>
          <w:rtl w:val="true"/>
        </w:rPr>
        <w:t>حكم ما بعد التزوير</w:t>
      </w:r>
      <w:bookmarkEnd w:id="9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زوّر غير المستحق المذكور في المسألة السابقة ضمن لصاحب الشركة</w:t>
      </w:r>
      <w:r>
        <w:rPr>
          <w:rStyle w:val="FootnoteAnchor"/>
          <w:rtl w:val="true"/>
        </w:rPr>
        <w:footnoteReference w:id="1568"/>
      </w:r>
      <w:r>
        <w:rPr>
          <w:rFonts w:ascii="Amiri" w:hAnsi="Amiri" w:eastAsia="Amiri" w:cs="Amiri"/>
          <w:color w:val="111111"/>
          <w:sz w:val="28"/>
          <w:sz w:val="28"/>
          <w:szCs w:val="28"/>
          <w:rtl w:val="true"/>
          <w:lang w:bidi="ar-SA"/>
        </w:rPr>
        <w:t xml:space="preserve"> التفاوت؛ لأنه من أكل أموال الناس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الضمان فيما كان من تلف المال أو نحوه كما في المثال المذكور، وإلا كان الحكم تكليفياً محضاً</w:t>
      </w:r>
      <w:r>
        <w:rPr>
          <w:rFonts w:eastAsia="Amiri" w:cs="Amiri" w:ascii="Amiri" w:hAnsi="Amiri"/>
          <w:color w:val="111111"/>
          <w:sz w:val="28"/>
          <w:szCs w:val="28"/>
          <w:rtl w:val="true"/>
          <w:lang w:bidi="ar-SA"/>
        </w:rPr>
        <w:t>.</w:t>
      </w:r>
    </w:p>
    <w:p>
      <w:pPr>
        <w:pStyle w:val="BookText"/>
        <w:rPr/>
      </w:pP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مال امرئ إلاّ بطيبة نفس منه</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هنالك ضرر شخصي أو نوعي، كتشويه سمعة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والحكومات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يضمن لمن توى</w:t>
      </w:r>
      <w:r>
        <w:rPr>
          <w:rStyle w:val="FootnoteAnchor"/>
          <w:rtl w:val="true"/>
        </w:rPr>
        <w:footnoteReference w:id="1573"/>
      </w:r>
      <w:r>
        <w:rPr>
          <w:rFonts w:ascii="Amiri" w:hAnsi="Amiri" w:eastAsia="Amiri" w:cs="Amiri"/>
          <w:color w:val="111111"/>
          <w:sz w:val="28"/>
          <w:sz w:val="28"/>
          <w:szCs w:val="28"/>
          <w:rtl w:val="true"/>
          <w:lang w:bidi="ar-SA"/>
        </w:rPr>
        <w:t xml:space="preserve">حقه؟ فيه تأمل؛ لأنّه لم يتوَ بمعنى الإضرار، بل منعه من النفع، وهل يطلق عليه الضرر؟ راجع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حبس الحر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978" w:name="pg15697_169214"/>
    </w:p>
    <w:p>
      <w:pPr>
        <w:pStyle w:val="Heading2"/>
        <w:numPr>
          <w:ilvl w:val="1"/>
          <w:numId w:val="1"/>
        </w:numPr>
        <w:rPr/>
      </w:pPr>
      <w:bookmarkStart w:id="979" w:name="__RefHeading___Toc11915728_2142443653"/>
      <w:bookmarkStart w:id="980" w:name="_Toc351"/>
      <w:bookmarkEnd w:id="978"/>
      <w:bookmarkEnd w:id="979"/>
      <w:r>
        <w:rPr>
          <w:rtl w:val="true"/>
        </w:rPr>
        <w:t>الجندي والحروب غير الإسلامية</w:t>
      </w:r>
      <w:bookmarkEnd w:id="9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الجندي إلى حرب غير إسلامية، فالواجب عليه أن لا يقتل أحداً ولا يجرح إنساناً، وإنما يوجه</w:t>
      </w:r>
      <w:r>
        <w:rPr>
          <w:rStyle w:val="FootnoteAnchor"/>
          <w:rtl w:val="true"/>
        </w:rPr>
        <w:footnoteReference w:id="1574"/>
      </w:r>
      <w:r>
        <w:rPr>
          <w:rFonts w:ascii="Amiri" w:hAnsi="Amiri" w:eastAsia="Amiri" w:cs="Amiri"/>
          <w:color w:val="111111"/>
          <w:sz w:val="28"/>
          <w:sz w:val="28"/>
          <w:szCs w:val="28"/>
          <w:rtl w:val="true"/>
          <w:lang w:bidi="ar-SA"/>
        </w:rPr>
        <w:t xml:space="preserve"> بندقيته إلى الهواء أو 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عمله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البندقية إذا كان إرهاباً وإرعاباً فهو محرّم أيضاً، وكذا لو كان مندرجاً تحت عنوان محرم آخر، والظاهر أنّ الملاك في المقام هو الأهم والمهم،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يرهب أرهب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بدرجة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جوازه؛ إذ الاضطرار مِنَّةٌ، فلا يجوز المحرّم إذا استلزم خلاف المنة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يرهب قُتِلَ، فهنا يُقال بالجواز</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981" w:name="pg15697_169215"/>
    </w:p>
    <w:p>
      <w:pPr>
        <w:pStyle w:val="BookText"/>
        <w:rPr/>
      </w:pPr>
      <w:bookmarkEnd w:id="9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يلزم عليه أن لا يتلف المال ولا يهتك العرض، فإذا أمر القائد بنهب أموال الناس يجب عليه أن لا يفعل، ومع الاضطرار الشديد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يفعل الأقل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فالأقل، وهذا في غير الدماء</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فإنه لا تقية فيها، وهكذا في تخويف الناس، فاللازم اجتنابه مهما أمكن، أو الأخذ بالأخف فالأخف؛ لحرمة تخويف الغير، ومع ذلك هو ضامن يلزم عليه التدارك مع الإمكان</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Heading2"/>
        <w:numPr>
          <w:ilvl w:val="1"/>
          <w:numId w:val="1"/>
        </w:numPr>
        <w:rPr/>
      </w:pPr>
      <w:bookmarkStart w:id="982" w:name="__RefHeading___Toc11915730_2142443653"/>
      <w:bookmarkStart w:id="983" w:name="_Toc352"/>
      <w:bookmarkEnd w:id="982"/>
      <w:r>
        <w:rPr>
          <w:rtl w:val="true"/>
        </w:rPr>
        <w:t>الجندي وحقوق الناس</w:t>
      </w:r>
      <w:bookmarkEnd w:id="98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للجندي أن ينهب مالاً أو يحرق شيئاً محترماً أو يكبت حرية، فإذا فعل ذلك ضمن المال وضمن الشيء المحترق، ولزم عليه البدل لصاحب المال، كما يلزم عليه ترضية</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كبت حريته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ما ذكرناه أول المسألة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الأعراض بحكم الدماء؟ يحتاج 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يزنِ بالسجينة قتل فهل يحق له الزنا؟ وهكذا لو كان عمله ذلك، بحيث يضطر إلى الزنا بمئات السجينات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القتل فقط، أو يشمل الجرح والتعذيب أيضاً؟ ولاحظ صدر مسألة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من الشرائط العامة للتكليف، وإنّما قيد الحكم هنا بذلك؛ لأنّه في كثير من الأحيان لا يستطيع الجندي ونحوه التدارك لفقره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وجوبه، كما ذكر في بحث الغيبة؛ إذ لا شكّ أنّه ظلم، ولكن هل الظلم يوجب حقاً في ذمته؟ هو مشكوك، والروايات الواردة ضعيفة سنداً أو</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984" w:name="pg15697_169216"/>
    </w:p>
    <w:p>
      <w:pPr>
        <w:pStyle w:val="BookText"/>
        <w:rPr/>
      </w:pPr>
      <w:bookmarkEnd w:id="9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لم يتمكن من التدارك استغفر اللّه تعالى</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والأمر بعد ذلك له سبحانه إن شاء غفر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وإن شاء عذّب؛ لأنّ من المعلوم أنّ المحاسبة تكون حتى إلى مثقال ذرة كما في القرآن الكريم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ولو تمكن من التدارك ولو بعد حين وجب عليه التدارك لعموم أدلة الضمان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5" w:name="__RefHeading___Toc11915732_2142443653"/>
      <w:bookmarkStart w:id="986" w:name="_Toc353"/>
      <w:bookmarkEnd w:id="985"/>
      <w:r>
        <w:rPr>
          <w:rtl w:val="true"/>
        </w:rPr>
        <w:t>الرقابة على المطبوعات</w:t>
      </w:r>
      <w:bookmarkEnd w:id="9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للرقيب الذي عيّن لأجل رقابة المطبوعات أن يحذف الأمور الإسلامية، وكذلك لا يحق أن يحذف الأمور المباحة في الشريعة، وإنما يحق له حذف الأمور الضارة</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فراجع بحث الغيبة</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وجوبه؛ لأنّ الاضطرار رافع للحرمة،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مما حرم اللّه إلاّ وقد أحلّه لمن اضطر</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أنّه لم يعلم كونه ذنباً</w:t>
      </w:r>
      <w:r>
        <w:rPr>
          <w:rFonts w:eastAsia="Amiri" w:cs="Amiri" w:ascii="Amiri" w:hAnsi="Amiri"/>
          <w:color w:val="111111"/>
          <w:sz w:val="28"/>
          <w:szCs w:val="28"/>
          <w:rtl w:val="true"/>
          <w:lang w:bidi="ar-SA"/>
        </w:rPr>
        <w:t>.</w:t>
      </w:r>
    </w:p>
    <w:p>
      <w:pPr>
        <w:pStyle w:val="BookText"/>
        <w:rPr/>
      </w:pP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له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كالاستغفار على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أمر بالبدل الاضطراري، ومع ذلك لا يُعلم عود المبدل منه الاختياري بعد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الصوم، الكفارات، وبحث الصدقة بالمجهول المالك في كتاب الخمس</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ضرر، مع ملاحظة انطباق 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يعلم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987" w:name="pg15697_169217"/>
    </w:p>
    <w:p>
      <w:pPr>
        <w:pStyle w:val="BookText"/>
        <w:rPr/>
      </w:pPr>
      <w:bookmarkEnd w:id="9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الضارة سواء كانت حراماً بالعنوان الأولي كالمطالب الضالة، أم حراماً بالعنوان الثانوي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هذا بالإضافة إلى أنّ أصل جعل الدولة الرقابة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على المطبوعات ونحوها خلاف حرية الناس</w:t>
      </w:r>
      <w:r>
        <w:rPr>
          <w:rFonts w:eastAsia="Amiri" w:cs="Amiri" w:ascii="Amiri" w:hAnsi="Amiri"/>
          <w:color w:val="111111"/>
          <w:sz w:val="28"/>
          <w:szCs w:val="28"/>
          <w:rtl w:val="true"/>
          <w:lang w:bidi="ar-SA"/>
        </w:rPr>
        <w:t>.</w:t>
      </w:r>
    </w:p>
    <w:p>
      <w:pPr>
        <w:pStyle w:val="Heading2"/>
        <w:numPr>
          <w:ilvl w:val="1"/>
          <w:numId w:val="1"/>
        </w:numPr>
        <w:rPr/>
      </w:pPr>
      <w:bookmarkStart w:id="988" w:name="__RefHeading___Toc11915734_2142443653"/>
      <w:bookmarkStart w:id="989" w:name="_Toc354"/>
      <w:bookmarkEnd w:id="988"/>
      <w:r>
        <w:rPr>
          <w:rtl w:val="true"/>
        </w:rPr>
        <w:t>أجهزة الإعلام الأخرى</w:t>
      </w:r>
      <w:bookmarkEnd w:id="98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رقابة المطبوعات، كما ذكر في المسألة السابقة وبين رقابة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السينمات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يقرر بثه من الإذاعة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الدليل في الجميع واحد، وهكذا بالنسبة إلى سائر ما يستفيده الإنسان بواسطة حاسة من حواسه الخمس، ولا يلزم في المورد الضار أن يكون ضرراً قطعياً، بل الضرر المحتمل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كذلك حسب ما يذكره الفقهاء</w:t>
      </w:r>
    </w:p>
    <w:p>
      <w:pPr>
        <w:pStyle w:val="BookText"/>
        <w:rPr/>
      </w:pPr>
      <w:r>
        <w:rPr>
          <w:rFonts w:ascii="Amiri" w:hAnsi="Amiri" w:eastAsia="Amiri" w:cs="Amiri"/>
          <w:color w:val="111111"/>
          <w:sz w:val="28"/>
          <w:sz w:val="28"/>
          <w:szCs w:val="28"/>
          <w:rtl w:val="true"/>
          <w:lang w:bidi="ar-SA"/>
        </w:rPr>
        <w:t xml:space="preserve">الناس ما يضرهم ضرراً غير بالغ درجة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الحمل</w:t>
      </w:r>
      <w:r>
        <w:rPr>
          <w:rStyle w:val="FootnoteAnchor"/>
          <w:rtl w:val="true"/>
        </w:rPr>
        <w:footnoteReference w:id="1585"/>
      </w:r>
      <w:r>
        <w:rPr>
          <w:rFonts w:ascii="Amiri" w:hAnsi="Amiri" w:eastAsia="Amiri" w:cs="Amiri"/>
          <w:color w:val="111111"/>
          <w:sz w:val="28"/>
          <w:sz w:val="28"/>
          <w:szCs w:val="28"/>
          <w:rtl w:val="true"/>
          <w:lang w:bidi="ar-SA"/>
        </w:rPr>
        <w:t>الضار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يحق للرقيب حذفها؟ مع أنّ الضرر جاء بواسطة الفاعل المختار، وهكذا في الألعاب الضارة، فالأولى استبدال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الشرح</w:t>
      </w:r>
      <w:r>
        <w:rPr>
          <w:rFonts w:eastAsia="Amiri" w:cs="Amiri" w:ascii="Amiri" w:hAnsi="Amiri"/>
          <w:color w:val="111111"/>
          <w:sz w:val="28"/>
          <w:szCs w:val="28"/>
          <w:rtl w:val="true"/>
          <w:lang w:bidi="ar-SA"/>
        </w:rPr>
        <w:t>.</w:t>
      </w:r>
    </w:p>
    <w:p>
      <w:pPr>
        <w:pStyle w:val="BookText"/>
        <w:rPr/>
      </w:pP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نقاط الضعف التي يستفيد منها الأعداء، ولو فرض كون نشرها مباحاً في حدّ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الرقابة على الموظفين في فقه السياسة</w:t>
      </w:r>
      <w:r>
        <w:rPr>
          <w:rFonts w:eastAsia="Amiri" w:cs="Amiri" w:ascii="Amiri" w:hAnsi="Amiri"/>
          <w:color w:val="111111"/>
          <w:sz w:val="28"/>
          <w:szCs w:val="28"/>
          <w:rtl w:val="true"/>
          <w:lang w:bidi="ar-SA"/>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لأنّ أصالة البراءة مؤمنة؛ ولأنّ الضرر بواسطة الفاعل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الضرر خطيراً بحيث علم أنّ الشارع لا يريد وقوعه في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990" w:name="pg15697_169218"/>
    </w:p>
    <w:p>
      <w:pPr>
        <w:pStyle w:val="BookText"/>
        <w:rPr/>
      </w:pPr>
      <w:bookmarkEnd w:id="990"/>
      <w:r>
        <w:rPr>
          <w:rFonts w:ascii="Amiri" w:hAnsi="Amiri" w:eastAsia="Amiri" w:cs="Amiri"/>
          <w:color w:val="111111"/>
          <w:sz w:val="28"/>
          <w:sz w:val="28"/>
          <w:szCs w:val="28"/>
          <w:rtl w:val="true"/>
          <w:lang w:bidi="ar-SA"/>
        </w:rPr>
        <w:t>في باب الصوم وغيره، كما إذا كانت تمثيلية تضر الأطفال، وهو لا يعلم هل يحضرها الأطفال أو لا، فإنه مع الاحتمال العقلائي لحضورهم له المنع؛ لأن دفع الضرر المحتمل بشرائطه لازم، وتفصيل الكلام في مورده</w:t>
      </w:r>
      <w:r>
        <w:rPr>
          <w:rFonts w:eastAsia="Amiri" w:cs="Amiri" w:ascii="Amiri" w:hAnsi="Amiri"/>
          <w:color w:val="111111"/>
          <w:sz w:val="28"/>
          <w:szCs w:val="28"/>
          <w:rtl w:val="true"/>
          <w:lang w:bidi="ar-SA"/>
        </w:rPr>
        <w:t>.</w:t>
      </w:r>
    </w:p>
    <w:p>
      <w:pPr>
        <w:pStyle w:val="Heading2"/>
        <w:numPr>
          <w:ilvl w:val="1"/>
          <w:numId w:val="1"/>
        </w:numPr>
        <w:rPr/>
      </w:pPr>
      <w:bookmarkStart w:id="991" w:name="__RefHeading___Toc11915736_2142443653"/>
      <w:bookmarkStart w:id="992" w:name="_Toc355"/>
      <w:bookmarkEnd w:id="991"/>
      <w:r>
        <w:rPr>
          <w:rtl w:val="true"/>
        </w:rPr>
        <w:t>تبديل القرآن إلى غير العربي</w:t>
      </w:r>
      <w:bookmarkEnd w:id="99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لفرد أو دولة أن تبدل القرآن من العربي إلى غير العربي، بأن يكون غير العربي بعنوان</w:t>
      </w:r>
      <w:r>
        <w:rPr>
          <w:rStyle w:val="FootnoteAnchor"/>
          <w:rtl w:val="true"/>
        </w:rPr>
        <w:footnoteReference w:id="1589"/>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نعم يجوز بعنوان 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واضح بالمستثنى منه والمستثنى، ويحق للإنسان الترجمة، بل قد يجب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ذلك إذا توقف بيان الإسلام وهداية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الخارج أبداً لزم سدّ أبواب الوجود عليه، ولو من ناحية الاحتمال، مثل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الصوم دل الدليل عليه، فلا يقاس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ما ذكرناه أولاً صنع السكاكين والخناجر ونحوها، مع احتمال الضرر العقلائي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منكر قطعي في أذهان المتشرعة، وكذب، وخلاف ما علم من أنّ الشارع يريد الاحتفاظ بهذا القرآن بحروفه وألفاظه،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يقرأ في الإذاعة بلغة أخرى بعنوان أنّه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من باب مقدمة الواجب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993" w:name="pg15697_169219"/>
    </w:p>
    <w:p>
      <w:pPr>
        <w:pStyle w:val="Heading2"/>
        <w:numPr>
          <w:ilvl w:val="1"/>
          <w:numId w:val="1"/>
        </w:numPr>
        <w:rPr/>
      </w:pPr>
      <w:bookmarkStart w:id="994" w:name="__RefHeading___Toc11915738_2142443653"/>
      <w:bookmarkStart w:id="995" w:name="_Toc356"/>
      <w:bookmarkEnd w:id="993"/>
      <w:bookmarkEnd w:id="994"/>
      <w:r>
        <w:rPr>
          <w:rtl w:val="true"/>
        </w:rPr>
        <w:t>تبديل الأذان والصلوات والأدعية</w:t>
      </w:r>
      <w:bookmarkEnd w:id="99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كالمسألة السابقة بالنسبة إلى الأذان والصلاة</w:t>
      </w:r>
      <w:r>
        <w:rPr>
          <w:rStyle w:val="FootnoteAnchor"/>
          <w:rtl w:val="true"/>
        </w:rPr>
        <w:footnoteReference w:id="1592"/>
      </w:r>
      <w:r>
        <w:rPr>
          <w:rFonts w:ascii="IRNazanin" w:hAnsi="IRNazanin" w:eastAsia="IRNazanin"/>
          <w:color w:val="111111"/>
          <w:sz w:val="28"/>
          <w:sz w:val="28"/>
          <w:szCs w:val="28"/>
          <w:rtl w:val="true"/>
          <w:lang w:bidi="fa-IR"/>
        </w:rPr>
        <w:t xml:space="preserve"> وما أشبه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اللازم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قراءتها عربية، وكذلك حال التلبية في الحج، أما قراءة الأدعية بغير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لا بعنوان الورود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6" w:name="__RefHeading___Toc11915740_2142443653"/>
      <w:bookmarkStart w:id="997" w:name="_Toc357"/>
      <w:bookmarkEnd w:id="996"/>
      <w:r>
        <w:rPr>
          <w:rtl w:val="true"/>
        </w:rPr>
        <w:t>مقررات الأمم المتحدة</w:t>
      </w:r>
      <w:bookmarkEnd w:id="99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التدخل في إصلاح الدول، إذا تعدى الشعب على الدولة، أو تعدت الدولة على الشعب، ليس مطابقاً لأحكام الإسلام</w:t>
      </w:r>
      <w:r>
        <w:rPr>
          <w:rStyle w:val="FootnoteAnchor"/>
          <w:rtl w:val="true"/>
        </w:rPr>
        <w:footnoteReference w:id="15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القنوت بالفارسية في العروة</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استفادة من ارتكاز المتشرعة، بالنسبة للأذان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النقل بالمعنى جائز، فما الإشكال بعنوان الورود؟ إلاّ أن يكون كذباً عرفاً،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باب التخصص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يحق لأحد أن يحدّد لنفسه دائرة خاصة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مجال تخصصي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تخصصي هو الفقه فقط وترويجه، ولا شأن لي بالمظالم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الإسلام أوجب الإصلاح</w:t>
      </w:r>
      <w:r>
        <w:rPr>
          <w:rStyle w:val="FootnoteAnchor"/>
          <w:rtl w:val="true"/>
        </w:rPr>
        <w:footnoteReference w:id="1597"/>
      </w:r>
      <w:r>
        <w:rPr>
          <w:rFonts w:ascii="Amiri" w:hAnsi="Amiri" w:eastAsia="Amiri" w:cs="Amiri"/>
          <w:color w:val="111111"/>
          <w:sz w:val="28"/>
          <w:sz w:val="28"/>
          <w:szCs w:val="28"/>
          <w:rtl w:val="true"/>
          <w:lang w:bidi="ar-SA"/>
        </w:rPr>
        <w:t xml:space="preserve"> سواء بين الدول أم بين الدولة والشعب،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 فإذا ظلمت دولة رعاياها يجب على كل مسلم قادر أن يقف أمام تلك الدولة لتكف عن ظلم الرعية، كما أنه إذا تعدت الرعية على الدولة المشروعة</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كلّ مسلم قادر أن يرد اعتداء الناس عن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التدخل هو مقتضى العقل، إذ أي فريق بين أن يظلم الجار جاره، أو أهل البيت أباهم، أو الأب أهل بيته، ومن الممكن أن تقرر الأمم المتحدة جماعة من المحامين والحكام لنجدة أي واحد، دولة على دولة، أو دولة على شعب، أو شعباً على دولة، حتى توقف المعتدي عند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تقع، وكون بيضة الإسلام في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فقد القدرة فلا إثم عليه؛ لأنّ القدرة من الشرائط العامة، إلاّ أنّ ذلك لا يختص بخارج دائرة تخصصه، بل داخل الدائرة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تتزاحم الواجبات، ولا تفي قدرة المكلف بالجمع، وحينئذٍ يتخير إن لم تكن أهمية، أو كانت بدرجة غير ملزمة، وإلا لزم تقديم الأهم بدرجة ملزمة، سواء كان داخل دائرة اختصاصه أم خارجها</w:t>
      </w:r>
      <w:r>
        <w:rPr>
          <w:rFonts w:eastAsia="Amiri" w:cs="Amiri" w:ascii="Amiri" w:hAnsi="Amiri"/>
          <w:color w:val="111111"/>
          <w:sz w:val="28"/>
          <w:szCs w:val="28"/>
          <w:rtl w:val="true"/>
          <w:lang w:bidi="ar-SA"/>
        </w:rPr>
        <w:t>.</w:t>
      </w:r>
    </w:p>
    <w:p>
      <w:pPr>
        <w:pStyle w:val="BookText"/>
        <w:rPr/>
      </w:pP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والنهي والإرشاد والردع، وفي الظلم روايات خاصة</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المشروعة؛ إذ التعدي حرام مطلقاً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998" w:name="pg15697_169221"/>
    </w:p>
    <w:p>
      <w:pPr>
        <w:pStyle w:val="Heading2"/>
        <w:numPr>
          <w:ilvl w:val="1"/>
          <w:numId w:val="1"/>
        </w:numPr>
        <w:rPr/>
      </w:pPr>
      <w:bookmarkStart w:id="999" w:name="__RefHeading___Toc11915742_2142443653"/>
      <w:bookmarkStart w:id="1000" w:name="_Toc358"/>
      <w:bookmarkEnd w:id="998"/>
      <w:bookmarkEnd w:id="999"/>
      <w:r>
        <w:rPr>
          <w:rtl w:val="true"/>
        </w:rPr>
        <w:t>المسلم لا يكون أجنبياً أبداً</w:t>
      </w:r>
      <w:bookmarkEnd w:id="100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للمسلم أن يسمي أخاه المسلم أجنبياً</w:t>
      </w:r>
      <w:r>
        <w:rPr>
          <w:rStyle w:val="FootnoteAnchor"/>
          <w:rtl w:val="true"/>
        </w:rPr>
        <w:footnoteReference w:id="1601"/>
      </w:r>
      <w:r>
        <w:rPr>
          <w:rFonts w:ascii="Amiri" w:hAnsi="Amiri" w:eastAsia="Amiri" w:cs="Amiri"/>
          <w:color w:val="111111"/>
          <w:sz w:val="28"/>
          <w:sz w:val="28"/>
          <w:szCs w:val="28"/>
          <w:rtl w:val="true"/>
          <w:lang w:bidi="ar-SA"/>
        </w:rPr>
        <w:t>، ولا أن يحرمه من مزاياه، مهما كان بينهما اختلاف في اللون أو العنصر أو الإقليم، فإنّ الأجنبي في لسان الدين</w:t>
      </w:r>
      <w:r>
        <w:rPr>
          <w:rStyle w:val="FootnoteAnchor"/>
          <w:rtl w:val="true"/>
        </w:rPr>
        <w:footnoteReference w:id="1602"/>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المسلم</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خلاف صريح الآيات والروايات الكثيرة، وخلاف حق المسلم على المسلم، إضافة إلى أنه أسوأ</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من التنابز في الألقاب، الموجب لانفصام وحدة المسلمين،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بل قال</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Style w:val="FootnoteAnchor"/>
          <w:rtl w:val="true"/>
        </w:rPr>
        <w:footnoteReference w:id="1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إهانة أو هتكاً كان محرماً، وكذا إن كان ذلك بمعنى ترتيب الآثار المحرّمة، كمنعه من تملك الأرض، وإلا فهو في حدّ ذاته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الأجنبي أصبح اصطلاحاً ملازماً لما ذكر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الهتك والآثار</w:t>
      </w:r>
      <w:r>
        <w:rPr>
          <w:rFonts w:eastAsia="Amiri" w:cs="Amiri" w:ascii="Amiri" w:hAnsi="Amiri"/>
          <w:color w:val="111111"/>
          <w:sz w:val="28"/>
          <w:szCs w:val="28"/>
          <w:rtl w:val="true"/>
          <w:lang w:bidi="ar-SA"/>
        </w:rPr>
        <w:t>).</w:t>
      </w:r>
    </w:p>
    <w:p>
      <w:pPr>
        <w:pStyle w:val="BookText"/>
        <w:rPr/>
      </w:pP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ذكر ذلك؟ 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1606"/>
      </w:r>
      <w:r>
        <w:rPr>
          <w:rFonts w:ascii="Amiri" w:hAnsi="Amiri" w:eastAsia="Amiri" w:cs="Amiri"/>
          <w:color w:val="111111"/>
          <w:sz w:val="28"/>
          <w:sz w:val="28"/>
          <w:szCs w:val="28"/>
          <w:rtl w:val="true"/>
          <w:lang w:bidi="ar-SA"/>
        </w:rPr>
        <w:t>وأنّه ليس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المؤالف فهو ليس أخاً باطناً، وإن كان أخاً ظاهراً في بعض الأحكام</w:t>
      </w:r>
      <w:r>
        <w:rPr>
          <w:rFonts w:eastAsia="Amiri" w:cs="Amiri" w:ascii="Amiri" w:hAnsi="Amiri"/>
          <w:color w:val="111111"/>
          <w:sz w:val="28"/>
          <w:szCs w:val="28"/>
          <w:rtl w:val="true"/>
          <w:lang w:bidi="ar-SA"/>
        </w:rPr>
        <w:t>.</w:t>
      </w:r>
    </w:p>
    <w:p>
      <w:pPr>
        <w:pStyle w:val="BookText"/>
        <w:rPr/>
      </w:pP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يطلق الأجنبي حتى على غير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النكاح</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بالمعنى المقصود هنا كاصطلاح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يُعدّ إهانة عرفاً في كثير من الأحيان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1001" w:name="pg15697_169222"/>
    </w:p>
    <w:p>
      <w:pPr>
        <w:pStyle w:val="BookText"/>
        <w:rPr/>
      </w:pPr>
      <w:bookmarkEnd w:id="1001"/>
      <w:r>
        <w:rPr>
          <w:rFonts w:ascii="Amiri" w:hAnsi="Amiri" w:eastAsia="Amiri" w:cs="Amiri"/>
          <w:color w:val="111111"/>
          <w:sz w:val="28"/>
          <w:sz w:val="28"/>
          <w:szCs w:val="28"/>
          <w:rtl w:val="true"/>
          <w:lang w:bidi="ar-SA"/>
        </w:rPr>
        <w:t>بعض بصحة العكس</w:t>
      </w:r>
      <w:r>
        <w:rPr>
          <w:rStyle w:val="FootnoteAnchor"/>
          <w:rtl w:val="true"/>
        </w:rPr>
        <w:footnoteReference w:id="1609"/>
      </w:r>
      <w:r>
        <w:rPr>
          <w:rFonts w:ascii="Amiri" w:hAnsi="Amiri" w:eastAsia="Amiri" w:cs="Amiri"/>
          <w:color w:val="111111"/>
          <w:sz w:val="28"/>
          <w:sz w:val="28"/>
          <w:szCs w:val="28"/>
          <w:rtl w:val="true"/>
          <w:lang w:bidi="ar-SA"/>
        </w:rPr>
        <w:t>، بأن يسمي المسلم الكافر أخاً،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وَإِخْوَانُ لُوطٍ</w:t>
      </w:r>
      <w:r>
        <w:rPr>
          <w:rFonts w:eastAsia="Amiri" w:cs="Amiri" w:ascii="Amiri" w:hAnsi="Amiri"/>
          <w:color w:val="111111"/>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إلى غيرهما</w:t>
      </w:r>
      <w:r>
        <w:rPr>
          <w:rFonts w:eastAsia="Amiri" w:cs="Amiri" w:ascii="Amiri" w:hAnsi="Amiri"/>
          <w:color w:val="111111"/>
          <w:sz w:val="28"/>
          <w:szCs w:val="28"/>
          <w:rtl w:val="true"/>
          <w:lang w:bidi="ar-SA"/>
        </w:rPr>
        <w:t>.</w:t>
      </w:r>
    </w:p>
    <w:p>
      <w:pPr>
        <w:pStyle w:val="Heading2"/>
        <w:numPr>
          <w:ilvl w:val="1"/>
          <w:numId w:val="1"/>
        </w:numPr>
        <w:rPr/>
      </w:pPr>
      <w:bookmarkStart w:id="1002" w:name="__RefHeading___Toc11915744_2142443653"/>
      <w:bookmarkStart w:id="1003" w:name="_Toc359"/>
      <w:bookmarkEnd w:id="1002"/>
      <w:r>
        <w:rPr>
          <w:rtl w:val="true"/>
        </w:rPr>
        <w:t>تبعيد المسلمين</w:t>
      </w:r>
      <w:bookmarkEnd w:id="100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للمسلم أن يخرج مسلماً عن بلد إسلامي، ولو كان ذلك المسلم من أهل قطر آخر أو أهل لغة أخرى أو عنصر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لا يجوز إخراج أحد من وطنه، أو من موضع أقام أو أراد المقام فيه؛ لأن البلد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الإسلامي بكامله وطن المسلم، وله الحق أن يختار أي مكان منه، هذا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بالإضافة إلى أنه خلاف تسلط الناس على أموالهم وأنفسهم، وقد نعت اللّه اليهود بذلك ذماً 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هَؤُلاء</w:t>
      </w:r>
    </w:p>
    <w:p>
      <w:pPr>
        <w:pStyle w:val="BookText"/>
        <w:rPr/>
      </w:pP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التفاسير</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Style w:val="FootnoteAnchor"/>
          <w:rtl w:val="true"/>
        </w:rPr>
        <w:footnoteReference w:id="1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هنا ليس بمعنى الوطن في باب القصر، وقد ذكر هنالك أنّه ليس إلاّ الوطن العرفي</w:t>
      </w:r>
      <w:r>
        <w:rPr>
          <w:rFonts w:eastAsia="Amiri" w:cs="Amiri" w:ascii="Amiri" w:hAnsi="Amiri"/>
          <w:color w:val="111111"/>
          <w:sz w:val="28"/>
          <w:szCs w:val="28"/>
          <w:rtl w:val="true"/>
          <w:lang w:bidi="ar-SA"/>
        </w:rPr>
        <w:t>.</w:t>
      </w:r>
    </w:p>
    <w:p>
      <w:pPr>
        <w:pStyle w:val="BookText"/>
        <w:rPr/>
      </w:pP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العمدة في الدليل، راجع مباحث الحرّية،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w:t>
      </w:r>
      <w:r>
        <w:rPr>
          <w:rStyle w:val="FootnoteAnchor"/>
          <w:rtl w:val="true"/>
        </w:rPr>
        <w:footnoteReference w:id="1616"/>
      </w:r>
      <w:r>
        <w:rPr>
          <w:rFonts w:ascii="Amiri" w:hAnsi="Amiri" w:eastAsia="Amiri" w:cs="Amiri"/>
          <w:color w:val="111111"/>
          <w:sz w:val="28"/>
          <w:sz w:val="28"/>
          <w:szCs w:val="28"/>
          <w:rtl w:val="true"/>
          <w:lang w:bidi="ar-SA"/>
        </w:rPr>
        <w:t>، وأيضاً هذا ظلم،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004" w:name="pg15697_169223"/>
    </w:p>
    <w:p>
      <w:pPr>
        <w:pStyle w:val="BookText"/>
        <w:rPr/>
      </w:pPr>
      <w:bookmarkEnd w:id="1004"/>
      <w:r>
        <w:rPr>
          <w:rFonts w:ascii="Amiri" w:hAnsi="Amiri" w:eastAsia="Amiri" w:cs="Amiri"/>
          <w:color w:val="111111"/>
          <w:sz w:val="28"/>
          <w:sz w:val="28"/>
          <w:szCs w:val="28"/>
          <w:rtl w:val="true"/>
          <w:lang w:bidi="ar-SA"/>
        </w:rPr>
        <w:t>تَقْتُلُونَ أَنفُسَكُمْ وَتُخْرِجُونَ فَرِيقاً مِّنكُم مِّن دِيَارِهِمْ</w:t>
      </w:r>
      <w:r>
        <w:rPr>
          <w:rFonts w:eastAsia="Amiri" w:cs="Amiri" w:ascii="Amiri" w:hAnsi="Amiri"/>
          <w:color w:val="111111"/>
          <w:sz w:val="28"/>
          <w:szCs w:val="28"/>
          <w:rtl w:val="true"/>
          <w:lang w:bidi="ar-SA"/>
        </w:rPr>
        <w:t>}</w:t>
      </w:r>
      <w:r>
        <w:rPr>
          <w:rStyle w:val="FootnoteAnchor"/>
          <w:rtl w:val="true"/>
        </w:rPr>
        <w:footnoteReference w:id="1618"/>
      </w:r>
      <w:r>
        <w:rPr>
          <w:rFonts w:ascii="Amiri" w:hAnsi="Amiri" w:eastAsia="Amiri" w:cs="Amiri"/>
          <w:color w:val="111111"/>
          <w:sz w:val="28"/>
          <w:sz w:val="28"/>
          <w:szCs w:val="28"/>
          <w:rtl w:val="true"/>
          <w:lang w:bidi="ar-SA"/>
        </w:rPr>
        <w:t>بل لا يجوز ذلك إلا بالنسبة إلى الكافر الحربي؛ لأنّ غيره محترم</w:t>
      </w:r>
      <w:r>
        <w:rPr>
          <w:rFonts w:eastAsia="Amiri" w:cs="Amiri" w:ascii="Amiri" w:hAnsi="Amiri"/>
          <w:color w:val="111111"/>
          <w:sz w:val="28"/>
          <w:szCs w:val="28"/>
          <w:rtl w:val="true"/>
          <w:lang w:bidi="ar-SA"/>
        </w:rPr>
        <w:t>.</w:t>
      </w:r>
    </w:p>
    <w:p>
      <w:pPr>
        <w:pStyle w:val="Heading2"/>
        <w:numPr>
          <w:ilvl w:val="1"/>
          <w:numId w:val="1"/>
        </w:numPr>
        <w:rPr/>
      </w:pPr>
      <w:bookmarkStart w:id="1005" w:name="__RefHeading___Toc11915746_2142443653"/>
      <w:bookmarkStart w:id="1006" w:name="_Toc360"/>
      <w:bookmarkEnd w:id="1005"/>
      <w:r>
        <w:rPr>
          <w:rtl w:val="true"/>
        </w:rPr>
        <w:t>حجز الإنسان</w:t>
      </w:r>
      <w:bookmarkEnd w:id="100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لأحد أن يحجز إنساناً في مكان، من بلد أو قرية أو محلة، أو ما أشبه، فإنه خلاف</w:t>
      </w:r>
      <w:r>
        <w:rPr>
          <w:rStyle w:val="FootnoteAnchor"/>
          <w:rtl w:val="true"/>
        </w:rPr>
        <w:footnoteReference w:id="16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أنفسهم وأموالهم</w:t>
      </w:r>
      <w:r>
        <w:rPr>
          <w:rFonts w:eastAsia="IRNazanin" w:cs="IRNazanin"/>
          <w:color w:val="111111"/>
          <w:sz w:val="28"/>
          <w:szCs w:val="28"/>
          <w:rtl w:val="true"/>
          <w:lang w:bidi="fa-IR"/>
        </w:rPr>
        <w:t>)</w:t>
      </w:r>
      <w:r>
        <w:rPr>
          <w:rStyle w:val="FootnoteAnchor"/>
          <w:rtl w:val="true"/>
        </w:rPr>
        <w:footnoteReference w:id="1620"/>
      </w:r>
      <w:r>
        <w:rPr>
          <w:rFonts w:ascii="Amiri" w:hAnsi="Amiri" w:eastAsia="Amiri" w:cs="Amiri"/>
          <w:color w:val="111111"/>
          <w:sz w:val="28"/>
          <w:sz w:val="28"/>
          <w:szCs w:val="28"/>
          <w:rtl w:val="true"/>
          <w:lang w:bidi="ar-SA"/>
        </w:rPr>
        <w:t>، ولو حجزه لم يجب عليه البقاء، بل يجوز</w:t>
      </w:r>
      <w:r>
        <w:rPr>
          <w:rStyle w:val="FootnoteAnchor"/>
          <w:rtl w:val="true"/>
        </w:rPr>
        <w:footnoteReference w:id="1621"/>
      </w:r>
      <w:r>
        <w:rPr>
          <w:rFonts w:ascii="Amiri" w:hAnsi="Amiri" w:eastAsia="Amiri" w:cs="Amiri"/>
          <w:color w:val="111111"/>
          <w:sz w:val="28"/>
          <w:sz w:val="28"/>
          <w:szCs w:val="28"/>
          <w:rtl w:val="true"/>
          <w:lang w:bidi="ar-SA"/>
        </w:rPr>
        <w:t xml:space="preserve"> له أن يذهب إلى أي مكان شاء، إلا من جهة خوف الضرر البالغ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علم أنّ الحاجز يضره ضرراً بالغاً إذا لم يستسلم أو إذا لم يبق في حجزه، بشرط أن لا يكون عدم الاستسلام وعدم البقاء أهم، وإلا كان من مسألة الأهم والمهم، ومن ذلك أيضاً مسألة التبعيد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أو التسفير، فلو أبعده أو سفّره جائر جاز له الرجوع إلاّ في صورة الضرر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هو ظلم كما سبق</w:t>
      </w:r>
      <w:r>
        <w:rPr>
          <w:rFonts w:eastAsia="Amiri" w:cs="Amiri" w:ascii="Amiri" w:hAnsi="Amiri"/>
          <w:color w:val="111111"/>
          <w:sz w:val="28"/>
          <w:szCs w:val="28"/>
          <w:rtl w:val="true"/>
          <w:lang w:bidi="ar-SA"/>
        </w:rPr>
        <w:t>.</w:t>
      </w:r>
    </w:p>
    <w:p>
      <w:pPr>
        <w:pStyle w:val="BookText"/>
        <w:rPr/>
      </w:pP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 إذا كان في ذلك تضعيفاً للقانون الوضعي، الذي ما أنزل اللّه به من سلطان، وردعاً عن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لأنّه رفع للظلم فهو رفع للمنكر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رضي بذلك لم يكن ظلماً، فلا يكون رفعه رفعاً للمنكر،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البلد والتسفير خارجه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1007" w:name="pg15697_169224"/>
    </w:p>
    <w:p>
      <w:pPr>
        <w:pStyle w:val="Heading2"/>
        <w:numPr>
          <w:ilvl w:val="1"/>
          <w:numId w:val="1"/>
        </w:numPr>
        <w:rPr/>
      </w:pPr>
      <w:bookmarkStart w:id="1008" w:name="__RefHeading___Toc11915748_2142443653"/>
      <w:bookmarkStart w:id="1009" w:name="_Toc361"/>
      <w:bookmarkEnd w:id="1007"/>
      <w:bookmarkEnd w:id="1008"/>
      <w:r>
        <w:rPr>
          <w:rtl w:val="true"/>
        </w:rPr>
        <w:t>حدّ السجن في الإسلام</w:t>
      </w:r>
      <w:bookmarkEnd w:id="10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في الإسلام مقرر في موارد خاصة قليلة جداً</w:t>
      </w:r>
      <w:r>
        <w:rPr>
          <w:rStyle w:val="FootnoteAnchor"/>
          <w:rtl w:val="true"/>
        </w:rPr>
        <w:footnoteReference w:id="1624"/>
      </w:r>
      <w:r>
        <w:rPr>
          <w:rFonts w:ascii="Amiri" w:hAnsi="Amiri" w:eastAsia="Amiri" w:cs="Amiri"/>
          <w:color w:val="111111"/>
          <w:sz w:val="28"/>
          <w:sz w:val="28"/>
          <w:szCs w:val="28"/>
          <w:rtl w:val="true"/>
          <w:lang w:bidi="ar-SA"/>
        </w:rPr>
        <w:t>، فلا يحق لأحد أن يسجن أحداً إلا الحاكم الشرعي</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الخاصة المقررة في الإسلام، مما ذكر في كتاب الحدود ونحوه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تفصيل السجن وحدوده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 ثم إذا لم يكن السجن بالشروط المقررة جاز</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للسجين الفرار، بشرط عدم الضرر، كما في المسألة السابقة، كما يلزم على القادر أن يهرّب السجين؛ لأنه من رفع المنكر</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0" w:name="__RefHeading___Toc11915750_2142443653"/>
      <w:bookmarkStart w:id="1011" w:name="_Toc362"/>
      <w:bookmarkEnd w:id="1010"/>
      <w:r>
        <w:rPr>
          <w:rtl w:val="true"/>
        </w:rPr>
        <w:t>التعذيب بالوسائل القديمة والحديثة</w:t>
      </w:r>
      <w:bookmarkEnd w:id="101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625"/>
      </w:r>
      <w:r>
        <w:rPr>
          <w:rFonts w:ascii="Amiri" w:hAnsi="Amiri" w:eastAsia="Amiri" w:cs="Amiri"/>
          <w:color w:val="111111"/>
          <w:sz w:val="28"/>
          <w:sz w:val="28"/>
          <w:szCs w:val="28"/>
          <w:rtl w:val="true"/>
          <w:lang w:bidi="ar-SA"/>
        </w:rPr>
        <w:t xml:space="preserve"> تعذيب أحد، سواء بالوسائل القديمة كالسياط، أم الوسائل الحديثة كالكهرباء، نعم في الموارد الخاصة المقررة في الإسلام</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Style w:val="FootnoteAnchor"/>
          <w:rtl w:val="true"/>
        </w:rPr>
        <w:footnoteReference w:id="1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عدول المؤمنين إذا تعذر الوصول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وجب أحياناً كما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وإلا فرفع المنكر يكون قبل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يجوز للأهم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سمعة الإسلام داخلاً وخارجاً أيضاً، وهذا هو الأهم، فتأمل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تجرى الحدود والتعزيرات، كما ذكر في كتاب الحدود والقصاص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الحدود الإسلامية ليست تعذيباً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وإنما هي أحكام جزائية قررها الإسلام في موارد خاصة بعد ثبوت الجريمة ثبوتاً شرعياً لحفظ نزاهة المجتمع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وضمان أمنه وسلامته، والأدلة على حرمة التعذيب كثيرة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ولا فرق</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في حرمة التعذيب بين التعذيب الجسدي أو الروحي، ولا يجوز تعذيب المجرم، حتى الكافر فكيف بالبريء، أما الحدود والتعزيرات فالمقرر منها في الإسلام شيء قليل جداً</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وهو مشروط بشروط تجعله في غاية الندرة</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 xml:space="preserve">، ثم إنه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تبديل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ونحوه</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للتشفي أو لانتزاع الاعتراف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نفس الفرد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ظلم، وأنّه تشويه لسمعة الإسلام، وأدلة أنّ الضرب يوجب الدية، ولا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الملاك في غالب الأدلة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مَنْ يرى أنّ التعزيرات ليست في كلّ ذنب، وهو خلاف المشهور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أكثر من أربعين شرطاً لإجراء حدّ السرقة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ممارسة التغيير</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للأهم والمهم، أو لأنّ له العفو، وأمّا الغرامة ونحوها فلكي لا يحدث اختلال النظام والهرج والمرج ونحوهما، مما يعلم أنّ الشارع لا يريده قطعاً، ثم لابدّ من الاقتصار على الأخف</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1012" w:name="pg15697_169226"/>
    </w:p>
    <w:p>
      <w:pPr>
        <w:pStyle w:val="BookText"/>
        <w:rPr/>
      </w:pPr>
      <w:bookmarkEnd w:id="1012"/>
      <w:r>
        <w:rPr>
          <w:rFonts w:ascii="Amiri" w:hAnsi="Amiri" w:eastAsia="Amiri" w:cs="Amiri"/>
          <w:color w:val="111111"/>
          <w:sz w:val="28"/>
          <w:sz w:val="28"/>
          <w:szCs w:val="28"/>
          <w:rtl w:val="true"/>
          <w:lang w:bidi="ar-SA"/>
        </w:rPr>
        <w:t>بالغرامة أو السجن المعقول أو عقوبة أخرى، مثل منع السائق المخالف من السياقة مدة إلى غير ذلك</w:t>
      </w:r>
      <w:r>
        <w:rPr>
          <w:rFonts w:eastAsia="Amiri" w:cs="Amiri" w:ascii="Amiri" w:hAnsi="Amiri"/>
          <w:color w:val="111111"/>
          <w:sz w:val="28"/>
          <w:szCs w:val="28"/>
          <w:rtl w:val="true"/>
          <w:lang w:bidi="ar-SA"/>
        </w:rPr>
        <w:t>.</w:t>
      </w:r>
    </w:p>
    <w:p>
      <w:pPr>
        <w:pStyle w:val="Heading2"/>
        <w:numPr>
          <w:ilvl w:val="1"/>
          <w:numId w:val="1"/>
        </w:numPr>
        <w:rPr/>
      </w:pPr>
      <w:bookmarkStart w:id="1013" w:name="__RefHeading___Toc11915752_2142443653"/>
      <w:bookmarkStart w:id="1014" w:name="_Toc363"/>
      <w:bookmarkEnd w:id="1013"/>
      <w:r>
        <w:rPr>
          <w:rtl w:val="true"/>
        </w:rPr>
        <w:t>الغرامة في الإسلام</w:t>
      </w:r>
      <w:bookmarkEnd w:id="101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w:t>
      </w:r>
      <w:r>
        <w:rPr>
          <w:rStyle w:val="FootnoteAnchor"/>
          <w:rtl w:val="true"/>
        </w:rPr>
        <w:footnoteReference w:id="1629"/>
      </w:r>
      <w:r>
        <w:rPr>
          <w:rFonts w:ascii="Amiri" w:hAnsi="Amiri" w:eastAsia="Amiri" w:cs="Amiri"/>
          <w:color w:val="111111"/>
          <w:sz w:val="28"/>
          <w:sz w:val="28"/>
          <w:szCs w:val="28"/>
          <w:rtl w:val="true"/>
          <w:lang w:bidi="ar-SA"/>
        </w:rPr>
        <w:t xml:space="preserve"> لأحد أن يأخذ مالاً من أحد بعنوان الغرامة مما يقرره القانون، إلا في الموارد الخاصة المقررة في الإسلام، المذكورة في كتاب الديات والضمان ونحوهما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المال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محترم،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 المورد الذي قرره الإسلام؛ لقاعدة الأهم والمهم، أو شبه ذلك، نعم يحق للدولة الشرعية التي يحكمها شورى الفقهاء</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المراجع أن تضع</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غرامات لمن يخالف القوانين الصحيحة التي تجعل لنظم البلاد كقوانين المرور، لا القوانين المستوردة التي تمنع الناس حرياتهم، وتفصيل الكلام في موضعه</w:t>
      </w:r>
      <w:r>
        <w:rPr>
          <w:rFonts w:eastAsia="Amiri" w:cs="Amiri" w:ascii="Amiri" w:hAnsi="Amiri"/>
          <w:color w:val="111111"/>
          <w:sz w:val="28"/>
          <w:szCs w:val="28"/>
          <w:rtl w:val="true"/>
          <w:lang w:bidi="ar-SA"/>
        </w:rPr>
        <w:t>.</w:t>
      </w:r>
    </w:p>
    <w:p>
      <w:pPr>
        <w:pStyle w:val="Heading2"/>
        <w:numPr>
          <w:ilvl w:val="1"/>
          <w:numId w:val="1"/>
        </w:numPr>
        <w:rPr/>
      </w:pPr>
      <w:bookmarkStart w:id="1015" w:name="__RefHeading___Toc11915754_2142443653"/>
      <w:bookmarkStart w:id="1016" w:name="_Toc364"/>
      <w:bookmarkEnd w:id="1015"/>
      <w:r>
        <w:rPr>
          <w:rtl w:val="true"/>
        </w:rPr>
        <w:t>من حقوق الإنسان المحجوز</w:t>
      </w:r>
      <w:bookmarkEnd w:id="101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حجز شخص إنساناً كان للمحجوز أن يرفع أمره إلى</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ظلم وإضرار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أنّها هي الحاكمة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1017" w:name="pg15697_169227"/>
    </w:p>
    <w:p>
      <w:pPr>
        <w:pStyle w:val="BookText"/>
        <w:rPr/>
      </w:pPr>
      <w:bookmarkEnd w:id="1017"/>
      <w:r>
        <w:rPr>
          <w:rFonts w:ascii="Amiri" w:hAnsi="Amiri" w:eastAsia="Amiri" w:cs="Amiri"/>
          <w:color w:val="111111"/>
          <w:sz w:val="28"/>
          <w:sz w:val="28"/>
          <w:szCs w:val="28"/>
          <w:rtl w:val="true"/>
          <w:lang w:bidi="ar-SA"/>
        </w:rPr>
        <w:t>الحاكم الشرعي، فيعزّر</w:t>
      </w:r>
      <w:r>
        <w:rPr>
          <w:rStyle w:val="FootnoteAnchor"/>
          <w:rtl w:val="true"/>
        </w:rPr>
        <w:footnoteReference w:id="1634"/>
      </w:r>
      <w:r>
        <w:rPr>
          <w:rFonts w:ascii="Amiri" w:hAnsi="Amiri" w:eastAsia="Amiri" w:cs="Amiri"/>
          <w:color w:val="111111"/>
          <w:sz w:val="28"/>
          <w:sz w:val="28"/>
          <w:szCs w:val="28"/>
          <w:rtl w:val="true"/>
          <w:lang w:bidi="ar-SA"/>
        </w:rPr>
        <w:t xml:space="preserve"> الحاجز، وهل للمحجوز أن يقابل الحاجز بالمثل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 بِمِثْلِ مَا اعْتَدَى</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احتمالان وإن كان احتمال ذلك ليس بعيداً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الاحتمال الآخر فلأن الآية لا تشمل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كل شيء، فلا يجوز أن يعذب بالنار أو الغرق أو الإلقاء من شاهق مَن فُعِلَ به ذلك بالنسبة إلى المجرم، إلى غير ذلك، وقد أشرنا سابقاً إلى أن الأمور الثلاثة ما تشملها الآية قطعاً كموارد القصاص، وما لا تشمله قطعاً كما مثلنا، والموارد المشكوكة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كما نحن فيه</w:t>
      </w:r>
      <w:r>
        <w:rPr>
          <w:rFonts w:eastAsia="Amiri" w:cs="Amiri" w:ascii="Amiri" w:hAnsi="Amiri"/>
          <w:color w:val="111111"/>
          <w:sz w:val="28"/>
          <w:szCs w:val="28"/>
          <w:rtl w:val="true"/>
          <w:lang w:bidi="ar-SA"/>
        </w:rPr>
        <w:t>.</w:t>
      </w:r>
    </w:p>
    <w:p>
      <w:pPr>
        <w:pStyle w:val="Heading2"/>
        <w:numPr>
          <w:ilvl w:val="1"/>
          <w:numId w:val="1"/>
        </w:numPr>
        <w:rPr/>
      </w:pPr>
      <w:bookmarkStart w:id="1018" w:name="__RefHeading___Toc11915756_2142443653"/>
      <w:bookmarkStart w:id="1019" w:name="_Toc365"/>
      <w:bookmarkEnd w:id="1018"/>
      <w:r>
        <w:rPr>
          <w:rtl w:val="true"/>
        </w:rPr>
        <w:t>الحقوق الأخرى للمحجوز</w:t>
      </w:r>
      <w:bookmarkEnd w:id="101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حجز شخص أنساناً فضاعت دابته أو سرق متاعه أو نهب ماله كان الحاجز ضامناً</w:t>
      </w:r>
      <w:r>
        <w:rPr>
          <w:rStyle w:val="FootnoteAnchor"/>
          <w:rtl w:val="true"/>
        </w:rPr>
        <w:footnoteReference w:id="1636"/>
      </w:r>
      <w:r>
        <w:rPr>
          <w:rFonts w:ascii="Amiri" w:hAnsi="Amiri" w:eastAsia="Amiri" w:cs="Amiri"/>
          <w:color w:val="111111"/>
          <w:sz w:val="28"/>
          <w:sz w:val="28"/>
          <w:szCs w:val="28"/>
          <w:rtl w:val="true"/>
          <w:lang w:bidi="ar-SA"/>
        </w:rPr>
        <w:t>، فإذا كان الشيء المتلف مثلياً دفع إليه مثله، وإذا كان قيمياً دفع إليه قيمته</w:t>
      </w:r>
      <w:r>
        <w:rPr>
          <w:rFonts w:eastAsia="Amiri" w:cs="Amiri" w:ascii="Amiri" w:hAnsi="Amiri"/>
          <w:color w:val="111111"/>
          <w:sz w:val="28"/>
          <w:szCs w:val="28"/>
          <w:rtl w:val="true"/>
          <w:lang w:bidi="ar-SA"/>
        </w:rPr>
        <w:t>.</w:t>
      </w:r>
    </w:p>
    <w:p>
      <w:pPr>
        <w:pStyle w:val="BookText"/>
        <w:rPr/>
      </w:pP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التعزير في كلّ 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يراد بها العموم، فهي مجملة، يؤخذ بالقدر المتيقن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تجري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فيستطيع المحجوز أن يرجع إليه أو إلى السارق، وإن كان قرار الضمان على السارق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السبب عرفاً، فتشمله أدلة الضمان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بل لا يبعد تعدي ذلك إلى مهر المثل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فيما إذا حجز عليها عند الفسقة</w:t>
      </w:r>
    </w:p>
    <w:p>
      <w:pPr>
        <w:pStyle w:val="BookText"/>
        <w:rPr/>
      </w:pP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أنّها كما ترفع الحكم تضع الحكم، وراجع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للحاكم الطلاق إذا كانت المرأة في ضرر</w:t>
      </w:r>
      <w:r>
        <w:rPr>
          <w:rFonts w:eastAsia="Amiri" w:cs="Amiri" w:ascii="Amiri" w:hAnsi="Amiri"/>
          <w:color w:val="111111"/>
          <w:sz w:val="28"/>
          <w:szCs w:val="28"/>
          <w:rtl w:val="true"/>
          <w:lang w:bidi="ar-SA"/>
        </w:rPr>
        <w:t>)</w:t>
      </w:r>
      <w:r>
        <w:rPr>
          <w:rStyle w:val="FootnoteAnchor"/>
          <w:rtl w:val="true"/>
        </w:rPr>
        <w:footnoteReference w:id="1640"/>
      </w:r>
      <w:r>
        <w:rPr>
          <w:rFonts w:ascii="Amiri" w:hAnsi="Amiri" w:eastAsia="Amiri" w:cs="Amiri"/>
          <w:color w:val="111111"/>
          <w:sz w:val="28"/>
          <w:sz w:val="28"/>
          <w:szCs w:val="28"/>
          <w:rtl w:val="true"/>
          <w:lang w:bidi="ar-SA"/>
        </w:rPr>
        <w:t xml:space="preserve">، 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w:t>
      </w:r>
      <w:r>
        <w:rPr>
          <w:rFonts w:eastAsia="Amiri" w:cs="Amiri" w:ascii="Amiri" w:hAnsi="Amiri"/>
          <w:color w:val="111111"/>
          <w:sz w:val="28"/>
          <w:szCs w:val="28"/>
          <w:rtl w:val="true"/>
          <w:lang w:bidi="ar-SA"/>
        </w:rPr>
        <w:t>)</w:t>
      </w:r>
      <w:r>
        <w:rPr>
          <w:rStyle w:val="FootnoteAnchor"/>
          <w:rtl w:val="true"/>
        </w:rPr>
        <w:footnoteReference w:id="1641"/>
      </w:r>
      <w:r>
        <w:rPr>
          <w:rFonts w:ascii="Amiri" w:hAnsi="Amiri" w:eastAsia="Amiri" w:cs="Amiri"/>
          <w:color w:val="111111"/>
          <w:sz w:val="28"/>
          <w:sz w:val="28"/>
          <w:szCs w:val="28"/>
          <w:rtl w:val="true"/>
          <w:lang w:bidi="ar-SA"/>
        </w:rPr>
        <w:t xml:space="preserve">، ومسألة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الحرّ</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والمسألة اللاحقة</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w:t>
      </w:r>
    </w:p>
    <w:p>
      <w:pPr>
        <w:pStyle w:val="BookText"/>
        <w:rPr/>
      </w:pP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ثبت في مورد خاص، واللازم في المقام جبر ضررها بمقداره العرفي، فتأمل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1020" w:name="pg15697_169229"/>
    </w:p>
    <w:p>
      <w:pPr>
        <w:pStyle w:val="BookText"/>
        <w:rPr/>
      </w:pPr>
      <w:bookmarkEnd w:id="1020"/>
      <w:r>
        <w:rPr>
          <w:rFonts w:ascii="Amiri" w:hAnsi="Amiri" w:eastAsia="Amiri" w:cs="Amiri"/>
          <w:color w:val="111111"/>
          <w:sz w:val="28"/>
          <w:sz w:val="28"/>
          <w:szCs w:val="28"/>
          <w:rtl w:val="true"/>
          <w:lang w:bidi="ar-SA"/>
        </w:rPr>
        <w:t>فهتكوا عرضها، أو بقيت بلا والي، فجاء المجرم وهتك عرضها، فإن الحاجز ضامن للمهر، للقاعدة المذكورة، وكذلك حال الجنايات كالجرح ونحوه الواقع بسبب الحجز، سواء على المحجوز أم على من يتولى المحجوز شأنه، وهذا لا ينافي كونه أولاً وبالذات</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الفاعل كتعاقب الأيادي</w:t>
      </w:r>
      <w:r>
        <w:rPr>
          <w:rFonts w:eastAsia="Amiri" w:cs="Amiri" w:ascii="Amiri" w:hAnsi="Amiri"/>
          <w:color w:val="111111"/>
          <w:sz w:val="28"/>
          <w:szCs w:val="28"/>
          <w:rtl w:val="true"/>
          <w:lang w:bidi="ar-SA"/>
        </w:rPr>
        <w:t>.</w:t>
      </w:r>
    </w:p>
    <w:p>
      <w:pPr>
        <w:pStyle w:val="Heading2"/>
        <w:numPr>
          <w:ilvl w:val="1"/>
          <w:numId w:val="1"/>
        </w:numPr>
        <w:rPr/>
      </w:pPr>
      <w:bookmarkStart w:id="1021" w:name="__RefHeading___Toc11915758_2142443653"/>
      <w:bookmarkStart w:id="1022" w:name="_Toc366"/>
      <w:bookmarkEnd w:id="1021"/>
      <w:r>
        <w:rPr>
          <w:rtl w:val="true"/>
        </w:rPr>
        <w:t>المحجوز إذا فاتته منافعه</w:t>
      </w:r>
      <w:bookmarkEnd w:id="102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 منافع المحجوز، كما لو كان يكتسب كل يوم ديناراً ففاته الدينار بسبب الحجز، ففي ضمان الحاجز لهذا الدينار الفائت احتمالان، ولا استبعد 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فإنه ضرر عرفي، فإذا كان فعل ما يستحق</w:t>
      </w:r>
    </w:p>
    <w:p>
      <w:pPr>
        <w:pStyle w:val="BookText"/>
        <w:rPr/>
      </w:pPr>
      <w:r>
        <w:rPr>
          <w:rFonts w:ascii="Amiri" w:hAnsi="Amiri" w:eastAsia="Amiri" w:cs="Amiri"/>
          <w:color w:val="111111"/>
          <w:sz w:val="28"/>
          <w:sz w:val="28"/>
          <w:szCs w:val="28"/>
          <w:rtl w:val="true"/>
          <w:lang w:bidi="ar-SA"/>
        </w:rPr>
        <w:t>وكذا الكلام في الجنايات الواقعة على المحجوز ومَنْ يتولى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أنّ الشارع جعل ثمن هذا هذا، ورفع اليد عما يراه العرف،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على كليهما، إلاّ أنّ القرار على المباشر،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موقوف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ضرر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بحث؛ إذ يحتمل كونه عدم نفع، كالتاجر الذي ذهب إلى المتجر ولم يربح شيئاً، فإنّه لم ينتفع، لا أنّه تضرر،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ثلاث 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وإن كان وارداً دقة، إلاّ أنّ الظاهر صحة إطلاق الضرر على مثل المقام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الأجرة واحداً ضمنه، وإذا كانت مختلفة ضمن أجرة جميع ما كان يفعله، وإذا كان المحتمل فعل أحد أشياء مختلفة الأجرة، بأن كان أحياناً يصبغ بدينار وأحياناً يبني بنصف دينار، وكان من المحتمل أن يفعل هذا أو ذاك إذا لم يكن محجوزاً، فإنّه يضمن ثلاثة أرباع الدينار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 فلا مجال لإجراء أصالة البراءة عن الزائد</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الحكم ويثبته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الحاكم</w:t>
      </w:r>
      <w:r>
        <w:rPr>
          <w:rFonts w:eastAsia="Amiri" w:cs="Amiri" w:ascii="Amiri" w:hAnsi="Amiri"/>
          <w:color w:val="111111"/>
          <w:sz w:val="28"/>
          <w:szCs w:val="28"/>
          <w:rtl w:val="true"/>
          <w:lang w:bidi="ar-SA"/>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العدل أنّما تجري في المال المشتبه، كدرهمي الودعي،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المتباينين والعلم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يعطي هذا الدينار لزيد أو عمرو ثم شكّ في المنذور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دوران الأمر بين الأقل والأكثر فتجري البراءة، كدراهم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إشكال، وهو أنّه لو كان مقصّراً فهل تجري البراءة؟ مثل شخص كتب دين الدائن في ورقة ولا يعلم أنّها مائة، أو مائتين، فيحرق الورقة عمداً، ثم يجري البراءة عن الزائد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كتاب التقليد، فيما لو دار أمر الفائت بين الأقل والأكثر</w:t>
      </w:r>
      <w:r>
        <w:rPr>
          <w:rFonts w:eastAsia="Amiri" w:cs="Amiri" w:ascii="Amiri" w:hAnsi="Amiri"/>
          <w:color w:val="111111"/>
          <w:sz w:val="28"/>
          <w:szCs w:val="28"/>
          <w:rtl w:val="true"/>
          <w:lang w:bidi="ar-SA"/>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023" w:name="pg15697_169231"/>
    </w:p>
    <w:p>
      <w:pPr>
        <w:pStyle w:val="Heading2"/>
        <w:numPr>
          <w:ilvl w:val="1"/>
          <w:numId w:val="1"/>
        </w:numPr>
        <w:rPr/>
      </w:pPr>
      <w:bookmarkStart w:id="1024" w:name="__RefHeading___Toc11915760_2142443653"/>
      <w:bookmarkStart w:id="1025" w:name="_Toc367"/>
      <w:bookmarkEnd w:id="1023"/>
      <w:bookmarkEnd w:id="1024"/>
      <w:r>
        <w:rPr>
          <w:rtl w:val="true"/>
        </w:rPr>
        <w:t>حجز الأموال والعقار</w:t>
      </w:r>
      <w:bookmarkEnd w:id="10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حجز إنسان دابة إنسان أو داره أو ما أشبه فللمحجوز عليه أن يراجع الحاكم الشرعي، فيعزر الحاكم الحاجز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الحجز المحرم كسائر المحرمات فيه تعزير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w:t>
      </w:r>
      <w:r>
        <w:rPr>
          <w:rFonts w:eastAsia="IRNazanin" w:cs="IRNazanin"/>
          <w:color w:val="111111"/>
          <w:sz w:val="28"/>
          <w:szCs w:val="28"/>
          <w:rtl w:val="true"/>
          <w:lang w:bidi="fa-IR"/>
        </w:rPr>
        <w:t>- .</w:t>
      </w:r>
    </w:p>
    <w:p>
      <w:pPr>
        <w:pStyle w:val="Heading2"/>
        <w:numPr>
          <w:ilvl w:val="1"/>
          <w:numId w:val="1"/>
        </w:numPr>
        <w:rPr/>
      </w:pPr>
      <w:bookmarkStart w:id="1026" w:name="__RefHeading___Toc11915762_2142443653"/>
      <w:bookmarkStart w:id="1027" w:name="_Toc368"/>
      <w:bookmarkEnd w:id="1026"/>
      <w:r>
        <w:rPr>
          <w:rtl w:val="true"/>
        </w:rPr>
        <w:t>إجارة العقار للمحجوز عليه</w:t>
      </w:r>
      <w:bookmarkEnd w:id="102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للمحجوز عليه في المسألة السابقة أن يأخذ بمقدار ما فاته</w:t>
      </w:r>
      <w:r>
        <w:rPr>
          <w:rStyle w:val="FootnoteAnchor"/>
          <w:rtl w:val="true"/>
        </w:rPr>
        <w:footnoteReference w:id="1651"/>
      </w:r>
      <w:r>
        <w:rPr>
          <w:rFonts w:ascii="IRNazanin" w:hAnsi="IRNazanin" w:eastAsia="IRNazanin"/>
          <w:color w:val="111111"/>
          <w:sz w:val="28"/>
          <w:sz w:val="28"/>
          <w:szCs w:val="28"/>
          <w:rtl w:val="true"/>
          <w:lang w:bidi="fa-IR"/>
        </w:rPr>
        <w:t xml:space="preserve"> من المنافع من الحاجز، فلو حجز</w:t>
      </w:r>
    </w:p>
    <w:p>
      <w:pPr>
        <w:pStyle w:val="BookText"/>
        <w:rPr/>
      </w:pPr>
      <w:r>
        <w:rPr>
          <w:rFonts w:ascii="Amiri" w:hAnsi="Amiri" w:eastAsia="Amiri" w:cs="Amiri"/>
          <w:color w:val="111111"/>
          <w:sz w:val="28"/>
          <w:sz w:val="28"/>
          <w:szCs w:val="28"/>
          <w:rtl w:val="true"/>
          <w:lang w:bidi="ar-SA"/>
        </w:rPr>
        <w:t xml:space="preserve">لكن لو فرض الإشكال في بعض الصور، إلاّ أنّه في غالب الناس المقصرين لا مانع من جريان البراءة؛ وذلك للإطلاق، فإنّ أغلب من فاتتهم فرائض مقصرون، ومع ذلك تجري قاعدة البراءة للإطلاق،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لزم التنبيه؛ لابتلاء غالب الناس بذلك وغفلتهم عن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الغاصب يؤخذ بأشق الأحوال</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فلم نجد دليلاً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ما سبق من أنّ التعزيرات قليلة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Style w:val="FootnoteAnchor"/>
          <w:rtl w:val="true"/>
        </w:rPr>
        <w:footnoteReference w:id="1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مبنى المشهور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1028" w:name="pg15697_169232"/>
    </w:p>
    <w:p>
      <w:pPr>
        <w:pStyle w:val="BookText"/>
        <w:rPr/>
      </w:pPr>
      <w:bookmarkEnd w:id="1028"/>
      <w:r>
        <w:rPr>
          <w:rFonts w:ascii="Amiri" w:hAnsi="Amiri" w:eastAsia="Amiri" w:cs="Amiri"/>
          <w:color w:val="111111"/>
          <w:sz w:val="28"/>
          <w:sz w:val="28"/>
          <w:szCs w:val="28"/>
          <w:rtl w:val="true"/>
          <w:lang w:bidi="ar-SA"/>
        </w:rPr>
        <w:t>داره سنة وكان إيجارها</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مثلاً كان له أن يأخذ المائة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بل لو أراد بيع داره وكان المشتري يشتريها بمائة بينما قيمتها ثمانون فصار الحجز سبباً لفوت ذلك المشتري، فالعشرون مضمون؛ لأنّ الحاجز هو الذي أضره</w:t>
      </w:r>
      <w:r>
        <w:rPr>
          <w:rFonts w:eastAsia="Amiri" w:cs="Amiri" w:ascii="Amiri" w:hAnsi="Amiri"/>
          <w:color w:val="111111"/>
          <w:sz w:val="28"/>
          <w:szCs w:val="28"/>
          <w:rtl w:val="true"/>
          <w:lang w:bidi="ar-SA"/>
        </w:rPr>
        <w:t>.</w:t>
      </w:r>
    </w:p>
    <w:p>
      <w:pPr>
        <w:pStyle w:val="Heading2"/>
        <w:numPr>
          <w:ilvl w:val="1"/>
          <w:numId w:val="1"/>
        </w:numPr>
        <w:rPr/>
      </w:pPr>
      <w:bookmarkStart w:id="1029" w:name="__RefHeading___Toc11915764_2142443653"/>
      <w:bookmarkStart w:id="1030" w:name="_Toc369"/>
      <w:bookmarkEnd w:id="1029"/>
      <w:r>
        <w:rPr>
          <w:rtl w:val="true"/>
        </w:rPr>
        <w:t>التقاص في مسألة الحجز</w:t>
      </w:r>
      <w:bookmarkEnd w:id="103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يدفع الحاجز حق المحجوز عليه، كان للمحجوز عليه التقاص من ماله، علناً أم سراً، لكن الأحوط</w:t>
      </w:r>
      <w:r>
        <w:rPr>
          <w:rStyle w:val="FootnoteAnchor"/>
          <w:rtl w:val="true"/>
        </w:rPr>
        <w:footnoteReference w:id="1657"/>
      </w:r>
      <w:r>
        <w:rPr>
          <w:rFonts w:ascii="Amiri" w:hAnsi="Amiri" w:eastAsia="Amiri" w:cs="Amiri"/>
          <w:color w:val="111111"/>
          <w:sz w:val="28"/>
          <w:sz w:val="28"/>
          <w:szCs w:val="28"/>
          <w:rtl w:val="true"/>
          <w:lang w:bidi="ar-SA"/>
        </w:rPr>
        <w:t xml:space="preserve"> أن لا يأخذ سراً، ما دام يتمكن من الأخذ علناً بدون مفسدة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كان أحوط؛ لأنه يوجب التجري، وبعض المحاذير الأخرى غالباً، نعم إذا لم يكن أي محذور فلا فرق بين السرّ والعلن</w:t>
      </w:r>
      <w:r>
        <w:rPr>
          <w:rFonts w:eastAsia="Amiri" w:cs="Amiri" w:ascii="Amiri" w:hAnsi="Amiri"/>
          <w:color w:val="111111"/>
          <w:sz w:val="28"/>
          <w:szCs w:val="28"/>
          <w:rtl w:val="true"/>
          <w:lang w:bidi="ar-SA"/>
        </w:rPr>
        <w:t>.</w:t>
      </w:r>
    </w:p>
    <w:p>
      <w:pPr>
        <w:pStyle w:val="Heading2"/>
        <w:numPr>
          <w:ilvl w:val="1"/>
          <w:numId w:val="1"/>
        </w:numPr>
        <w:rPr/>
      </w:pPr>
      <w:bookmarkStart w:id="1031" w:name="__RefHeading___Toc11915766_2142443653"/>
      <w:bookmarkStart w:id="1032" w:name="_Toc370"/>
      <w:bookmarkEnd w:id="1031"/>
      <w:r>
        <w:rPr>
          <w:rtl w:val="true"/>
        </w:rPr>
        <w:t>ضمان الساجن خسائر المسجون</w:t>
      </w:r>
      <w:bookmarkEnd w:id="103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سجن إنسان إنساناً، فالحكم</w:t>
      </w:r>
      <w:r>
        <w:rPr>
          <w:rStyle w:val="FootnoteAnchor"/>
          <w:rtl w:val="true"/>
        </w:rPr>
        <w:footnoteReference w:id="1658"/>
      </w:r>
      <w:r>
        <w:rPr>
          <w:rFonts w:ascii="Amiri" w:hAnsi="Amiri" w:eastAsia="Amiri" w:cs="Amiri"/>
          <w:color w:val="111111"/>
          <w:sz w:val="28"/>
          <w:sz w:val="28"/>
          <w:szCs w:val="28"/>
          <w:rtl w:val="true"/>
          <w:lang w:bidi="ar-SA"/>
        </w:rPr>
        <w:t xml:space="preserve"> بالنسبة إلى ضمان</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يرد أن يؤجرها أصلاً، بل كانت متروكة مثلاً، فهل الحكم يجري أيضاً؟ الظاهر ذلك،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الأدلة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وجهه، أو المفسدة قد تكون في الأخذ العلني، كما قد تكون في الأخذ السرّي، والمراد بالتجري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جرأته على السرقة فيما بعد، والمحاذير لعله كالإشراف على العورات في البيوت،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ما سبق</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1033" w:name="pg15697_169233"/>
    </w:p>
    <w:p>
      <w:pPr>
        <w:pStyle w:val="BookText"/>
        <w:rPr/>
      </w:pPr>
      <w:bookmarkEnd w:id="1033"/>
      <w:r>
        <w:rPr>
          <w:rFonts w:ascii="Amiri" w:hAnsi="Amiri" w:eastAsia="Amiri" w:cs="Amiri"/>
          <w:color w:val="111111"/>
          <w:sz w:val="28"/>
          <w:sz w:val="28"/>
          <w:szCs w:val="28"/>
          <w:rtl w:val="true"/>
          <w:lang w:bidi="ar-SA"/>
        </w:rPr>
        <w:t xml:space="preserve">الساجن مال المسجون ومقدار عمله كما ذكر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 بالنسبة إلى تعزير الساجن هو كما ذكر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في الاصطلاح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عنونا مسألتين، فمن يأخذ يد غيره بالقوة بحيث لا يتمكن أن يتحرك فتشرد دابته لا يسمى سجناً، وإنما يسمى حجزاً، والدليل في مقام الحجز هو الدليل في مقام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فوت الحاجز ما أراده المحجوز وكان بإمكان المحجوز غيره بما يقل ضرره لو فعله، هل يضمن الكل أو البعض؟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نقّاش وعامل بناء يأخذ للأول في اليوم ثمانية وللثاني عشرة، فحجزه الحاجز بما لم يتمكن من البناء وتمكن من النقش، فهل يضمن الحاجز عشرة أو اثنين؟ الظاهر الثاني</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لأنه لم يضره أكثر من اثنين</w:t>
      </w:r>
      <w:r>
        <w:rPr>
          <w:rFonts w:eastAsia="Amiri" w:cs="Amiri" w:ascii="Amiri" w:hAnsi="Amiri"/>
          <w:color w:val="111111"/>
          <w:sz w:val="28"/>
          <w:szCs w:val="28"/>
          <w:rtl w:val="true"/>
          <w:lang w:bidi="ar-SA"/>
        </w:rPr>
        <w:t>.</w:t>
      </w:r>
    </w:p>
    <w:p>
      <w:pPr>
        <w:pStyle w:val="Heading2"/>
        <w:numPr>
          <w:ilvl w:val="1"/>
          <w:numId w:val="1"/>
        </w:numPr>
        <w:rPr/>
      </w:pPr>
      <w:bookmarkStart w:id="1034" w:name="__RefHeading___Toc11915768_2142443653"/>
      <w:bookmarkStart w:id="1035" w:name="_Toc371"/>
      <w:bookmarkEnd w:id="1034"/>
      <w:r>
        <w:rPr>
          <w:rtl w:val="true"/>
        </w:rPr>
        <w:t>الغرامة والتقاص</w:t>
      </w:r>
      <w:bookmarkEnd w:id="10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إنسان مال إنسان غرامة كان للمغرم أن يأخذ من مال الغارم إن أمكن بالقوة وإلا</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فبالتقاص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من أتلف مال الغير فهو له ضامن نصّاً وفتوى، وإذا لم يمكن الأخذ جاز التقاص للنص والفتوى أيضاً، هذا فيما لم تكن الغرامة جائزة، كما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فرق بينهما عنده، أمّا لو كان ذلك اليوم شاتياً ولم يكن يريد البناء تحت الأمطار أبداً، فالظاهر أنّ عليه العشرة كاملاً، وهكذا إذا لم يكن يريد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ترتيب بينهما؛ لعدم الدليل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1036" w:name="pg15697_169234"/>
    </w:p>
    <w:p>
      <w:pPr>
        <w:pStyle w:val="Heading2"/>
        <w:numPr>
          <w:ilvl w:val="1"/>
          <w:numId w:val="1"/>
        </w:numPr>
        <w:rPr/>
      </w:pPr>
      <w:bookmarkStart w:id="1037" w:name="__RefHeading___Toc11915770_2142443653"/>
      <w:bookmarkStart w:id="1038" w:name="_Toc372"/>
      <w:bookmarkEnd w:id="1036"/>
      <w:bookmarkEnd w:id="1037"/>
      <w:r>
        <w:rPr>
          <w:rtl w:val="true"/>
        </w:rPr>
        <w:t>من حق المعذَّب ظلماً</w:t>
      </w:r>
      <w:bookmarkEnd w:id="10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عذب</w:t>
      </w:r>
      <w:r>
        <w:rPr>
          <w:rStyle w:val="FootnoteAnchor"/>
          <w:rtl w:val="true"/>
        </w:rPr>
        <w:footnoteReference w:id="1662"/>
      </w:r>
      <w:r>
        <w:rPr>
          <w:rFonts w:ascii="Amiri" w:hAnsi="Amiri" w:eastAsia="Amiri" w:cs="Amiri"/>
          <w:color w:val="111111"/>
          <w:sz w:val="28"/>
          <w:sz w:val="28"/>
          <w:szCs w:val="28"/>
          <w:rtl w:val="true"/>
          <w:lang w:bidi="ar-SA"/>
        </w:rPr>
        <w:t xml:space="preserve"> إنسان إنساناً، فالظاهر له أن يقابله بالمثل، فيما أمكن بدون تغرير أو سراية</w:t>
      </w:r>
      <w:r>
        <w:rPr>
          <w:rStyle w:val="FootnoteAnchor"/>
          <w:rtl w:val="true"/>
        </w:rPr>
        <w:footnoteReference w:id="1663"/>
      </w:r>
      <w:r>
        <w:rPr>
          <w:rFonts w:ascii="Amiri" w:hAnsi="Amiri" w:eastAsia="Amiri" w:cs="Amiri"/>
          <w:color w:val="111111"/>
          <w:sz w:val="28"/>
          <w:sz w:val="28"/>
          <w:szCs w:val="28"/>
          <w:rtl w:val="true"/>
          <w:lang w:bidi="ar-SA"/>
        </w:rPr>
        <w:t>، وإذا خيف من التغرير أو السراية كان له أن يأخذ الدية بالمقدر شرعاً، وإن لم يكن مقدراً شرعاً الحكومة والأرش</w:t>
      </w:r>
      <w:r>
        <w:rPr>
          <w:rStyle w:val="FootnoteAnchor"/>
          <w:rtl w:val="true"/>
        </w:rPr>
        <w:footnoteReference w:id="1664"/>
      </w:r>
      <w:r>
        <w:rPr>
          <w:rFonts w:ascii="Amiri" w:hAnsi="Amiri" w:eastAsia="Amiri" w:cs="Amiri"/>
          <w:color w:val="111111"/>
          <w:sz w:val="28"/>
          <w:sz w:val="28"/>
          <w:szCs w:val="28"/>
          <w:rtl w:val="true"/>
          <w:lang w:bidi="ar-SA"/>
        </w:rPr>
        <w:t>، بمعناهما المذكور في فقه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المقابلة بالمثل أنما هو فيما لم يكن فيه منع شرعي، فلا يجوز لإنسان أحرق إنساناً أن يحرقه هو أو وليه؛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يعذب بالنار إلا رب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2"/>
        <w:numPr>
          <w:ilvl w:val="1"/>
          <w:numId w:val="1"/>
        </w:numPr>
        <w:rPr/>
      </w:pPr>
      <w:bookmarkStart w:id="1039" w:name="__RefHeading___Toc11915772_2142443653"/>
      <w:bookmarkStart w:id="1040" w:name="_Toc373"/>
      <w:bookmarkEnd w:id="1039"/>
      <w:r>
        <w:rPr>
          <w:rtl w:val="true"/>
        </w:rPr>
        <w:t>الفقراء والدولة الإسلامية</w:t>
      </w:r>
      <w:bookmarkEnd w:id="104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الإسلامية مكلفة</w:t>
      </w:r>
      <w:r>
        <w:rPr>
          <w:rStyle w:val="FootnoteAnchor"/>
          <w:rtl w:val="true"/>
        </w:rPr>
        <w:footnoteReference w:id="1665"/>
      </w:r>
      <w:r>
        <w:rPr>
          <w:rFonts w:ascii="Amiri" w:hAnsi="Amiri" w:eastAsia="Amiri" w:cs="Amiri"/>
          <w:color w:val="111111"/>
          <w:sz w:val="28"/>
          <w:sz w:val="28"/>
          <w:szCs w:val="28"/>
          <w:rtl w:val="true"/>
          <w:lang w:bidi="ar-SA"/>
        </w:rPr>
        <w:t xml:space="preserve"> بالقيام بنفقات الفقراء الذين لا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فالمراحل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بالمثل، بشرط عدم المنع الشرعي، وعدم التغرير والسراية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فالحكومة والأرش</w:t>
      </w:r>
      <w:r>
        <w:rPr>
          <w:rFonts w:eastAsia="Amiri" w:cs="Amiri" w:ascii="Amiri" w:hAnsi="Amiri"/>
          <w:color w:val="111111"/>
          <w:sz w:val="28"/>
          <w:szCs w:val="28"/>
          <w:rtl w:val="true"/>
          <w:lang w:bidi="ar-SA"/>
        </w:rPr>
        <w:t>.</w:t>
      </w:r>
    </w:p>
    <w:p>
      <w:pPr>
        <w:pStyle w:val="BookText"/>
        <w:rPr/>
      </w:pPr>
      <w:r>
        <w:rPr>
          <w:rStyle w:val="FootnoteAnchor"/>
          <w:rtl w:val="true"/>
        </w:rPr>
        <w:footnoteReference w:id="1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الديات</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الديات</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يراد مطلقاً، فإذا لم يكن في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1041" w:name="pg15697_169235"/>
    </w:p>
    <w:p>
      <w:pPr>
        <w:pStyle w:val="BookText"/>
        <w:rPr/>
      </w:pPr>
      <w:bookmarkEnd w:id="1041"/>
      <w:r>
        <w:rPr>
          <w:rFonts w:ascii="Amiri" w:hAnsi="Amiri" w:eastAsia="Amiri" w:cs="Amiri"/>
          <w:color w:val="111111"/>
          <w:sz w:val="28"/>
          <w:sz w:val="28"/>
          <w:szCs w:val="28"/>
          <w:rtl w:val="true"/>
          <w:lang w:bidi="ar-SA"/>
        </w:rPr>
        <w:t>يتمكنون من الاكتساب، أو يتمكنون ولكن ليس لهم كسب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من شؤون بيت المال، كما قرر في كتاب الزكاة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 وذكرناه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هذا بالإضافة إلى أنّ القوانين الإسلامية هي بصورة تقضي على الفقر شيئاً فشيئاً ، وذلك للحريات الكثيرة الموجودة ولغيرها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2" w:name="__RefHeading___Toc11915774_2142443653"/>
      <w:bookmarkStart w:id="1043" w:name="_Toc374"/>
      <w:bookmarkEnd w:id="1042"/>
      <w:r>
        <w:rPr>
          <w:rtl w:val="true"/>
        </w:rPr>
        <w:t>أصحاب الديون والدولة الإسلامية</w:t>
      </w:r>
      <w:bookmarkEnd w:id="104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الإسلامية مكلفة</w:t>
      </w:r>
      <w:r>
        <w:rPr>
          <w:rStyle w:val="FootnoteAnchor"/>
          <w:rtl w:val="true"/>
        </w:rPr>
        <w:footnoteReference w:id="1672"/>
      </w:r>
      <w:r>
        <w:rPr>
          <w:rFonts w:ascii="Amiri" w:hAnsi="Amiri" w:eastAsia="Amiri" w:cs="Amiri"/>
          <w:color w:val="111111"/>
          <w:sz w:val="28"/>
          <w:sz w:val="28"/>
          <w:szCs w:val="28"/>
          <w:rtl w:val="true"/>
          <w:lang w:bidi="ar-SA"/>
        </w:rPr>
        <w:t xml:space="preserve"> بوفاء ديون الغرماء الذين لم</w:t>
      </w:r>
    </w:p>
    <w:p>
      <w:pPr>
        <w:pStyle w:val="BookText"/>
        <w:rPr/>
      </w:pPr>
      <w:r>
        <w:rPr>
          <w:rFonts w:ascii="Amiri" w:hAnsi="Amiri" w:eastAsia="Amiri" w:cs="Amiri"/>
          <w:color w:val="111111"/>
          <w:sz w:val="28"/>
          <w:sz w:val="28"/>
          <w:szCs w:val="28"/>
          <w:rtl w:val="true"/>
          <w:lang w:bidi="ar-SA"/>
        </w:rPr>
        <w:t>بيت المال شيء وجب عليها الاقتراض أو الاتجار، أو استخراج المباحات؛ وذلك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w:t>
      </w:r>
      <w:r>
        <w:rPr>
          <w:rStyle w:val="FootnoteAnchor"/>
          <w:rtl w:val="true"/>
        </w:rPr>
        <w:footnoteReference w:id="1673"/>
      </w:r>
      <w:r>
        <w:rPr>
          <w:rFonts w:ascii="IRNazanin" w:hAnsi="IRNazanin" w:eastAsia="IRNazanin"/>
          <w:color w:val="111111"/>
          <w:sz w:val="28"/>
          <w:sz w:val="28"/>
          <w:szCs w:val="28"/>
          <w:rtl w:val="true"/>
          <w:lang w:bidi="fa-IR"/>
        </w:rPr>
        <w:t>ولأنّها نصبت لحفظ مصالح الناس،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هنا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الفقراء هل هم مورد، أو يجب إعطاؤهم حتماً؟ وهنا يأتي البحث السابق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كله بالعنوان الأولي، وأمّا بالعنوان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كانحراف الفقراء وثورتهم وإيجادهم للهرج والمرج لو لم يؤمن ما يحتاجونه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ذلك من باب مقدمة الواجب أو الحرام</w:t>
      </w:r>
      <w:r>
        <w:rPr>
          <w:rFonts w:eastAsia="Amiri" w:cs="Amiri" w:ascii="Amiri" w:hAnsi="Amiri"/>
          <w:color w:val="111111"/>
          <w:sz w:val="28"/>
          <w:szCs w:val="28"/>
          <w:rtl w:val="true"/>
          <w:lang w:bidi="ar-SA"/>
        </w:rPr>
        <w:t>.</w:t>
      </w:r>
    </w:p>
    <w:p>
      <w:pPr>
        <w:pStyle w:val="BookText"/>
        <w:rPr/>
      </w:pP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للفقراء السادة، راجع فقه الاقتصاد والدولة</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كتشويق الإسلام الناس للإنفاق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1044" w:name="pg15697_169236"/>
    </w:p>
    <w:p>
      <w:pPr>
        <w:pStyle w:val="BookText"/>
        <w:rPr/>
      </w:pPr>
      <w:bookmarkEnd w:id="1044"/>
      <w:r>
        <w:rPr>
          <w:rFonts w:ascii="Amiri" w:hAnsi="Amiri" w:eastAsia="Amiri" w:cs="Amiri"/>
          <w:color w:val="111111"/>
          <w:sz w:val="28"/>
          <w:sz w:val="28"/>
          <w:szCs w:val="28"/>
          <w:rtl w:val="true"/>
          <w:lang w:bidi="ar-SA"/>
        </w:rPr>
        <w:t>يتمكنوا من الوفاء، ولم يصرفوا الدين في الحرام والباطل</w:t>
      </w:r>
      <w:r>
        <w:rPr>
          <w:rStyle w:val="FootnoteAnchor"/>
          <w:rtl w:val="true"/>
        </w:rPr>
        <w:footnoteReference w:id="1679"/>
      </w:r>
      <w:r>
        <w:rPr>
          <w:rFonts w:ascii="Amiri" w:hAnsi="Amiri" w:eastAsia="Amiri" w:cs="Amiri"/>
          <w:color w:val="111111"/>
          <w:sz w:val="28"/>
          <w:sz w:val="28"/>
          <w:szCs w:val="28"/>
          <w:rtl w:val="true"/>
          <w:lang w:bidi="ar-SA"/>
        </w:rPr>
        <w:t>، من غير فرق بين أن يكون المديون حياً أو ميتاً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دل عليه النص والفتوى، كما في كتاب الزكاة</w:t>
      </w:r>
      <w:r>
        <w:rPr>
          <w:rFonts w:eastAsia="Amiri" w:cs="Amiri" w:ascii="Amiri" w:hAnsi="Amiri"/>
          <w:color w:val="111111"/>
          <w:sz w:val="28"/>
          <w:szCs w:val="28"/>
          <w:rtl w:val="true"/>
          <w:lang w:bidi="ar-SA"/>
        </w:rPr>
        <w:t>.</w:t>
      </w:r>
    </w:p>
    <w:p>
      <w:pPr>
        <w:pStyle w:val="Heading2"/>
        <w:numPr>
          <w:ilvl w:val="1"/>
          <w:numId w:val="1"/>
        </w:numPr>
        <w:rPr/>
      </w:pPr>
      <w:bookmarkStart w:id="1045" w:name="__RefHeading___Toc11915776_2142443653"/>
      <w:bookmarkStart w:id="1046" w:name="_Toc375"/>
      <w:bookmarkEnd w:id="1045"/>
      <w:r>
        <w:rPr>
          <w:rtl w:val="true"/>
        </w:rPr>
        <w:t>الاستهلال بالطائرة</w:t>
      </w:r>
      <w:bookmarkEnd w:id="104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غم الأفق فطارت الطائرة فوق السحاب ورأى من فيها الهلال، وتيقن بأنه لو لم يكن سحاب لرؤي الهلال في الأفق، كان الأفق محكوماً بأنه أول يوم من الشهر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المفروض</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أنّ الهلال يرى في هذا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منعه عن الرؤية مانع وهو السحاب، ولا اعتبار بهذا المانع</w:t>
      </w:r>
      <w:r>
        <w:rPr>
          <w:rFonts w:eastAsia="Amiri" w:cs="Amiri" w:ascii="Amiri" w:hAnsi="Amiri"/>
          <w:color w:val="111111"/>
          <w:sz w:val="28"/>
          <w:szCs w:val="28"/>
          <w:rtl w:val="true"/>
          <w:lang w:bidi="ar-SA"/>
        </w:rPr>
        <w:t>.</w:t>
      </w:r>
    </w:p>
    <w:p>
      <w:pPr>
        <w:pStyle w:val="BookText"/>
        <w:rPr/>
      </w:pP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قيد في قبال الحرام؟</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بحث كلّي،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موضوعية أو طريقية، ظاهر الأدلة الأوّل،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الموضوعية وإن كانت قانوناً عاماً إلاّ أنها في أمثال العلم واليقين والرؤية تعتبر 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الصوم من الفقه</w:t>
      </w:r>
      <w:r>
        <w:rPr>
          <w:rFonts w:eastAsia="Amiri" w:cs="Amiri" w:ascii="Amiri" w:hAnsi="Amiri"/>
          <w:color w:val="111111"/>
          <w:sz w:val="28"/>
          <w:szCs w:val="28"/>
          <w:rtl w:val="true"/>
          <w:lang w:bidi="ar-SA"/>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فالملاك كون الهلال في مدى الرؤية الطبيعية، بحيث لولا المانع لرؤي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في بلد عميان وعلموا بوجود الهلال لا بالطرق الشرعية،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1047" w:name="pg15697_169237"/>
    </w:p>
    <w:p>
      <w:pPr>
        <w:pStyle w:val="Heading2"/>
        <w:numPr>
          <w:ilvl w:val="1"/>
          <w:numId w:val="1"/>
        </w:numPr>
        <w:rPr/>
      </w:pPr>
      <w:bookmarkStart w:id="1048" w:name="__RefHeading___Toc11915778_2142443653"/>
      <w:bookmarkStart w:id="1049" w:name="_Toc376"/>
      <w:bookmarkEnd w:id="1047"/>
      <w:bookmarkEnd w:id="1048"/>
      <w:r>
        <w:rPr>
          <w:rtl w:val="true"/>
        </w:rPr>
        <w:t>وقف الإنسان الحر نفسه</w:t>
      </w:r>
      <w:bookmarkEnd w:id="104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Style w:val="FootnoteAnchor"/>
          <w:rtl w:val="true"/>
        </w:rPr>
        <w:footnoteReference w:id="1684"/>
      </w:r>
      <w:r>
        <w:rPr>
          <w:rFonts w:ascii="Amiri" w:hAnsi="Amiri" w:eastAsia="Amiri" w:cs="Amiri"/>
          <w:color w:val="111111"/>
          <w:sz w:val="28"/>
          <w:sz w:val="28"/>
          <w:szCs w:val="28"/>
          <w:rtl w:val="true"/>
          <w:lang w:bidi="ar-SA"/>
        </w:rPr>
        <w:t xml:space="preserve"> وقف الإنسان نفسه أو بعض من يتعلق به من الأحرار، والظاهر</w:t>
      </w:r>
      <w:r>
        <w:rPr>
          <w:rStyle w:val="FootnoteAnchor"/>
          <w:rtl w:val="true"/>
        </w:rPr>
        <w:footnoteReference w:id="1685"/>
      </w:r>
      <w:r>
        <w:rPr>
          <w:rFonts w:ascii="Amiri" w:hAnsi="Amiri" w:eastAsia="Amiri" w:cs="Amiri"/>
          <w:color w:val="111111"/>
          <w:sz w:val="28"/>
          <w:sz w:val="28"/>
          <w:szCs w:val="28"/>
          <w:rtl w:val="true"/>
          <w:lang w:bidi="ar-SA"/>
        </w:rPr>
        <w:t xml:space="preserve"> أنّ ما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بَطْنِي مُحَرَّراً</w:t>
      </w:r>
      <w:r>
        <w:rPr>
          <w:rFonts w:eastAsia="Amiri" w:cs="Amiri" w:ascii="Amiri" w:hAnsi="Amiri"/>
          <w:color w:val="111111"/>
          <w:sz w:val="28"/>
          <w:szCs w:val="28"/>
          <w:rtl w:val="true"/>
          <w:lang w:bidi="ar-SA"/>
        </w:rPr>
        <w:t>}</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بل بشهادة فاسق، فهل لا يحكمون بالشهر؟ إنّه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الفلكي لا بولادة الهلال فقط، بل بِكونه في مدى قابل للرؤية بالعين الطبيعية ثبت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تناقض فتوى صراط النجاة في ذلك، ففي الجزء الثالث أفتى أنّه يكفي، وفي جزء آخر أفتى أنه لا يكفي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للاطمئنان بتولده، بل ولا للاطمئنان بقابليته للرؤية، بل لا بد من الرؤية خارجاً وثبوتها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ثبوت الشهر رؤية الهلال بالعين، فلو كان هناك مانع يمنع من رؤيته بالعين، ولا يمنع من رؤيته بالمجهر، كالدخان أو الغيم أو الغبار، أو موانع أخرى، فهل تثبت رؤيته بالمجهر في هذا الحال؟</w:t>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بحيث لولا المانع يرى عادياً فيكفي، وإذا كان لا يرى عادياً إلا بالمجهر فلا يكفي،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وقف إلاّ في ملك</w:t>
      </w:r>
      <w:r>
        <w:rPr>
          <w:rFonts w:eastAsia="Amiri" w:cs="Amiri" w:ascii="Amiri" w:hAnsi="Amiri"/>
          <w:color w:val="111111"/>
          <w:sz w:val="28"/>
          <w:szCs w:val="28"/>
          <w:rtl w:val="true"/>
          <w:lang w:bidi="ar-SA"/>
        </w:rPr>
        <w:t>.</w:t>
      </w:r>
    </w:p>
    <w:p>
      <w:pPr>
        <w:pStyle w:val="BookText"/>
        <w:rPr/>
      </w:pP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في النذر لا في الوقف،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المسائل اللاحقة الفرق بينهما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خاصاً</w:t>
      </w:r>
      <w:r>
        <w:rPr>
          <w:rStyle w:val="FootnoteAnchor"/>
          <w:rtl w:val="true"/>
        </w:rPr>
        <w:footnoteReference w:id="1690"/>
      </w:r>
      <w:r>
        <w:rPr>
          <w:rFonts w:ascii="Amiri" w:hAnsi="Amiri" w:eastAsia="Amiri" w:cs="Amiri"/>
          <w:color w:val="111111"/>
          <w:sz w:val="28"/>
          <w:sz w:val="28"/>
          <w:szCs w:val="28"/>
          <w:rtl w:val="true"/>
          <w:lang w:bidi="ar-SA"/>
        </w:rPr>
        <w:t xml:space="preserve"> بالأُمم السابقة، وإذا كان للإنسان عبد يصح له وقف العبد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سلطة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الإنسان على نفسه حكم لاحق</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فلا يصح</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له سلبه إلا في مثل إجارة الإنسان نفسه وما أشبه مما ثبت في الشريعة، أما تسلطه على غيره فلا يصح لوجهين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1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لا يجري فهو واضح،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يجري فالأمارة واردة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الدليل ما ذكرناه، وأمّا هذا الدليل فينقض بالسلب بمثل النذر والعهد والإجارة، كما سيأتي في المسألة اللاحقة</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الفرق بينهما ذاتاً وآثاراً في المؤلفات المؤلفة لهذا الشأن</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سلطة السلب هي من السلطة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الكلّي، لا السلب الجزئي في مثل الإجارة ونحوها،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فالاستثناء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السلطنة، وإنّه تصرف في الغير بلا مسوغ،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تصرف في الغير مزيل للسلطنة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الغبطة</w:t>
      </w:r>
      <w:r>
        <w:rPr>
          <w:rStyle w:val="FootnoteAnchor"/>
          <w:rtl w:val="true"/>
        </w:rPr>
        <w:footnoteReference w:id="1695"/>
      </w:r>
      <w:r>
        <w:rPr>
          <w:rFonts w:ascii="Amiri" w:hAnsi="Amiri" w:eastAsia="Amiri" w:cs="Amiri"/>
          <w:color w:val="111111"/>
          <w:sz w:val="28"/>
          <w:sz w:val="28"/>
          <w:szCs w:val="28"/>
          <w:rtl w:val="true"/>
          <w:lang w:bidi="ar-SA"/>
        </w:rPr>
        <w:t>التي تشترط في تصرفات الولي</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1050" w:name="pg15697_169239"/>
    </w:p>
    <w:p>
      <w:pPr>
        <w:pStyle w:val="BookText"/>
        <w:rPr/>
      </w:pPr>
      <w:bookmarkEnd w:id="1050"/>
      <w:r>
        <w:rPr>
          <w:rFonts w:ascii="Amiri" w:hAnsi="Amiri" w:eastAsia="Amiri" w:cs="Amiri"/>
          <w:color w:val="111111"/>
          <w:sz w:val="28"/>
          <w:sz w:val="28"/>
          <w:szCs w:val="28"/>
          <w:rtl w:val="true"/>
          <w:lang w:bidi="ar-SA"/>
        </w:rPr>
        <w:t>وعلى أي حال، فلا تستصحب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السابقة بما علم عدمه في هذه الشريعة، كصوم الوصال والصمت وما أشبه</w:t>
      </w:r>
      <w:r>
        <w:rPr>
          <w:rFonts w:eastAsia="Amiri" w:cs="Amiri" w:ascii="Amiri" w:hAnsi="Amiri"/>
          <w:color w:val="111111"/>
          <w:sz w:val="28"/>
          <w:szCs w:val="28"/>
          <w:rtl w:val="true"/>
          <w:lang w:bidi="ar-SA"/>
        </w:rPr>
        <w:t>.</w:t>
      </w:r>
    </w:p>
    <w:p>
      <w:pPr>
        <w:pStyle w:val="Heading2"/>
        <w:numPr>
          <w:ilvl w:val="1"/>
          <w:numId w:val="1"/>
        </w:numPr>
        <w:rPr/>
      </w:pPr>
      <w:bookmarkStart w:id="1051" w:name="__RefHeading___Toc11915780_2142443653"/>
      <w:bookmarkStart w:id="1052" w:name="_Toc377"/>
      <w:bookmarkEnd w:id="1051"/>
      <w:r>
        <w:rPr>
          <w:rtl w:val="true"/>
        </w:rPr>
        <w:t>ما يقوم مقام الوقف</w:t>
      </w:r>
      <w:bookmarkEnd w:id="10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الحصول على فائدة الوقف</w:t>
      </w:r>
      <w:r>
        <w:rPr>
          <w:rStyle w:val="FootnoteAnchor"/>
          <w:rtl w:val="true"/>
        </w:rPr>
        <w:footnoteReference w:id="1697"/>
      </w:r>
      <w:r>
        <w:rPr>
          <w:rFonts w:ascii="Amiri" w:hAnsi="Amiri" w:eastAsia="Amiri" w:cs="Amiri"/>
          <w:color w:val="111111"/>
          <w:sz w:val="28"/>
          <w:sz w:val="28"/>
          <w:szCs w:val="28"/>
          <w:rtl w:val="true"/>
          <w:lang w:bidi="ar-SA"/>
        </w:rPr>
        <w:t xml:space="preserve"> بالنذر والعهد واليمين والشرط</w:t>
      </w:r>
      <w:r>
        <w:rPr>
          <w:rStyle w:val="FootnoteAnchor"/>
          <w:rtl w:val="true"/>
        </w:rPr>
        <w:footnoteReference w:id="1698"/>
      </w:r>
      <w:r>
        <w:rPr>
          <w:rFonts w:ascii="Amiri" w:hAnsi="Amiri" w:eastAsia="Amiri" w:cs="Amiri"/>
          <w:color w:val="111111"/>
          <w:sz w:val="28"/>
          <w:sz w:val="28"/>
          <w:szCs w:val="28"/>
          <w:rtl w:val="true"/>
          <w:lang w:bidi="ar-SA"/>
        </w:rPr>
        <w:t>، كأن ينذر أن يخدم معاهد العلم ودور العبادة والمستشفيات وما أشبه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أدلة النذر وشبهه، ولا يخفى أنّ هذا بالنسبة إلى نفسه لا إلى غيره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فإنه لا يصح النذر على غيره</w:t>
      </w:r>
      <w:r>
        <w:rPr>
          <w:rFonts w:eastAsia="Amiri" w:cs="Amiri" w:ascii="Amiri" w:hAnsi="Amiri"/>
          <w:color w:val="111111"/>
          <w:sz w:val="28"/>
          <w:szCs w:val="28"/>
          <w:rtl w:val="true"/>
          <w:lang w:bidi="ar-SA"/>
        </w:rPr>
        <w:t>.</w:t>
      </w:r>
    </w:p>
    <w:p>
      <w:pPr>
        <w:pStyle w:val="Heading2"/>
        <w:numPr>
          <w:ilvl w:val="1"/>
          <w:numId w:val="1"/>
        </w:numPr>
        <w:rPr/>
      </w:pPr>
      <w:bookmarkStart w:id="1053" w:name="__RefHeading___Toc11915782_2142443653"/>
      <w:bookmarkStart w:id="1054" w:name="_Toc378"/>
      <w:bookmarkEnd w:id="1053"/>
      <w:r>
        <w:rPr>
          <w:rtl w:val="true"/>
        </w:rPr>
        <w:t>النذر في الدم</w:t>
      </w:r>
      <w:bookmarkEnd w:id="105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w:t>
      </w:r>
      <w:r>
        <w:rPr>
          <w:rStyle w:val="FootnoteAnchor"/>
          <w:rtl w:val="true"/>
        </w:rPr>
        <w:footnoteReference w:id="16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لبطلان الاستصحاب في ذلك، إلاّ أنّه خلاف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مثله في كلّ الأحكام،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قابل للحلّ من قبل الزوج والأب دون الوقف</w:t>
      </w:r>
      <w:r>
        <w:rPr>
          <w:rFonts w:eastAsia="Amiri" w:cs="Amiri" w:ascii="Amiri" w:hAnsi="Amiri"/>
          <w:color w:val="111111"/>
          <w:sz w:val="28"/>
          <w:szCs w:val="28"/>
          <w:rtl w:val="true"/>
          <w:lang w:bidi="ar-SA"/>
        </w:rPr>
        <w:t>.</w:t>
      </w:r>
    </w:p>
    <w:p>
      <w:pPr>
        <w:pStyle w:val="BookText"/>
        <w:rPr/>
      </w:pP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العقد اللازم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الآباء أن يصنعوا ذلك بأبنائهم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المسألة السابقة</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Style w:val="FootnoteAnchor"/>
          <w:rtl w:val="true"/>
        </w:rPr>
        <w:footnoteReference w:id="1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شرائط النذر، وهل إنّها تتحقق هنا؟</w:t>
      </w:r>
      <w:r>
        <w:rPr>
          <w:rStyle w:val="FootnoteAnchor"/>
          <w:rtl w:val="true"/>
        </w:rPr>
        <w:footnoteReference w:id="170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1055" w:name="pg15697_169240"/>
    </w:p>
    <w:p>
      <w:pPr>
        <w:pStyle w:val="BookText"/>
        <w:rPr/>
      </w:pPr>
      <w:bookmarkEnd w:id="1055"/>
      <w:r>
        <w:rPr>
          <w:rFonts w:ascii="Amiri" w:hAnsi="Amiri" w:eastAsia="Amiri" w:cs="Amiri"/>
          <w:color w:val="111111"/>
          <w:sz w:val="28"/>
          <w:sz w:val="28"/>
          <w:szCs w:val="28"/>
          <w:rtl w:val="true"/>
          <w:lang w:bidi="ar-SA"/>
        </w:rPr>
        <w:t>أن ينذر</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دمه، فيكون حاله حال ما إذا نذر نفسه، فكلما زاد الدم في جسمه سحبه لإعطائه إلى الجهة المنذور لها أم لا يصح؟ احتمالان</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وإن كان لا يبعد صحة النذر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النذر، وكذا بالنسبة إلى اليمين والعهد والشرط</w:t>
      </w:r>
      <w:r>
        <w:rPr>
          <w:rFonts w:eastAsia="Amiri" w:cs="Amiri" w:ascii="Amiri" w:hAnsi="Amiri"/>
          <w:color w:val="111111"/>
          <w:sz w:val="28"/>
          <w:szCs w:val="28"/>
          <w:rtl w:val="true"/>
          <w:lang w:bidi="ar-SA"/>
        </w:rPr>
        <w:t>.</w:t>
      </w:r>
    </w:p>
    <w:p>
      <w:pPr>
        <w:pStyle w:val="Heading2"/>
        <w:numPr>
          <w:ilvl w:val="1"/>
          <w:numId w:val="1"/>
        </w:numPr>
        <w:rPr/>
      </w:pPr>
      <w:bookmarkStart w:id="1056" w:name="__RefHeading___Toc11915784_2142443653"/>
      <w:bookmarkStart w:id="1057" w:name="_Toc379"/>
      <w:bookmarkEnd w:id="1056"/>
      <w:r>
        <w:rPr>
          <w:rtl w:val="true"/>
        </w:rPr>
        <w:t>وقف الإنسان دمه</w:t>
      </w:r>
      <w:bookmarkEnd w:id="105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يصح أن يوقف الإنسان دمه حتى يكون من قبيل وقف البئر التي تمنح ماءها للجهة الموقوفة لها، وربما يحتمل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الصحة لأنّ أدلة الوقف منصرفة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 مثل ذلك، واحتمال الصحة ضعيف، ومنه يعلم حكم وقف سائر أعضاء الإنسان</w:t>
      </w:r>
      <w:r>
        <w:rPr>
          <w:rFonts w:eastAsia="Amiri" w:cs="Amiri" w:ascii="Amiri" w:hAnsi="Amiri"/>
          <w:color w:val="111111"/>
          <w:sz w:val="28"/>
          <w:szCs w:val="28"/>
          <w:rtl w:val="true"/>
          <w:lang w:bidi="ar-SA"/>
        </w:rPr>
        <w:t>.</w:t>
      </w:r>
    </w:p>
    <w:p>
      <w:pPr>
        <w:pStyle w:val="Heading2"/>
        <w:numPr>
          <w:ilvl w:val="1"/>
          <w:numId w:val="1"/>
        </w:numPr>
        <w:rPr/>
      </w:pPr>
      <w:bookmarkStart w:id="1058" w:name="__RefHeading___Toc11915786_2142443653"/>
      <w:bookmarkStart w:id="1059" w:name="_Toc380"/>
      <w:bookmarkEnd w:id="1058"/>
      <w:r>
        <w:rPr>
          <w:rtl w:val="true"/>
        </w:rPr>
        <w:t>الوقف بعد الموت</w:t>
      </w:r>
      <w:bookmarkEnd w:id="10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يوقف</w:t>
      </w:r>
      <w:r>
        <w:rPr>
          <w:rStyle w:val="FootnoteAnchor"/>
          <w:rtl w:val="true"/>
        </w:rPr>
        <w:footnoteReference w:id="1705"/>
      </w:r>
      <w:r>
        <w:rPr>
          <w:rFonts w:ascii="Amiri" w:hAnsi="Amiri" w:eastAsia="Amiri" w:cs="Amiri"/>
          <w:color w:val="111111"/>
          <w:sz w:val="28"/>
          <w:sz w:val="28"/>
          <w:szCs w:val="28"/>
          <w:rtl w:val="true"/>
          <w:lang w:bidi="ar-SA"/>
        </w:rPr>
        <w:t xml:space="preserve"> الإنسان أو ينذر أعضاءَهُ بعد موته، كأن ينذر قلع عينه لاستفادة أعمى، أو ينذر قطع رجله لاستفادة أعرج أو</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واليمين والشرط وقد ذكرها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الرجحان في المتعلق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الاحتمال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التأبيد؛ ولعدم جريان السيرة، ولو كان ذلك مستحباً لفعله ولو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أصحابهم،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أشبه ذلك؟ فيه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الاحتمال الأولي الصحة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لأنّ الناس مسلطون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على أموالهم وأنفسهم، ولا فرق في شمولية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القاعدة حياً وميتاً إلا ما خرج بالدليل، وأدلة المنع لا تشمله،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بعد الموت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 ميتاً كحرمته وهو 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تشمل مثل ذلك؛ لأنه ليس عرفاً خلاف الحرمة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بعد الموت،</w:t>
      </w:r>
    </w:p>
    <w:p>
      <w:pPr>
        <w:pStyle w:val="BookText"/>
        <w:rPr/>
      </w:pPr>
      <w:r>
        <w:rPr>
          <w:rStyle w:val="FootnoteAnchor"/>
          <w:rtl w:val="true"/>
        </w:rPr>
        <w:footnoteReference w:id="1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أدلة دفن الميت أولاً؛ إذ الظاهر دفن الجميع على مبنى المشهور من أن الألفاظ لا تقبل فيها التسامحات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العروة</w:t>
      </w:r>
      <w:r>
        <w:rPr>
          <w:rStyle w:val="FootnoteAnchor"/>
          <w:rtl w:val="true"/>
        </w:rPr>
        <w:footnoteReference w:id="1710"/>
      </w:r>
      <w:r>
        <w:rPr>
          <w:rFonts w:ascii="Amiri" w:hAnsi="Amiri" w:eastAsia="Amiri" w:cs="Amiri"/>
          <w:color w:val="111111"/>
          <w:sz w:val="28"/>
          <w:sz w:val="28"/>
          <w:szCs w:val="28"/>
          <w:rtl w:val="true"/>
          <w:lang w:bidi="ar-SA"/>
        </w:rPr>
        <w:t>من لزوم دفن جميع أجزاء الميت حتى ظفره وسنه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هتك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انطبق عنوان الأهم والمهم جاز</w:t>
      </w:r>
      <w:r>
        <w:rPr>
          <w:rFonts w:eastAsia="IRNazanin" w:cs="IRNazanin"/>
          <w:color w:val="111111"/>
          <w:sz w:val="28"/>
          <w:szCs w:val="28"/>
          <w:rtl w:val="true"/>
          <w:lang w:bidi="fa-IR"/>
        </w:rPr>
        <w:t>.</w:t>
      </w:r>
    </w:p>
    <w:p>
      <w:pPr>
        <w:pStyle w:val="BookText"/>
        <w:rPr/>
      </w:pP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سلطة فيما حرّمه الشارع</w:t>
      </w:r>
      <w:r>
        <w:rPr>
          <w:rFonts w:eastAsia="Amiri" w:cs="Amiri" w:ascii="Amiri" w:hAnsi="Amiri"/>
          <w:color w:val="111111"/>
          <w:sz w:val="28"/>
          <w:szCs w:val="28"/>
          <w:rtl w:val="true"/>
          <w:lang w:bidi="ar-SA"/>
        </w:rPr>
        <w:t>.</w:t>
      </w:r>
    </w:p>
    <w:p>
      <w:pPr>
        <w:pStyle w:val="BookText"/>
        <w:rPr/>
      </w:pP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بالانصراف كحال الحياة، وقد يرد بأنّه بدوي،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أدلة المنع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أدلة وجوب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فتوقي الميت</w:t>
      </w:r>
      <w:r>
        <w:rPr>
          <w:rFonts w:eastAsia="Amiri" w:cs="Amiri" w:ascii="Amiri" w:hAnsi="Amiri"/>
          <w:color w:val="111111"/>
          <w:sz w:val="28"/>
          <w:szCs w:val="28"/>
          <w:rtl w:val="true"/>
          <w:lang w:bidi="ar-SA"/>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هتك عرفاً، إلاّ في مثل الشعر ونحوه، اَما قلع العين وقطع اليد فهي هتك، فتأمل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1060" w:name="pg15697_169242"/>
    </w:p>
    <w:p>
      <w:pPr>
        <w:pStyle w:val="BookText"/>
        <w:rPr/>
      </w:pPr>
      <w:bookmarkEnd w:id="1060"/>
      <w:r>
        <w:rPr>
          <w:rFonts w:ascii="Amiri" w:hAnsi="Amiri" w:eastAsia="Amiri" w:cs="Amiri"/>
          <w:color w:val="111111"/>
          <w:sz w:val="28"/>
          <w:sz w:val="28"/>
          <w:szCs w:val="28"/>
          <w:rtl w:val="true"/>
          <w:lang w:bidi="ar-SA"/>
        </w:rPr>
        <w:t>كما أنّ غسل الميت بالماء البارد</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ليس خلاف الحرمة، وإن لم يجز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فتوقى الميت مما توقي منه نفسك</w:t>
      </w:r>
      <w:r>
        <w:rPr>
          <w:rFonts w:eastAsia="Amiri" w:cs="Amiri" w:ascii="Amiri" w:hAnsi="Amiri"/>
          <w:color w:val="111111"/>
          <w:sz w:val="28"/>
          <w:szCs w:val="28"/>
          <w:rtl w:val="true"/>
          <w:lang w:bidi="ar-SA"/>
        </w:rPr>
        <w:t>»</w:t>
      </w:r>
      <w:r>
        <w:rPr>
          <w:rStyle w:val="FootnoteAnchor"/>
          <w:rtl w:val="true"/>
        </w:rPr>
        <w:footnoteReference w:id="1714"/>
      </w:r>
      <w:r>
        <w:rPr>
          <w:rFonts w:ascii="Amiri" w:hAnsi="Amiri" w:eastAsia="Amiri" w:cs="Amiri"/>
          <w:color w:val="111111"/>
          <w:sz w:val="28"/>
          <w:sz w:val="28"/>
          <w:szCs w:val="28"/>
          <w:rtl w:val="true"/>
          <w:lang w:bidi="ar-SA"/>
        </w:rPr>
        <w:t>، وذلك في مثل المثال محمول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لو نذر عضواً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أعضائه أو عضوين أو ثلاثةً مثلاً ، أما لو نذر جميع أعضائه بحيث لا يبقى منه شيء للدفن فهل يجوز ذلك؟ مشكل لأن دفن الميت المسلم حكم، لاحقٌّ حتى يجوز له إسقاطه</w:t>
      </w:r>
      <w:r>
        <w:rPr>
          <w:rFonts w:eastAsia="Amiri" w:cs="Amiri" w:ascii="Amiri" w:hAnsi="Amiri"/>
          <w:color w:val="111111"/>
          <w:sz w:val="28"/>
          <w:szCs w:val="28"/>
          <w:rtl w:val="true"/>
          <w:lang w:bidi="ar-SA"/>
        </w:rPr>
        <w:t>.</w:t>
      </w:r>
    </w:p>
    <w:p>
      <w:pPr>
        <w:pStyle w:val="Heading2"/>
        <w:numPr>
          <w:ilvl w:val="1"/>
          <w:numId w:val="1"/>
        </w:numPr>
        <w:rPr/>
      </w:pPr>
      <w:bookmarkStart w:id="1061" w:name="__RefHeading___Toc11915788_2142443653"/>
      <w:bookmarkStart w:id="1062" w:name="_Toc381"/>
      <w:bookmarkEnd w:id="1061"/>
      <w:r>
        <w:rPr>
          <w:rtl w:val="true"/>
        </w:rPr>
        <w:t>الصلح والهبة على الأعضاء</w:t>
      </w:r>
      <w:bookmarkEnd w:id="106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w:t>
      </w:r>
      <w:r>
        <w:rPr>
          <w:rStyle w:val="FootnoteAnchor"/>
          <w:rtl w:val="true"/>
        </w:rPr>
        <w:footnoteReference w:id="1715"/>
      </w:r>
      <w:r>
        <w:rPr>
          <w:rFonts w:ascii="Amiri" w:hAnsi="Amiri" w:eastAsia="Amiri" w:cs="Amiri"/>
          <w:color w:val="111111"/>
          <w:sz w:val="28"/>
          <w:sz w:val="28"/>
          <w:szCs w:val="28"/>
          <w:rtl w:val="true"/>
          <w:lang w:bidi="ar-SA"/>
        </w:rPr>
        <w:t xml:space="preserve"> الصلح والهبة</w:t>
      </w:r>
      <w:r>
        <w:rPr>
          <w:rStyle w:val="FootnoteAnchor"/>
          <w:rtl w:val="true"/>
        </w:rPr>
        <w:footnoteReference w:id="1716"/>
      </w:r>
      <w:r>
        <w:rPr>
          <w:rFonts w:ascii="Amiri" w:hAnsi="Amiri" w:eastAsia="Amiri" w:cs="Amiri"/>
          <w:color w:val="111111"/>
          <w:sz w:val="28"/>
          <w:sz w:val="28"/>
          <w:szCs w:val="28"/>
          <w:rtl w:val="true"/>
          <w:lang w:bidi="ar-SA"/>
        </w:rPr>
        <w:t xml:space="preserve"> على الأعضاء ليستفاد منها</w:t>
      </w:r>
    </w:p>
    <w:p>
      <w:pPr>
        <w:pStyle w:val="BookText"/>
        <w:rPr/>
      </w:pPr>
      <w:r>
        <w:rPr>
          <w:rFonts w:eastAsia="Times New Roman" w:cs="Times New Roman" w:ascii="Times New Roman" w:hAnsi="Times New Roman"/>
          <w:color w:val="111111"/>
          <w:sz w:val="28"/>
          <w:szCs w:val="28"/>
          <w:lang w:val="en-US" w:bidi="en-US"/>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ورود النص بالجواز</w:t>
      </w:r>
      <w:r>
        <w:rPr>
          <w:rStyle w:val="FootnoteAnchor"/>
          <w:rtl w:val="true"/>
        </w:rPr>
        <w:footnoteReference w:id="1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شتاءً بارداً فتوقي الميت مما توقي منه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ليس هتكاً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هو انتفاء الموضوع حال الموت دون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غير واضح، إلاّ أن تكون الرواية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الأعضاء مختلفة، حتى لو لوحظ التسامح العرفي؛ إذ مع بعضها لا يصدق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الهبة القبض والإقباض، وفي تحققه في المقام غموض</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1063" w:name="pg15697_169243"/>
    </w:p>
    <w:p>
      <w:pPr>
        <w:pStyle w:val="BookText"/>
        <w:rPr/>
      </w:pPr>
      <w:bookmarkEnd w:id="1063"/>
      <w:r>
        <w:rPr>
          <w:rFonts w:ascii="Amiri" w:hAnsi="Amiri" w:eastAsia="Amiri" w:cs="Amiri"/>
          <w:color w:val="111111"/>
          <w:sz w:val="28"/>
          <w:sz w:val="28"/>
          <w:szCs w:val="28"/>
          <w:rtl w:val="true"/>
          <w:lang w:bidi="ar-SA"/>
        </w:rPr>
        <w:t>بعد موته، كما ذكر في المسألة السابقة؟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أنفسهم</w:t>
      </w:r>
      <w:r>
        <w:rPr>
          <w:rFonts w:eastAsia="Amiri" w:cs="Amiri" w:ascii="Amiri" w:hAnsi="Amiri"/>
          <w:color w:val="111111"/>
          <w:sz w:val="28"/>
          <w:szCs w:val="28"/>
          <w:rtl w:val="true"/>
          <w:lang w:bidi="ar-SA"/>
        </w:rPr>
        <w:t>)</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المنصرف من السلطة غير ذلك، بالإضافة إلى احتمال حرمته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الأقرب في بعض الأعضاء الصحة لإطلاق الأدلة بلا مانع</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4" w:name="__RefHeading___Toc11915790_2142443653"/>
      <w:bookmarkStart w:id="1065" w:name="_Toc382"/>
      <w:bookmarkEnd w:id="1064"/>
      <w:r>
        <w:rPr>
          <w:rtl w:val="true"/>
        </w:rPr>
        <w:t>تشخيص الدائن والمديون بالأرواح</w:t>
      </w:r>
      <w:bookmarkEnd w:id="106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الاعتماد على قول الروح المستحضر في كونه</w:t>
      </w:r>
      <w:r>
        <w:rPr>
          <w:rStyle w:val="FootnoteAnchor"/>
          <w:rtl w:val="true"/>
        </w:rPr>
        <w:footnoteReference w:id="1722"/>
      </w:r>
      <w:r>
        <w:rPr>
          <w:rFonts w:ascii="Amiri" w:hAnsi="Amiri" w:eastAsia="Amiri" w:cs="Amiri"/>
          <w:color w:val="111111"/>
          <w:sz w:val="28"/>
          <w:sz w:val="28"/>
          <w:szCs w:val="28"/>
          <w:rtl w:val="true"/>
          <w:lang w:bidi="ar-SA"/>
        </w:rPr>
        <w:t xml:space="preserve"> دائناً لفلان أو مديوناً أو ما أشبه ذلك؟ الظاهر لا، إلا إذا أورث علماً</w:t>
      </w:r>
      <w:r>
        <w:rPr>
          <w:rStyle w:val="FootnoteAnchor"/>
          <w:rtl w:val="true"/>
        </w:rPr>
        <w:footnoteReference w:id="1723"/>
      </w:r>
      <w:r>
        <w:rPr>
          <w:rFonts w:ascii="Amiri" w:hAnsi="Amiri" w:eastAsia="Amiri" w:cs="Amiri"/>
          <w:color w:val="111111"/>
          <w:sz w:val="28"/>
          <w:sz w:val="28"/>
          <w:szCs w:val="28"/>
          <w:rtl w:val="true"/>
          <w:lang w:bidi="ar-SA"/>
        </w:rPr>
        <w:t xml:space="preserve"> ، ولم يكن الشارع حصر السبب في أمر خاص</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من المستثنى منه والمستثنى على وفق القاعدة</w:t>
      </w:r>
      <w:r>
        <w:rPr>
          <w:rFonts w:eastAsia="Amiri" w:cs="Amiri" w:ascii="Amiri" w:hAnsi="Amiri"/>
          <w:color w:val="111111"/>
          <w:sz w:val="28"/>
          <w:szCs w:val="28"/>
          <w:rtl w:val="true"/>
          <w:lang w:bidi="ar-SA"/>
        </w:rPr>
        <w:t>.</w:t>
      </w:r>
    </w:p>
    <w:p>
      <w:pPr>
        <w:pStyle w:val="Heading2"/>
        <w:numPr>
          <w:ilvl w:val="1"/>
          <w:numId w:val="1"/>
        </w:numPr>
        <w:rPr/>
      </w:pPr>
      <w:bookmarkStart w:id="1066" w:name="__RefHeading___Toc11915792_2142443653"/>
      <w:bookmarkStart w:id="1067" w:name="_Toc383"/>
      <w:bookmarkEnd w:id="1066"/>
      <w:r>
        <w:rPr>
          <w:rtl w:val="true"/>
        </w:rPr>
        <w:t>ديون الميت</w:t>
      </w:r>
      <w:bookmarkEnd w:id="106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المسألة السابقة أنما هو في ما إذا كان للميت</w:t>
      </w:r>
    </w:p>
    <w:p>
      <w:pPr>
        <w:pStyle w:val="BookText"/>
        <w:rPr/>
      </w:pP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من سيرة العقلاء،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المانع فيما تقدّم</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Style w:val="FootnoteAnchor"/>
          <w:rtl w:val="true"/>
        </w:rPr>
        <w:footnoteReference w:id="1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الروح</w:t>
      </w:r>
      <w:r>
        <w:rPr>
          <w:rFonts w:eastAsia="Amiri" w:cs="Amiri" w:ascii="Amiri" w:hAnsi="Amiri"/>
          <w:color w:val="111111"/>
          <w:sz w:val="28"/>
          <w:szCs w:val="28"/>
          <w:rtl w:val="true"/>
          <w:lang w:bidi="ar-SA"/>
        </w:rPr>
        <w:t>.</w:t>
      </w:r>
    </w:p>
    <w:p>
      <w:pPr>
        <w:pStyle w:val="BookText"/>
        <w:rPr/>
      </w:pP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اطمئناناً</w:t>
      </w:r>
      <w:r>
        <w:rPr>
          <w:rFonts w:eastAsia="IRNazanin" w:cs="IRNazanin"/>
          <w:color w:val="111111"/>
          <w:sz w:val="28"/>
          <w:szCs w:val="28"/>
          <w:rtl w:val="true"/>
          <w:lang w:bidi="fa-IR"/>
        </w:rPr>
        <w:t>.</w:t>
      </w:r>
    </w:p>
    <w:p>
      <w:pPr>
        <w:pStyle w:val="BookText"/>
        <w:rPr/>
      </w:pP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الأقسام الثلاثة فيما سبق، أوائل الكتاب</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1068" w:name="pg15697_169244"/>
    </w:p>
    <w:p>
      <w:pPr>
        <w:pStyle w:val="BookText"/>
        <w:rPr/>
      </w:pPr>
      <w:bookmarkEnd w:id="1068"/>
      <w:r>
        <w:rPr>
          <w:rFonts w:ascii="Amiri" w:hAnsi="Amiri" w:eastAsia="Amiri" w:cs="Amiri"/>
          <w:color w:val="111111"/>
          <w:sz w:val="28"/>
          <w:sz w:val="28"/>
          <w:szCs w:val="28"/>
          <w:rtl w:val="true"/>
          <w:lang w:bidi="ar-SA"/>
        </w:rPr>
        <w:t>صغير أو نحوه</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أما إذا أراد الأولياء الكبار دفع المال، لمن ذكر الروح أنه مديون إليه</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فلا إشكال في جوازه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أقرب إلى التبرع من التقاضي الذي يجب أن يكون بموازينه</w:t>
      </w:r>
      <w:r>
        <w:rPr>
          <w:rFonts w:eastAsia="Amiri" w:cs="Amiri" w:ascii="Amiri" w:hAnsi="Amiri"/>
          <w:color w:val="111111"/>
          <w:sz w:val="28"/>
          <w:szCs w:val="28"/>
          <w:rtl w:val="true"/>
          <w:lang w:bidi="ar-SA"/>
        </w:rPr>
        <w:t>.</w:t>
      </w:r>
    </w:p>
    <w:p>
      <w:pPr>
        <w:pStyle w:val="Heading2"/>
        <w:numPr>
          <w:ilvl w:val="1"/>
          <w:numId w:val="1"/>
        </w:numPr>
        <w:rPr/>
      </w:pPr>
      <w:bookmarkStart w:id="1069" w:name="__RefHeading___Toc11915794_2142443653"/>
      <w:bookmarkStart w:id="1070" w:name="_Toc384"/>
      <w:bookmarkEnd w:id="1069"/>
      <w:r>
        <w:rPr>
          <w:rtl w:val="true"/>
        </w:rPr>
        <w:t>العقد والإيقاع عبر الروح</w:t>
      </w:r>
      <w:bookmarkEnd w:id="107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الاعتماد بلفظ العقد أو الإيقاع الذي يجريه الروح؟ مشكل</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لانصراف الأدلة عنه، وكذا بالنسبة إلى أداء الروح صلاة الميت وصومه وما أشبه</w:t>
      </w:r>
      <w:r>
        <w:rPr>
          <w:rFonts w:eastAsia="Amiri" w:cs="Amiri" w:ascii="Amiri" w:hAnsi="Amiri"/>
          <w:color w:val="111111"/>
          <w:sz w:val="28"/>
          <w:szCs w:val="28"/>
          <w:rtl w:val="true"/>
          <w:lang w:bidi="ar-SA"/>
        </w:rPr>
        <w:t>.</w:t>
      </w:r>
    </w:p>
    <w:p>
      <w:pPr>
        <w:pStyle w:val="Heading2"/>
        <w:numPr>
          <w:ilvl w:val="1"/>
          <w:numId w:val="1"/>
        </w:numPr>
        <w:rPr/>
      </w:pPr>
      <w:bookmarkStart w:id="1071" w:name="__RefHeading___Toc11915796_2142443653"/>
      <w:bookmarkStart w:id="1072" w:name="_Toc385"/>
      <w:bookmarkEnd w:id="1071"/>
      <w:r>
        <w:rPr>
          <w:rtl w:val="true"/>
        </w:rPr>
        <w:t>التعاون مع الأمن والاستخبارات</w:t>
      </w:r>
      <w:bookmarkEnd w:id="10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التعاون مع دوائر الأمن والاستخبارات والسعاية على المؤمنين، ومن أقسام السعاية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التقارير المعمول به في دوائر الأمن والاستخبارات، في الدول غير المشروعة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التجسس والسعاية حرام نصّاً وفتوى</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نعم في الدولة المشروعة</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أراد المديون أن يدفع المال لأولياء الروح، فأنه لا إشكال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 كانت المعاملة مما يصح فيه المعاطاة، فإنّ الاعتماد حينئذٍ يكون عليها لا على اللفظ، إلاّ أنّ هذا الاستثناء منقطع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هذا من مصاديق إعانة الظالمين، وإنه إضرار، وكشف سرّ وغيبة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1073" w:name="pg15697_169245"/>
    </w:p>
    <w:p>
      <w:pPr>
        <w:pStyle w:val="BookText"/>
        <w:rPr/>
      </w:pPr>
      <w:bookmarkEnd w:id="10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مائة في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تحت إشراف شورى الفقهاء المراجع</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يجوز التعاون للبعض على غير المؤمنين فقط، وفي ظروف خاصة ذكرناها في بعض كتبنا، وذلك لقانون الأهم والمهم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وهو قانون ثانوي وليس مطلقاً، أما ما يتعارف اليوم في البلاد الإسلامية وغيرها من كثرة الجواسيس ومنعهم حريات الناس وصرف الأموال الطائلة على الاستخبارات فهو غير جائز</w:t>
      </w:r>
      <w:r>
        <w:rPr>
          <w:rFonts w:eastAsia="Amiri" w:cs="Amiri" w:ascii="Amiri" w:hAnsi="Amiri"/>
          <w:color w:val="111111"/>
          <w:sz w:val="28"/>
          <w:szCs w:val="28"/>
          <w:rtl w:val="true"/>
          <w:lang w:bidi="ar-SA"/>
        </w:rPr>
        <w:t>.</w:t>
      </w:r>
    </w:p>
    <w:p>
      <w:pPr>
        <w:pStyle w:val="Heading2"/>
        <w:numPr>
          <w:ilvl w:val="1"/>
          <w:numId w:val="1"/>
        </w:numPr>
        <w:rPr/>
      </w:pPr>
      <w:bookmarkStart w:id="1074" w:name="__RefHeading___Toc11915798_2142443653"/>
      <w:bookmarkStart w:id="1075" w:name="_Toc386"/>
      <w:bookmarkEnd w:id="1074"/>
      <w:r>
        <w:rPr>
          <w:rtl w:val="true"/>
        </w:rPr>
        <w:t>حفظ أخطاء المؤمنين</w:t>
      </w:r>
      <w:bookmarkEnd w:id="10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حفظ زلات المؤمن في تقرير أو كتاب أو ما أشبه، وإن لم يوجب</w:t>
      </w:r>
      <w:r>
        <w:rPr>
          <w:rStyle w:val="FootnoteAnchor"/>
          <w:rtl w:val="true"/>
        </w:rPr>
        <w:footnoteReference w:id="1732"/>
      </w:r>
      <w:r>
        <w:rPr>
          <w:rFonts w:ascii="Amiri" w:hAnsi="Amiri" w:eastAsia="Amiri" w:cs="Amiri"/>
          <w:color w:val="111111"/>
          <w:sz w:val="28"/>
          <w:sz w:val="28"/>
          <w:szCs w:val="28"/>
          <w:rtl w:val="true"/>
          <w:lang w:bidi="ar-SA"/>
        </w:rPr>
        <w:t xml:space="preserve"> ذلك ابتلاءه أو افتضاحه بها في المستقبل، فكيف بما يوجب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لحرمته نصاً وفتوى، إجماعاً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ونميمة، إلى غير ذلك من العناوين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يؤدي إلى بعض المحرمات ككبت الحريات</w:t>
      </w:r>
      <w:r>
        <w:rPr>
          <w:rFonts w:eastAsia="Amiri" w:cs="Amiri" w:ascii="Amiri" w:hAnsi="Amiri"/>
          <w:color w:val="111111"/>
          <w:sz w:val="28"/>
          <w:szCs w:val="28"/>
          <w:rtl w:val="true"/>
          <w:lang w:bidi="ar-SA"/>
        </w:rPr>
        <w:t>.</w:t>
      </w:r>
    </w:p>
    <w:p>
      <w:pPr>
        <w:pStyle w:val="BookText"/>
        <w:rPr/>
      </w:pP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الشرعية منحصرة بحكومتها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أعم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الرقابة على موظفي الدولة، فإذا ساغ لها ساغ للمتعاون</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ورود روايات في بعض الجزئيات أيضاً،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r>
        <w:rPr>
          <w:rStyle w:val="FootnoteAnchor"/>
          <w:rtl w:val="true"/>
        </w:rPr>
        <w:footnoteReference w:id="1735"/>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إذا لم يترتب عليه أي محرّم، والأدلة معلّلة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ليعيّره بها يوماً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1076" w:name="pg15697_169246"/>
    </w:p>
    <w:p>
      <w:pPr>
        <w:pStyle w:val="Heading2"/>
        <w:numPr>
          <w:ilvl w:val="1"/>
          <w:numId w:val="1"/>
        </w:numPr>
        <w:rPr/>
      </w:pPr>
      <w:bookmarkStart w:id="1077" w:name="__RefHeading___Toc11915800_2142443653"/>
      <w:bookmarkStart w:id="1078" w:name="_Toc387"/>
      <w:bookmarkEnd w:id="1076"/>
      <w:bookmarkEnd w:id="1077"/>
      <w:r>
        <w:rPr>
          <w:rtl w:val="true"/>
        </w:rPr>
        <w:t>رفع التقارير ضد الكفار</w:t>
      </w:r>
      <w:bookmarkEnd w:id="107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هو بالنسبة إلى المؤمن</w:t>
      </w:r>
      <w:r>
        <w:rPr>
          <w:rStyle w:val="FootnoteAnchor"/>
          <w:rtl w:val="true"/>
        </w:rPr>
        <w:footnoteReference w:id="1737"/>
      </w:r>
      <w:r>
        <w:rPr>
          <w:rFonts w:ascii="Amiri" w:hAnsi="Amiri" w:eastAsia="Amiri" w:cs="Amiri"/>
          <w:color w:val="111111"/>
          <w:sz w:val="28"/>
          <w:sz w:val="28"/>
          <w:szCs w:val="28"/>
          <w:rtl w:val="true"/>
          <w:lang w:bidi="ar-SA"/>
        </w:rPr>
        <w:t>، أما بالنسبة إلى من يريد هدم الإسلام أو تشويه سمعته بإشاعة الفحشاء وترويج المخدرات وما أشبه ذلك، فلا بأس بإيقافه عند حده، بسبب رفع التقرير أو حفظ سوابقه، بل قد يجب حفظاً للإسلام ولبلاد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كأهل البدع كما ذكره الفقهاء في المكاسب المحرمة؛ وذلك لأنه من قانون الأهم والمهم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 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هذا القانون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دليل لبي يؤخذ منه بالقدر المتيقن، والعقل لا يحكم بأزيد من ذلك، ومثل ذلك حفظها في صفحات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Style w:val="FootnoteAnchor"/>
          <w:rtl w:val="true"/>
        </w:rPr>
        <w:footnoteReference w:id="1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هنا المؤمن المستقيم بقرينة ما سيأتي</w:t>
      </w:r>
      <w:r>
        <w:rPr>
          <w:rFonts w:eastAsia="Amiri" w:cs="Amiri" w:ascii="Amiri" w:hAnsi="Amiri"/>
          <w:color w:val="111111"/>
          <w:sz w:val="28"/>
          <w:szCs w:val="28"/>
          <w:rtl w:val="true"/>
          <w:lang w:bidi="ar-SA"/>
        </w:rPr>
        <w:t>.</w:t>
      </w:r>
    </w:p>
    <w:p>
      <w:pPr>
        <w:pStyle w:val="BookText"/>
        <w:rPr/>
      </w:pP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هو ردع عن المنكر بمنكر أقل،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الأفسد بالفاسد،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مآل ذلك إلى 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مستثنيات باب الغيبة، فراجع</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1079" w:name="pg15697_169247"/>
    </w:p>
    <w:p>
      <w:pPr>
        <w:pStyle w:val="BookText"/>
        <w:rPr/>
      </w:pPr>
      <w:bookmarkEnd w:id="1079"/>
      <w:r>
        <w:rPr>
          <w:rFonts w:ascii="Amiri" w:hAnsi="Amiri" w:eastAsia="Amiri" w:cs="Amiri"/>
          <w:color w:val="111111"/>
          <w:sz w:val="28"/>
          <w:sz w:val="28"/>
          <w:szCs w:val="28"/>
          <w:rtl w:val="true"/>
          <w:lang w:bidi="ar-SA"/>
        </w:rPr>
        <w:t>الأدلة الأربعة</w:t>
      </w:r>
      <w:r>
        <w:rPr>
          <w:rStyle w:val="FootnoteAnchor"/>
          <w:rtl w:val="true"/>
        </w:rPr>
        <w:footnoteReference w:id="1742"/>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0" w:name="__RefHeading___Toc11915802_2142443653"/>
      <w:bookmarkStart w:id="1081" w:name="_Toc388"/>
      <w:bookmarkEnd w:id="1080"/>
      <w:r>
        <w:rPr>
          <w:rtl w:val="true"/>
        </w:rPr>
        <w:t>تجهيز الميت بالآلات</w:t>
      </w:r>
      <w:bookmarkEnd w:id="108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يجوز تغسيل الميت وتحنيطه وتكفينه ودفنه بالمكائن، لكن يشترط في ما يحتاج إلى المباشرة</w:t>
      </w:r>
      <w:r>
        <w:rPr>
          <w:rStyle w:val="FootnoteAnchor"/>
          <w:rtl w:val="true"/>
        </w:rPr>
        <w:footnoteReference w:id="1744"/>
      </w:r>
      <w:r>
        <w:rPr>
          <w:rFonts w:ascii="Amiri" w:hAnsi="Amiri" w:eastAsia="Amiri" w:cs="Amiri"/>
          <w:color w:val="111111"/>
          <w:sz w:val="28"/>
          <w:sz w:val="28"/>
          <w:szCs w:val="28"/>
          <w:rtl w:val="true"/>
          <w:lang w:bidi="ar-SA"/>
        </w:rPr>
        <w:t xml:space="preserve"> وقصد القربة أن يحرك الماكنة الإنسان الجامع للشرائط، وإنما يجوز ذلك لصدق</w:t>
      </w:r>
      <w:r>
        <w:rPr>
          <w:rStyle w:val="FootnoteAnchor"/>
          <w:rtl w:val="true"/>
        </w:rPr>
        <w:footnoteReference w:id="17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الإطلاق يشمل اليد والآلة ولا يرى العرف خصوصية في</w:t>
      </w:r>
    </w:p>
    <w:p>
      <w:pPr>
        <w:pStyle w:val="BookText"/>
        <w:rPr/>
      </w:pP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تترس الكفار بالمسلمين</w:t>
      </w:r>
      <w:r>
        <w:rPr>
          <w:rFonts w:eastAsia="Amiri" w:cs="Amiri" w:ascii="Amiri" w:hAnsi="Amiri"/>
          <w:color w:val="111111"/>
          <w:sz w:val="28"/>
          <w:szCs w:val="28"/>
          <w:rtl w:val="true"/>
          <w:lang w:bidi="ar-SA"/>
        </w:rPr>
        <w:t>»</w:t>
      </w:r>
      <w:r>
        <w:rPr>
          <w:rStyle w:val="FootnoteAnchor"/>
          <w:rtl w:val="true"/>
        </w:rPr>
        <w:footnoteReference w:id="1747"/>
      </w:r>
      <w:r>
        <w:rPr>
          <w:rFonts w:ascii="Amiri" w:hAnsi="Amiri" w:eastAsia="Amiri" w:cs="Amiri"/>
          <w:color w:val="111111"/>
          <w:sz w:val="28"/>
          <w:sz w:val="28"/>
          <w:szCs w:val="28"/>
          <w:rtl w:val="true"/>
          <w:lang w:bidi="ar-SA"/>
        </w:rPr>
        <w:t>، وكسر أواني الخمر</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وَلِيُخْزِيَ</w:t>
      </w:r>
      <w:r>
        <w:rPr>
          <w:rFonts w:eastAsia="Amiri" w:cs="Amiri" w:ascii="Amiri" w:hAnsi="Amiri"/>
          <w:color w:val="111111"/>
          <w:sz w:val="28"/>
          <w:szCs w:val="28"/>
          <w:rtl w:val="true"/>
          <w:lang w:bidi="ar-SA"/>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وجوده بأي نحو اتفق، كتطهير بدن الميت، فإنّه يحصل ولو أسقطته الريح في الماء</w:t>
      </w:r>
      <w:r>
        <w:rPr>
          <w:rFonts w:eastAsia="Amiri" w:cs="Amiri" w:ascii="Amiri" w:hAnsi="Amiri"/>
          <w:color w:val="111111"/>
          <w:sz w:val="28"/>
          <w:szCs w:val="28"/>
          <w:rtl w:val="true"/>
          <w:lang w:bidi="ar-SA"/>
        </w:rPr>
        <w:t>.</w:t>
      </w:r>
    </w:p>
    <w:p>
      <w:pPr>
        <w:pStyle w:val="BookText"/>
        <w:rPr/>
      </w:pP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التسبيب كالمباشرة؛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ولو قتله بالتسبيب، كالآلة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1082" w:name="pg15697_169248"/>
    </w:p>
    <w:p>
      <w:pPr>
        <w:pStyle w:val="BookText"/>
        <w:rPr/>
      </w:pPr>
      <w:bookmarkEnd w:id="1082"/>
      <w:r>
        <w:rPr>
          <w:rFonts w:ascii="Amiri" w:hAnsi="Amiri" w:eastAsia="Amiri" w:cs="Amiri"/>
          <w:color w:val="111111"/>
          <w:sz w:val="28"/>
          <w:sz w:val="28"/>
          <w:szCs w:val="28"/>
          <w:rtl w:val="true"/>
          <w:lang w:bidi="ar-SA"/>
        </w:rPr>
        <w:t>المباشرة</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وكذلك بالنسبة إلى أشباه ذلك واجباً أو مستحباً، كبناء المسجد بالآلة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الإطلاق إلا ما خرج بالدليل</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3" w:name="__RefHeading___Toc11915804_2142443653"/>
      <w:bookmarkStart w:id="1084" w:name="_Toc389"/>
      <w:bookmarkEnd w:id="1083"/>
      <w:r>
        <w:rPr>
          <w:rtl w:val="true"/>
        </w:rPr>
        <w:t>آلات تجهيز الميت ومباشرها</w:t>
      </w:r>
      <w:bookmarkEnd w:id="108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تشترط المماثلة في الغسل بالماكنة كما يشترط في المباشر؟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الانصراف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إلى المباشر، ومن الإطلاق، لكن الأول أقرب إلى المركوز</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في الذهن</w:t>
      </w:r>
      <w:r>
        <w:rPr>
          <w:rFonts w:eastAsia="Amiri" w:cs="Amiri" w:ascii="Amiri" w:hAnsi="Amiri"/>
          <w:color w:val="111111"/>
          <w:sz w:val="28"/>
          <w:szCs w:val="28"/>
          <w:rtl w:val="true"/>
          <w:lang w:bidi="ar-SA"/>
        </w:rPr>
        <w:t>.</w:t>
      </w:r>
    </w:p>
    <w:p>
      <w:pPr>
        <w:pStyle w:val="Heading2"/>
        <w:numPr>
          <w:ilvl w:val="1"/>
          <w:numId w:val="1"/>
        </w:numPr>
        <w:rPr/>
      </w:pPr>
      <w:bookmarkStart w:id="1085" w:name="__RefHeading___Toc11915806_2142443653"/>
      <w:bookmarkStart w:id="1086" w:name="_Toc390"/>
      <w:bookmarkEnd w:id="1085"/>
      <w:r>
        <w:rPr>
          <w:rtl w:val="true"/>
        </w:rPr>
        <w:t>صيد الحيوانات بالآلات الحديثة</w:t>
      </w:r>
      <w:bookmarkEnd w:id="10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1752"/>
      </w:r>
      <w:r>
        <w:rPr>
          <w:rFonts w:ascii="Amiri" w:hAnsi="Amiri" w:eastAsia="Amiri" w:cs="Amiri"/>
          <w:color w:val="111111"/>
          <w:sz w:val="28"/>
          <w:sz w:val="28"/>
          <w:szCs w:val="28"/>
          <w:rtl w:val="true"/>
          <w:lang w:bidi="ar-SA"/>
        </w:rPr>
        <w:t xml:space="preserve"> صيد الحيوانات المتعددة بآلة واحدة، كما لو</w:t>
      </w:r>
    </w:p>
    <w:p>
      <w:pPr>
        <w:pStyle w:val="BookText"/>
        <w:rPr/>
      </w:pPr>
      <w:r>
        <w:rPr>
          <w:rFonts w:ascii="Amiri" w:hAnsi="Amiri" w:eastAsia="Amiri" w:cs="Amiri"/>
          <w:color w:val="111111"/>
          <w:sz w:val="28"/>
          <w:sz w:val="28"/>
          <w:szCs w:val="28"/>
          <w:rtl w:val="true"/>
          <w:lang w:bidi="ar-SA"/>
        </w:rPr>
        <w:t xml:space="preserve">الصيد كما سيأتي في المسألة </w:t>
      </w:r>
      <w:r>
        <w:rPr>
          <w:rFonts w:eastAsia="Amiri" w:cs="Amiri" w:ascii="Amiri" w:hAnsi="Amiri"/>
          <w:color w:val="111111"/>
          <w:sz w:val="28"/>
          <w:szCs w:val="28"/>
          <w:lang w:bidi="ar-SA"/>
        </w:rPr>
        <w:t>388</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المباشرة غير تلك المباشرة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كقراءة القرآن الاستئجارية مثلاً، فلا يصح أن يفتح المسجلة التي تقرأ، أو كالصلاة على الميت بالإنسان الآلي الذي يحرّك بالأزرار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Style w:val="FootnoteAnchor"/>
          <w:rtl w:val="true"/>
        </w:rPr>
        <w:footnoteReference w:id="1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فقط في صورة المباشرة</w:t>
      </w:r>
      <w:r>
        <w:rPr>
          <w:rFonts w:eastAsia="Amiri" w:cs="Amiri" w:ascii="Amiri" w:hAnsi="Amiri"/>
          <w:color w:val="111111"/>
          <w:sz w:val="28"/>
          <w:szCs w:val="28"/>
          <w:rtl w:val="true"/>
          <w:lang w:bidi="ar-SA"/>
        </w:rPr>
        <w:t>.</w:t>
      </w:r>
    </w:p>
    <w:p>
      <w:pPr>
        <w:pStyle w:val="BookText"/>
        <w:rPr/>
      </w:pP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باعتبار أنّ الاشتراط باعتبار أنّ عدم المماثلة هتك لحرمة الميت، أو مظنة الفساد أو الأفكار السيئة، وهذه منتفية في التغسيل بالآلات ونحوه،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عنوان الصيد بالسلاح أو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لفظ النص</w:t>
      </w:r>
      <w:r>
        <w:rPr>
          <w:rFonts w:eastAsia="Amiri" w:cs="Amiri" w:ascii="Amiri" w:hAnsi="Amiri"/>
          <w:color w:val="111111"/>
          <w:sz w:val="28"/>
          <w:szCs w:val="28"/>
          <w:rtl w:val="true"/>
          <w:lang w:bidi="ar-SA"/>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1087" w:name="pg15697_169249"/>
    </w:p>
    <w:p>
      <w:pPr>
        <w:pStyle w:val="BookText"/>
        <w:rPr/>
      </w:pPr>
      <w:bookmarkEnd w:id="1087"/>
      <w:r>
        <w:rPr>
          <w:rFonts w:ascii="Amiri" w:hAnsi="Amiri" w:eastAsia="Amiri" w:cs="Amiri"/>
          <w:color w:val="111111"/>
          <w:sz w:val="28"/>
          <w:sz w:val="28"/>
          <w:szCs w:val="28"/>
          <w:rtl w:val="true"/>
          <w:lang w:bidi="ar-SA"/>
        </w:rPr>
        <w:t>رمى عشر رصاصات من بندقية مرة واحدة</w:t>
      </w:r>
      <w:r>
        <w:rPr>
          <w:rStyle w:val="FootnoteAnchor"/>
          <w:rtl w:val="true"/>
        </w:rPr>
        <w:footnoteReference w:id="1758"/>
      </w:r>
      <w:r>
        <w:rPr>
          <w:rFonts w:ascii="Amiri" w:hAnsi="Amiri" w:eastAsia="Amiri" w:cs="Amiri"/>
          <w:color w:val="111111"/>
          <w:sz w:val="28"/>
          <w:sz w:val="28"/>
          <w:szCs w:val="28"/>
          <w:rtl w:val="true"/>
          <w:lang w:bidi="ar-SA"/>
        </w:rPr>
        <w:t xml:space="preserve"> على عشرة غزلان، ويكفي التسمية مرة واحدة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دليل على التعدد بعد صدق أنها مما ذكر اسم اللّه عليها، ومنه يعلم ما لو ذكر اسم اللّه على مجموعة من الشياه أو الدواجن التي تذبح في آن واحد معاً، أما لو كان الذبح واحداً تلو الآخر فكل يحتاج إلى ذكر اسمه تعالى</w:t>
      </w:r>
      <w:r>
        <w:rPr>
          <w:rFonts w:eastAsia="Amiri" w:cs="Amiri" w:ascii="Amiri" w:hAnsi="Amiri"/>
          <w:color w:val="111111"/>
          <w:sz w:val="28"/>
          <w:szCs w:val="28"/>
          <w:rtl w:val="true"/>
          <w:lang w:bidi="ar-SA"/>
        </w:rPr>
        <w:t>.</w:t>
      </w:r>
    </w:p>
    <w:p>
      <w:pPr>
        <w:pStyle w:val="Heading2"/>
        <w:numPr>
          <w:ilvl w:val="1"/>
          <w:numId w:val="1"/>
        </w:numPr>
        <w:rPr/>
      </w:pPr>
      <w:bookmarkStart w:id="1088" w:name="__RefHeading___Toc11915808_2142443653"/>
      <w:bookmarkStart w:id="1089" w:name="_Toc391"/>
      <w:bookmarkEnd w:id="1088"/>
      <w:r>
        <w:rPr>
          <w:rtl w:val="true"/>
        </w:rPr>
        <w:t>الوقف في الكواكب الأخرى</w:t>
      </w:r>
      <w:bookmarkEnd w:id="108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بناء المسجد والحسينية وسائر الأوقاف في القمر أو سائر الكواكب حاله حال البناء</w:t>
      </w:r>
      <w:r>
        <w:rPr>
          <w:rStyle w:val="FootnoteAnchor"/>
          <w:rtl w:val="true"/>
        </w:rPr>
        <w:footnoteReference w:id="1759"/>
      </w:r>
      <w:r>
        <w:rPr>
          <w:rFonts w:ascii="Amiri" w:hAnsi="Amiri" w:eastAsia="Amiri" w:cs="Amiri"/>
          <w:color w:val="111111"/>
          <w:sz w:val="28"/>
          <w:sz w:val="28"/>
          <w:szCs w:val="28"/>
          <w:rtl w:val="true"/>
          <w:lang w:bidi="ar-SA"/>
        </w:rPr>
        <w:t xml:space="preserve"> في الأرض في جميع الخصوصيات؛</w:t>
      </w:r>
    </w:p>
    <w:p>
      <w:pPr>
        <w:pStyle w:val="BookText"/>
        <w:rPr/>
      </w:pPr>
      <w:r>
        <w:rPr>
          <w:rStyle w:val="FootnoteAnchor"/>
          <w:rtl w:val="true"/>
        </w:rPr>
        <w:footnoteReference w:id="1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إذ الظاهر انحلالية الذكر بعدد أفراد المذبوح، وإلا لم يكن فرق بين الدفعي والتدريجي،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هو العرف،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ينظر لذلك بالقبول لعدة عقود تدريجية أو دفعية،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إيجابات،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أنّه لم يستفد منه أبداً، ولم يكن في معرض الاستفادة ففي الشمول تأمل، كما سيأتي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يرد ذلك بالإطلاق، وبأدلة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المسجد في طريق مكة ولو كمفحص قطاة</w:t>
      </w:r>
      <w:r>
        <w:rPr>
          <w:rFonts w:eastAsia="Amiri" w:cs="Amiri" w:ascii="Amiri" w:hAnsi="Amiri"/>
          <w:color w:val="111111"/>
          <w:sz w:val="28"/>
          <w:szCs w:val="28"/>
          <w:rtl w:val="true"/>
          <w:lang w:bidi="ar-SA"/>
        </w:rPr>
        <w:t>)</w:t>
      </w:r>
      <w:r>
        <w:rPr>
          <w:rStyle w:val="FootnoteAnchor"/>
          <w:rtl w:val="true"/>
        </w:rPr>
        <w:footnoteReference w:id="176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1090" w:name="pg15697_169250"/>
    </w:p>
    <w:p>
      <w:pPr>
        <w:pStyle w:val="BookText"/>
        <w:rPr/>
      </w:pPr>
      <w:bookmarkEnd w:id="1090"/>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فللباني ما ورد من الأجر والثواب، ولا يجوز للجنب أن يمكث في المسجد مثلاً وهكذا، ولو قيل بالانصراف إلى الأرض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بدوي</w:t>
      </w:r>
      <w:r>
        <w:rPr>
          <w:rFonts w:eastAsia="Amiri" w:cs="Amiri" w:ascii="Amiri" w:hAnsi="Amiri"/>
          <w:color w:val="111111"/>
          <w:sz w:val="28"/>
          <w:szCs w:val="28"/>
          <w:rtl w:val="true"/>
          <w:lang w:bidi="ar-SA"/>
        </w:rPr>
        <w:t>.</w:t>
      </w:r>
    </w:p>
    <w:p>
      <w:pPr>
        <w:pStyle w:val="Heading2"/>
        <w:numPr>
          <w:ilvl w:val="1"/>
          <w:numId w:val="1"/>
        </w:numPr>
        <w:rPr/>
      </w:pPr>
      <w:bookmarkStart w:id="1091" w:name="__RefHeading___Toc11915810_2142443653"/>
      <w:bookmarkStart w:id="1092" w:name="_Toc392"/>
      <w:bookmarkEnd w:id="1091"/>
      <w:r>
        <w:rPr>
          <w:rtl w:val="true"/>
        </w:rPr>
        <w:t>المسجد الفضائي للرواد</w:t>
      </w:r>
      <w:bookmarkEnd w:id="109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المسجد في الفضاء، بأن تجعل محطة ثابتة بقصد المسجد ليكون مصلى للمرتادين لا مانع فيه، وقد ذكر</w:t>
      </w:r>
      <w:r>
        <w:rPr>
          <w:rStyle w:val="FootnoteAnchor"/>
          <w:rtl w:val="true"/>
        </w:rPr>
        <w:footnoteReference w:id="1764"/>
      </w:r>
      <w:r>
        <w:rPr>
          <w:rFonts w:ascii="Amiri" w:hAnsi="Amiri" w:eastAsia="Amiri" w:cs="Amiri"/>
          <w:color w:val="111111"/>
          <w:sz w:val="28"/>
          <w:sz w:val="28"/>
          <w:szCs w:val="28"/>
          <w:rtl w:val="true"/>
          <w:lang w:bidi="ar-SA"/>
        </w:rPr>
        <w:t xml:space="preserve"> الفقهاء صحة بناء المسجد في أرض مستأجرة</w:t>
      </w:r>
      <w:r>
        <w:rPr>
          <w:rStyle w:val="FootnoteAnchor"/>
          <w:rtl w:val="true"/>
        </w:rPr>
        <w:footnoteReference w:id="1765"/>
      </w:r>
      <w:r>
        <w:rPr>
          <w:rFonts w:ascii="Amiri" w:hAnsi="Amiri" w:eastAsia="Amiri" w:cs="Amiri"/>
          <w:color w:val="111111"/>
          <w:sz w:val="28"/>
          <w:sz w:val="28"/>
          <w:szCs w:val="28"/>
          <w:rtl w:val="true"/>
          <w:lang w:bidi="ar-SA"/>
        </w:rPr>
        <w:t xml:space="preserve"> لمدة معينة، وذلك لإطلاق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غير فرق بين أن يكون البناء خاصاً بالمسجد، كاختصاص القمر الصناعي كله بالمسجد، أو في ضمن مجموعة بيوت كالمساكن الفضائية، ويصح ذلك فيما إذا كان فيه رواد، أما إذا كان البناء بدون رواد إطلاقاً فيشكل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صدق المسجد</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للمراجعة من حيث اشتراط التأبيد في الوقف</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ترقى عما سبق؛ إذ الكلام سابقاً في المحطة الثابتة، وهنا في المؤقتة</w:t>
      </w:r>
      <w:r>
        <w:rPr>
          <w:rFonts w:eastAsia="Amiri" w:cs="Amiri" w:ascii="Amiri" w:hAnsi="Amiri"/>
          <w:color w:val="111111"/>
          <w:sz w:val="28"/>
          <w:szCs w:val="28"/>
          <w:rtl w:val="true"/>
          <w:lang w:bidi="ar-SA"/>
        </w:rPr>
        <w:t>.</w:t>
      </w:r>
    </w:p>
    <w:p>
      <w:pPr>
        <w:pStyle w:val="BookText"/>
        <w:rPr/>
      </w:pPr>
      <w:r>
        <w:rPr>
          <w:rStyle w:val="FootnoteAnchor"/>
          <w:rtl w:val="true"/>
        </w:rPr>
        <w:footnoteReference w:id="1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ذكرناه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1093" w:name="pg15697_169251"/>
    </w:p>
    <w:p>
      <w:pPr>
        <w:pStyle w:val="BookText"/>
        <w:rPr/>
      </w:pPr>
      <w:bookmarkEnd w:id="1093"/>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كذلك لو بنى المسجد بهذه الكيفية في الأرض، وهكذا في المستثنى منه والمستثنى حال المدرسة والحسينية وغيرهما</w:t>
      </w:r>
      <w:r>
        <w:rPr>
          <w:rFonts w:eastAsia="Amiri" w:cs="Amiri" w:ascii="Amiri" w:hAnsi="Amiri"/>
          <w:color w:val="111111"/>
          <w:sz w:val="28"/>
          <w:szCs w:val="28"/>
          <w:rtl w:val="true"/>
          <w:lang w:bidi="ar-SA"/>
        </w:rPr>
        <w:t>.</w:t>
      </w:r>
    </w:p>
    <w:p>
      <w:pPr>
        <w:pStyle w:val="Heading2"/>
        <w:numPr>
          <w:ilvl w:val="1"/>
          <w:numId w:val="1"/>
        </w:numPr>
        <w:rPr/>
      </w:pPr>
      <w:bookmarkStart w:id="1094" w:name="__RefHeading___Toc11915812_2142443653"/>
      <w:bookmarkStart w:id="1095" w:name="_Toc393"/>
      <w:bookmarkEnd w:id="1094"/>
      <w:r>
        <w:rPr>
          <w:rtl w:val="true"/>
        </w:rPr>
        <w:t>المسجد الفضائي المتحرك</w:t>
      </w:r>
      <w:bookmarkEnd w:id="109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المسجد في الفضاء إذا كان متحركاً كبنائه في الأقمار السيارة الدائرة حول الأرض، هل يصح أم لا؟ احتمالان، والمقصود ترتب أحكام المسجد على ذلك المبنى، والظاهر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للإطلاق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سواء في المسجد الثابت أم المتحرك والانصراف إلى الثابت بدوي</w:t>
      </w:r>
      <w:r>
        <w:rPr>
          <w:rFonts w:eastAsia="Amiri" w:cs="Amiri" w:ascii="Amiri" w:hAnsi="Amiri"/>
          <w:color w:val="111111"/>
          <w:sz w:val="28"/>
          <w:szCs w:val="28"/>
          <w:rtl w:val="true"/>
          <w:lang w:bidi="ar-SA"/>
        </w:rPr>
        <w:t>.</w:t>
      </w:r>
    </w:p>
    <w:p>
      <w:pPr>
        <w:pStyle w:val="Heading2"/>
        <w:numPr>
          <w:ilvl w:val="1"/>
          <w:numId w:val="1"/>
        </w:numPr>
        <w:rPr/>
      </w:pPr>
      <w:bookmarkStart w:id="1096" w:name="__RefHeading___Toc11915814_2142443653"/>
      <w:bookmarkStart w:id="1097" w:name="_Toc394"/>
      <w:bookmarkEnd w:id="1096"/>
      <w:r>
        <w:rPr>
          <w:rtl w:val="true"/>
        </w:rPr>
        <w:t>المسجد الفضائي وأحكام أجزائه</w:t>
      </w:r>
      <w:bookmarkEnd w:id="109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فكك القمر الصناعي الذي كان مسجداً، فالظاهر أن محله في الفضاء لا يكون</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المسجد، أما أجزاءهُ</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ينقض بأنّه يجعل غرفة من القطار مسجداً، فهل يصح ذلك؟</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والتحرك لا يمنع، فهو كتحرك نفس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هل يصح أن يجعل سيارة كاملة مسجداً فهي تنتقل من مكان لآخر كمسجد؟</w:t>
      </w:r>
    </w:p>
    <w:p>
      <w:pPr>
        <w:pStyle w:val="BookText"/>
        <w:rPr/>
      </w:pPr>
      <w:r>
        <w:rPr>
          <w:rFonts w:ascii="Amiri" w:hAnsi="Amiri" w:eastAsia="Amiri" w:cs="Amiri"/>
          <w:color w:val="111111"/>
          <w:sz w:val="28"/>
          <w:sz w:val="28"/>
          <w:szCs w:val="28"/>
          <w:rtl w:val="true"/>
          <w:lang w:bidi="ar-SA"/>
        </w:rPr>
        <w:t xml:space="preserve">وقد يُقال بالتفصيل بين الصغير المتحرك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والكبير كمدينة متحركة عائمة فوق البحر يجعل جزء منها مسجداً،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يفصل بين الثابت والمتحرك، ففي الأوّل يكون فضاؤه بحكم المسجد كالأرض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لأنّ الأحكام تابعة للعنوان، والعنوان غير صادق عرفاً، فهو كجعل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1098" w:name="pg15697_169252"/>
    </w:p>
    <w:p>
      <w:pPr>
        <w:pStyle w:val="BookText"/>
        <w:rPr/>
      </w:pPr>
      <w:bookmarkEnd w:id="1098"/>
      <w:r>
        <w:rPr>
          <w:rFonts w:ascii="IRNazanin" w:hAnsi="IRNazanin" w:eastAsia="IRNazanin"/>
          <w:color w:val="111111"/>
          <w:sz w:val="28"/>
          <w:sz w:val="28"/>
          <w:szCs w:val="28"/>
          <w:rtl w:val="true"/>
          <w:lang w:bidi="fa-IR"/>
        </w:rPr>
        <w:t>فالظاهر</w:t>
      </w:r>
      <w:r>
        <w:rPr>
          <w:rStyle w:val="FootnoteAnchor"/>
          <w:rtl w:val="true"/>
        </w:rPr>
        <w:footnoteReference w:id="1771"/>
      </w:r>
      <w:r>
        <w:rPr>
          <w:rFonts w:ascii="Amiri" w:hAnsi="Amiri" w:eastAsia="Amiri" w:cs="Amiri"/>
          <w:color w:val="111111"/>
          <w:sz w:val="28"/>
          <w:sz w:val="28"/>
          <w:szCs w:val="28"/>
          <w:rtl w:val="true"/>
          <w:lang w:bidi="ar-SA"/>
        </w:rPr>
        <w:t xml:space="preserve"> بقاؤها بحكم المسجدية، كما إذا هدم المسجد في الأرض، إلا أن تسقط عن الانتفاع على التفصيل الذي ذكروه في مساجد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فلأن المدار الفضائي لا يصدق</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عليه المسجد،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الأدلة</w:t>
      </w:r>
      <w:r>
        <w:rPr>
          <w:rFonts w:eastAsia="Amiri" w:cs="Amiri" w:ascii="Amiri" w:hAnsi="Amiri"/>
          <w:color w:val="111111"/>
          <w:sz w:val="28"/>
          <w:szCs w:val="28"/>
          <w:rtl w:val="true"/>
          <w:lang w:bidi="ar-SA"/>
        </w:rPr>
        <w:t>.</w:t>
      </w:r>
    </w:p>
    <w:p>
      <w:pPr>
        <w:pStyle w:val="Heading2"/>
        <w:numPr>
          <w:ilvl w:val="1"/>
          <w:numId w:val="1"/>
        </w:numPr>
        <w:rPr/>
      </w:pPr>
      <w:bookmarkStart w:id="1099" w:name="__RefHeading___Toc11915816_2142443653"/>
      <w:bookmarkStart w:id="1100" w:name="_Toc395"/>
      <w:bookmarkEnd w:id="1099"/>
      <w:r>
        <w:rPr>
          <w:rtl w:val="true"/>
        </w:rPr>
        <w:t>الأسبقية ومباحات الفضاء</w:t>
      </w:r>
      <w:bookmarkEnd w:id="110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مزاحمة السابق إلى موضع في القمر أو في الفضاء، فلو أطلق قمراً صناعياً في مدار خاص لم يجز لآخر أن يطلق</w:t>
      </w:r>
    </w:p>
    <w:p>
      <w:pPr>
        <w:pStyle w:val="BookText"/>
        <w:rPr/>
      </w:pPr>
      <w:r>
        <w:rPr>
          <w:rFonts w:ascii="IRNazanin" w:hAnsi="IRNazanin" w:eastAsia="IRNazanin"/>
          <w:color w:val="111111"/>
          <w:sz w:val="28"/>
          <w:sz w:val="28"/>
          <w:szCs w:val="28"/>
          <w:rtl w:val="true"/>
          <w:lang w:bidi="fa-IR"/>
        </w:rPr>
        <w:t>مسجد الأرض شارعاً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الملك؟ فلو جعلته الحكومة شارعاً فهل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يلتزم بعدم الصدق في الموردين، والأحكام تابعة للعناوين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الاستصحاب</w:t>
      </w:r>
      <w:r>
        <w:rPr>
          <w:rStyle w:val="FootnoteAnchor"/>
          <w:rtl w:val="true"/>
        </w:rPr>
        <w:footnoteReference w:id="1772"/>
      </w:r>
      <w:r>
        <w:rPr>
          <w:rFonts w:ascii="Amiri" w:hAnsi="Amiri" w:eastAsia="Amiri" w:cs="Amiri"/>
          <w:color w:val="111111"/>
          <w:sz w:val="28"/>
          <w:sz w:val="28"/>
          <w:szCs w:val="28"/>
          <w:rtl w:val="true"/>
          <w:lang w:bidi="ar-SA"/>
        </w:rPr>
        <w:t>وبحث الاستحالة في الفقه</w:t>
      </w:r>
      <w:r>
        <w:rPr>
          <w:rFonts w:eastAsia="Amiri" w:cs="Amiri" w:ascii="Amiri" w:hAnsi="Amiri"/>
          <w:color w:val="111111"/>
          <w:sz w:val="28"/>
          <w:szCs w:val="28"/>
          <w:rtl w:val="true"/>
          <w:lang w:bidi="ar-SA"/>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العروة، بحث أحكام المسجد من مكان المصلي</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التفصيل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قمره في نفس ذلك المدار</w:t>
      </w:r>
      <w:r>
        <w:rPr>
          <w:rStyle w:val="FootnoteAnchor"/>
          <w:rtl w:val="true"/>
        </w:rPr>
        <w:footnoteReference w:id="1776"/>
      </w:r>
      <w:r>
        <w:rPr>
          <w:rFonts w:ascii="Amiri" w:hAnsi="Amiri" w:eastAsia="Amiri" w:cs="Amiri"/>
          <w:color w:val="111111"/>
          <w:sz w:val="28"/>
          <w:sz w:val="28"/>
          <w:szCs w:val="28"/>
          <w:rtl w:val="true"/>
          <w:lang w:bidi="ar-SA"/>
        </w:rPr>
        <w:t xml:space="preserve">، وكذلك لو حاز شيئاً من القمر وحجره لم يكن لآخر أن يحتل ذلك الجزء المحاز،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لا يسبقه إليه المسلم فهو أحق به</w:t>
      </w:r>
      <w:r>
        <w:rPr>
          <w:rFonts w:eastAsia="Amiri" w:cs="Amiri" w:ascii="Amiri" w:hAnsi="Amiri"/>
          <w:color w:val="111111"/>
          <w:sz w:val="28"/>
          <w:szCs w:val="28"/>
          <w:rtl w:val="true"/>
          <w:lang w:bidi="ar-SA"/>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كما يشمل الأرض يشمل الفضاء والقمر وغيرهما، ولا يخفى أنه يشترط في الحائز أن لا يضر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w:t>
      </w:r>
    </w:p>
    <w:p>
      <w:pPr>
        <w:pStyle w:val="BookText"/>
        <w:rPr/>
      </w:pPr>
      <w:r>
        <w:rPr>
          <w:rStyle w:val="FootnoteAnchor"/>
          <w:rtl w:val="true"/>
        </w:rPr>
        <w:footnoteReference w:id="1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المدار لا خصوص الحيّز الذي يشغله القمر، وفيه نظر، فإنّ سيارة لو سارت من قم إلى طهران فهل يعتبر طول هذا الخط حقاً لها أو خصوص ما تشغله فعلاً؟</w:t>
      </w:r>
    </w:p>
    <w:p>
      <w:pPr>
        <w:pStyle w:val="BookText"/>
        <w:rPr/>
      </w:pPr>
      <w:r>
        <w:rPr>
          <w:rFonts w:ascii="Amiri" w:hAnsi="Amiri" w:eastAsia="Amiri" w:cs="Amiri"/>
          <w:color w:val="111111"/>
          <w:sz w:val="28"/>
          <w:sz w:val="28"/>
          <w:szCs w:val="28"/>
          <w:rtl w:val="true"/>
          <w:lang w:bidi="ar-SA"/>
        </w:rPr>
        <w:t xml:space="preserve">نعم، الأولى الإيكال في مقدار الحقّ إلى العرف، بناءً على أنّ كلّ حقّ عرفي شرعي، أو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المقدار</w:t>
      </w:r>
      <w:r>
        <w:rPr>
          <w:rFonts w:eastAsia="Amiri" w:cs="Amiri" w:ascii="Amiri" w:hAnsi="Amiri"/>
          <w:color w:val="111111"/>
          <w:sz w:val="28"/>
          <w:szCs w:val="28"/>
          <w:rtl w:val="true"/>
          <w:lang w:bidi="ar-SA"/>
        </w:rPr>
        <w:t>.</w:t>
      </w:r>
    </w:p>
    <w:p>
      <w:pPr>
        <w:pStyle w:val="BookText"/>
        <w:rPr/>
      </w:pPr>
      <w:r>
        <w:rPr>
          <w:rStyle w:val="FootnoteAnchor"/>
          <w:rtl w:val="true"/>
        </w:rPr>
        <w:footnoteReference w:id="1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تفاصيل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1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يشترط على مبنى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يأكل حقّ هذا الجيل والأجيال الآتية؛ إذ السبق إنّما يكون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تأمل،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حقّ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يجب التوزيع كما ذكر في محله</w:t>
      </w:r>
      <w:r>
        <w:rPr>
          <w:rStyle w:val="FootnoteAnchor"/>
          <w:rtl w:val="true"/>
        </w:rPr>
        <w:footnoteReference w:id="1782"/>
      </w:r>
      <w:r>
        <w:rPr>
          <w:rFonts w:ascii="Amiri" w:hAnsi="Amiri" w:eastAsia="Amiri" w:cs="Amiri"/>
          <w:color w:val="111111"/>
          <w:sz w:val="28"/>
          <w:sz w:val="28"/>
          <w:szCs w:val="28"/>
          <w:rtl w:val="true"/>
          <w:lang w:bidi="ar-SA"/>
        </w:rPr>
        <w:t>، وكذلك وقف المدرسة للطلاب؛ إذ لا يجب الاستيعاب، فتأمل وراجع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bookmarkStart w:id="1101" w:name="pg15697_169254"/>
    </w:p>
    <w:p>
      <w:pPr>
        <w:pStyle w:val="Heading2"/>
        <w:numPr>
          <w:ilvl w:val="1"/>
          <w:numId w:val="1"/>
        </w:numPr>
        <w:rPr/>
      </w:pPr>
      <w:bookmarkStart w:id="1102" w:name="__RefHeading___Toc11915818_2142443653"/>
      <w:bookmarkStart w:id="1103" w:name="_Toc396"/>
      <w:bookmarkEnd w:id="1101"/>
      <w:bookmarkEnd w:id="1102"/>
      <w:r>
        <w:rPr>
          <w:rtl w:val="true"/>
        </w:rPr>
        <w:t>مساجد البحار والمحيطات</w:t>
      </w:r>
      <w:bookmarkEnd w:id="110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r>
        <w:rPr>
          <w:rStyle w:val="FootnoteAnchor"/>
          <w:rtl w:val="true"/>
        </w:rPr>
        <w:footnoteReference w:id="1783"/>
      </w:r>
      <w:r>
        <w:rPr>
          <w:rFonts w:ascii="Amiri" w:hAnsi="Amiri" w:eastAsia="Amiri" w:cs="Amiri"/>
          <w:color w:val="111111"/>
          <w:sz w:val="28"/>
          <w:sz w:val="28"/>
          <w:szCs w:val="28"/>
          <w:rtl w:val="true"/>
          <w:lang w:bidi="ar-SA"/>
        </w:rPr>
        <w:t xml:space="preserve"> المسجد الثابت أو السائر في البحر والمحيط حاله حال بناء المسجد في الفضاء على 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أن يكون فوق الماء أو في جوف الماء أو على أرض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للإطلاق أيضاً</w:t>
      </w:r>
      <w:r>
        <w:rPr>
          <w:rFonts w:eastAsia="Amiri" w:cs="Amiri" w:ascii="Amiri" w:hAnsi="Amiri"/>
          <w:color w:val="111111"/>
          <w:sz w:val="28"/>
          <w:szCs w:val="28"/>
          <w:rtl w:val="true"/>
          <w:lang w:bidi="ar-SA"/>
        </w:rPr>
        <w:t>.</w:t>
      </w:r>
    </w:p>
    <w:p>
      <w:pPr>
        <w:pStyle w:val="Heading2"/>
        <w:numPr>
          <w:ilvl w:val="1"/>
          <w:numId w:val="1"/>
        </w:numPr>
        <w:rPr/>
      </w:pPr>
      <w:bookmarkStart w:id="1104" w:name="__RefHeading___Toc11915820_2142443653"/>
      <w:bookmarkStart w:id="1105" w:name="_Toc397"/>
      <w:bookmarkEnd w:id="1104"/>
      <w:r>
        <w:rPr>
          <w:rtl w:val="true"/>
        </w:rPr>
        <w:t>الأوقاف لاكتشاف الفضاء</w:t>
      </w:r>
      <w:bookmarkEnd w:id="110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الوقف</w:t>
      </w:r>
      <w:r>
        <w:rPr>
          <w:rStyle w:val="FootnoteAnchor"/>
          <w:rtl w:val="true"/>
        </w:rPr>
        <w:footnoteReference w:id="1784"/>
      </w:r>
      <w:r>
        <w:rPr>
          <w:rFonts w:ascii="Amiri" w:hAnsi="Amiri" w:eastAsia="Amiri" w:cs="Amiri"/>
          <w:color w:val="111111"/>
          <w:sz w:val="28"/>
          <w:sz w:val="28"/>
          <w:szCs w:val="28"/>
          <w:rtl w:val="true"/>
          <w:lang w:bidi="ar-SA"/>
        </w:rPr>
        <w:t xml:space="preserve"> لرواد الفضاء، كما يصح الوقف لاكتشاف الفضاء، فلو وقف بنايات ومؤسسات لتصرف أرباحها لمرتادي الفضاء، أو لصنع الأقمار صح، نعم لابد أن يتوفر في الوقف جميع الشرائط التي ذكرها الفقهاء في كتاب الوقف</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Style w:val="FootnoteAnchor"/>
          <w:rtl w:val="true"/>
        </w:rPr>
        <w:footnoteReference w:id="1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بعض الفروع ذكرت سابقاً</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Style w:val="FootnoteAnchor"/>
          <w:rtl w:val="true"/>
        </w:rPr>
        <w:footnoteReference w:id="1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العهد والشرط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نظيره</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1106" w:name="pg15697_169255"/>
    </w:p>
    <w:p>
      <w:pPr>
        <w:pStyle w:val="Heading2"/>
        <w:numPr>
          <w:ilvl w:val="1"/>
          <w:numId w:val="1"/>
        </w:numPr>
        <w:rPr/>
      </w:pPr>
      <w:bookmarkStart w:id="1107" w:name="__RefHeading___Toc11915822_2142443653"/>
      <w:bookmarkStart w:id="1108" w:name="_Toc398"/>
      <w:bookmarkEnd w:id="1106"/>
      <w:bookmarkEnd w:id="1107"/>
      <w:r>
        <w:rPr>
          <w:rtl w:val="true"/>
        </w:rPr>
        <w:t>الغنى والثروة</w:t>
      </w:r>
      <w:bookmarkEnd w:id="110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Style w:val="FootnoteAnchor"/>
          <w:rtl w:val="true"/>
        </w:rPr>
        <w:footnoteReference w:id="1790"/>
      </w:r>
      <w:r>
        <w:rPr>
          <w:rFonts w:ascii="Amiri" w:hAnsi="Amiri" w:eastAsia="Amiri" w:cs="Amiri"/>
          <w:color w:val="111111"/>
          <w:sz w:val="28"/>
          <w:sz w:val="28"/>
          <w:szCs w:val="28"/>
          <w:rtl w:val="true"/>
          <w:lang w:bidi="ar-SA"/>
        </w:rPr>
        <w:t xml:space="preserve"> إغناء الإنسان نفسه، فقد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Style w:val="FootnoteAnchor"/>
          <w:rtl w:val="true"/>
        </w:rPr>
        <w:footnoteReference w:id="1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يبحث في الغنى والفقر بما لهما من العنوان الذاتي، وأخرى بما يطرأ عليهما من العناوين الطارئة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باللحاظ الأوّل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 هو المستحب، 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نوع زهد، علماً بأنّ الزهد له معنيان، كما قد يظهر من بعض الأحاديث</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بعد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179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أجالس المساكين</w:t>
      </w:r>
      <w:r>
        <w:rPr>
          <w:rFonts w:eastAsia="Amiri" w:cs="Amiri" w:ascii="Amiri" w:hAnsi="Amiri"/>
          <w:color w:val="111111"/>
          <w:sz w:val="28"/>
          <w:szCs w:val="28"/>
          <w:rtl w:val="true"/>
          <w:lang w:bidi="ar-SA"/>
        </w:rPr>
        <w:t>»</w:t>
      </w:r>
      <w:r>
        <w:rPr>
          <w:rStyle w:val="FootnoteAnchor"/>
          <w:rtl w:val="true"/>
        </w:rPr>
        <w:footnoteReference w:id="1795"/>
      </w:r>
      <w:r>
        <w:rPr>
          <w:rFonts w:ascii="Amiri" w:hAnsi="Amiri" w:eastAsia="Amiri" w:cs="Amiri"/>
          <w:color w:val="111111"/>
          <w:sz w:val="28"/>
          <w:sz w:val="28"/>
          <w:szCs w:val="28"/>
          <w:rtl w:val="true"/>
          <w:lang w:bidi="ar-SA"/>
        </w:rPr>
        <w:t>، والروايات المادحة للفقر كثيرة</w:t>
      </w:r>
      <w:r>
        <w:rPr>
          <w:rStyle w:val="FootnoteAnchor"/>
          <w:rtl w:val="true"/>
        </w:rPr>
        <w:footnoteReference w:id="1796"/>
      </w:r>
      <w:r>
        <w:rPr>
          <w:rFonts w:ascii="Amiri" w:hAnsi="Amiri" w:eastAsia="Amiri" w:cs="Amiri"/>
          <w:color w:val="111111"/>
          <w:sz w:val="28"/>
          <w:sz w:val="28"/>
          <w:szCs w:val="28"/>
          <w:rtl w:val="true"/>
          <w:lang w:bidi="ar-SA"/>
        </w:rPr>
        <w:t>، وقصص العلماء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بطحاء مكة</w:t>
      </w:r>
      <w:r>
        <w:rPr>
          <w:rFonts w:eastAsia="Amiri" w:cs="Amiri" w:ascii="Amiri" w:hAnsi="Amiri"/>
          <w:color w:val="111111"/>
          <w:sz w:val="28"/>
          <w:szCs w:val="28"/>
          <w:rtl w:val="true"/>
          <w:lang w:bidi="ar-SA"/>
        </w:rPr>
        <w:t>)</w:t>
      </w:r>
      <w:r>
        <w:rPr>
          <w:rStyle w:val="FootnoteAnchor"/>
          <w:rtl w:val="true"/>
        </w:rPr>
        <w:footnoteReference w:id="1797"/>
      </w:r>
      <w:r>
        <w:rPr>
          <w:rFonts w:ascii="IRNazanin" w:hAnsi="IRNazanin" w:eastAsia="IRNazanin"/>
          <w:color w:val="111111"/>
          <w:sz w:val="28"/>
          <w:sz w:val="28"/>
          <w:szCs w:val="28"/>
          <w:rtl w:val="true"/>
          <w:lang w:bidi="fa-IR"/>
        </w:rPr>
        <w:t xml:space="preserve">فرفض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أصنع بفدك</w:t>
      </w:r>
      <w:r>
        <w:rPr>
          <w:rFonts w:eastAsia="IRNazanin" w:cs="IRNazanin"/>
          <w:color w:val="111111"/>
          <w:sz w:val="28"/>
          <w:szCs w:val="28"/>
          <w:rtl w:val="true"/>
          <w:lang w:bidi="fa-IR"/>
        </w:rPr>
        <w:t>...»</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على الدين الغنى</w:t>
      </w:r>
      <w:r>
        <w:rPr>
          <w:rFonts w:eastAsia="Amiri" w:cs="Amiri" w:ascii="Amiri" w:hAnsi="Amiri"/>
          <w:color w:val="111111"/>
          <w:sz w:val="28"/>
          <w:szCs w:val="28"/>
          <w:rtl w:val="true"/>
          <w:lang w:bidi="ar-SA"/>
        </w:rPr>
        <w:t>»</w:t>
      </w:r>
      <w:r>
        <w:rPr>
          <w:rStyle w:val="FootnoteAnchor"/>
          <w:rtl w:val="true"/>
        </w:rPr>
        <w:footnoteReference w:id="1799"/>
      </w:r>
      <w:r>
        <w:rPr>
          <w:rFonts w:ascii="Amiri" w:hAnsi="Amiri" w:eastAsia="Amiri" w:cs="Amiri"/>
          <w:color w:val="111111"/>
          <w:sz w:val="28"/>
          <w:sz w:val="28"/>
          <w:szCs w:val="28"/>
          <w:rtl w:val="true"/>
          <w:lang w:bidi="ar-SA"/>
        </w:rPr>
        <w:t>، وإذا توقف القيام بالمهمات الإسلامية الواجبة على الغنى وجب</w:t>
      </w:r>
      <w:r>
        <w:rPr>
          <w:rStyle w:val="FootnoteAnchor"/>
          <w:rtl w:val="true"/>
        </w:rPr>
        <w:footnoteReference w:id="1800"/>
      </w:r>
      <w:r>
        <w:rPr>
          <w:rFonts w:ascii="IRNazanin" w:hAnsi="IRNazanin" w:eastAsia="IRNazanin"/>
          <w:color w:val="111111"/>
          <w:sz w:val="28"/>
          <w:sz w:val="28"/>
          <w:szCs w:val="28"/>
          <w:rtl w:val="true"/>
          <w:lang w:bidi="fa-IR"/>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منافاة بين استحباب الزهد وبين استحباب الاستغناء، فإنّ الزهد</w:t>
      </w:r>
      <w:r>
        <w:rPr>
          <w:rStyle w:val="FootnoteAnchor"/>
          <w:rtl w:val="true"/>
        </w:rPr>
        <w:footnoteReference w:id="1802"/>
      </w:r>
      <w:r>
        <w:rPr>
          <w:rFonts w:ascii="Amiri" w:hAnsi="Amiri" w:eastAsia="Amiri" w:cs="Amiri"/>
          <w:color w:val="111111"/>
          <w:sz w:val="28"/>
          <w:sz w:val="28"/>
          <w:szCs w:val="28"/>
          <w:rtl w:val="true"/>
          <w:lang w:bidi="ar-SA"/>
        </w:rPr>
        <w:t xml:space="preserve"> أن لا يملكك شيء لا أن لا تملك شيئاً، كما قاله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ما ورد من مدح الفقر والثواب عليه</w:t>
      </w:r>
      <w:r>
        <w:rPr>
          <w:rStyle w:val="FootnoteAnchor"/>
          <w:rtl w:val="true"/>
        </w:rPr>
        <w:footnoteReference w:id="1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المصائب منح من اللّه، والفقر مخزون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رفعه،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إن اللّه جعل الفقر أمانة عند خلقه، فمن ستره أعطاه اللّه مثل أجر الصائم القائم، ومن أفشاه إلى من يقدر على قضاء حاجته فلم يفعل فقد قتله، أما إنه ما قتله بسيف ولا رمح ولكنه قتله بما نكى من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كما ورد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في الثواب على المرض ومدح المبتلى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إضافة إلى ما ورد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w:t>
      </w:r>
    </w:p>
    <w:p>
      <w:pPr>
        <w:pStyle w:val="BookText"/>
        <w:rPr/>
      </w:pPr>
      <w:r>
        <w:rPr>
          <w:rFonts w:ascii="Amiri" w:hAnsi="Amiri" w:eastAsia="Amiri" w:cs="Amiri"/>
          <w:color w:val="111111"/>
          <w:sz w:val="28"/>
          <w:sz w:val="28"/>
          <w:szCs w:val="28"/>
          <w:rtl w:val="true"/>
          <w:lang w:bidi="ar-SA"/>
        </w:rPr>
        <w:t xml:space="preserve">وأما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w:t>
      </w:r>
      <w:r>
        <w:rPr>
          <w:rFonts w:eastAsia="Amiri" w:cs="Amiri" w:ascii="Amiri" w:hAnsi="Amiri"/>
          <w:color w:val="111111"/>
          <w:sz w:val="28"/>
          <w:szCs w:val="28"/>
          <w:rtl w:val="true"/>
          <w:lang w:bidi="ar-SA"/>
        </w:rPr>
        <w:t>»</w:t>
      </w:r>
      <w:r>
        <w:rPr>
          <w:rStyle w:val="FootnoteAnchor"/>
          <w:rtl w:val="true"/>
        </w:rPr>
        <w:footnoteReference w:id="1804"/>
      </w:r>
      <w:r>
        <w:rPr>
          <w:rFonts w:ascii="Amiri" w:hAnsi="Amiri" w:eastAsia="Amiri" w:cs="Amiri"/>
          <w:color w:val="111111"/>
          <w:sz w:val="28"/>
          <w:sz w:val="28"/>
          <w:szCs w:val="28"/>
          <w:rtl w:val="true"/>
          <w:lang w:bidi="ar-SA"/>
        </w:rPr>
        <w:t>فالظاهر أنه بما له من العنوان الطارئ،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المقدمية</w:t>
      </w:r>
      <w:r>
        <w:rPr>
          <w:rFonts w:eastAsia="Amiri" w:cs="Amiri" w:ascii="Amiri" w:hAnsi="Amiri"/>
          <w:color w:val="111111"/>
          <w:sz w:val="28"/>
          <w:szCs w:val="28"/>
          <w:rtl w:val="true"/>
          <w:lang w:bidi="ar-SA"/>
        </w:rPr>
        <w:t>.</w:t>
      </w:r>
    </w:p>
    <w:p>
      <w:pPr>
        <w:pStyle w:val="BookText"/>
        <w:rPr/>
      </w:pPr>
      <w:r>
        <w:rPr>
          <w:rStyle w:val="FootnoteAnchor"/>
          <w:rtl w:val="true"/>
        </w:rPr>
        <w:footnoteReference w:id="1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مقدمة للواجب المطلق</w:t>
      </w:r>
      <w:r>
        <w:rPr>
          <w:rFonts w:eastAsia="Amiri" w:cs="Amiri" w:ascii="Amiri" w:hAnsi="Amiri"/>
          <w:color w:val="111111"/>
          <w:sz w:val="28"/>
          <w:szCs w:val="28"/>
          <w:rtl w:val="true"/>
          <w:lang w:bidi="ar-SA"/>
        </w:rPr>
        <w:t>.</w:t>
      </w:r>
    </w:p>
    <w:p>
      <w:pPr>
        <w:pStyle w:val="BookText"/>
        <w:rPr/>
      </w:pP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له معنيين كما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ابتلي فليصبر، لا أنه ممدوح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يحتمل كونه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1109" w:name="pg15697_169257"/>
    </w:p>
    <w:p>
      <w:pPr>
        <w:pStyle w:val="BookText"/>
        <w:rPr/>
      </w:pPr>
      <w:bookmarkEnd w:id="1109"/>
      <w:r>
        <w:rPr>
          <w:rFonts w:ascii="Amiri" w:hAnsi="Amiri" w:eastAsia="Amiri" w:cs="Amiri"/>
          <w:color w:val="111111"/>
          <w:sz w:val="28"/>
          <w:sz w:val="28"/>
          <w:szCs w:val="28"/>
          <w:rtl w:val="true"/>
          <w:lang w:bidi="ar-SA"/>
        </w:rPr>
        <w:t>يكون كفراً</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w:t>
      </w:r>
      <w:r>
        <w:rPr>
          <w:rStyle w:val="FootnoteAnchor"/>
          <w:rtl w:val="true"/>
        </w:rPr>
        <w:footnoteReference w:id="1808"/>
      </w:r>
      <w:r>
        <w:rPr>
          <w:rFonts w:ascii="Amiri" w:hAnsi="Amiri" w:eastAsia="Amiri" w:cs="Amiri"/>
          <w:color w:val="111111"/>
          <w:sz w:val="28"/>
          <w:sz w:val="28"/>
          <w:szCs w:val="28"/>
          <w:rtl w:val="true"/>
          <w:lang w:bidi="ar-SA"/>
        </w:rPr>
        <w:t>إلى غير ذلك، وهناك أجوبة أخرى تطرقنا إليها في بعض كتبنا</w:t>
      </w:r>
      <w:r>
        <w:rPr>
          <w:rFonts w:eastAsia="Amiri" w:cs="Amiri" w:ascii="Amiri" w:hAnsi="Amiri"/>
          <w:color w:val="111111"/>
          <w:sz w:val="28"/>
          <w:szCs w:val="28"/>
          <w:rtl w:val="true"/>
          <w:lang w:bidi="ar-SA"/>
        </w:rPr>
        <w:t>.</w:t>
      </w:r>
    </w:p>
    <w:p>
      <w:pPr>
        <w:pStyle w:val="Heading2"/>
        <w:numPr>
          <w:ilvl w:val="1"/>
          <w:numId w:val="1"/>
        </w:numPr>
        <w:rPr/>
      </w:pPr>
      <w:bookmarkStart w:id="1110" w:name="__RefHeading___Toc11915824_2142443653"/>
      <w:bookmarkStart w:id="1111" w:name="_Toc399"/>
      <w:bookmarkEnd w:id="1110"/>
      <w:r>
        <w:rPr>
          <w:rtl w:val="true"/>
        </w:rPr>
        <w:t>التفوق الاقتصادي</w:t>
      </w:r>
      <w:bookmarkEnd w:id="111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القريب جداً وجوب تحصيل الغنى وتفوق المسلم على الكافر في الثروة، حتى لا يكون هناك كافر أثرى من المسلم، خصوصاً</w:t>
      </w:r>
      <w:r>
        <w:rPr>
          <w:rStyle w:val="FootnoteAnchor"/>
          <w:rtl w:val="true"/>
        </w:rPr>
        <w:footnoteReference w:id="1809"/>
      </w:r>
      <w:r>
        <w:rPr>
          <w:rFonts w:ascii="Amiri" w:hAnsi="Amiri" w:eastAsia="Amiri" w:cs="Amiri"/>
          <w:color w:val="111111"/>
          <w:sz w:val="28"/>
          <w:sz w:val="28"/>
          <w:szCs w:val="28"/>
          <w:rtl w:val="true"/>
          <w:lang w:bidi="ar-SA"/>
        </w:rPr>
        <w:t xml:space="preserve"> إذا كان عدم الغنى سبباً لمنقصة في المسلمين، أو سبباً للازدراء بهم، أو سبباً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متأخرون فكرياً، أو أن دينهم سبب جمودهم أو ما أشبه، مما يوصم به الدين من خلال اتهام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لقوله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محبوباً في حدّ ذاته؛ لأنه مما يوجب الثواب الجزيل في الآخرة،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المقدمية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وجوب له في حدّ ذاته، وإنما بالعناوين الطارئة، سواء كانت سلبية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إيجابية،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مقدمة وجودية للهداية، فإن الأمم تتبع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w:t>
      </w:r>
      <w:r>
        <w:rPr>
          <w:rStyle w:val="FootnoteAnchor"/>
          <w:rtl w:val="true"/>
        </w:rPr>
        <w:footnoteReference w:id="18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يَجْعَلَ اللَّهُ لِلْكَافِرِينَ </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1112" w:name="pg15697_169258"/>
    </w:p>
    <w:p>
      <w:pPr>
        <w:pStyle w:val="BookText"/>
        <w:rPr/>
      </w:pPr>
      <w:bookmarkEnd w:id="1112"/>
      <w:r>
        <w:rPr>
          <w:rStyle w:val="FootnoteAnchor"/>
          <w:rtl w:val="true"/>
        </w:rPr>
        <w:footnoteReference w:id="18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1815"/>
      </w:r>
      <w:r>
        <w:rPr>
          <w:rFonts w:ascii="Amiri" w:hAnsi="Amiri" w:eastAsia="Amiri" w:cs="Amiri"/>
          <w:color w:val="111111"/>
          <w:sz w:val="28"/>
          <w:sz w:val="28"/>
          <w:szCs w:val="28"/>
          <w:rtl w:val="true"/>
          <w:lang w:bidi="ar-SA"/>
        </w:rPr>
        <w:t>، ولأدلة وجوب الدفاع عن الإسلام والمسلمين ولغير ذلك، لكن ذلك</w:t>
      </w:r>
      <w:r>
        <w:rPr>
          <w:rStyle w:val="FootnoteAnchor"/>
          <w:rtl w:val="true"/>
        </w:rPr>
        <w:footnoteReference w:id="1816"/>
      </w:r>
      <w:r>
        <w:rPr>
          <w:rFonts w:ascii="Amiri" w:hAnsi="Amiri" w:eastAsia="Amiri" w:cs="Amiri"/>
          <w:color w:val="111111"/>
          <w:sz w:val="28"/>
          <w:sz w:val="28"/>
          <w:szCs w:val="28"/>
          <w:rtl w:val="true"/>
          <w:lang w:bidi="ar-SA"/>
        </w:rPr>
        <w:t xml:space="preserve"> بالعنوان الثانوي لا العنوان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فالوجوب يدور مدار بقاء الموضوع، والوجوب في مورده كفائي ومقدمي</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3" w:name="__RefHeading___Toc11915826_2142443653"/>
      <w:bookmarkStart w:id="1114" w:name="_Toc400"/>
      <w:bookmarkEnd w:id="1113"/>
      <w:r>
        <w:rPr>
          <w:rtl w:val="true"/>
        </w:rPr>
        <w:t>صلاة الرواد والغواصين</w:t>
      </w:r>
      <w:bookmarkEnd w:id="111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الصلاة والصيام بالنسبة إلى مرتادي الفضاء والقمر وسائر الكواكب، وكذلك بالنسبة إلى البحارين فوق الماء أو تحت الماء أو في قعر الماء كمحطة الغواصات وما أشبه</w:t>
      </w:r>
      <w:r>
        <w:rPr>
          <w:rFonts w:eastAsia="Amiri" w:cs="Amiri" w:ascii="Amiri" w:hAnsi="Amiri"/>
          <w:color w:val="111111"/>
          <w:sz w:val="28"/>
          <w:szCs w:val="28"/>
          <w:rtl w:val="true"/>
          <w:lang w:bidi="ar-SA"/>
        </w:rPr>
        <w:t>.</w:t>
      </w:r>
    </w:p>
    <w:p>
      <w:pPr>
        <w:pStyle w:val="BookText"/>
        <w:rPr/>
      </w:pP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يحتمل كون المراد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ورد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Style w:val="FootnoteAnchor"/>
          <w:rtl w:val="true"/>
        </w:rPr>
        <w:footnoteReference w:id="1818"/>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إنّ الرواية تحتاج إلى مراجعة سندها</w:t>
      </w:r>
      <w:r>
        <w:rPr>
          <w:rStyle w:val="FootnoteAnchor"/>
          <w:rtl w:val="true"/>
        </w:rPr>
        <w:footnoteReference w:id="1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الرواية</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عدول عما ذكر في أول المسألة ،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قضية خارجية، وأطلق الحكم لأنه كذلك خارجاً فعلاً أو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bookmarkStart w:id="1115" w:name="pg15697_169259"/>
    </w:p>
    <w:p>
      <w:pPr>
        <w:pStyle w:val="BookText"/>
        <w:rPr/>
      </w:pPr>
      <w:bookmarkEnd w:id="11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الأدلة الشامل للجميع، ولصدق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السفر عرفاً</w:t>
      </w:r>
      <w:r>
        <w:rPr>
          <w:rFonts w:eastAsia="Amiri" w:cs="Amiri" w:ascii="Amiri" w:hAnsi="Amiri"/>
          <w:color w:val="111111"/>
          <w:sz w:val="28"/>
          <w:szCs w:val="28"/>
          <w:rtl w:val="true"/>
          <w:lang w:bidi="ar-SA"/>
        </w:rPr>
        <w:t>.</w:t>
      </w:r>
    </w:p>
    <w:p>
      <w:pPr>
        <w:pStyle w:val="Heading2"/>
        <w:numPr>
          <w:ilvl w:val="1"/>
          <w:numId w:val="1"/>
        </w:numPr>
        <w:rPr/>
      </w:pPr>
      <w:bookmarkStart w:id="1116" w:name="__RefHeading___Toc11915828_2142443653"/>
      <w:bookmarkStart w:id="1117" w:name="_Toc401"/>
      <w:bookmarkEnd w:id="1116"/>
      <w:r>
        <w:rPr>
          <w:rtl w:val="true"/>
        </w:rPr>
        <w:t>الاعتكاف في مساجد الفضاء</w:t>
      </w:r>
      <w:bookmarkEnd w:id="111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بصحة الاعتكاف في كل مسجد</w:t>
      </w:r>
      <w:r>
        <w:rPr>
          <w:rStyle w:val="FootnoteAnchor"/>
          <w:rtl w:val="true"/>
        </w:rPr>
        <w:footnoteReference w:id="1822"/>
      </w:r>
      <w:r>
        <w:rPr>
          <w:rStyle w:val="FootnoteAnchor"/>
          <w:rtl w:val="true"/>
        </w:rPr>
        <w:footnoteReference w:id="1823"/>
      </w:r>
      <w:r>
        <w:rPr>
          <w:rFonts w:ascii="Amiri" w:hAnsi="Amiri" w:eastAsia="Amiri" w:cs="Amiri"/>
          <w:color w:val="111111"/>
          <w:sz w:val="28"/>
          <w:sz w:val="28"/>
          <w:szCs w:val="28"/>
          <w:rtl w:val="true"/>
          <w:lang w:bidi="ar-SA"/>
        </w:rPr>
        <w:t>، صح الاعتكاف في المساجد</w:t>
      </w:r>
      <w:r>
        <w:rPr>
          <w:rStyle w:val="FootnoteAnchor"/>
          <w:rtl w:val="true"/>
        </w:rPr>
        <w:footnoteReference w:id="1824"/>
      </w:r>
      <w:r>
        <w:rPr>
          <w:rFonts w:ascii="Amiri" w:hAnsi="Amiri" w:eastAsia="Amiri" w:cs="Amiri"/>
          <w:color w:val="111111"/>
          <w:sz w:val="28"/>
          <w:sz w:val="28"/>
          <w:szCs w:val="28"/>
          <w:rtl w:val="true"/>
          <w:lang w:bidi="ar-SA"/>
        </w:rPr>
        <w:t xml:space="preserve"> التي تبنى في القمر والفضاء والبحر، كما تقدم في المسألة السابقة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والانصراف</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إلى مساجد الأرض لو قيل به بدوي، فالإطلاق يشمل كل المساجد</w:t>
      </w:r>
      <w:r>
        <w:rPr>
          <w:rFonts w:eastAsia="Amiri" w:cs="Amiri" w:ascii="Amiri" w:hAnsi="Amiri"/>
          <w:color w:val="111111"/>
          <w:sz w:val="28"/>
          <w:szCs w:val="28"/>
          <w:rtl w:val="true"/>
          <w:lang w:bidi="ar-SA"/>
        </w:rPr>
        <w:t>.</w:t>
      </w:r>
    </w:p>
    <w:p>
      <w:pPr>
        <w:pStyle w:val="Heading2"/>
        <w:numPr>
          <w:ilvl w:val="1"/>
          <w:numId w:val="1"/>
        </w:numPr>
        <w:rPr/>
      </w:pPr>
      <w:bookmarkStart w:id="1118" w:name="__RefHeading___Toc11915830_2142443653"/>
      <w:bookmarkStart w:id="1119" w:name="_Toc402"/>
      <w:bookmarkEnd w:id="1118"/>
      <w:r>
        <w:rPr>
          <w:rtl w:val="true"/>
        </w:rPr>
        <w:t>حرية الجمعيات والتكتلات في الإسلام</w:t>
      </w:r>
      <w:bookmarkEnd w:id="111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الجمعيات والهيئات والتكتلات</w:t>
      </w:r>
      <w:r>
        <w:rPr>
          <w:rStyle w:val="FootnoteAnchor"/>
          <w:rtl w:val="true"/>
        </w:rPr>
        <w:footnoteReference w:id="1825"/>
      </w:r>
      <w:r>
        <w:rPr>
          <w:rFonts w:ascii="Amiri" w:hAnsi="Amiri" w:eastAsia="Amiri" w:cs="Amiri"/>
          <w:color w:val="111111"/>
          <w:sz w:val="28"/>
          <w:sz w:val="28"/>
          <w:szCs w:val="28"/>
          <w:rtl w:val="true"/>
          <w:lang w:bidi="ar-SA"/>
        </w:rPr>
        <w:t xml:space="preserve"> إلى الإجازة،</w:t>
      </w:r>
    </w:p>
    <w:p>
      <w:pPr>
        <w:pStyle w:val="BookText"/>
        <w:rPr/>
      </w:pP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السفر لا تشمل السفر العمودي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صلاة المسافر</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 دليلاً مقابلاً لما ذكر في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Style w:val="FootnoteAnchor"/>
          <w:rtl w:val="true"/>
        </w:rPr>
        <w:footnoteReference w:id="1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خصوص المسجد الجامع، وإن لم يكن من المساجد الأربعة</w:t>
      </w:r>
      <w:r>
        <w:rPr>
          <w:rFonts w:eastAsia="Amiri" w:cs="Amiri" w:ascii="Amiri" w:hAnsi="Amiri"/>
          <w:color w:val="111111"/>
          <w:sz w:val="28"/>
          <w:szCs w:val="28"/>
          <w:rtl w:val="true"/>
          <w:lang w:bidi="ar-SA"/>
        </w:rPr>
        <w:t>.</w:t>
      </w:r>
    </w:p>
    <w:p>
      <w:pPr>
        <w:pStyle w:val="BookText"/>
        <w:rPr/>
      </w:pPr>
      <w:r>
        <w:rPr>
          <w:rStyle w:val="FootnoteAnchor"/>
          <w:rtl w:val="true"/>
        </w:rPr>
        <w:footnoteReference w:id="1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الآخر في خصوص المساجد الجامعة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ناشئ من التعارف الخارجي، وقد ثبت أن التعارف لا يقدح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Style w:val="FootnoteAnchor"/>
          <w:rtl w:val="true"/>
        </w:rPr>
        <w:footnoteReference w:id="1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دينية أم وطنية أم سياسية، بالقيود المذكورة في محله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1120" w:name="pg15697_169260"/>
    </w:p>
    <w:p>
      <w:pPr>
        <w:pStyle w:val="BookText"/>
        <w:rPr/>
      </w:pPr>
      <w:bookmarkEnd w:id="1120"/>
      <w:r>
        <w:rPr>
          <w:rFonts w:ascii="Amiri" w:hAnsi="Amiri" w:eastAsia="Amiri" w:cs="Amiri"/>
          <w:color w:val="111111"/>
          <w:sz w:val="28"/>
          <w:sz w:val="28"/>
          <w:szCs w:val="28"/>
          <w:rtl w:val="true"/>
          <w:lang w:bidi="ar-SA"/>
        </w:rPr>
        <w:t>فإنّ الإسلام أعطى الحرية الكاملة</w:t>
      </w:r>
      <w:r>
        <w:rPr>
          <w:rStyle w:val="FootnoteAnchor"/>
          <w:rtl w:val="true"/>
        </w:rPr>
        <w:footnoteReference w:id="1832"/>
      </w:r>
      <w:r>
        <w:rPr>
          <w:rFonts w:ascii="Amiri" w:hAnsi="Amiri" w:eastAsia="Amiri" w:cs="Amiri"/>
          <w:color w:val="111111"/>
          <w:sz w:val="28"/>
          <w:sz w:val="28"/>
          <w:szCs w:val="28"/>
          <w:rtl w:val="true"/>
          <w:lang w:bidi="ar-SA"/>
        </w:rPr>
        <w:t xml:space="preserve"> للإنسان المسلم فيما عدا المحرمات، وهي شيء مبين في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الغرب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قرر الإجازة وتبعه المسلمون من غير تفكير</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توهموا الاحتياج إلى الإجازة، حتى إنّ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مقتضى النظام، لكن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النظام في إطار الشرع لا في إطار الغرب</w:t>
      </w:r>
      <w:r>
        <w:rPr>
          <w:rFonts w:eastAsia="Amiri" w:cs="Amiri" w:ascii="Amiri" w:hAnsi="Amiri"/>
          <w:color w:val="111111"/>
          <w:sz w:val="28"/>
          <w:szCs w:val="28"/>
          <w:rtl w:val="true"/>
          <w:lang w:bidi="ar-SA"/>
        </w:rPr>
        <w:t>.</w:t>
      </w:r>
    </w:p>
    <w:p>
      <w:pPr>
        <w:pStyle w:val="Heading2"/>
        <w:numPr>
          <w:ilvl w:val="1"/>
          <w:numId w:val="1"/>
        </w:numPr>
        <w:rPr/>
      </w:pPr>
      <w:bookmarkStart w:id="1121" w:name="__RefHeading___Toc11915832_2142443653"/>
      <w:bookmarkStart w:id="1122" w:name="_Toc403"/>
      <w:bookmarkEnd w:id="1121"/>
      <w:r>
        <w:rPr>
          <w:rtl w:val="true"/>
        </w:rPr>
        <w:t>الحريات الإسلامية</w:t>
      </w:r>
      <w:bookmarkEnd w:id="112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الشركات ولا البناء والعمارة والزراعة والصناعة والتجارة والاستيراد والإصدار والتأليف والنشر والخطابة والتأسيس وفتح المشاريع والسفر والإقامة وحيازة المباحات وتحجير الأراضي، وما أشبه</w:t>
      </w:r>
      <w:r>
        <w:rPr>
          <w:rStyle w:val="FootnoteAnchor"/>
          <w:rtl w:val="true"/>
        </w:rPr>
        <w:footnoteReference w:id="1833"/>
      </w:r>
      <w:r>
        <w:rPr>
          <w:rFonts w:ascii="Amiri" w:hAnsi="Amiri" w:eastAsia="Amiri" w:cs="Amiri"/>
          <w:color w:val="111111"/>
          <w:sz w:val="28"/>
          <w:sz w:val="28"/>
          <w:szCs w:val="28"/>
          <w:rtl w:val="true"/>
          <w:lang w:bidi="ar-SA"/>
        </w:rPr>
        <w:t xml:space="preserve"> ذلك إلى الإجازة والرسوم، فإنّ الإسلام منح المسلم الحرية الكاملة فيما</w:t>
      </w:r>
    </w:p>
    <w:p>
      <w:pPr>
        <w:pStyle w:val="BookText"/>
        <w:rPr/>
      </w:pP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w:t>
      </w:r>
      <w:r>
        <w:rPr>
          <w:rStyle w:val="FootnoteAnchor"/>
          <w:rtl w:val="true"/>
        </w:rPr>
        <w:footnoteReference w:id="1835"/>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عمل مباح ولا يجوز المنع عن العمل المباح بالضرورة والإجماع، وأنه نوع ظلم وتويٍ لحق</w:t>
      </w: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اللاحقة</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الفرض، فالضرورات تقدر بقدرها</w:t>
      </w:r>
      <w:r>
        <w:rPr>
          <w:rFonts w:eastAsia="IRNazanin" w:cs="IRNazanin"/>
          <w:color w:val="111111"/>
          <w:sz w:val="28"/>
          <w:szCs w:val="28"/>
          <w:rtl w:val="true"/>
          <w:lang w:bidi="fa-IR"/>
        </w:rPr>
        <w:t>.</w:t>
      </w:r>
    </w:p>
    <w:p>
      <w:pPr>
        <w:pStyle w:val="BookText"/>
        <w:rPr/>
      </w:pPr>
      <w:r>
        <w:rPr>
          <w:rStyle w:val="FootnoteAnchor"/>
          <w:rtl w:val="true"/>
        </w:rPr>
        <w:footnoteReference w:id="1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للعمالة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الحريات</w:t>
      </w:r>
      <w:r>
        <w:rPr>
          <w:rFonts w:eastAsia="Amiri" w:cs="Amiri" w:ascii="Amiri" w:hAnsi="Amiri"/>
          <w:color w:val="111111"/>
          <w:sz w:val="28"/>
          <w:szCs w:val="28"/>
          <w:rtl w:val="true"/>
          <w:lang w:bidi="ar-SA"/>
        </w:rPr>
        <w:t>)</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bookmarkStart w:id="1123" w:name="pg15697_169261"/>
    </w:p>
    <w:p>
      <w:pPr>
        <w:pStyle w:val="BookText"/>
        <w:rPr/>
      </w:pPr>
      <w:bookmarkEnd w:id="1123"/>
      <w:r>
        <w:rPr>
          <w:rFonts w:ascii="Amiri" w:hAnsi="Amiri" w:eastAsia="Amiri" w:cs="Amiri"/>
          <w:color w:val="111111"/>
          <w:sz w:val="28"/>
          <w:sz w:val="28"/>
          <w:szCs w:val="28"/>
          <w:rtl w:val="true"/>
          <w:lang w:bidi="ar-SA"/>
        </w:rPr>
        <w:t>عدا مزاولة المحرمات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على الحريات الإسلامية الأدلة الأربعة، قال تعالى</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فالإنسان حر في جميع الأشياء إلاّ المحرمات وما أقلها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 سواء كانت محرمات أولية، أو ثانوية مثل استلزام شيء من ذلك الضرر على النفس ضرراً بالغاً، أو على الغير، وإن لم يكن بالغاً أي كثيراً ، فإن رضي الآخر بالضرر القليل لم يمنع منه كما قرر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4" w:name="__RefHeading___Toc11915834_2142443653"/>
      <w:bookmarkStart w:id="1125" w:name="_Toc404"/>
      <w:bookmarkEnd w:id="1124"/>
      <w:r>
        <w:rPr>
          <w:rtl w:val="true"/>
        </w:rPr>
        <w:t>كبت الحريات</w:t>
      </w:r>
      <w:bookmarkEnd w:id="11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للسلطة كبت الحريات التي ذكرت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منعت السلطة لم يجب</w:t>
      </w:r>
      <w:r>
        <w:rPr>
          <w:rStyle w:val="FootnoteAnchor"/>
          <w:rtl w:val="true"/>
        </w:rPr>
        <w:footnoteReference w:id="1842"/>
      </w:r>
    </w:p>
    <w:p>
      <w:pPr>
        <w:pStyle w:val="BookText"/>
        <w:rPr/>
      </w:pPr>
      <w:r>
        <w:rPr>
          <w:rStyle w:val="FootnoteAnchor"/>
          <w:rtl w:val="true"/>
        </w:rPr>
        <w:footnoteReference w:id="1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ناظرة إلى الأغلال الخارجية والآصار التي كانت فليست قضية حقيقية، إلاّ أن يستفاد الملاك وعدم الفارق عرفاً،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Style w:val="FootnoteAnchor"/>
          <w:rtl w:val="true"/>
        </w:rPr>
        <w:footnoteReference w:id="1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خرقها، فإنه نوع ردع المنكر، حيث إنه يستلزم وهن القانون وسقوطه بالنتيجة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اتباعها</w:t>
      </w:r>
      <w:r>
        <w:rPr>
          <w:rStyle w:val="FootnoteAnchor"/>
          <w:rtl w:val="true"/>
        </w:rPr>
        <w:footnoteReference w:id="1848"/>
      </w:r>
      <w:r>
        <w:rPr>
          <w:rFonts w:ascii="Amiri" w:hAnsi="Amiri" w:eastAsia="Amiri" w:cs="Amiri"/>
          <w:color w:val="111111"/>
          <w:sz w:val="28"/>
          <w:sz w:val="28"/>
          <w:szCs w:val="28"/>
          <w:rtl w:val="true"/>
          <w:lang w:bidi="ar-SA"/>
        </w:rPr>
        <w:t>، إلا إذا كان حاكماً إسلامياً عادلاً أمضاه</w:t>
      </w:r>
      <w:r>
        <w:rPr>
          <w:rStyle w:val="FootnoteAnchor"/>
          <w:rtl w:val="true"/>
        </w:rPr>
        <w:footnoteReference w:id="1849"/>
      </w:r>
      <w:r>
        <w:rPr>
          <w:rFonts w:ascii="Amiri" w:hAnsi="Amiri" w:eastAsia="Amiri" w:cs="Amiri"/>
          <w:color w:val="111111"/>
          <w:sz w:val="28"/>
          <w:sz w:val="28"/>
          <w:szCs w:val="28"/>
          <w:rtl w:val="true"/>
          <w:lang w:bidi="ar-SA"/>
        </w:rPr>
        <w:t xml:space="preserve"> شورى الفقهاء المراجع، وكان</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لمصلحة الإسلام</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المزاولة ضرر بالغ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يحق للسلطة كبت الحريات للأدلة الأربعة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 ولو منعت لم يجب اتباعها؛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لمخلوق في معصية الخالق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ولأنه يجوز للإنسان أن يأخذ بحقه، أما المستثنى فلأنّ سلب الحرية عن فرد أو جماعة حينئذ يكون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ولا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للسلب حينئذٍ صبغة القانون؛ لأنه من الاستثناء، كالصلاة قاعداً ، والإفطار للمسافر، أما ما نراه اليوم في البلاد الإسلامية من كبت جميع الحريات باسم القانون فغير جائز</w:t>
      </w:r>
      <w:r>
        <w:rPr>
          <w:rFonts w:eastAsia="Amiri" w:cs="Amiri" w:ascii="Amiri" w:hAnsi="Amiri"/>
          <w:color w:val="111111"/>
          <w:sz w:val="28"/>
          <w:szCs w:val="28"/>
          <w:rtl w:val="true"/>
          <w:lang w:bidi="ar-SA"/>
        </w:rPr>
        <w:t>.</w:t>
      </w:r>
    </w:p>
    <w:p>
      <w:pPr>
        <w:pStyle w:val="BookText"/>
        <w:rPr/>
      </w:pPr>
      <w:r>
        <w:rPr>
          <w:rStyle w:val="FootnoteAnchor"/>
          <w:rtl w:val="true"/>
        </w:rPr>
        <w:footnoteReference w:id="1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اتباع الأنظمة الوضعية لازم</w:t>
      </w:r>
      <w:r>
        <w:rPr>
          <w:rFonts w:eastAsia="Amiri" w:cs="Amiri" w:ascii="Amiri" w:hAnsi="Amiri"/>
          <w:color w:val="111111"/>
          <w:sz w:val="28"/>
          <w:szCs w:val="28"/>
          <w:rtl w:val="true"/>
          <w:lang w:bidi="ar-SA"/>
        </w:rPr>
        <w:t>.</w:t>
      </w:r>
    </w:p>
    <w:p>
      <w:pPr>
        <w:pStyle w:val="BookText"/>
        <w:rPr/>
      </w:pP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هو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يمكن فوصلت النوبة إلى أي فقيه لم يقيد بذلك، بل وكذا لو لم يمكن، فوصلت النوبة إلى عدول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يقطع ببطلانه، وإلا وجب اتباعه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الاتباع في الموضوعات لازم، أو كان من الموضوعات العامة وقيل بالنفوذ لرأيه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ولدليل السلطنة وكل شيء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فيتقدر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رأى الحاكم الشرعي إطلاق القانون؛ لأنه رأى أنّ تقييده بالضرر أو نحوه يسبب محذوراً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الشهرة</w:t>
      </w:r>
      <w:r>
        <w:rPr>
          <w:rStyle w:val="FootnoteAnchor"/>
          <w:rtl w:val="true"/>
        </w:rPr>
        <w:footnoteReference w:id="1853"/>
      </w:r>
      <w:r>
        <w:rPr>
          <w:rFonts w:ascii="IRNazanin" w:hAnsi="IRNazanin" w:eastAsia="IRNazanin"/>
          <w:color w:val="111111"/>
          <w:sz w:val="28"/>
          <w:sz w:val="28"/>
          <w:szCs w:val="28"/>
          <w:rtl w:val="true"/>
          <w:lang w:bidi="fa-IR"/>
        </w:rPr>
        <w:t>أو الخبر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1126" w:name="pg15697_169263"/>
    </w:p>
    <w:p>
      <w:pPr>
        <w:pStyle w:val="Heading2"/>
        <w:numPr>
          <w:ilvl w:val="1"/>
          <w:numId w:val="1"/>
        </w:numPr>
        <w:rPr/>
      </w:pPr>
      <w:bookmarkStart w:id="1127" w:name="__RefHeading___Toc11915836_2142443653"/>
      <w:bookmarkStart w:id="1128" w:name="_Toc405"/>
      <w:bookmarkEnd w:id="1126"/>
      <w:bookmarkEnd w:id="1127"/>
      <w:r>
        <w:rPr>
          <w:rtl w:val="true"/>
        </w:rPr>
        <w:t>تقييد الحريات موقت</w:t>
      </w:r>
      <w:bookmarkEnd w:id="112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المسألة السابقة من الحق في منع بعض الحريات للحاكم الإسلامي العادل بإمضاء شورى الفقهاء المراجع أنما هو مؤقت</w:t>
      </w:r>
      <w:r>
        <w:rPr>
          <w:rStyle w:val="FootnoteAnchor"/>
          <w:rtl w:val="true"/>
        </w:rPr>
        <w:footnoteReference w:id="1854"/>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وليس كالقانون الذي إذا أجري دام مفعوله حتى ينقض بقانون آخر، وباللسان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في الإسلام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القانون الوضعي غالباً الأصل المنع والاحتياج إلى الإجازة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تقرير المدة بسبب الحاكم الشرعي التابع للخبراء بكل دقة، وليس أمراً اعتباطياً حتى يكون تابعاً لمجلس</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الوزراء أو مجلس الأمة أو ما أشبه، كما اعتاده كثير من بلاد الإسلام الذين يقلدون الغرب، هذا بالإضافة إلى أنّ مثل هذه الحكومات ليست شرعية، وإذا قرر اللاحرية حاكم غير شرعي فالإنسان مقيد بقدر الضرورة ونحوها لا بقدر القانون والمقررات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الواحد</w:t>
      </w:r>
      <w:r>
        <w:rPr>
          <w:rStyle w:val="FootnoteAnchor"/>
          <w:rtl w:val="true"/>
        </w:rPr>
        <w:footnoteReference w:id="1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يجب اتباعه مطلقاً، وتكون العلة علّة الجعل لا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حكمة لا علّة،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Style w:val="FootnoteAnchor"/>
          <w:rtl w:val="true"/>
        </w:rPr>
        <w:footnoteReference w:id="1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الضرورات تقدر بقدرها كما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لا يذكر التوقيت لبعض المصالح الخارجية، كما هو الشأن عادة في الأحكام المنسوخة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خبروية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يجوز مخالفة القانون الوضعي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1129" w:name="pg15697_169264"/>
    </w:p>
    <w:p>
      <w:pPr>
        <w:pStyle w:val="Heading2"/>
        <w:numPr>
          <w:ilvl w:val="1"/>
          <w:numId w:val="1"/>
        </w:numPr>
        <w:rPr/>
      </w:pPr>
      <w:bookmarkStart w:id="1130" w:name="__RefHeading___Toc11915838_2142443653"/>
      <w:bookmarkStart w:id="1131" w:name="_Toc406"/>
      <w:bookmarkEnd w:id="1129"/>
      <w:bookmarkEnd w:id="1130"/>
      <w:r>
        <w:rPr>
          <w:rtl w:val="true"/>
        </w:rPr>
        <w:t>الاستراحة</w:t>
      </w:r>
      <w:bookmarkEnd w:id="11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للإنسان الاستراحة بأن يترك عمله أو يغلق دكانه أو لا يذهب إلى الدراسة مدة فيما إذا لم يكن ملزماً بذلك بعقد أو شرط أو نحوهما</w:t>
      </w:r>
      <w:r>
        <w:rPr>
          <w:rStyle w:val="FootnoteAnchor"/>
          <w:rtl w:val="true"/>
        </w:rPr>
        <w:footnoteReference w:id="1857"/>
      </w:r>
      <w:r>
        <w:rPr>
          <w:rFonts w:ascii="IRNazanin" w:hAnsi="IRNazanin" w:eastAsia="IRNazanin"/>
          <w:color w:val="111111"/>
          <w:sz w:val="28"/>
          <w:sz w:val="28"/>
          <w:szCs w:val="28"/>
          <w:rtl w:val="true"/>
          <w:lang w:bidi="fa-IR"/>
        </w:rPr>
        <w:t>، نعم</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ذلك صورة الإضراب والإثارة من جهة معينة لا يجوز إلا إذا كان له مبرر شرعي، وكذا إذا سببت تفويت واجب أو فعل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في ترك العمل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والمستثنى لأدلة الشرط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يجوز الإضراب الفردي أو الجماعي، فإنه لا فرق بينهما للحرية، فإنه من حق كل الأمم الإضرابات والمطالبة بحقوقها وتبديل الحكام وغير ذلك، إلا إذا كان هناك جهة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الجواز مطلقاً، إلاّ لو كان فيه محذور؛ وذلك لأصالة الحرية، فالناس مسلطون، وكل شيء حلال</w:t>
      </w:r>
      <w:r>
        <w:rPr>
          <w:rStyle w:val="FootnoteAnchor"/>
          <w:rtl w:val="true"/>
        </w:rPr>
        <w:footnoteReference w:id="1858"/>
      </w:r>
      <w:r>
        <w:rPr>
          <w:rFonts w:ascii="Amiri" w:hAnsi="Amiri" w:eastAsia="Amiri" w:cs="Amiri"/>
          <w:color w:val="111111"/>
          <w:sz w:val="28"/>
          <w:sz w:val="28"/>
          <w:szCs w:val="28"/>
          <w:rtl w:val="true"/>
          <w:lang w:bidi="ar-SA"/>
        </w:rPr>
        <w:t>، ولعلّ ذكر المسألة بهذا النحو لغلبة وجود العناوين الثانوية أو الطارئة في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الضغط بالإضراب لا بأس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الطلبة يضربون عن الحضور إلى الدرس حتى يُرفع راتبهم، فإن عدم الحضور ليس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سبب ذلك هرجاً أو مرجاً أو هتكاً أو إهانة كان محرماً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نقيض ما ذكر في أول المسألة ، إلاّ إذا أريد به في الحدود المقررة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1132" w:name="pg15697_169265"/>
    </w:p>
    <w:p>
      <w:pPr>
        <w:pStyle w:val="Heading2"/>
        <w:numPr>
          <w:ilvl w:val="1"/>
          <w:numId w:val="1"/>
        </w:numPr>
        <w:rPr/>
      </w:pPr>
      <w:bookmarkStart w:id="1133" w:name="__RefHeading___Toc11915840_2142443653"/>
      <w:bookmarkStart w:id="1134" w:name="_Toc407"/>
      <w:bookmarkEnd w:id="1132"/>
      <w:bookmarkEnd w:id="1133"/>
      <w:r>
        <w:rPr>
          <w:rtl w:val="true"/>
        </w:rPr>
        <w:t>الإضرابات الجائزة</w:t>
      </w:r>
      <w:bookmarkEnd w:id="11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الناس للإضراب، وغلق الدكاكين، وما أشبه لا تجوز</w:t>
      </w:r>
      <w:r>
        <w:rPr>
          <w:rStyle w:val="FootnoteAnchor"/>
          <w:rtl w:val="true"/>
        </w:rPr>
        <w:footnoteReference w:id="1859"/>
      </w:r>
      <w:r>
        <w:rPr>
          <w:rFonts w:ascii="Amiri" w:hAnsi="Amiri" w:eastAsia="Amiri" w:cs="Amiri"/>
          <w:color w:val="111111"/>
          <w:sz w:val="28"/>
          <w:sz w:val="28"/>
          <w:szCs w:val="28"/>
          <w:rtl w:val="true"/>
          <w:lang w:bidi="ar-SA"/>
        </w:rPr>
        <w:t xml:space="preserve"> إلا إذا كان لها مبرر شرعي، مثل المطالبة بحق، أو بدفع منكر، أو بإقامة معروف، أو استنكار المنكر لعدوان أو ما أشبه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السابقة في عمل الإنسان نفسه فرداً أو جماعة بنفسه، وهذه المسألة في إثارة الآخرين، كما تفعله الجماعات الضاغطة، أو ما أشبه، والظاهر جواز ذلك لعزل الحاكم، وإن لم يكن لدفع منكر أو إقامة معروف، وذلك لأنّ من حق الشعب تغيير الحاكم، إذ يشترط</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وعلى كلٍ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الجواز هو الأصل والحرمة استثناءً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فقه السياسة</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يتصرف في 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وللناس أن يمنعوه عن التصرّف بحقوقهم، وللوكالة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إذ كلّ حاكم منصوب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1864"/>
      </w:r>
      <w:r>
        <w:rPr>
          <w:rFonts w:ascii="Amiri" w:hAnsi="Amiri" w:eastAsia="Amiri" w:cs="Amiri"/>
          <w:color w:val="111111"/>
          <w:sz w:val="28"/>
          <w:sz w:val="28"/>
          <w:szCs w:val="28"/>
          <w:rtl w:val="true"/>
          <w:lang w:bidi="ar-SA"/>
        </w:rPr>
        <w:t>فله الحقّ في التصرّف، وليس وكيلاً من قبل الناس حتى يعزلوه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أنه مجعول حاكماً أو لا،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لعزله إلاّ أن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1135" w:name="pg15697_169266"/>
    </w:p>
    <w:p>
      <w:pPr>
        <w:pStyle w:val="BookText"/>
        <w:rPr/>
      </w:pPr>
      <w:bookmarkEnd w:id="1135"/>
      <w:r>
        <w:rPr>
          <w:rFonts w:ascii="Amiri" w:hAnsi="Amiri" w:eastAsia="Amiri" w:cs="Amiri"/>
          <w:color w:val="111111"/>
          <w:sz w:val="28"/>
          <w:sz w:val="28"/>
          <w:szCs w:val="28"/>
          <w:rtl w:val="true"/>
          <w:lang w:bidi="ar-SA"/>
        </w:rPr>
        <w:t>في الحاكم غير المعصوم بالإضافة إلى رضا اللّه رضا الناس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استلزم ضرراً أو حراماً فلا يجوز</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6" w:name="__RefHeading___Toc11915842_2142443653"/>
      <w:bookmarkStart w:id="1137" w:name="_Toc408"/>
      <w:bookmarkEnd w:id="1136"/>
      <w:r>
        <w:rPr>
          <w:rtl w:val="true"/>
        </w:rPr>
        <w:t>عندما يبدل مخ الإنسان</w:t>
      </w:r>
      <w:bookmarkEnd w:id="113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بدل مخ إنسان بمخ إنسان آخر، فتبدلت معلومات كل واحد منهما إلى معلومات الآخر، مثلاً بدل مخ طبيب عربي إلى مخ مهندس تركي، فتبدلت معلومات الطبيب ولسانه إلى معلومات المهندس ولسانه، فهل يبقى على حكمه الأول في جميع تكاليفه وتعهداته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يرجع إلى حكم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لمخه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كإنسان جديد؟ احتمالات</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والاحتمال الثالث أقرب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إلى الصناعة وذلك لتضارب الاستصحابين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وتساقطهما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مجعولاً من قبلهم،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شرعية لحكمه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جعلت له الحكومة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الفقيه الواحد باطلة من الأساس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التزاحم أو التعارض بين حقّ التبديل والضرر، وحينئذٍ يقدم الأهم، كما لو استلزم عزل الإنسان لوكيله الضرر مثلاً،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الرابع هو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فإنه يستلزم جواز زواجه بأم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تكونا أختين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وببنت الاثنين، ولعله خلاف ارتكاز المتشرعة،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المخ وحكم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المخ؛ لأنه هو القائد والمسيّر،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هو البدن؛ لأنه عرفاً هو نفس الإنسان الأوّل منتهى الأمر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1138" w:name="pg15697_169267"/>
    </w:p>
    <w:p>
      <w:pPr>
        <w:pStyle w:val="Heading2"/>
        <w:numPr>
          <w:ilvl w:val="1"/>
          <w:numId w:val="1"/>
        </w:numPr>
        <w:rPr/>
      </w:pPr>
      <w:bookmarkStart w:id="1139" w:name="__RefHeading___Toc11915844_2142443653"/>
      <w:bookmarkStart w:id="1140" w:name="_Toc409"/>
      <w:bookmarkEnd w:id="1138"/>
      <w:bookmarkEnd w:id="1139"/>
      <w:r>
        <w:rPr>
          <w:rtl w:val="true"/>
        </w:rPr>
        <w:t>تبديل معلومات الإنسان</w:t>
      </w:r>
      <w:bookmarkEnd w:id="114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يبدل المخ، وإنما بدلت المعلومات بواسطة التنويم ونحوه الموجب لسحب المعلومات من أحدهما إلى الآخر، فإنه يكون فيه الاحتمالات</w:t>
      </w:r>
      <w:r>
        <w:rPr>
          <w:rStyle w:val="FootnoteAnchor"/>
          <w:rtl w:val="true"/>
        </w:rPr>
        <w:footnoteReference w:id="1865"/>
      </w:r>
      <w:r>
        <w:rPr>
          <w:rFonts w:ascii="Amiri" w:hAnsi="Amiri" w:eastAsia="Amiri" w:cs="Amiri"/>
          <w:color w:val="111111"/>
          <w:sz w:val="28"/>
          <w:sz w:val="28"/>
          <w:szCs w:val="28"/>
          <w:rtl w:val="true"/>
          <w:lang w:bidi="ar-SA"/>
        </w:rPr>
        <w:t xml:space="preserve"> المتقدمة في المسألة السابقة، إلا أنّ الاستصحاب هنا 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استصحاب كونه الشخص</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السابق، هذا إضافة إلى الصدق العرفي</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1" w:name="__RefHeading___Toc11915846_2142443653"/>
      <w:bookmarkStart w:id="1142" w:name="_Toc410"/>
      <w:bookmarkEnd w:id="1141"/>
      <w:r>
        <w:rPr>
          <w:rtl w:val="true"/>
        </w:rPr>
        <w:t>إنسان واحد يتقمص إنسانين</w:t>
      </w:r>
      <w:bookmarkEnd w:id="114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w:t>
      </w:r>
      <w:r>
        <w:rPr>
          <w:rStyle w:val="FootnoteAnchor"/>
          <w:rtl w:val="true"/>
        </w:rPr>
        <w:footnoteReference w:id="1866"/>
      </w:r>
      <w:r>
        <w:rPr>
          <w:rFonts w:ascii="Amiri" w:hAnsi="Amiri" w:eastAsia="Amiri" w:cs="Amiri"/>
          <w:color w:val="111111"/>
          <w:sz w:val="28"/>
          <w:sz w:val="28"/>
          <w:szCs w:val="28"/>
          <w:rtl w:val="true"/>
          <w:lang w:bidi="ar-SA"/>
        </w:rPr>
        <w:t xml:space="preserve"> في بعض البلاد إنسان واحد كان يتقمص إنسانين، ففي مدة كانت معلوماته ولغته وعادته بشكل، وفي مدة أُخرى كانت المعلومات واللغة والعادات بشكل آخر، ولم يكن يعرف الإنسان الأول،</w:t>
      </w:r>
    </w:p>
    <w:p>
      <w:pPr>
        <w:pStyle w:val="BookText"/>
        <w:rPr/>
      </w:pPr>
      <w:r>
        <w:rPr>
          <w:rFonts w:ascii="Amiri" w:hAnsi="Amiri" w:eastAsia="Amiri" w:cs="Amiri"/>
          <w:color w:val="111111"/>
          <w:sz w:val="28"/>
          <w:sz w:val="28"/>
          <w:szCs w:val="28"/>
          <w:rtl w:val="true"/>
          <w:lang w:bidi="ar-SA"/>
        </w:rPr>
        <w:t>تبدلت معلوماته، فهو كنسيان بعض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إذ تبديل المخ نفسه غير تبديل المعلومات أو نسيان بعضها،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Style w:val="FootnoteAnchor"/>
          <w:rtl w:val="true"/>
        </w:rPr>
        <w:footnoteReference w:id="1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ما سبق</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حكم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كالنسيان لشيء من معلوماته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Style w:val="FootnoteAnchor"/>
          <w:rtl w:val="true"/>
        </w:rPr>
        <w:footnoteReference w:id="1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بعض مَن جاء من الغرب صحة ذلك ووقوعه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أنه في الحالة الأولى لم يكن يعرف الإنسان الثاني، وكانت الحالتان تتناوب عليه بصورة مستمرة، فهل يحكم</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كل حالة بحكم، أم حاله حال إنسان واحد،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الستة الأشهر الأولى التي كان يتكلم فيها باللغة الفارسية ويعرف الطب وأخلاقه سيئة لو استدان من إنسان أو قضيت صلاته، أو تزوج بامرأة، فهل إنه في الستة الأشهر الثانية التي يتكلم فيها باللغة الهندية ويعرف الهندسة لا الطب وأخلاقه حسنة يكون مكلفاً بإعطاء الدَّين وبقضاء الصلاة وبأنّ الزوجة زوجته، أم لا؟ احتمالان، والمسألة مشكلة، وإن كان ربما يقال بجريان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جريان الاستصحاب إضافة إلى أنه يصدق عرفاً أنه شخص واحد، هذا فيما يرتبط بشخصه، كالزواج وقضاء الصلوات، أما ما يرتبط بصفته، كما لو استخدم بعنوان انه طبيب أو لتسلطه على الفارسية، فبعد تغيير هذه الصفات تتغير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ما ترتب عليها، هذا وقد يقال بأنّ جريان الاستصحاب أيضاً مشكل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بعد عدم رؤية العرف وحدة الموضوع، والاحتياط الذي ليس عسراً وحرجاً سبيل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المسألتين السابقتين</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لتبدل الموضوع عرفاً بلحاظ الصفة؛ ولأنّ هذه الحيثية تقييدية،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استخدم بقيد كونه طبيباً، والعقود تابعة للقصود، وهذا شرط ارتكازي، ومثله لو نسي الشخص المعتاد كلّ معلوماته بالمرة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 فتأمل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1143" w:name="pg15697_169269"/>
    </w:p>
    <w:p>
      <w:pPr>
        <w:pStyle w:val="Heading2"/>
        <w:numPr>
          <w:ilvl w:val="1"/>
          <w:numId w:val="1"/>
        </w:numPr>
        <w:rPr/>
      </w:pPr>
      <w:bookmarkStart w:id="1144" w:name="__RefHeading___Toc11915848_2142443653"/>
      <w:bookmarkStart w:id="1145" w:name="_Toc411"/>
      <w:bookmarkEnd w:id="1143"/>
      <w:bookmarkEnd w:id="1144"/>
      <w:r>
        <w:rPr>
          <w:rtl w:val="true"/>
        </w:rPr>
        <w:t>التبعيد والتسفير</w:t>
      </w:r>
      <w:bookmarkEnd w:id="11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w:t>
      </w:r>
      <w:r>
        <w:rPr>
          <w:rStyle w:val="FootnoteAnchor"/>
          <w:rtl w:val="true"/>
        </w:rPr>
        <w:footnoteReference w:id="1871"/>
      </w:r>
      <w:r>
        <w:rPr>
          <w:rFonts w:ascii="Amiri" w:hAnsi="Amiri" w:eastAsia="Amiri" w:cs="Amiri"/>
          <w:color w:val="111111"/>
          <w:sz w:val="28"/>
          <w:sz w:val="28"/>
          <w:szCs w:val="28"/>
          <w:rtl w:val="true"/>
          <w:lang w:bidi="ar-SA"/>
        </w:rPr>
        <w:t xml:space="preserve"> لإنسان أو سلطة تبعيد إنسان أو تسفيره إلاّ في المورد المقرر في الشريعة، ولو أُبعد أو سفّر بدون حق شرعي كان له أن يرجع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يوجب عليه ضرراً متزايداً ، وإلاّ حرم من جهة الضرر، والفرق بين التبعيد والتسفير اصطلاحي حيث الثاني في الإخراج من الوطن، والأول في الإخراج من بلد إلى بلد آخر في نفس الوطن، والمراد بالوطن العرفي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وإلاّ ففي الشريعة كل بلاد الإسلام وطن للمسلم، حيث ورد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الوطن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وَتُخْرِجُونَ فَرِيقاً مِنْكُمْ </w:t>
      </w:r>
      <w:r>
        <w:rPr>
          <w:rFonts w:eastAsia="Amiri" w:cs="Amiri" w:ascii="Amiri" w:hAnsi="Amiri"/>
          <w:color w:val="111111"/>
          <w:sz w:val="28"/>
          <w:szCs w:val="28"/>
          <w:rtl w:val="true"/>
          <w:lang w:bidi="ar-SA"/>
        </w:rPr>
        <w:t xml:space="preserve">...} </w:t>
      </w:r>
      <w:r>
        <w:rPr>
          <w:rStyle w:val="FootnoteAnchor"/>
          <w:rtl w:val="true"/>
        </w:rPr>
        <w:footnoteReference w:id="1873"/>
      </w:r>
      <w:r>
        <w:rPr>
          <w:rFonts w:ascii="Amiri" w:hAnsi="Amiri" w:eastAsia="Amiri" w:cs="Amiri"/>
          <w:color w:val="111111"/>
          <w:sz w:val="28"/>
          <w:sz w:val="28"/>
          <w:szCs w:val="28"/>
          <w:rtl w:val="true"/>
          <w:lang w:bidi="ar-SA"/>
        </w:rPr>
        <w:t>وهو خلاف السلطنة، وخلاف أصالة الحرية في الإنسان، وتعدٍ وظلم عرفاً</w:t>
      </w:r>
      <w:r>
        <w:rPr>
          <w:rFonts w:eastAsia="Amiri" w:cs="Amiri" w:ascii="Amiri" w:hAnsi="Amiri"/>
          <w:color w:val="111111"/>
          <w:sz w:val="28"/>
          <w:szCs w:val="28"/>
          <w:rtl w:val="true"/>
          <w:lang w:bidi="ar-SA"/>
        </w:rPr>
        <w:t>.</w:t>
      </w:r>
    </w:p>
    <w:p>
      <w:pPr>
        <w:pStyle w:val="BookText"/>
        <w:rPr/>
      </w:pP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كما في صلاة المسافر أنه لم يثبت وجود وطن غير الوطن العرفي، وذهب بعض إلى ثبوت الوطن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قد استوطنه ستة أشهر</w:t>
      </w:r>
      <w:r>
        <w:rPr>
          <w:rFonts w:eastAsia="Amiri" w:cs="Amiri" w:ascii="Amiri" w:hAnsi="Amiri"/>
          <w:color w:val="111111"/>
          <w:sz w:val="28"/>
          <w:szCs w:val="28"/>
          <w:rtl w:val="true"/>
          <w:lang w:bidi="ar-SA"/>
        </w:rPr>
        <w:t>...</w:t>
      </w:r>
      <w:r>
        <w:rPr>
          <w:rStyle w:val="FootnoteAnchor"/>
          <w:rtl w:val="true"/>
        </w:rPr>
        <w:footnoteReference w:id="1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يثبت، أمّا هذا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له دليل فعلاً؛ إذ لا حقيقة عرفية فيه، ولا يثبت اصطلاح شرعي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بمعناه العرفي، ولا مانع منه، فهو كحب الولد وحب العشيرة، فإن الإيمان يخلق في النفس حرارة تحب ما يرتبط بها، ولا يعني ذلك</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1146" w:name="pg15697_169270"/>
    </w:p>
    <w:p>
      <w:pPr>
        <w:pStyle w:val="BookText"/>
        <w:rPr/>
      </w:pPr>
      <w:bookmarkEnd w:id="1146"/>
      <w:r>
        <w:rPr>
          <w:rFonts w:ascii="Amiri" w:hAnsi="Amiri" w:eastAsia="Amiri" w:cs="Amiri"/>
          <w:color w:val="111111"/>
          <w:sz w:val="28"/>
          <w:sz w:val="28"/>
          <w:szCs w:val="28"/>
          <w:rtl w:val="true"/>
          <w:lang w:bidi="ar-SA"/>
        </w:rPr>
        <w:t>من الإيمان</w:t>
      </w:r>
      <w:r>
        <w:rPr>
          <w:rFonts w:eastAsia="Amiri" w:cs="Amiri" w:ascii="Amiri" w:hAnsi="Amiri"/>
          <w:color w:val="111111"/>
          <w:sz w:val="28"/>
          <w:szCs w:val="28"/>
          <w:rtl w:val="true"/>
          <w:lang w:bidi="ar-SA"/>
        </w:rPr>
        <w:t>»</w:t>
      </w:r>
      <w:r>
        <w:rPr>
          <w:rStyle w:val="FootnoteAnchor"/>
          <w:rtl w:val="true"/>
        </w:rPr>
        <w:footnoteReference w:id="1876"/>
      </w:r>
      <w:r>
        <w:rPr>
          <w:rFonts w:ascii="IRNazanin" w:hAnsi="IRNazanin" w:eastAsia="IRNazanin"/>
          <w:color w:val="111111"/>
          <w:sz w:val="28"/>
          <w:sz w:val="28"/>
          <w:szCs w:val="28"/>
          <w:rtl w:val="true"/>
          <w:lang w:bidi="fa-IR"/>
        </w:rPr>
        <w:t>، وإذا تضرر</w:t>
      </w:r>
      <w:r>
        <w:rPr>
          <w:rStyle w:val="FootnoteAnchor"/>
          <w:rtl w:val="true"/>
        </w:rPr>
        <w:footnoteReference w:id="1877"/>
      </w:r>
      <w:r>
        <w:rPr>
          <w:rFonts w:ascii="Amiri" w:hAnsi="Amiri" w:eastAsia="Amiri" w:cs="Amiri"/>
          <w:color w:val="111111"/>
          <w:sz w:val="28"/>
          <w:sz w:val="28"/>
          <w:szCs w:val="28"/>
          <w:rtl w:val="true"/>
          <w:lang w:bidi="ar-SA"/>
        </w:rPr>
        <w:t xml:space="preserve"> بتبعيده وتسفيره فعلى من بعده الضمان</w:t>
      </w:r>
      <w:r>
        <w:rPr>
          <w:rFonts w:eastAsia="Amiri" w:cs="Amiri" w:ascii="Amiri" w:hAnsi="Amiri"/>
          <w:color w:val="111111"/>
          <w:sz w:val="28"/>
          <w:szCs w:val="28"/>
          <w:rtl w:val="true"/>
          <w:lang w:bidi="ar-SA"/>
        </w:rPr>
        <w:t>.</w:t>
      </w:r>
    </w:p>
    <w:p>
      <w:pPr>
        <w:pStyle w:val="Heading2"/>
        <w:numPr>
          <w:ilvl w:val="1"/>
          <w:numId w:val="1"/>
        </w:numPr>
        <w:rPr/>
      </w:pPr>
      <w:bookmarkStart w:id="1147" w:name="__RefHeading___Toc11915850_2142443653"/>
      <w:bookmarkStart w:id="1148" w:name="_Toc412"/>
      <w:bookmarkEnd w:id="1147"/>
      <w:r>
        <w:rPr>
          <w:rtl w:val="true"/>
        </w:rPr>
        <w:t>القوانين الإسلامية لا تقبل التغيير</w:t>
      </w:r>
      <w:bookmarkEnd w:id="11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يتبدل</w:t>
      </w:r>
      <w:r>
        <w:rPr>
          <w:rStyle w:val="FootnoteAnchor"/>
          <w:rtl w:val="true"/>
        </w:rPr>
        <w:footnoteReference w:id="1878"/>
      </w:r>
      <w:r>
        <w:rPr>
          <w:rFonts w:ascii="Amiri" w:hAnsi="Amiri" w:eastAsia="Amiri" w:cs="Amiri"/>
          <w:color w:val="111111"/>
          <w:sz w:val="28"/>
          <w:sz w:val="28"/>
          <w:szCs w:val="28"/>
          <w:rtl w:val="true"/>
          <w:lang w:bidi="ar-SA"/>
        </w:rPr>
        <w:t xml:space="preserve"> حكم اللّه بسبب القانون، فإذا قال القانون بتساوي حق الرجل والمرأة حتى فيما لا يجوز، أو يكون الطلاق بيد المرأة، أو بأن الرجل لا يحق له أن يتزوج فوق الواحدة، أو غير ذلك، فإنّ الحكم الشرعي يبقى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تتبعنا القوانين المخالفة للقوانين الإسلامية فلم نجد واحداً من تلك القوانين أصلح للبشر أو أقرب إلى المنطق والعقل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ذكرنا جملة من ذلك في كتبنا المختلفة الفقهية وغيرها، ويدل عليه الأدلة الأربعة،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حلال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محمد حلال أبدا إلى يوم القيامة وحرامه حرام أبدا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الآخرين</w:t>
      </w:r>
      <w:r>
        <w:rPr>
          <w:rFonts w:eastAsia="Amiri" w:cs="Amiri" w:ascii="Amiri" w:hAnsi="Amiri"/>
          <w:color w:val="111111"/>
          <w:sz w:val="28"/>
          <w:szCs w:val="28"/>
          <w:rtl w:val="true"/>
          <w:lang w:bidi="ar-SA"/>
        </w:rPr>
        <w:t>.</w:t>
      </w:r>
    </w:p>
    <w:p>
      <w:pPr>
        <w:pStyle w:val="BookText"/>
        <w:rPr/>
      </w:pP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مالياً، أمّا لو تضرر نفسياً أو بدنياً فهل عليه الضمان؟ لا مانع منه؛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أنها تثبت الحكم كما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Style w:val="FootnoteAnchor"/>
          <w:rtl w:val="true"/>
        </w:rPr>
        <w:footnoteReference w:id="1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الانتقال من حكم لآخر بالشرط ونحوه، كأن تكون وكيلة له في الطلاق، وكذا ما يصنع في عقود الزواج هنا</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ما يشمل الواجب والمباح والمستحب والمكروه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1149" w:name="pg15697_169271"/>
    </w:p>
    <w:p>
      <w:pPr>
        <w:pStyle w:val="Heading2"/>
        <w:numPr>
          <w:ilvl w:val="1"/>
          <w:numId w:val="1"/>
        </w:numPr>
        <w:rPr/>
      </w:pPr>
      <w:bookmarkStart w:id="1150" w:name="__RefHeading___Toc11915852_2142443653"/>
      <w:bookmarkStart w:id="1151" w:name="_Toc413"/>
      <w:bookmarkEnd w:id="1149"/>
      <w:bookmarkEnd w:id="1150"/>
      <w:r>
        <w:rPr>
          <w:rtl w:val="true"/>
        </w:rPr>
        <w:t>لا امتياز للاعتبارات</w:t>
      </w:r>
      <w:bookmarkEnd w:id="115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المنع</w:t>
      </w:r>
      <w:r>
        <w:rPr>
          <w:rStyle w:val="FootnoteAnchor"/>
          <w:rtl w:val="true"/>
        </w:rPr>
        <w:footnoteReference w:id="1883"/>
      </w:r>
      <w:r>
        <w:rPr>
          <w:rFonts w:ascii="Amiri" w:hAnsi="Amiri" w:eastAsia="Amiri" w:cs="Amiri"/>
          <w:color w:val="111111"/>
          <w:sz w:val="28"/>
          <w:sz w:val="28"/>
          <w:szCs w:val="28"/>
          <w:rtl w:val="true"/>
          <w:lang w:bidi="ar-SA"/>
        </w:rPr>
        <w:t xml:space="preserve"> عن الزواج أو الإرث أو الامتلاك أو ما أشبه بمجرد أن أحد الأقرباء لا يمت إلى القريب الآخر باللغة أو اللون أو الإقليم أو ما أشبه، أو بمجرد أنّ المقدم على الزواج ليس من قوم الآخر أو على لغته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 ذلك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كفو للمسلمة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والسيرة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المستمرة منذ صدر الإسلام،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كأسنان المشط سواء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فضل للعربي على العجمي ولا للأحمر على الأسود إلا بالتقوى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وكل القوانين التي وضعت في مجال هذه التفرقات باطلة، قد جاء بها الاستعمار</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للسيطرة على المسلمين ويجب إزالتها، واللّه سبحانه</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Style w:val="FootnoteAnchor"/>
          <w:rtl w:val="true"/>
        </w:rPr>
        <w:footnoteReference w:id="1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الولي له حقّ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حقّ له في العضل الدائم، وعلى ذلك جرت سيرة كثير من المتدينين،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ابنته عن الزواج بأسود</w:t>
      </w:r>
      <w:r>
        <w:rPr>
          <w:rFonts w:eastAsia="Amiri" w:cs="Amiri" w:ascii="Amiri" w:hAnsi="Amiri"/>
          <w:color w:val="111111"/>
          <w:sz w:val="28"/>
          <w:szCs w:val="28"/>
          <w:rtl w:val="true"/>
          <w:lang w:bidi="ar-SA"/>
        </w:rPr>
        <w:t>.</w:t>
      </w:r>
    </w:p>
    <w:p>
      <w:pPr>
        <w:pStyle w:val="BookText"/>
        <w:rPr/>
      </w:pP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تزويج كلّ أخ ولا كلّ كفؤ</w:t>
      </w:r>
      <w:r>
        <w:rPr>
          <w:rFonts w:eastAsia="Amiri" w:cs="Amiri" w:ascii="Amiri" w:hAnsi="Amiri"/>
          <w:color w:val="111111"/>
          <w:sz w:val="28"/>
          <w:szCs w:val="28"/>
          <w:rtl w:val="true"/>
          <w:lang w:bidi="ar-SA"/>
        </w:rPr>
        <w:t>.</w:t>
      </w:r>
    </w:p>
    <w:p>
      <w:pPr>
        <w:pStyle w:val="BookText"/>
        <w:rPr/>
      </w:pPr>
      <w:r>
        <w:rPr>
          <w:rStyle w:val="FootnoteAnchor"/>
          <w:rtl w:val="true"/>
        </w:rPr>
        <w:footnoteReference w:id="1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قائمة على عدم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1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جاء بها الجهل، وبعض إرادة الاستبداد الداخلي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1152" w:name="pg15697_169272"/>
    </w:p>
    <w:p>
      <w:pPr>
        <w:pStyle w:val="BookText"/>
        <w:rPr/>
      </w:pPr>
      <w:bookmarkEnd w:id="1152"/>
      <w:r>
        <w:rPr>
          <w:rFonts w:ascii="Amiri" w:hAnsi="Amiri" w:eastAsia="Amiri" w:cs="Amiri"/>
          <w:color w:val="111111"/>
          <w:sz w:val="28"/>
          <w:sz w:val="28"/>
          <w:szCs w:val="28"/>
          <w:rtl w:val="true"/>
          <w:lang w:bidi="ar-SA"/>
        </w:rPr>
        <w:t>لم يعرض عن المسلمين إلا بعد أن أعرضوا هم عن أحكام اللّه تعالى، ومن الواضح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3" w:name="__RefHeading___Toc11915854_2142443653"/>
      <w:bookmarkStart w:id="1154" w:name="_Toc414"/>
      <w:bookmarkEnd w:id="1153"/>
      <w:r>
        <w:rPr>
          <w:rtl w:val="true"/>
        </w:rPr>
        <w:t>المقاطعات الاقتصادية</w:t>
      </w:r>
      <w:bookmarkEnd w:id="115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الحق في أن لا يشتري بضاعة من أحد، أو لا يسافر إلى بلد، أو ما أشبه ذلك، لكن ليس</w:t>
      </w:r>
      <w:r>
        <w:rPr>
          <w:rStyle w:val="FootnoteAnchor"/>
          <w:rtl w:val="true"/>
        </w:rPr>
        <w:footnoteReference w:id="1889"/>
      </w:r>
      <w:r>
        <w:rPr>
          <w:rFonts w:ascii="Amiri" w:hAnsi="Amiri" w:eastAsia="Amiri" w:cs="Amiri"/>
          <w:color w:val="111111"/>
          <w:sz w:val="28"/>
          <w:sz w:val="28"/>
          <w:szCs w:val="28"/>
          <w:rtl w:val="true"/>
          <w:lang w:bidi="ar-SA"/>
        </w:rPr>
        <w:t xml:space="preserve"> لأي إنسان الحق في إثارة الناس لمقاطعة بضاعة أو مقاطعة بلد، إلا إذا انطبق على الإثارة موضوع ردع المنكر والنهي عنه، أو ما أشبه ذلك من القواعد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المستثنى منه والمستثنى حسب الأدلة، وذلك</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لحرية الإنسان في غير ما منع الشارع عنه، وكل ما ينافي تلك الحرية باطل، وفاعله فاعل للمنكر الذي يجب الردع عنه</w:t>
      </w:r>
      <w:r>
        <w:rPr>
          <w:rFonts w:eastAsia="Amiri" w:cs="Amiri" w:ascii="Amiri" w:hAnsi="Amiri"/>
          <w:color w:val="111111"/>
          <w:sz w:val="28"/>
          <w:szCs w:val="28"/>
          <w:rtl w:val="true"/>
          <w:lang w:bidi="ar-SA"/>
        </w:rPr>
        <w:t>.</w:t>
      </w:r>
    </w:p>
    <w:p>
      <w:pPr>
        <w:pStyle w:val="Heading2"/>
        <w:numPr>
          <w:ilvl w:val="1"/>
          <w:numId w:val="1"/>
        </w:numPr>
        <w:rPr/>
      </w:pPr>
      <w:bookmarkStart w:id="1155" w:name="__RefHeading___Toc11915856_2142443653"/>
      <w:bookmarkStart w:id="1156" w:name="_Toc415"/>
      <w:bookmarkEnd w:id="1155"/>
      <w:r>
        <w:rPr>
          <w:rtl w:val="true"/>
        </w:rPr>
        <w:t>الصندوق الخيري لقرض الحسنة</w:t>
      </w:r>
      <w:bookmarkEnd w:id="11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الصندوق الذي يجعل ليودع فيه المال من متبرعين لأجل المشاريع أو ما أشبه بكيفية خاصة كما يعتاد في الحال الحاضر، لا يبعد</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فإنه قد يوصي أقرباءهُ وأصدقاءهُ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بشراء البضاعة من شخص متدين أو فقير، ومقاطعة الآخرين، فإن ذلك هو مقتضى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حقّ له في الإهانة والهتك وما أشبه، فالأصل الجواز إلاّ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للدعوة إلى مقاطعة الكفار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للإنسان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تكون له شخصية حكمية</w:t>
      </w:r>
      <w:r>
        <w:rPr>
          <w:rStyle w:val="FootnoteAnchor"/>
          <w:rtl w:val="true"/>
        </w:rPr>
        <w:footnoteReference w:id="1891"/>
      </w:r>
      <w:r>
        <w:rPr>
          <w:rFonts w:ascii="Amiri" w:hAnsi="Amiri" w:eastAsia="Amiri" w:cs="Amiri"/>
          <w:color w:val="111111"/>
          <w:sz w:val="28"/>
          <w:sz w:val="28"/>
          <w:szCs w:val="28"/>
          <w:rtl w:val="true"/>
          <w:lang w:bidi="ar-SA"/>
        </w:rPr>
        <w:t xml:space="preserve">، بحيث يصح الاقتراض منه أو ما أشبه ذلك؛ لانطباق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892"/>
      </w:r>
      <w:r>
        <w:rPr>
          <w:rFonts w:ascii="Amiri" w:hAnsi="Amiri" w:eastAsia="Amiri" w:cs="Amiri"/>
          <w:color w:val="111111"/>
          <w:sz w:val="28"/>
          <w:sz w:val="28"/>
          <w:szCs w:val="28"/>
          <w:rtl w:val="true"/>
          <w:lang w:bidi="ar-SA"/>
        </w:rPr>
        <w:t>عليه، فإنه قد ذهب جماعة من الفقهاء إلى عدم لزوم أن يكون العقد معنوناً</w:t>
      </w:r>
      <w:r>
        <w:rPr>
          <w:rStyle w:val="FootnoteAnchor"/>
          <w:rtl w:val="true"/>
        </w:rPr>
        <w:footnoteReference w:id="1893"/>
      </w:r>
      <w:r>
        <w:rPr>
          <w:rFonts w:ascii="Amiri" w:hAnsi="Amiri" w:eastAsia="Amiri" w:cs="Amiri"/>
          <w:color w:val="111111"/>
          <w:sz w:val="28"/>
          <w:sz w:val="28"/>
          <w:szCs w:val="28"/>
          <w:rtl w:val="true"/>
          <w:lang w:bidi="ar-SA"/>
        </w:rPr>
        <w:t xml:space="preserve"> بعنوان خاص في الإسلام، وقد ذكرنا تفصيل المسألة في شرح العروة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لا يلزم أن يكون موجوداً في زمان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حال سائر المباحات</w:t>
      </w:r>
      <w:r>
        <w:rPr>
          <w:rStyle w:val="FootnoteAnchor"/>
          <w:rtl w:val="true"/>
        </w:rPr>
        <w:footnoteReference w:id="1894"/>
      </w:r>
      <w:r>
        <w:rPr>
          <w:rFonts w:ascii="Amiri" w:hAnsi="Amiri" w:eastAsia="Amiri" w:cs="Amiri"/>
          <w:color w:val="111111"/>
          <w:sz w:val="28"/>
          <w:sz w:val="28"/>
          <w:szCs w:val="28"/>
          <w:rtl w:val="true"/>
          <w:lang w:bidi="ar-SA"/>
        </w:rPr>
        <w:t xml:space="preserve">، حيث لا يلزم في إباحة الفواكه وما أشبه أن تكون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Style w:val="FootnoteAnchor"/>
          <w:rtl w:val="true"/>
        </w:rPr>
        <w:footnoteReference w:id="1895"/>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الصندوق مصداق</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الكلي، فله شخصية حقوقية وإن لم تكن حقيقية</w:t>
      </w:r>
      <w:r>
        <w:rPr>
          <w:rFonts w:eastAsia="Amiri" w:cs="Amiri" w:ascii="Amiri" w:hAnsi="Amiri"/>
          <w:color w:val="111111"/>
          <w:sz w:val="28"/>
          <w:szCs w:val="28"/>
          <w:rtl w:val="true"/>
          <w:lang w:bidi="ar-SA"/>
        </w:rPr>
        <w:t>.</w:t>
      </w:r>
    </w:p>
    <w:p>
      <w:pPr>
        <w:pStyle w:val="BookText"/>
        <w:rPr/>
      </w:pP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حقوقية مقابل الحقيقية، وأثر ذلك أنه لو تغير الأشخاص ظل مديوناً للصندوق، ونحوه ما لو كان دائناً أو مديناً للحكومة،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لا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الشخصية الحقوقية أمر اعتباري يرتب عليه العقلاء الآثار، والعقد معها مصداق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89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بعقودكم</w:t>
      </w:r>
      <w:r>
        <w:rPr>
          <w:rFonts w:eastAsia="Amiri" w:cs="Amiri" w:ascii="Amiri" w:hAnsi="Amiri"/>
          <w:color w:val="111111"/>
          <w:sz w:val="28"/>
          <w:szCs w:val="28"/>
          <w:rtl w:val="true"/>
          <w:lang w:bidi="ar-SA"/>
        </w:rPr>
        <w:t>.</w:t>
      </w:r>
    </w:p>
    <w:p>
      <w:pPr>
        <w:pStyle w:val="BookText"/>
        <w:rPr/>
      </w:pP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للاستغراق أو للطبيعة، والقضية حقيقية لا خارجية</w:t>
      </w:r>
      <w:r>
        <w:rPr>
          <w:rFonts w:eastAsia="Amiri" w:cs="Amiri" w:ascii="Amiri" w:hAnsi="Amiri"/>
          <w:color w:val="111111"/>
          <w:sz w:val="28"/>
          <w:szCs w:val="28"/>
          <w:rtl w:val="true"/>
          <w:lang w:bidi="ar-SA"/>
        </w:rPr>
        <w:t>.</w:t>
      </w:r>
    </w:p>
    <w:p>
      <w:pPr>
        <w:pStyle w:val="BookText"/>
        <w:rPr/>
      </w:pPr>
      <w:r>
        <w:rPr>
          <w:rStyle w:val="FootnoteAnchor"/>
          <w:rtl w:val="true"/>
        </w:rPr>
        <w:footnoteReference w:id="1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أنه مباح فهذا لا يثبت ترتب آثار العقد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إجراؤه مباحاً، فالأولى الاستدلال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قبل قليل وجه المصداقية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1157" w:name="pg15697_169274"/>
    </w:p>
    <w:p>
      <w:pPr>
        <w:pStyle w:val="Heading2"/>
        <w:numPr>
          <w:ilvl w:val="1"/>
          <w:numId w:val="1"/>
        </w:numPr>
        <w:rPr/>
      </w:pPr>
      <w:bookmarkStart w:id="1158" w:name="__RefHeading___Toc11915858_2142443653"/>
      <w:bookmarkStart w:id="1159" w:name="_Toc416"/>
      <w:bookmarkEnd w:id="1157"/>
      <w:bookmarkEnd w:id="1158"/>
      <w:r>
        <w:rPr>
          <w:rtl w:val="true"/>
        </w:rPr>
        <w:t>الأخبار الموجبة لهيبة الكفار</w:t>
      </w:r>
      <w:bookmarkEnd w:id="11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نقل أخبار الكفار والمخربين التي تسبب شوكتهم في عيون المسلمين، ويسبب أن ينظر المسلمون إلى أنفسهم بالازدراء والاشمئزاز، كما لا يجوز نقل أخبار ضعف المسلمين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فيما إذا صدق عليه العنوان الثانوي؛ لقاعدة الأهم والمهم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وما أشبه ذلك، وإلاّ فالأصل الجواز، وفي كتاب الجهاد بحث المخذل فراجع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أن الكبير المخذل لا يسهم له، فالصبي المخذل بطريق أولى، ومن إطلاق إعطاء الصبي، وتخذيله لا يوجب حرمانه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في اغتنام الكل بين المخالف لهجوم العصابة والموافق؛ لأن مخالفة بعض الجيش لا توجب حرمانه ما لم يكن مخذلاً ممن لا حصة له بالنص والإجماع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أن لا ينتهي ذلك إلى الاستبداد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 وإلا فهو أبشع المحرمات، كما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2"/>
        <w:numPr>
          <w:ilvl w:val="1"/>
          <w:numId w:val="1"/>
        </w:numPr>
        <w:rPr/>
      </w:pPr>
      <w:bookmarkStart w:id="1160" w:name="__RefHeading___Toc11915860_2142443653"/>
      <w:bookmarkStart w:id="1161" w:name="_Toc417"/>
      <w:bookmarkEnd w:id="1160"/>
      <w:r>
        <w:rPr>
          <w:rtl w:val="true"/>
        </w:rPr>
        <w:t>استثناءات المسألة السابقة</w:t>
      </w:r>
      <w:bookmarkEnd w:id="11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السابقة أنما يكون بالنسبة إلى غير</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Style w:val="FootnoteAnchor"/>
          <w:rtl w:val="true"/>
        </w:rPr>
        <w:footnoteReference w:id="1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عدمه مقدمة وجودية للجهاد والهداية والإرشاد، ولأنّ وجوده طريق من طرق الفساد والإفساد، فإن الناس تبع الأقوياء فكرياً وعملياً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بسيطرة الدولة على وسائل الإعلام، وإخفاء الحقائق، كما هو المتعارف عن الدول الديكتاتورية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bookmarkStart w:id="1162" w:name="pg15697_169275"/>
    </w:p>
    <w:p>
      <w:pPr>
        <w:pStyle w:val="BookText"/>
        <w:rPr/>
      </w:pPr>
      <w:bookmarkEnd w:id="1162"/>
      <w:r>
        <w:rPr>
          <w:rFonts w:ascii="Amiri" w:hAnsi="Amiri" w:eastAsia="Amiri" w:cs="Amiri"/>
          <w:color w:val="111111"/>
          <w:sz w:val="28"/>
          <w:sz w:val="28"/>
          <w:szCs w:val="28"/>
          <w:rtl w:val="true"/>
          <w:lang w:bidi="ar-SA"/>
        </w:rPr>
        <w:t>أهل الحل والعقد والمسؤولين الذين يجب أن يعرفوا كل شيء، حتى يلاحظوا الأمور ويعالجوها، وكذلك أنما يكون فيما إذا لم تتوقف مصلحة إسلامية مهمة على نقل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ذلك من الأدلة، والمصلحة الإسلامية الأهم، وهي كما ذكرناه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1163" w:name="__RefHeading___Toc11915862_2142443653"/>
      <w:bookmarkStart w:id="1164" w:name="_Toc418"/>
      <w:bookmarkEnd w:id="1163"/>
      <w:r>
        <w:rPr>
          <w:rtl w:val="true"/>
        </w:rPr>
        <w:t>الرواتب الشهرية والغنائم</w:t>
      </w:r>
      <w:bookmarkEnd w:id="116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الجنود الرواتب من الدولة لا يسقط ذلك حقهم في الغنيمة، إلا مع شرط</w:t>
      </w:r>
      <w:r>
        <w:rPr>
          <w:rStyle w:val="FootnoteAnchor"/>
          <w:rtl w:val="true"/>
        </w:rPr>
        <w:footnoteReference w:id="1901"/>
      </w:r>
      <w:r>
        <w:rPr>
          <w:rFonts w:ascii="IRNazanin" w:hAnsi="IRNazanin" w:eastAsia="IRNazanin"/>
          <w:color w:val="111111"/>
          <w:sz w:val="28"/>
          <w:sz w:val="28"/>
          <w:szCs w:val="28"/>
          <w:rtl w:val="true"/>
          <w:lang w:bidi="fa-IR"/>
        </w:rPr>
        <w:t xml:space="preserve"> سابق</w:t>
      </w:r>
      <w:r>
        <w:rPr>
          <w:rFonts w:eastAsia="IRNazanin" w:cs="IRNazanin"/>
          <w:color w:val="111111"/>
          <w:sz w:val="28"/>
          <w:szCs w:val="28"/>
          <w:rtl w:val="true"/>
          <w:lang w:bidi="fa-IR"/>
        </w:rPr>
        <w:t>.</w:t>
      </w:r>
    </w:p>
    <w:p>
      <w:pPr>
        <w:pStyle w:val="BookText"/>
        <w:rPr/>
      </w:pP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توقف الأهم عليه، كتحريض المسلمين للجهاد والعمل،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بلغني أن الرجل منهم كان يدخل</w:t>
      </w:r>
      <w:r>
        <w:rPr>
          <w:rFonts w:eastAsia="Amiri" w:cs="Amiri" w:ascii="Amiri" w:hAnsi="Amiri"/>
          <w:color w:val="111111"/>
          <w:sz w:val="28"/>
          <w:szCs w:val="28"/>
          <w:rtl w:val="true"/>
          <w:lang w:bidi="ar-SA"/>
        </w:rPr>
        <w:t>...»</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حيث إنه ضمن العقد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الوفاء به واجباً، ويلزم الحاكم على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الحقّ ،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لا حق، مع أنه إسقاط ما لم يجب، فتأمل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bookmarkStart w:id="1165" w:name="pg15697_169276"/>
    </w:p>
    <w:p>
      <w:pPr>
        <w:pStyle w:val="BookText"/>
        <w:rPr/>
      </w:pPr>
      <w:bookmarkEnd w:id="11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أدلة حق الجندي المجاهد في الغنيمة، أما إذا كان الشرط فيشمله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6" w:name="__RefHeading___Toc11915864_2142443653"/>
      <w:bookmarkStart w:id="1167" w:name="_Toc419"/>
      <w:bookmarkEnd w:id="1166"/>
      <w:r>
        <w:rPr>
          <w:rtl w:val="true"/>
        </w:rPr>
        <w:t>الاستشارية أو البرلمانية</w:t>
      </w:r>
      <w:bookmarkEnd w:id="116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1905"/>
      </w:r>
      <w:r>
        <w:rPr>
          <w:rFonts w:ascii="Amiri" w:hAnsi="Amiri" w:eastAsia="Amiri" w:cs="Amiri"/>
          <w:color w:val="111111"/>
          <w:sz w:val="28"/>
          <w:sz w:val="28"/>
          <w:szCs w:val="28"/>
          <w:rtl w:val="true"/>
          <w:lang w:bidi="ar-SA"/>
        </w:rPr>
        <w:t xml:space="preserve"> توقفت إدارة مصالح المسلمين على الاستشارة وجبت، ومفهوم المشورة غير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مما وفدت إلينا من الغرب، وإن كان بين الأمرين تلاقٍ في بعض البنود، وبالاصطلاح المنطقي بين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يتصادقان في بعض البنود ويتخالفان في بنود أُخرى، نعم إذ كان البرلمان ومجلس الشيوخ بصورة إسلامية جازا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أنّ في بلاد الإسلام في زماننا توضع بسبب المجلسين قوانين مخالفة للإسلام، بينما يلزم أن يكونا للتطبيق لا للتشريع، كما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العقد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بهبة نصيبه،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نصيبه على نحو شرط الفعل، أو شرط النتيجة لو قلنا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Style w:val="FootnoteAnchor"/>
          <w:rtl w:val="true"/>
        </w:rPr>
        <w:footnoteReference w:id="1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مبناهم أخيراً ظاهراً هو وجوب الاستشارة في حدّ ذاتها؛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1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الإسلامي يؤطره في إطار الإسلام، ويلاحظ الإطار الإسلامي،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1168" w:name="pg15697_169277"/>
    </w:p>
    <w:p>
      <w:pPr>
        <w:pStyle w:val="Heading2"/>
        <w:numPr>
          <w:ilvl w:val="1"/>
          <w:numId w:val="1"/>
        </w:numPr>
        <w:rPr/>
      </w:pPr>
      <w:bookmarkStart w:id="1169" w:name="__RefHeading___Toc11915866_2142443653"/>
      <w:bookmarkStart w:id="1170" w:name="_Toc420"/>
      <w:bookmarkEnd w:id="1168"/>
      <w:bookmarkEnd w:id="1169"/>
      <w:r>
        <w:rPr>
          <w:rtl w:val="true"/>
        </w:rPr>
        <w:t>التحيز إلى إحدى الفئتين</w:t>
      </w:r>
      <w:bookmarkEnd w:id="117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909"/>
      </w:r>
      <w:r>
        <w:rPr>
          <w:rFonts w:ascii="Amiri" w:hAnsi="Amiri" w:eastAsia="Amiri" w:cs="Amiri"/>
          <w:color w:val="111111"/>
          <w:sz w:val="28"/>
          <w:sz w:val="28"/>
          <w:szCs w:val="28"/>
          <w:rtl w:val="true"/>
          <w:lang w:bidi="ar-SA"/>
        </w:rPr>
        <w:t xml:space="preserve"> للإنسان أن يرضى بالظلم، أو بقتل مسلم أو محترم، أو بنهب مال محترم، أو بهتك عرض محترم، فإذا وقع بين المسلمين فتنة، فإنه كما لا يحق للمسلم أن يتحيز إلى فئة منهما عملاً ، كذلك لا يحق له أن يتحيز إلى فئة حتى ولو قلباً</w:t>
      </w:r>
      <w:r>
        <w:rPr>
          <w:rStyle w:val="FootnoteAnchor"/>
          <w:rtl w:val="true"/>
        </w:rPr>
        <w:footnoteReference w:id="1910"/>
      </w:r>
      <w:r>
        <w:rPr>
          <w:rFonts w:ascii="IRNazanin" w:hAnsi="IRNazanin" w:eastAsia="IRNazanin"/>
          <w:color w:val="111111"/>
          <w:sz w:val="28"/>
          <w:sz w:val="28"/>
          <w:szCs w:val="28"/>
          <w:rtl w:val="true"/>
          <w:lang w:bidi="fa-IR"/>
        </w:rPr>
        <w:t xml:space="preserve"> ، نعم إذا ثبت أنّ</w:t>
      </w:r>
    </w:p>
    <w:p>
      <w:pPr>
        <w:pStyle w:val="BookText"/>
        <w:rPr/>
      </w:pPr>
      <w:r>
        <w:rPr>
          <w:rFonts w:ascii="Amiri" w:hAnsi="Amiri" w:eastAsia="Amiri" w:cs="Amiri"/>
          <w:color w:val="111111"/>
          <w:sz w:val="28"/>
          <w:sz w:val="28"/>
          <w:szCs w:val="28"/>
          <w:rtl w:val="true"/>
          <w:lang w:bidi="ar-SA"/>
        </w:rPr>
        <w:t>بينما الآخرون لا يتقيدون بقيد في ذلك، وإنما يضعون القوانين حسب المصالح أو المشتهيات أو الظنون والتخمينات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Style w:val="FootnoteAnchor"/>
          <w:rtl w:val="true"/>
        </w:rPr>
        <w:footnoteReference w:id="1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 الرضا بالحرام</w:t>
      </w:r>
      <w:r>
        <w:rPr>
          <w:rFonts w:eastAsia="IRNazanin" w:cs="IRNazanin"/>
          <w:color w:val="111111"/>
          <w:sz w:val="28"/>
          <w:szCs w:val="28"/>
          <w:rtl w:val="true"/>
          <w:lang w:bidi="fa-IR"/>
        </w:rPr>
        <w:t>)</w:t>
      </w:r>
      <w:r>
        <w:rPr>
          <w:rStyle w:val="FootnoteAnchor"/>
          <w:rtl w:val="true"/>
        </w:rPr>
        <w:footnoteReference w:id="1912"/>
      </w:r>
      <w:r>
        <w:rPr>
          <w:rFonts w:ascii="Amiri" w:hAnsi="Amiri" w:eastAsia="Amiri" w:cs="Amiri"/>
          <w:color w:val="111111"/>
          <w:sz w:val="28"/>
          <w:sz w:val="28"/>
          <w:szCs w:val="28"/>
          <w:rtl w:val="true"/>
          <w:lang w:bidi="ar-SA"/>
        </w:rPr>
        <w:t xml:space="preserve">، وبحث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 في الأصول</w:t>
      </w:r>
      <w:r>
        <w:rPr>
          <w:rFonts w:eastAsia="Amiri" w:cs="Amiri" w:ascii="Amiri" w:hAnsi="Amiri"/>
          <w:color w:val="111111"/>
          <w:sz w:val="28"/>
          <w:szCs w:val="28"/>
          <w:rtl w:val="true"/>
          <w:lang w:bidi="ar-SA"/>
        </w:rPr>
        <w:t>)</w:t>
      </w:r>
      <w:r>
        <w:rPr>
          <w:rStyle w:val="FootnoteAnchor"/>
          <w:rtl w:val="true"/>
        </w:rPr>
        <w:footnoteReference w:id="1913"/>
      </w:r>
      <w:r>
        <w:rPr>
          <w:rFonts w:ascii="Amiri" w:hAnsi="Amiri" w:eastAsia="Amiri" w:cs="Amiri"/>
          <w:color w:val="111111"/>
          <w:sz w:val="28"/>
          <w:sz w:val="28"/>
          <w:szCs w:val="28"/>
          <w:rtl w:val="true"/>
          <w:lang w:bidi="ar-SA"/>
        </w:rPr>
        <w:t xml:space="preserve">، وفي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بذلك فرضيت به</w:t>
      </w:r>
      <w:r>
        <w:rPr>
          <w:rFonts w:eastAsia="Amiri" w:cs="Amiri" w:ascii="Amiri" w:hAnsi="Amiri"/>
          <w:color w:val="111111"/>
          <w:sz w:val="28"/>
          <w:szCs w:val="28"/>
          <w:rtl w:val="true"/>
          <w:lang w:bidi="ar-SA"/>
        </w:rPr>
        <w:t>»</w:t>
      </w:r>
      <w:r>
        <w:rPr>
          <w:rStyle w:val="FootnoteAnchor"/>
          <w:rtl w:val="true"/>
        </w:rPr>
        <w:footnoteReference w:id="1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بالظلم والمعين له والراضي به شركاء ثلاثتهم</w:t>
      </w:r>
      <w:r>
        <w:rPr>
          <w:rFonts w:eastAsia="Amiri" w:cs="Amiri" w:ascii="Amiri" w:hAnsi="Amiri"/>
          <w:color w:val="111111"/>
          <w:sz w:val="28"/>
          <w:szCs w:val="28"/>
          <w:rtl w:val="true"/>
          <w:lang w:bidi="ar-SA"/>
        </w:rPr>
        <w:t>»</w:t>
      </w:r>
      <w:r>
        <w:rPr>
          <w:rStyle w:val="FootnoteAnchor"/>
          <w:rtl w:val="true"/>
        </w:rPr>
        <w:footnoteReference w:id="1915"/>
      </w:r>
      <w:r>
        <w:rPr>
          <w:rFonts w:ascii="Amiri" w:hAnsi="Amiri" w:eastAsia="Amiri" w:cs="Amiri"/>
          <w:color w:val="111111"/>
          <w:sz w:val="28"/>
          <w:sz w:val="28"/>
          <w:szCs w:val="28"/>
          <w:rtl w:val="true"/>
          <w:lang w:bidi="ar-SA"/>
        </w:rPr>
        <w:t xml:space="preserve">، وراجع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ومعونة الظالمين في المكاسب المحرّمة</w:t>
      </w:r>
      <w:r>
        <w:rPr>
          <w:rFonts w:eastAsia="Amiri" w:cs="Amiri" w:ascii="Amiri" w:hAnsi="Amiri"/>
          <w:color w:val="111111"/>
          <w:sz w:val="28"/>
          <w:szCs w:val="28"/>
          <w:rtl w:val="true"/>
          <w:lang w:bidi="ar-SA"/>
        </w:rPr>
        <w:t>)</w:t>
      </w:r>
      <w:r>
        <w:rPr>
          <w:rStyle w:val="FootnoteAnchor"/>
          <w:rtl w:val="true"/>
        </w:rPr>
        <w:footnoteReference w:id="1916"/>
      </w:r>
      <w:r>
        <w:rPr>
          <w:rFonts w:ascii="Amiri" w:hAnsi="Amiri" w:eastAsia="Amiri" w:cs="Amiri"/>
          <w:color w:val="111111"/>
          <w:sz w:val="28"/>
          <w:sz w:val="28"/>
          <w:szCs w:val="28"/>
          <w:rtl w:val="true"/>
          <w:lang w:bidi="ar-SA"/>
        </w:rPr>
        <w:t xml:space="preserve">، وبحث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المنكر بالقلب</w:t>
      </w:r>
      <w:r>
        <w:rPr>
          <w:rFonts w:eastAsia="Amiri" w:cs="Amiri" w:ascii="Amiri" w:hAnsi="Amiri"/>
          <w:color w:val="111111"/>
          <w:sz w:val="28"/>
          <w:szCs w:val="28"/>
          <w:rtl w:val="true"/>
          <w:lang w:bidi="ar-SA"/>
        </w:rPr>
        <w:t>)</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غير الاختياري منه لا تكليف عليه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1171" w:name="pg15697_169278"/>
    </w:p>
    <w:p>
      <w:pPr>
        <w:pStyle w:val="BookText"/>
        <w:rPr/>
      </w:pPr>
      <w:bookmarkEnd w:id="1171"/>
      <w:r>
        <w:rPr>
          <w:rFonts w:ascii="Amiri" w:hAnsi="Amiri" w:eastAsia="Amiri" w:cs="Amiri"/>
          <w:color w:val="111111"/>
          <w:sz w:val="28"/>
          <w:sz w:val="28"/>
          <w:szCs w:val="28"/>
          <w:rtl w:val="true"/>
          <w:lang w:bidi="ar-SA"/>
        </w:rPr>
        <w:t>إحداهما على الحق والأُخرى على الباطل جاز، بل وجب التحيز</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المحق منهما ضد المبطل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دل على حرمة الرضا بالظلم ومعونة الظالمين ولزوم متابعة الحق ونصرته،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وليس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بل اللازم كون الإنسان مع المحق إن كلياً فكلياً، أو جزئياً فجزئياً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2" w:name="__RefHeading___Toc11915868_2142443653"/>
      <w:bookmarkStart w:id="1173" w:name="_Toc421"/>
      <w:bookmarkEnd w:id="1172"/>
      <w:r>
        <w:rPr>
          <w:rtl w:val="true"/>
        </w:rPr>
        <w:t>وجوب إطفاء الحريق</w:t>
      </w:r>
      <w:bookmarkEnd w:id="117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1919"/>
      </w:r>
      <w:r>
        <w:rPr>
          <w:rFonts w:ascii="Amiri" w:hAnsi="Amiri" w:eastAsia="Amiri" w:cs="Amiri"/>
          <w:color w:val="111111"/>
          <w:sz w:val="28"/>
          <w:sz w:val="28"/>
          <w:szCs w:val="28"/>
          <w:rtl w:val="true"/>
          <w:lang w:bidi="ar-SA"/>
        </w:rPr>
        <w:t xml:space="preserve"> إطفاء الحريق المؤدي إلى الضرر كحرائق الغابات،</w:t>
      </w:r>
    </w:p>
    <w:p>
      <w:pPr>
        <w:pStyle w:val="BookText"/>
        <w:rPr/>
      </w:pPr>
      <w:r>
        <w:rPr>
          <w:rFonts w:ascii="Amiri" w:hAnsi="Amiri" w:eastAsia="Amiri" w:cs="Amiri"/>
          <w:color w:val="111111"/>
          <w:sz w:val="28"/>
          <w:sz w:val="28"/>
          <w:szCs w:val="28"/>
          <w:rtl w:val="true"/>
          <w:lang w:bidi="ar-SA"/>
        </w:rPr>
        <w:t>لكن المقدور بالواسطة مقدور، ويستطيع الإنسان بالمقدمات أن لا يوجد الرضا في قلبه، ولو وجد يستطيع صرفه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بالظلم حرام، أمّا التحيّز القلبي للمحق فهل هو لازم مطلقاً، أو يفرق بين ما يرتبط بأصول الدين، كقتل إمام، وغيره؟</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مثل بظالم استنكر التمثيل به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المتعارف فرح الناس بسقوط طاغية وقتله والتمثيل به، فالمقدار غير السائغ الظاهر أنه مشمول للحكم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والمقدار السائغ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كقتله لاجتثاث مادة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جائز، لأنه وإن كان حقّ الحاكم الشرعي، إلاّ أنه إذا لم يمكن استئذان الحاكم الشرعي وصلت النوبة إلى عدول المؤمنين، بل وفسّاقهم، لكن المسألة بحاجة للمراجعة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Style w:val="FootnoteAnchor"/>
          <w:rtl w:val="true"/>
        </w:rPr>
        <w:footnoteReference w:id="1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صدق عنوان التبذير والإسراف، أو وقوع ما علم عدم إرادة الشارع</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1174" w:name="pg15697_169279"/>
    </w:p>
    <w:p>
      <w:pPr>
        <w:pStyle w:val="BookText"/>
        <w:rPr/>
      </w:pPr>
      <w:bookmarkEnd w:id="1174"/>
      <w:r>
        <w:rPr>
          <w:rFonts w:ascii="Amiri" w:hAnsi="Amiri" w:eastAsia="Amiri" w:cs="Amiri"/>
          <w:color w:val="111111"/>
          <w:sz w:val="28"/>
          <w:sz w:val="28"/>
          <w:szCs w:val="28"/>
          <w:rtl w:val="true"/>
          <w:lang w:bidi="ar-SA"/>
        </w:rPr>
        <w:t>و كما لو سبب بقاءه ذهاب الأنفس والأموال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فالحرائق الجزئية التي لا يشملها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ليس المهم إطفاءها للأصل</w:t>
      </w:r>
      <w:r>
        <w:rPr>
          <w:rFonts w:eastAsia="Amiri" w:cs="Amiri" w:ascii="Amiri" w:hAnsi="Amiri"/>
          <w:color w:val="111111"/>
          <w:sz w:val="28"/>
          <w:szCs w:val="28"/>
          <w:rtl w:val="true"/>
          <w:lang w:bidi="ar-SA"/>
        </w:rPr>
        <w:t>.</w:t>
      </w:r>
    </w:p>
    <w:p>
      <w:pPr>
        <w:pStyle w:val="Heading2"/>
        <w:numPr>
          <w:ilvl w:val="1"/>
          <w:numId w:val="1"/>
        </w:numPr>
        <w:rPr/>
      </w:pPr>
      <w:bookmarkStart w:id="1175" w:name="__RefHeading___Toc11915870_2142443653"/>
      <w:bookmarkStart w:id="1176" w:name="_Toc422"/>
      <w:bookmarkEnd w:id="1175"/>
      <w:r>
        <w:rPr>
          <w:rtl w:val="true"/>
        </w:rPr>
        <w:t>أجور إطفاء الحرائق</w:t>
      </w:r>
      <w:bookmarkEnd w:id="117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الإطفاء مجاناً، بل إن كان لصاحب المال الذي نشب فيه الحريق مال يمكن استفادته في هذا الباب وجب عليه بذله</w:t>
      </w:r>
      <w:r>
        <w:rPr>
          <w:rStyle w:val="FootnoteAnchor"/>
          <w:rtl w:val="true"/>
        </w:rPr>
        <w:footnoteReference w:id="19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وقوعه في الخارج، كتلف النفوس والأموال العظيمة، أو ترتب محذور قانوني على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إفقار بلاد المسلمين، المؤدي لسقوط الإسلام مثلاً</w:t>
      </w:r>
      <w:r>
        <w:rPr>
          <w:rFonts w:eastAsia="Amiri" w:cs="Amiri" w:ascii="Amiri" w:hAnsi="Amiri"/>
          <w:color w:val="111111"/>
          <w:sz w:val="28"/>
          <w:szCs w:val="28"/>
          <w:rtl w:val="true"/>
          <w:lang w:bidi="ar-SA"/>
        </w:rPr>
        <w:t>.</w:t>
      </w:r>
    </w:p>
    <w:p>
      <w:pPr>
        <w:pStyle w:val="BookText"/>
        <w:rPr/>
      </w:pPr>
      <w:r>
        <w:rPr>
          <w:rStyle w:val="FootnoteAnchor"/>
          <w:rtl w:val="true"/>
        </w:rPr>
        <w:footnoteReference w:id="1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للانصراف، كاحتراق ورقة مثلاً، أو كخشبة في 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Style w:val="FootnoteAnchor"/>
          <w:rtl w:val="true"/>
        </w:rPr>
        <w:footnoteReference w:id="1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أوجب عليه ذلك، فبأي حقّ يطالب المال من صاحب المال؟</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عرفي،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يتوى حقّ امرئ مسلم</w:t>
      </w:r>
      <w:r>
        <w:rPr>
          <w:rFonts w:eastAsia="Amiri" w:cs="Amiri" w:ascii="Amiri" w:hAnsi="Amiri"/>
          <w:color w:val="111111"/>
          <w:sz w:val="28"/>
          <w:szCs w:val="28"/>
          <w:rtl w:val="true"/>
          <w:lang w:bidi="ar-SA"/>
        </w:rPr>
        <w:t>»</w:t>
      </w:r>
      <w:r>
        <w:rPr>
          <w:rStyle w:val="FootnoteAnchor"/>
          <w:rtl w:val="true"/>
        </w:rPr>
        <w:footnoteReference w:id="1924"/>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مصحف الغير لو توقف على بذل مالٍ</w:t>
      </w:r>
      <w:r>
        <w:rPr>
          <w:rFonts w:eastAsia="Amiri" w:cs="Amiri" w:ascii="Amiri" w:hAnsi="Amiri"/>
          <w:color w:val="111111"/>
          <w:sz w:val="28"/>
          <w:szCs w:val="28"/>
          <w:rtl w:val="true"/>
          <w:lang w:bidi="ar-SA"/>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ضرري، وهو مرفوع بلا ضرر، بناءً على أنه يثبت الحكم أيضاً</w:t>
      </w:r>
      <w:r>
        <w:rPr>
          <w:rFonts w:eastAsia="Amiri" w:cs="Amiri" w:ascii="Amiri" w:hAnsi="Amiri"/>
          <w:color w:val="111111"/>
          <w:sz w:val="28"/>
          <w:szCs w:val="28"/>
          <w:rtl w:val="true"/>
          <w:lang w:bidi="ar-SA"/>
        </w:rPr>
        <w:t>.</w:t>
      </w:r>
    </w:p>
    <w:p>
      <w:pPr>
        <w:pStyle w:val="BookText"/>
        <w:rPr/>
      </w:pPr>
      <w:r>
        <w:rPr>
          <w:rStyle w:val="FootnoteAnchor"/>
          <w:rtl w:val="true"/>
        </w:rPr>
        <w:footnoteReference w:id="1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يفعل ذلك مجاناً ولم يمكن حمله على ذلك وجب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bookmarkStart w:id="1177" w:name="pg15697_169280"/>
    </w:p>
    <w:p>
      <w:pPr>
        <w:pStyle w:val="BookText"/>
        <w:rPr/>
      </w:pPr>
      <w:bookmarkEnd w:id="1177"/>
      <w:r>
        <w:rPr>
          <w:rFonts w:ascii="Amiri" w:hAnsi="Amiri" w:eastAsia="Amiri" w:cs="Amiri"/>
          <w:color w:val="111111"/>
          <w:sz w:val="28"/>
          <w:sz w:val="28"/>
          <w:szCs w:val="28"/>
          <w:rtl w:val="true"/>
          <w:lang w:bidi="ar-SA"/>
        </w:rPr>
        <w:t>وإن لم يبذل ناب عنه الحاكم الشرعي في البذل، وإن لم يكن له مال يحق للمطفئ طلب الأجرة</w:t>
      </w:r>
      <w:r>
        <w:rPr>
          <w:rStyle w:val="FootnoteAnchor"/>
          <w:rtl w:val="true"/>
        </w:rPr>
        <w:footnoteReference w:id="1927"/>
      </w:r>
      <w:r>
        <w:rPr>
          <w:rFonts w:ascii="Amiri" w:hAnsi="Amiri" w:eastAsia="Amiri" w:cs="Amiri"/>
          <w:color w:val="111111"/>
          <w:sz w:val="28"/>
          <w:sz w:val="28"/>
          <w:szCs w:val="28"/>
          <w:rtl w:val="true"/>
          <w:lang w:bidi="ar-SA"/>
        </w:rPr>
        <w:t xml:space="preserve"> من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يلزم على المحروق بيته وما أشبه بذل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باب الجمع بين الحقين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 ومقتضى الجمع بين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ولو لم يكن له مال كان من مصالح المسلمين التي وضعت بيت المال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لأجلها، بل وكذلك لا يبعد أن يكون حال الكافر المحترم في البذل من بيت المال، ولذا قرر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النصراني الذي كان يتكفف راتباً من بيت مال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Heading2"/>
        <w:numPr>
          <w:ilvl w:val="1"/>
          <w:numId w:val="1"/>
        </w:numPr>
        <w:rPr/>
      </w:pPr>
      <w:bookmarkStart w:id="1178" w:name="__RefHeading___Toc11915872_2142443653"/>
      <w:bookmarkStart w:id="1179" w:name="_Toc423"/>
      <w:bookmarkEnd w:id="1178"/>
      <w:r>
        <w:rPr>
          <w:rtl w:val="true"/>
        </w:rPr>
        <w:t>إعانة منكوبي الكوارث الطبيعية</w:t>
      </w:r>
      <w:bookmarkEnd w:id="117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إنقاذ من اجتاحتهم الكوارث، كالسيول ومدّ البحار والزلازل والهدة وما أشبه، كما تقدم في المسألتين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البذل؛ لأنه مصلحة من مصالح المسلمين التي وضع لها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حقّ للمطفئ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فقه السياسة والاقتصاد</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1180" w:name="pg15697_169281"/>
    </w:p>
    <w:p>
      <w:pPr>
        <w:pStyle w:val="BookText"/>
        <w:rPr/>
      </w:pPr>
      <w:bookmarkEnd w:id="11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الملاك في الجميع واحد من الآيات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والروايات والإجماع والعقل، وقد قال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التارك مداواة الجريح كالجارح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1" w:name="__RefHeading___Toc11915874_2142443653"/>
      <w:bookmarkStart w:id="1182" w:name="_Toc424"/>
      <w:bookmarkEnd w:id="1181"/>
      <w:r>
        <w:rPr>
          <w:rtl w:val="true"/>
        </w:rPr>
        <w:t>حكم الميت عند تلاشي جسده</w:t>
      </w:r>
      <w:bookmarkEnd w:id="118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غسل وحنوط وكفن ودفن الميت، لأجل تلاشي أعضائه كما يتفق في الحروب، أو لأجل الأوبئة وما أشبه</w:t>
      </w:r>
      <w:r>
        <w:rPr>
          <w:rStyle w:val="FootnoteAnchor"/>
          <w:rtl w:val="true"/>
        </w:rPr>
        <w:footnoteReference w:id="1929"/>
      </w:r>
      <w:r>
        <w:rPr>
          <w:rFonts w:ascii="Amiri" w:hAnsi="Amiri" w:eastAsia="Amiri" w:cs="Amiri"/>
          <w:color w:val="111111"/>
          <w:sz w:val="28"/>
          <w:sz w:val="28"/>
          <w:szCs w:val="28"/>
          <w:rtl w:val="true"/>
          <w:lang w:bidi="ar-SA"/>
        </w:rPr>
        <w:t>، عمل بما يمكن</w:t>
      </w:r>
      <w:r>
        <w:rPr>
          <w:rStyle w:val="FootnoteAnchor"/>
          <w:rtl w:val="true"/>
        </w:rPr>
        <w:footnoteReference w:id="1930"/>
      </w:r>
      <w:r>
        <w:rPr>
          <w:rFonts w:ascii="Amiri" w:hAnsi="Amiri" w:eastAsia="Amiri" w:cs="Amiri"/>
          <w:color w:val="111111"/>
          <w:sz w:val="28"/>
          <w:sz w:val="28"/>
          <w:szCs w:val="28"/>
          <w:rtl w:val="true"/>
          <w:lang w:bidi="ar-SA"/>
        </w:rPr>
        <w:t xml:space="preserve"> عمله من الوظائف الشرعية المقررة، حتى</w:t>
      </w:r>
      <w:r>
        <w:rPr>
          <w:rStyle w:val="FootnoteAnchor"/>
          <w:rtl w:val="true"/>
        </w:rPr>
        <w:footnoteReference w:id="1931"/>
      </w:r>
      <w:r>
        <w:rPr>
          <w:rFonts w:ascii="Amiri" w:hAnsi="Amiri" w:eastAsia="Amiri" w:cs="Amiri"/>
          <w:color w:val="111111"/>
          <w:sz w:val="28"/>
          <w:sz w:val="28"/>
          <w:szCs w:val="28"/>
          <w:rtl w:val="true"/>
          <w:lang w:bidi="ar-SA"/>
        </w:rPr>
        <w:t xml:space="preserve"> إنه لو لم يمكن الدفن، وخيف من الوباء وما أشبه جاز صب الأدوية على الأجساد، لتفنى</w:t>
      </w:r>
    </w:p>
    <w:p>
      <w:pPr>
        <w:pStyle w:val="BookText"/>
        <w:rPr/>
      </w:pPr>
      <w:r>
        <w:rPr>
          <w:rStyle w:val="FootnoteAnchor"/>
          <w:rtl w:val="true"/>
        </w:rPr>
        <w:footnoteReference w:id="1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على لزوم إنقاذ النفس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w:t>
      </w:r>
      <w:r>
        <w:rPr>
          <w:rFonts w:eastAsia="Amiri" w:cs="Amiri" w:ascii="Amiri" w:hAnsi="Amiri"/>
          <w:color w:val="111111"/>
          <w:sz w:val="28"/>
          <w:szCs w:val="28"/>
          <w:rtl w:val="true"/>
          <w:lang w:bidi="ar-SA"/>
        </w:rPr>
        <w:t>}</w:t>
      </w:r>
      <w:r>
        <w:rPr>
          <w:rStyle w:val="FootnoteAnchor"/>
          <w:rtl w:val="true"/>
        </w:rPr>
        <w:footnoteReference w:id="193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Style w:val="FootnoteAnchor"/>
          <w:rtl w:val="true"/>
        </w:rPr>
        <w:footnoteReference w:id="1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لملاحظة سنده</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Style w:val="FootnoteAnchor"/>
          <w:rtl w:val="true"/>
        </w:rPr>
        <w:footnoteReference w:id="1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تكن 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والحنوط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وأما لو كانت مركباً ارتباطياً فلقاعدة الميسور</w:t>
      </w:r>
      <w:r>
        <w:rPr>
          <w:rFonts w:eastAsia="Amiri" w:cs="Amiri" w:ascii="Amiri" w:hAnsi="Amiri"/>
          <w:color w:val="111111"/>
          <w:sz w:val="28"/>
          <w:szCs w:val="28"/>
          <w:rtl w:val="true"/>
          <w:lang w:bidi="ar-SA"/>
        </w:rPr>
        <w:t>.</w:t>
      </w:r>
    </w:p>
    <w:p>
      <w:pPr>
        <w:pStyle w:val="BookText"/>
        <w:rPr/>
      </w:pP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يمكن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أمكن فلقاعدة الميسور</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 وأما صب التيزاب ونحوه فلقاعدة الأهم والمهم، ولو تداخلت الأجزاء ولم يعرف الرجل من المرأة والمسلم من الكافر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الزلازل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أن يصب على الجميع ثلاث مياه للغسل ثم لف الجميع</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في ثلاثة أكفان ثم الدفن؛ لأنه هو الممكن حسب الفرض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ثبوتها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هنالك استثناءات كالصوم مثلاً، وقد خرجت بالدليل؛ وذلك لا يقدح في كلّيّة القاعدة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ربط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يمكن أن يكون الجزاء جاز أن يتولى المباشرة كلّ من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اشتباه المسلم بالكافر يرجح جانب المسلم، فيغسل الجميع، لما ذكر في شروح العروة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التغسيل</w:t>
      </w:r>
      <w:r>
        <w:rPr>
          <w:rFonts w:eastAsia="Amiri" w:cs="Amiri" w:ascii="Amiri" w:hAnsi="Amiri"/>
          <w:color w:val="111111"/>
          <w:sz w:val="28"/>
          <w:szCs w:val="28"/>
          <w:rtl w:val="true"/>
          <w:lang w:bidi="ar-SA"/>
        </w:rPr>
        <w:t>)</w:t>
      </w:r>
      <w:r>
        <w:rPr>
          <w:rStyle w:val="FootnoteAnchor"/>
          <w:rtl w:val="true"/>
        </w:rPr>
        <w:footnoteReference w:id="1938"/>
      </w:r>
      <w:r>
        <w:rPr>
          <w:rFonts w:ascii="Amiri" w:hAnsi="Amiri" w:eastAsia="Amiri" w:cs="Amiri"/>
          <w:color w:val="111111"/>
          <w:sz w:val="28"/>
          <w:sz w:val="28"/>
          <w:szCs w:val="28"/>
          <w:rtl w:val="true"/>
          <w:lang w:bidi="ar-SA"/>
        </w:rPr>
        <w:t>فهنا يصح الاستدلال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هو الممكن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لف كلّ عضو بثلاث قطع، أو بما يجب منها، فهل يجب؟</w:t>
      </w:r>
    </w:p>
    <w:p>
      <w:pPr>
        <w:pStyle w:val="BookText"/>
        <w:rPr/>
      </w:pPr>
      <w:r>
        <w:rPr>
          <w:rFonts w:ascii="Amiri" w:hAnsi="Amiri" w:eastAsia="Amiri" w:cs="Amiri"/>
          <w:color w:val="111111"/>
          <w:sz w:val="28"/>
          <w:sz w:val="28"/>
          <w:szCs w:val="28"/>
          <w:rtl w:val="true"/>
          <w:lang w:bidi="ar-SA"/>
        </w:rPr>
        <w:t>لعله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 المطلوب التكفين، أما وحدة المكفن فلا دليل عليه؛ ولذا يجوز تكفين ميتين بكفن واحد، كالصلاة عليهما معاً،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الارتكاز،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لزوم التعدد يلزم لف كلّ قطعة علم أنها لميت منفصل في كفن مستقل، وأمّا المشكوك فالبراءة من لزوم التعدد جارية، فتأمل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bookmarkStart w:id="1183" w:name="pg15697_169283"/>
    </w:p>
    <w:p>
      <w:pPr>
        <w:pStyle w:val="Heading2"/>
        <w:numPr>
          <w:ilvl w:val="1"/>
          <w:numId w:val="1"/>
        </w:numPr>
        <w:rPr/>
      </w:pPr>
      <w:bookmarkStart w:id="1184" w:name="__RefHeading___Toc11915876_2142443653"/>
      <w:bookmarkStart w:id="1185" w:name="_Toc425"/>
      <w:bookmarkEnd w:id="1183"/>
      <w:bookmarkEnd w:id="1184"/>
      <w:r>
        <w:rPr>
          <w:rtl w:val="true"/>
        </w:rPr>
        <w:t>تجارة الحروب</w:t>
      </w:r>
      <w:bookmarkEnd w:id="118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939"/>
      </w:r>
      <w:r>
        <w:rPr>
          <w:rFonts w:ascii="Amiri" w:hAnsi="Amiri" w:eastAsia="Amiri" w:cs="Amiri"/>
          <w:color w:val="111111"/>
          <w:sz w:val="28"/>
          <w:sz w:val="28"/>
          <w:szCs w:val="28"/>
          <w:rtl w:val="true"/>
          <w:lang w:bidi="ar-SA"/>
        </w:rPr>
        <w:t xml:space="preserve"> تجارة الحرب، بمعنى أن يتآمر صاحب الأسلحة أو صاحب المصلحة السياسية أو الاقتصادية أو ما أشبههما لتقع فتنة أو حرب في بلد، ليستفيد هو من بيع سلاحه، أو ينفذ سياسته، أو يروج بضاعته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الحرب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الموجبة لمختلف المحرمات من القتل والجرح وهدم البيوت وتلف الأموال وغير ذلك من أشد المحرمات فلا يجوز الإتيان بمقدمتها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كلا الطرفين كافراً حربياً جاز إشعال الحرب بينهما، كما يجوز شن الحرب على كلّ منهما 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إعانة على الإثم، بناءً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علم من الشارع أنه مبغوض قطعاً، وأنه لا يريد وقوعه في الخارج، ولأدلة بيع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راجعها ولاحظها في المكاسب</w:t>
      </w:r>
      <w:r>
        <w:rPr>
          <w:rFonts w:eastAsia="Amiri" w:cs="Amiri" w:ascii="Amiri" w:hAnsi="Amiri"/>
          <w:color w:val="111111"/>
          <w:sz w:val="28"/>
          <w:szCs w:val="28"/>
          <w:rtl w:val="true"/>
          <w:lang w:bidi="ar-SA"/>
        </w:rPr>
        <w:t>)</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الحرام ليست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بواسطة الفاعل المختار، وقد يجاب بأنه حرام علم من الشارع حرمة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التسبيب إليه 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مسلم بشطر كلمة</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المشاركة في القتل</w:t>
      </w:r>
      <w:r>
        <w:rPr>
          <w:rFonts w:eastAsia="Amiri" w:cs="Amiri" w:ascii="Amiri" w:hAnsi="Amiri"/>
          <w:color w:val="111111"/>
          <w:sz w:val="28"/>
          <w:szCs w:val="28"/>
          <w:rtl w:val="true"/>
          <w:lang w:bidi="ar-SA"/>
        </w:rPr>
        <w:t>»</w:t>
      </w:r>
      <w:r>
        <w:rPr>
          <w:rStyle w:val="FootnoteAnchor"/>
          <w:rtl w:val="true"/>
        </w:rPr>
        <w:footnoteReference w:id="1943"/>
      </w:r>
      <w:r>
        <w:rPr>
          <w:rFonts w:ascii="Amiri" w:hAnsi="Amiri" w:eastAsia="Amiri" w:cs="Amiri"/>
          <w:color w:val="111111"/>
          <w:sz w:val="28"/>
          <w:sz w:val="28"/>
          <w:szCs w:val="28"/>
          <w:rtl w:val="true"/>
          <w:lang w:bidi="ar-SA"/>
        </w:rPr>
        <w:t>، ولما سبق في الحاشية السابقة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bookmarkStart w:id="1186" w:name="pg15697_169286"/>
    </w:p>
    <w:p>
      <w:pPr>
        <w:pStyle w:val="Heading2"/>
        <w:numPr>
          <w:ilvl w:val="1"/>
          <w:numId w:val="1"/>
        </w:numPr>
        <w:rPr/>
      </w:pPr>
      <w:bookmarkStart w:id="1187" w:name="__RefHeading___Toc11915878_2142443653"/>
      <w:bookmarkStart w:id="1188" w:name="_Toc426"/>
      <w:bookmarkEnd w:id="1186"/>
      <w:bookmarkEnd w:id="1187"/>
      <w:r>
        <w:rPr>
          <w:rtl w:val="true"/>
        </w:rPr>
        <w:t>فهرست المحتويات</w:t>
      </w:r>
      <w:bookmarkEnd w:id="1188"/>
    </w:p>
    <w:p>
      <w:pPr>
        <w:pStyle w:val="BookText"/>
        <w:rPr/>
      </w:pPr>
      <w:r>
        <w:rPr>
          <w:rFonts w:ascii="IRNazanin" w:hAnsi="IRNazanin" w:eastAsia="IRNazanin"/>
          <w:color w:val="111111"/>
          <w:sz w:val="28"/>
          <w:sz w:val="28"/>
          <w:szCs w:val="28"/>
          <w:rtl w:val="true"/>
          <w:lang w:bidi="fa-IR"/>
        </w:rPr>
        <w:t>النزح بالماطور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الإدخال بغلاف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الإنسان الآلي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طلوع الشمس 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مجيء الليل 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الانتفاع بالقمر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الاعتراف بالمسجلة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أذان المسجلة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قراءة القرآن بالمسجلة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الألعاب الأولمبية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العقود والإيقاعات عبر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شهادة التصوير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المصلي في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قلع الرحم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ولادة غير الإنسان من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ترفيع السلالات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منع المريض عن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الأحكام في قالب القانون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تصوير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المعلبات المستوردة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الألعاب السويدية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أول الشهر في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السفر إلى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الأحكام الشرعية في الكواكب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بيع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بيع غير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أخبار الأرواح</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كلب الإجرام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تعليم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مصادرة الحريات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التعذيب لأخذ الاعتراف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القتل بالكهرباء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الانتحار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رصاصة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استكشاف السرائر والمحارم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الاستعلام من الأرواح</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أصوات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الجرائم والموازين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المصارعة والملاكمة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الاسبرتو</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المعدة الاصطناعية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القحف المطاطي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وصل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ولادة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تبديل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قلع الرحم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إنسان وحيوان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حيوان وإنسان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تركيب الإنسان بالحيوان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تكبير الجسم وتصغيره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الطبيب وعملية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اليد الزائدة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قراءة الصحف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الصلاة في الطائرة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موت السمك في الغواصة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المكياج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علاج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النظر في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النظر إلى روح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إيجاد السكر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الأشعة المؤذية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تحول الرجل إلى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آية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الذهب والحرير الاصطناعي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إعادة البكارة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تقليل مدة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تطويل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المعيار وزن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القبر المكشوف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تحنيط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اضمحلال الميت بالدواء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إحراق الميتة وقاية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الإتلاف في الوباء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العمال العاطلون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التكتّل والتحزب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المهاترات الإعلامية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الخنافس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تقصير المرأة شعرها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تزويج الجن والروح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مزاوجة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الأشعة القاتلة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ردّ الاعتداء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المعقمات لا تطهّر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إضرار الآخرين مادياًً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النفس الاصطناعي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العملية الجراحية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حفظ الصحة بالعملية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إزالة البكارة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السينماءات المفزعة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الإنسان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تبديد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الحيوانات القليلة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تلحيم العظام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الآثار القديمة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حضور متاحف الفراعنة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إيقاف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الأمراض المعدية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تلحيم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تشويه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تركيب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ما يسبب الاحتلام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الزكاة في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السباحة الطويلة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أقسام المسابقات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إثارة النعرات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حقن الإبر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حقن الإبر المنشطة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الامتيازات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الحيوان بين حيوانين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تحديد الأسعار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الانتصار على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شهر العسل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المريض المضطر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الذبح في المحقنة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حلق ما عدا الذقن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أقسام الحلق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لحية الكوسج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لحية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تعليب الذبائح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وضع الميت في الثلاجة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حبوب الذكاء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الفائض من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تضرر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فقد 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العلامة على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الوقوف في المشاعر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الطواف أبعد من المطاف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الطواف فوق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حبس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الهستيريا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الفصول العشائرية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صبغ الأظافر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المشتبه بالجلد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السفر إلى الفضاء</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حركة القمر ليست سفراً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حركة القمر الصناعي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بيع الكمبيالة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اللبن المزرّق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اللبن والمنفذ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الحروب الجرثومية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تترس الكافر بالمسلم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العمل الفدائي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الانتصار بالاغتيال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الحروب الباردة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الإنارة بالقمر الصناعي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التعليم الإجباري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الخدمة العسكرية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النهار الدائم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المجهود الحربي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سيرة المسلم شعباًً وحكومة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تبديل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التبرع بالدم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اليانصيب الخيري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المساهمة الخيرية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مؤسسات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وقف الوسائل 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الصوم والتنفس الاصطناعي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الجنس المطاطي في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الجنس المطاطي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الجنس المطاطي في سائر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الجنس المطاطي والغسل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نقل المني عبر اللُّعبة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ولد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تزريق دم نجس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تزريق الدم الطاهر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سحب دم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تصنيع المناخ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تبديل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قراءة الأفكار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الإيذاء بالوسائل العصرية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الإيذاء السحري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الألعاب السحرية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البيوت النظيفة للطلاب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الإحاطة بالمبادئ والأفكار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حينما يصير الشيخ شاباًً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إذا انقلب الشاب شيخاً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عودة اليائسة شابّة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تحول الشابة إلى يائسة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تزويج المومسات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اتخاذ الخليلات والأخلاء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رسائل المغازلة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المرأة والخضوع بالقول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مناديل الغرام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المؤسسات الخيرية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تعليم ذوي العاهات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العلاج بالعلوم النفسية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العلاج بالتنويم والإيحاء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تنظيم الإضراب والمظاهرات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تغيير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تعليم الرقص للحيوانات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النظر بشهوة إلى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التذاذ الحيوان بالإنسان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تقوية السمع والبصر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تلبيس الجسد الآلي بالروح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تبديل الأرواح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إخراج الأرواح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إخراج روح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تشويه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المتاحف واستعراض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تبييض جسم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تغيير ألوان البشرة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إخراج جنين الزانية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رمز الجندي المجهول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تصوير الوقائع التاريخية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استخدام الأرواح للاستخبار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كشف الأسرار بالروح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تسجيل الألفاظ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تسجيل الوعظ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كلام الأرواح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الطلاق بواسطة الأرواح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كتابة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تسميد الأجساد المحترقة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تشجير المقابر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الخيانة بنقل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الماء والتراب الاصطناعيان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أجهزة تصوير الحوادث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الولد بين المجنونين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رؤية الهلال بالمجهر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العقل الألكتروني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تبديل العضو التناسلي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الخلايا الاصطناعية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خلق المخلوقات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الأمر بالمعروف والنهي عن المنكر بالوسائل النفسية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استخدام العقول الإلكترونية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الاغتراب للدراسة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الزواج من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الدفاع عن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الزواج بدون عقد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أولاد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التبليغ بالوسائل 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الأمر والنهي بالوسائل 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ذب الشبهات عن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التلقيح لتكثير النتاج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السحاب الصناعي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الترجمة بالآلات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الزلازل غير الطبيعية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إحداث 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أجواء البلاد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عصارة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النجاسات وعصارتها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تزريق المواد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الاستمناء لأجل الاختبار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الفحص الطبي للمعالجات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تنويم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التنويم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حلق شعر جسد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الأرواح والتعلم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الصور اللاسلكية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الغبن في الأسعار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النهي بواسطة الغش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الاعتماد على آلة 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الإسراف في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الإسراف في الكهرباء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الانتحار البطيء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بين التعذيب والانتحار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النطفة الكيماوية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النطفة في رحم اليائسة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نقل النطفة من رحم إلى رحم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اختلاط النطفة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خلط نطفتين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مس العظم الصناعي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توأمان متلاصقان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جسدان على حقو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ذو العورتين المتشابهتين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ذو العورتين المختلفتين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الانتفاع بإحدى العورتين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الانتفاع بكلتا العورتين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الزراعة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انعدام فلس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إحداث الفلس للسمك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السمكة الآكلة والمأكولة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الصفيف والدفيف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التغيير في نسل الطائر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الصناديق الخيرية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استبدال موضوع الطير والسمك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تطعيم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أنواع الموسيقى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المسابقات الجوية والبرية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البيوت والمدن البحرية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الاستيطان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تحنيط الأموات بالتزريق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تحنيط الموتى بالتشريح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إحراق الكفار أمواتهم في بلاد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تصفية السكر بالعظم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الحيوان المركّب من حيوانين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استحالة الجزء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إخصاب نطفة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المتولد بين حيوانين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نزو الحيوانات فيما بينها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تركيب نطفة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حكم الحيوان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الطيران بالأجنحة والبالون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تكوين أجنحة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تعليم الإجرام للحيوانات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تعليم الإجرام للأطفال والمجانين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دفع المنكر بالحيوان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المعاملات بواسطة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المعاملات الآلية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السرقة في المعاملات الآلية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أجرة جهاز 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الوزن بالاحتيال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ثمن التذاكر في الألعاب الرياضية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أجرة الحضور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مشاهدة المهرجانات من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تنمية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الإمناء بالأدوية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الأدوية المنمية وعدم الإدراك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إرجاع البالغ طفلاًً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تعريض الحيوان للأبحاث الطبية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تكبير وتصغير الغلات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الخمس في المعادن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الخمس في معادن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الخمس في المعادن الاصطناعية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تنمية الأنعام والزكاة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قبض الروح بالوسائل النفسية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قتل الحيوانات بالمواد السامة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إطعام اللحوم المحرمة للحيوان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استخدام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رش المواد السامة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عندما ينتشر الوباء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إبكاء الغير وإضحاكه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المظاهرات والمسيرات الشعبية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المظاهرات والدولة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سرقة الماء والكهرباء من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تجارب الأسلحة النووية والهيدروجينية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تسريع العمر بالدواء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التصرف في عمر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الاضطرار إلى حلق اللحية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الاحتيال للإنقاذ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التسلل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صور النساء في الجوازات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الجنود وكيفية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كيفية الصلاة للطلاب المهاجرين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كيفية الصلاة للتجار والموظفين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الحملدار وكيفية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المبلغون وكيفية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حكم الصيام للفئات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لا جمارك ولا تهريب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لا حدود جغرافية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حرية الحيازة والتحجير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الضرائب الإسلامية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جواز التمثيل على المسرح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المعاهدات العسكرية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الاتفاقيات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متى يجب العمل الفدائي؟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التزوير في التخفيضات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ما بعد التزوير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الجندي والحروب غير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الجندي وحقوق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الرقابة على المطبوعات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أجهزة الإعلام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تبديل القرآن إلى غير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تبديل الأذان والصلوات والأدعية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مقررات الأمم المتحدة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المسلم لا يكون أجنبياً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تبعيد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حجز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حدّ السجن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التعذيب بالوسائل القديمة والحديثة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الغرامة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من حقوق الإنسان المحجوز</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الحقوق الأخرى للمحجوز</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المحجوز إذا فاتته منافعه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حجز الأموال والعقار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إجارة العقار للمحجوز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التقاص في مسألة الحجز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ضمان الساجن خسائر المسجون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الغرامة والتقاص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من حق المعذَّب ظلماًً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الفقراء والدولة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أصحاب الديون والدولة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الاستهلال بالطائرة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وقف الإنسان الحر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يقوم مقام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النذر في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وقف الإنسان دمه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الوقف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الصلح والهبة على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تشخيص الدائن والمديون بالأرواح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ديون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العقد والإيقاع عبر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التعاون مع الأمن والاستخبارات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حفظ أخطاء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رفع التقارير ضد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تجهيز الميت بالآلات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آلات تجهيز الميت ومباشرها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صيد الحيوانات بالآلات 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الوقف في الكواكب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المسجد الفضائي للرواد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المسجد الفضائي المتحرك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المسجد الفضائي وأحكام أجزائه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الأسبقية ومباحات الفضاء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مساجد البحار والمحيطات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الأوقاف لاكتشاف الفضاء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الغنى والثروة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التفوق الاقتصادي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صلاة الرواد والغواصين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الاعتكاف في مساجد الفضاء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حرية الجمعيات والتكتلات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الحريات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كبت الحريات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تقييد الحريات موقت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الاستراحة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الإضرابات الجائزة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عندما يبدل مخ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تبديل معلومات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إنسان واحد يتقمص إنسانين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التبعيد والتسفير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القوانين الإسلامية لا تقبل التغيير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لا امتياز للاعتبارات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المقاطعات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الصندوق الخيري لقرض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الأخبار الموجبة لهيبة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استثناءات المسألة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الرواتب الشهرية والغنائم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الاستشارية أو البرلمانية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التحيز إلى إحدى الفئتين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وجوب إطفاء الحريق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أجور إطفاء الحرائق</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إعانة منكوبي الكوارث الطبيعية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حكم الميت عند تلاشي جسده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تجارة الحروب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فهرست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يخفى أنّ حجية الظواهر مما تسالم عليه العقلاء في محاوراتهم، واستقر بناؤهم على العمل بها في جميع أمورهم، وحيث إنّ الشارع لم يخترع في محاوراته طريقاً خاصاً، بل كان يتكلم بلسان قومه فهي ممضاة عنده أيضاً، وهذا واضح ولم نعثر على مخالف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ينبغي الشك في أنَّ الظن بالخلاف غير قادح في حجية الظواهر، فضلاً عن عدم الظن بالوفاق، لأنّ المرجع في حجية الظواهر هو بناء العقلاء على ما تقدمت الإشارة إليه، ونرى أنّ العقلاء لا يعذرون العبد المخالف لظاهر كلام المولى، إذا اعتذر عن المخالفة بعدم الظن بالوفاق، أو بحصول الظن بالخلاف، وهذا ظاهر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يخفى أنّ حجية الظواهر مما تسالم عليه العقلاء في محاوراتهم، واستقر بناؤهم على العمل بها في جميع أمورهم، وحيث إنّ الشارع لم يخترع في محاوراته طريقاً خاصاً، بل كان يتكلم بلسان قومه فهي ممضاة عنده أيضاً، وهذا واضح ولم نعثر على مخالف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ينبغي الشك في أنَّ الظن بالخلاف غير قادح في حجية الظواهر، فضلاً عن عدم الظن بالوفاق، لأنّ المرجع في حجية الظواهر هو بناء العقلاء على ما تقدمت الإشارة إليه، ونرى أنّ العقلاء لا يعذرون العبد المخالف لظاهر كلام المولى، إذا اعتذر عن المخالفة بعدم الظن بالوفاق، أو بحصول الظن بالخلاف، وهذا ظاهر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يخفى أنّ حجية الظواهر مما تسالم عليه العقلاء في محاوراتهم، واستقر بناؤهم على العمل بها في جميع أمورهم، وحيث إنّ الشارع لم يخترع في محاوراته طريقاً خاصاً، بل كان يتكلم بلسان قومه فهي ممضاة عنده أيضاً، وهذا واضح ولم نعثر على مخالف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ينبغي الشك في أنَّ الظن بالخلاف غير قادح في حجية الظواهر، فضلاً عن عدم الظن بالوفاق، لأنّ المرجع في حجية الظواهر هو بناء العقلاء على ما تقدمت الإشارة إليه، ونرى أنّ العقلاء لا يعذرون العبد المخالف لظاهر كلام المولى، إذا اعتذر عن المخالفة بعدم الظن بالوفاق، أو بحصول الظن بالخلاف، وهذا ظاهر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وقد تقدم قبل قليل، فراجع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الكر بحسب الوزن ألف ومائتا رطل بالعراقي، وبالمساحة ثلاثة وأربعون شبراً إلا ثمن شبر، فبالمن الشاهي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ألف ومائتان وثمانون مثقالاً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أربعة وستين منّاً إلا عشرين مثقالاً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وقد تقدم قبل قليل، فراجع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وقد تقدم قبل قليل، فراجع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الكر بحسب الوزن ألف ومائتا رطل بالعراقي، وبالمساحة ثلاثة وأربعون شبراً إلا ثمن شبر، فبالمن الشاهي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ألف ومائتان وثمانون مثقالاً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أربعة وستين منّاً إلا عشرين مثقالاً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الكر بحسب الوزن ألف ومائتا رطل بالعراقي، وبالمساحة ثلاثة وأربعون شبراً إلا ثمن شبر، فبالمن الشاهي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ألف ومائتان وثمانون مثقالاً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أربعة وستين منّاً إلا عشرين مثقالاً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الفقه،كتاب البيع،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الحديث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خيمته على حدود الحرم عند الحج، حيث نصفها خارج الحرم ونصفها داخل الحرم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أن بعض الموضوعات الخارجية المتوسطة بين المستصحب وبين الحكم الشرعي، من الوسائط الخفية، بحيث يعد في العرف الأحكام الشرعية المترتبة عليها أحكاماً لنفس المستصحب، وهذا المعنى يختلف وضوحاً وخفاءَ باختلاف مراتب خفاء الوسائط عن أنظار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استصحب رطوبة النجس من المتلاقيين مع جفاف الآخر، فإنه لا يبعد الحكم بنجاسته، مع أن تنجسه ليس من أحكام ملاقاته للنجس رطباً، بل من أحكام سراية رطوبة النجاسة إليه وتأثره بها، بحيث يوجد في الثوب رطوبة متنجسة، ومن المعلوم أن استصحاب رطوبة النجس الراجع إلى بقاء جزء مائي قابل للتأثير لا يثبت تأثر الثوب وتنجسه بها، فهو أشبه مثال بمسألة بقاء الماء في الحوض، المثبت لانغسال الثوب 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الإدخال بغلاف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الشمس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إذا باع عينه حتى توضع عوض عين عمياء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للسيد الخوئي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حيث علق على فتوى السيد اليزدي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لطخ رأسه بما يمنع من وصول الماء إليه ثم رمسه في الماء فالأحوط، بل الأقوى بطلان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أدخل رأسه في إناء كالشيشة ونحوها ورمس الإناء في الماء فالظاهر عدم البطلان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ونحوه ما لو شد رأسه بما يمنع من وصول الماء إلى البشرة كالنايلون المتداول في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لا ينبغي التأمل في البطلان لصدق الرمس والغمس كما هو الحال في ساير أعضاء الجسد، فلو شد يده أو لطخ رجله فأدخلها الماء صدق أنه غمس يده أو رجله، ولا يقاس ذلك بباب الأغسال المعتبر فيها وصول الماء إلى البشرة، فإن ذلك إنما هو من باب دخله في مفهوم الغسل، وأما في المقام فالاعتبار بصدق الارتماس الذي لا يفرق فيه بين المماسة مع البشرة وعدمها بمقتضى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فرضنا أن الحاجب منفصل عن البشرة، كما لو أدخل رأسه في الحب وغمس أو دخل جوف وعاء كالغواصين فإنه لا يصدق عليه أنه ارتمس أو غمس رأسه في الماء نظير ما لو أدخل يده في إناء في الماء، فإنه لا يصدق عليه أنه غمس يده في الماء ، إذا فيفرق بين صورتي الاتصال والانفصال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للسيد الخوئي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حيث علق على فتوى السيد اليزدي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لطخ رأسه بما يمنع من وصول الماء إليه ثم رمسه في الماء فالأحوط، بل الأقوى بطلان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أدخل رأسه في إناء كالشيشة ونحوها ورمس الإناء في الماء فالظاهر عدم البطلان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ونحوه ما لو شد رأسه بما يمنع من وصول الماء إلى البشرة كالنايلون المتداول في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لا ينبغي التأمل في البطلان لصدق الرمس والغمس كما هو الحال في ساير أعضاء الجسد، فلو شد يده أو لطخ رجله فأدخلها الماء صدق أنه غمس يده أو رجله، ولا يقاس ذلك بباب الأغسال المعتبر فيها وصول الماء إلى البشرة، فإن ذلك إنما هو من باب دخله في مفهوم الغسل، وأما في المقام فالاعتبار بصدق الارتماس الذي لا يفرق فيه بين المماسة مع البشرة وعدمها بمقتضى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فرضنا أن الحاجب منفصل عن البشرة، كما لو أدخل رأسه في الحب وغمس أو دخل جوف وعاء كالغواصين فإنه لا يصدق عليه أنه ارتمس أو غمس رأسه في الماء نظير ما لو أدخل يده في إناء في الماء، فإنه لا يصدق عليه أنه غمس يده في الماء ، إذا فيفرق بين صورتي الاتصال والانفصال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للسيد الخوئي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حيث علق على فتوى السيد اليزدي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لطخ رأسه بما يمنع من وصول الماء إليه ثم رمسه في الماء فالأحوط، بل الأقوى بطلان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أدخل رأسه في إناء كالشيشة ونحوها ورمس الإناء في الماء فالظاهر عدم البطلان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ونحوه ما لو شد رأسه بما يمنع من وصول الماء إلى البشرة كالنايلون المتداول في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لا ينبغي التأمل في البطلان لصدق الرمس والغمس كما هو الحال في ساير أعضاء الجسد، فلو شد يده أو لطخ رجله فأدخلها الماء صدق أنه غمس يده أو رجله، ولا يقاس ذلك بباب الأغسال المعتبر فيها وصول الماء إلى البشرة، فإن ذلك إنما هو من باب دخله في مفهوم الغسل، وأما في المقام فالاعتبار بصدق الارتماس الذي لا يفرق فيه بين المماسة مع البشرة وعدمها بمقتضى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فرضنا أن الحاجب منفصل عن البشرة، كما لو أدخل رأسه في الحب وغمس أو دخل جوف وعاء كالغواصين فإنه لا يصدق عليه أنه ارتمس أو غمس رأسه في الماء نظير ما لو أدخل يده في إناء في الماء، فإنه لا يصدق عليه أنه غمس يده في الماء ، إذا فيفرق بين صورتي الاتصال والانفصال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عبد الهادي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العظمى السيد عبد الهادي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تجد لسنتنا تحويلاً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فجرت هذه السنة في رد الشمس على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الأمة، رد اللّه عليه الشمس مرتين، مرة في أيام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ومرة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في أيامه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فروي عن أسماء بنت عميس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نائم ذات يوم ورأسه في حجر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ففاتته العصر حتى غابت الشمس،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علياً كان في طاعتك وطاعة رسولك، فاردد عليه الشمس، قالت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فرأيتها واللّه غربت ثم طلعت بعد ما غربت، ولم يبق جبل ولا أرض طلعت عليه حتى قام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فتوضأ وصلى ثم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جويرية بن مسهر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أقبلنا مع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الخوارج حتى إذا قطعنا في أرض بابل، حضرت صلاة العصر فنزل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الناس،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أيها الناس، إنّ هذه أرض ملعونة قد عذبت في الدهر ثلاث مرات، وفي خبر آخر مرتين، وهي تتوقع الثالثة، وهي إحدى المؤتفكات، وهي أول أرض عبد فيها وثن، وإنه لا يحل لنبي ولا لوصي نبي أن يصلي فيها، فمَنْ أراد منكم أن يصلي فليصل، فمال الناس عن جنبي الطريق يصلون، وركب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قال جويرية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لأتبعن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ولأقلدنه صلاتي اليوم، فمضيت خلفه فواللّه ما جزنا جسر سوراء حتى غابت الشمس فشككت، فالتفت إلي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جويرية أشككت؟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أمير المؤمنين، فنزل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ناحية فتوضأ ثم قام، فنطق بكلام لا أحسنه إلا كأنه بالعبراني، ثم نادى الصلاة فنظرت واللّه إلى الشمس قد خرجت من بين جبلين لها صرير، فصلى العصر وصليت معه، فلما فرغنا من صلاتنا عاد الليل كما كان، فالتفت إلي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جويرية بن مسهر،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 باسم ربك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سألت اللّه عز وجل باسمه العظيم فرد علي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 جويرية لما رأى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وصي النبي ورب الكعبة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تجد لسنتنا تحويلاً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فجرت هذه السنة في رد الشمس على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الأمة، رد اللّه عليه الشمس مرتين، مرة في أيام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ومرة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في أيامه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فروي عن أسماء بنت عميس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نائم ذات يوم ورأسه في حجر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ففاتته العصر حتى غابت الشمس،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علياً كان في طاعتك وطاعة رسولك، فاردد عليه الشمس، قالت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فرأيتها واللّه غربت ثم طلعت بعد ما غربت، ولم يبق جبل ولا أرض طلعت عليه حتى قام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فتوضأ وصلى ثم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جويرية بن مسهر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أقبلنا مع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الخوارج حتى إذا قطعنا في أرض بابل، حضرت صلاة العصر فنزل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الناس،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أيها الناس، إنّ هذه أرض ملعونة قد عذبت في الدهر ثلاث مرات، وفي خبر آخر مرتين، وهي تتوقع الثالثة، وهي إحدى المؤتفكات، وهي أول أرض عبد فيها وثن، وإنه لا يحل لنبي ولا لوصي نبي أن يصلي فيها، فمَنْ أراد منكم أن يصلي فليصل، فمال الناس عن جنبي الطريق يصلون، وركب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قال جويرية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لأتبعن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ولأقلدنه صلاتي اليوم، فمضيت خلفه فواللّه ما جزنا جسر سوراء حتى غابت الشمس فشككت، فالتفت إلي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جويرية أشككت؟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أمير المؤمنين، فنزل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ناحية فتوضأ ثم قام، فنطق بكلام لا أحسنه إلا كأنه بالعبراني، ثم نادى الصلاة فنظرت واللّه إلى الشمس قد خرجت من بين جبلين لها صرير، فصلى العصر وصليت معه، فلما فرغنا من صلاتنا عاد الليل كما كان، فالتفت إلي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جويرية بن مسهر،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 باسم ربك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سألت اللّه عز وجل باسمه العظيم فرد علي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 جويرية لما رأى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وصي النبي ورب الكعبة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تجد لسنتنا تحويلاً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فجرت هذه السنة في رد الشمس على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الأمة، رد اللّه عليه الشمس مرتين، مرة في أيام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ومرة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في أيامه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فروي عن أسماء بنت عميس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نائم ذات يوم ورأسه في حجر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ففاتته العصر حتى غابت الشمس،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علياً كان في طاعتك وطاعة رسولك، فاردد عليه الشمس، قالت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فرأيتها واللّه غربت ثم طلعت بعد ما غربت، ولم يبق جبل ولا أرض طلعت عليه حتى قام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فتوضأ وصلى ثم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جويرية بن مسهر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أقبلنا مع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الخوارج حتى إذا قطعنا في أرض بابل، حضرت صلاة العصر فنزل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الناس،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أيها الناس، إنّ هذه أرض ملعونة قد عذبت في الدهر ثلاث مرات، وفي خبر آخر مرتين، وهي تتوقع الثالثة، وهي إحدى المؤتفكات، وهي أول أرض عبد فيها وثن، وإنه لا يحل لنبي ولا لوصي نبي أن يصلي فيها، فمَنْ أراد منكم أن يصلي فليصل، فمال الناس عن جنبي الطريق يصلون، وركب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قال جويرية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لأتبعن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ولأقلدنه صلاتي اليوم، فمضيت خلفه فواللّه ما جزنا جسر سوراء حتى غابت الشمس فشككت، فالتفت إلي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جويرية أشككت؟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أمير المؤمنين، فنزل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ناحية فتوضأ ثم قام، فنطق بكلام لا أحسنه إلا كأنه بالعبراني، ثم نادى الصلاة فنظرت واللّه إلى الشمس قد خرجت من بين جبلين لها صرير، فصلى العصر وصليت معه، فلما فرغنا من صلاتنا عاد الليل كما كان، فالتفت إلي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جويرية بن مسهر،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 باسم ربك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سألت اللّه عز وجل باسمه العظيم فرد علي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 جويرية لما رأى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وصي النبي ورب الكعبة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مطلق حتى يرد فيه نهي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مطلق حتى يرد فيه نهي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مطلق حتى يرد فيه نهي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مطلق حتى يرد فيه نهي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حلال لك أبداً، حتى أن تعرف الحرام منه بعينه فتدعه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الأصل في الأفعال غير الضرورية قبل الشرع هو الحظر بحكم العقل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عادي الأرض لله ولرسوله، ثم هي لكم مني، فمن أحيا مواتا فهي 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العلم منوطاً بالثريا لتناوله رجال من فارس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المعلى بن خنيس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لكم من هذه الأرض؟ فتبسم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بعث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وأمره أن يفرق بإبهامه ثمانية أنهار في الأرض، منها سيحان وجيحان، وهو نهر بلخ، والخشوع وطق نهو الشاش ومهران، وهو نهر الهند، ونيل مصر ودجلة والفرات، فما سقت أو استقت فهو لنا، وما كان لنا فهو لشيعتنا، وليس لعدونا منه شيء إلاّ ما غصب عليه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في أحكام الخمس والأراضي الموات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إقرار العقلاء على أنفسهم جائز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إقرار العقلاء على أنفسهم جائز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المبسوط</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ترافع إلى القاضي خصمان فادعى أحدهما على صاحبه حقا فأنكر، وعلم الحاكم صدق ما يدعيه المدعي،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كان عليه دين يعلمه الحاكم أو قصاص ونحو ذلك، فهل له أن يقضي بعلمه أم لا؟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يقضي بعلمه، 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أن يحكم بعلمه، وفيه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أنه يقضي بعلمه في الجرح والتعديل، بدليل أنه لو علم الجرح وشهدوا عنده ترك الشهادة وعمل بعلمه، ولأنه لو لم يقض بعلمه أفضى إلى إيقاف الأحكام أو فسق الحكام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المبسوط</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ترافع إلى القاضي خصمان فادعى أحدهما على صاحبه حقا فأنكر، وعلم الحاكم صدق ما يدعيه المدعي،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كان عليه دين يعلمه الحاكم أو قصاص ونحو ذلك، فهل له أن يقضي بعلمه أم لا؟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يقضي بعلمه، 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أن يحكم بعلمه، وفيه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أنه يقضي بعلمه في الجرح والتعديل، بدليل أنه لو علم الجرح وشهدوا عنده ترك الشهادة وعمل بعلمه، ولأنه لو لم يقض بعلمه أفضى إلى إيقاف الأحكام أو فسق الحكام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المسألة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نسيت صلاة أو صليتها بغير وضوء وكان عليك قضاء صلوات، فابدأ بأولهن فأذن لها وأقم، ثم صلها ثم صلّ ما بعدها بإقامة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نسيت صلاة أو صليتها بغير وضوء وكان عليك قضاء صلوات، فابدأ بأولهن فأذن لها وأقم، ثم صلها ثم صلّ ما بعدها بإقامة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جميلة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كان في وصية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 القرآن هدى النهار، ونور الليل المظلم على ما كان من جهد وفاقة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القداح،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البيت الذي يقرأ فيه القرآن ويذكر اللّه عز وجل فيه تكثر بركته، وتحضره الملائكة، وتهجره الشياطين، ويضيئ لأهل السماء كما تضيئ الكواكب لأهل الأرض، وإن البيت الذي لا يقرأ فيه القرآن ولا يذكر اللّه عز وجل فيه تقل بركته، وتهجره الملائكة، وتحضره الشياطين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اللعب الذي يوجب الضرر المتزايد الذي منع عنه الشارع، مثل المصارعة أو الملاكمة الموجبة لفقأ العين، أو صلم الإذن أو القتل أو ما أشبه، كما يتعارف في هذا الزمان، حيث إنّه محرم في نفسه؛ لإيجاده الضرر ونحوه، محرم المسابقة فيه أيضاً، وذلك خارج عن محل البحث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الألعاب السويدية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اللعب الذي يوجب الضرر المتزايد الذي منع عنه الشارع، مثل المصارعة أو الملاكمة الموجبة لفقأ العين، أو صلم الإذن أو القتل أو ما أشبه، كما يتعارف في هذا الزمان، حيث إنّه محرم في نفسه؛ لإيجاده الضرر ونحوه، محرم المسابقة فيه أيضاً، وذلك خارج عن محل البحث</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الألعاب السويدية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الألعاب السويدية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فقهية مستفادة من الروايات،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ادرؤوا الحدود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ادرؤوا الحدود بالشبهات، ولا شفاعة ولا كفالة ولا يمين في حد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فقهية مستفادة من الروايات،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ادرؤوا الحدود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ادرؤوا الحدود بالشبهات، ولا شفاعة ولا كفالة ولا يمين في حد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 الشيخ في الخلاف على ما ذكره بإجماع الفرقة، وبما رواه عن علي بن محمد، عن إسحاق بن محمد، عن عبد السلام،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في الذي تدركه الصلاة وهو فوق الكعبة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قام لم يكن له قبلة، ولكن يستلقي على قفاه ويفتح عينيه إلى السماء، ويعقد بقلبه القبلة التي في السماء البيت المعمور ويقرأ، فإذا أراد أن يركع غمض عينيه، وإذا أراد أو يرفع رأسه من الركوع فتح عينيه، والسجود على نحو ذلك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فقهية مستفادة من الروايات،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ادرؤوا الحدود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ادرؤوا الحدود بالشبهات، ولا شفاعة ولا كفالة ولا يمين في حد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 الشيخ في الخلاف على ما ذكره بإجماع الفرقة، وبما رواه عن علي بن محمد، عن إسحاق بن محمد، عن عبد السلام،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في الذي تدركه الصلاة وهو فوق الكعبة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قام لم يكن له قبلة، ولكن يستلقي على قفاه ويفتح عينيه إلى السماء، ويعقد بقلبه القبلة التي في السماء البيت المعمور ويقرأ، فإذا أراد أن يركع غمض عينيه، وإذا أراد أو يرفع رأسه من الركوع فتح عينيه، والسجود على نحو ذلك</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 الشيخ في الخلاف على ما ذكره بإجماع الفرقة، وبما رواه عن علي بن محمد، عن إسحاق بن محمد، عن عبد السلام،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في الذي تدركه الصلاة وهو فوق الكعبة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قام لم يكن له قبلة، ولكن يستلقي على قفاه ويفتح عينيه إلى السماء، ويعقد بقلبه القبلة التي في السماء البيت المعمور ويقرأ، فإذا أراد أن يركع غمض عينيه، وإذا أراد أو يرفع رأسه من الركوع فتح عينيه، والسجود على نحو ذلك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منية الطالب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على الكشف النوعي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راجع إلى التعبد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رضى، بمنزلة العلة للجزاء، إما راجع إلى علة الجعل، أو المجعول والحكم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كان علة للحكم فهي موضوع الحكم، وليس من أول الأمر عاماً حتى يكون تخصيصه بالفرد النادر مستهجناً، وأما لو كان علة للتشريع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الوطء في دبر المرأة كالوطء في قبلها في وجوب الغسل والعدة، واستقرار المهر، وبطلان الصوم، وثبوت حد الزنا إذا كانت أجنبية، وثبوت مهر المثل إذا وطأها شبهة، وكون المناط فيه دخول الحشفة أو مقدارها، وفي حرمة البنت والأم وغير ذلك من أحكام المصاهرة المعلقة على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كفايته في حصول تحليل المطلقة ثلاثاً إشكال، كما أن في كفاية الوطء في القبل فيه بدون الإنزال أيضا كذلك، لما ورد في الأخبار من اعتبار ذوق عسيلته وعسيلتها فيه، وكذا في كفايته في الوطء الواجب في أربعة أشهر، وكذا في كفايته في حصول الفئة والرجوع في الإيلاء أيضاً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منية الطالب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على الكشف النوعي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راجع إلى التعبد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رضى، بمنزلة العلة للجزاء، إما راجع إلى علة الجعل، أو المجعول والحكم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كان علة للحكم فهي موضوع الحكم، وليس من أول الأمر عاماً حتى يكون تخصيصه بالفرد النادر مستهجناً، وأما لو كان علة للتشريع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منية الطالب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على الكشف النوعي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راجع إلى التعبد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رضى، بمنزلة العلة للجزاء، إما راجع إلى علة الجعل، أو المجعول والحكم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كان علة للحكم فهي موضوع الحكم، وليس من أول الأمر عاماً حتى يكون تخصيصه بالفرد النادر مستهجناً، وأما لو كان علة للتشريع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الوطء في دبر المرأة كالوطء في قبلها في وجوب الغسل والعدة، واستقرار المهر، وبطلان الصوم، وثبوت حد الزنا إذا كانت أجنبية، وثبوت مهر المثل إذا وطأها شبهة، وكون المناط فيه دخول الحشفة أو مقدارها، وفي حرمة البنت والأم وغير ذلك من أحكام المصاهرة المعلقة على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كفايته في حصول تحليل المطلقة ثلاثاً إشكال، كما أن في كفاية الوطء في القبل فيه بدون الإنزال أيضا كذلك، لما ورد في الأخبار من اعتبار ذوق عسيلته وعسيلتها فيه، وكذا في كفايته في الوطء الواجب في أربعة أشهر، وكذا في كفايته في حصول الفئة والرجوع في الإيلاء أيضاً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الوطء في دبر المرأة كالوطء في قبلها في وجوب الغسل والعدة، واستقرار المهر، وبطلان الصوم، وثبوت حد الزنا إذا كانت أجنبية، وثبوت مهر المثل إذا وطأها شبهة، وكون المناط فيه دخول الحشفة أو مقدارها، وفي حرمة البنت والأم وغير ذلك من أحكام المصاهرة المعلقة على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كفايته في حصول تحليل المطلقة ثلاثاً إشكال، كما أن في كفاية الوطء في القبل فيه بدون الإنزال أيضا كذلك، لما ورد في الأخبار من اعتبار ذوق عسيلته وعسيلتها فيه، وكذا في كفايته في الوطء الواجب في أربعة أشهر، وكذا في كفايته في حصول الفئة والرجوع في الإيلاء أيضاً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ذكرنا يظهر أن معنى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تدور مدار الأسماء، أنّها تدور مدار أسماء موضوعاتها التي هي المعيار في وجودها وعدمها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ذكرنا يظهر أن معنى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تدور مدار الأسماء، أنّها تدور مدار أسماء موضوعاتها التي هي المعيار في وجودها وعدمها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وَلأُضِلَّنَّهُمْ وَلأُمَنِّيَنَّهُمْ وَلآمُرَنَّهُمْ فَلَيُبَتِّكُنَّ آذَانَ الأَنْعَامِ وَلآمُرَنَّهُمْ فَلَيُغَيِّرُنَّ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بل المجمع عليه بين الشيعة والسنة هو حرمة حلق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استدل عليها بوجوه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في التحدث عن قول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ولآمرنهم فليغيرن 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بدعوى أنَّ حلق اللحية من تغيير الخلقة، وكل ما يكون تغييراً لها فهو حرام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وَلأُضِلَّنَّهُمْ وَلأُمَنِّيَنَّهُمْ وَلآمُرَنَّهُمْ فَلَيُبَتِّكُنَّ آذَانَ الأَنْعَامِ وَلآمُرَنَّهُمْ فَلَيُغَيِّرُنَّ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بل المجمع عليه بين الشيعة والسنة هو حرمة حلق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استدل عليها بوجوه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 في التحدث عن قول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ولآمرنهم فليغيرن 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بدعوى أنَّ حلق اللحية من تغيير الخلقة، وكل ما يكون تغييراً لها فهو حرام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رأي السيد المعلق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أحكامه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رأي السيد المعلق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أحكامه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رأي السيد المعلق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أحكامه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الأمر بالمعروف</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دنانير مصبوبة بين يديه، فنظر إلى دينار فأخذه بيده ثم قطعه بنصفين،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ألقه في البالوعة حتى لا يباع شيء فيه غش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الأمر بالمعروف</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دنانير مصبوبة بين يديه، فنظر إلى دينار فأخذه بيده ثم قطعه بنصفين،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ألقه في البالوعة حتى لا يباع شيء فيه غش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من القواعد الفقهية، ويدل عليها الأدلة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أَنْ يَكُونَ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وقصّة خرق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قومك حديثو عهد بالإسلام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الأمر بالمعروف</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دنانير مصبوبة بين يديه، فنظر إلى دينار فأخذه بيده ثم قطعه بنصفين،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ألقه في البالوعة حتى لا يباع شيء فيه غش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حلال لك أبداً، حتى أن تعرف الحرام منه بعينه فتدعه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حلال لك أبداً، حتى أن تعرف الحرام منه بعينه فتدعه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الأموات،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وهنا يختلف باختلاف الموارد، فربما يتوقف العلم به على مجرد النظر وعدم إيجاد المانع عن فعلية الانكشاف مع حصول بقية مقدماته، وهذا كما في موارد احتمال طلوع الفجر لمَنْ كان على السطح بحيث لا يكون هناك مؤنة أُخرى في فعلية حصول الانكشاف، إلا مجرد النظر إلى الأفق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وهنا يختلف باختلاف الموارد، فربما يتوقف العلم به على مجرد النظر وعدم إيجاد المانع عن فعلية الانكشاف مع حصول بقية مقدماته، وهذا كما في موارد احتمال طلوع الفجر لمَنْ كان على السطح بحيث لا يكون هناك مؤنة أُخرى في فعلية حصول الانكشاف، إلا مجرد النظر إلى الأفق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النجاسات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النجاسات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السبق والرماية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الظاهر أنّ المسابقة في كل الأمور التي هي تنفع المحاربة، سواء كانت من الأمور المذكورة في الروايات أم غيرها، صحيحة وجائزة شرعاً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الألعاب الأولمبية،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السبق والرماية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الظاهر أنّ المسابقة في كل الأمور التي هي تنفع المحاربة، سواء كانت من الأمور المذكورة في الروايات أم غيرها، صحيحة وجائزة شرعاً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السبق والرماية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الظاهر أنّ المسابقة في كل الأمور التي هي تنفع المحاربة، سواء كانت من الأمور المذكورة في الروايات أم غيرها، صحيحة وجائزة شرعاً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الألعاب الأولمبية،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الألعاب الأولمبية،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السبق والرماية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الظاهر أنّ المسابقة في كل الأمور التي هي تنفع المحاربة، سواء كانت من الأمور المذكورة في الروايات أم غيرها، صحيحة وجائزة شرعاً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غسل الوجه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منابت الشعر في مقدم الرأس إلى طرف الذقن طولاً، وما اشتملت عليه الإبهام والوسطى عرضاً، وما خرج عن ذلك فليس من الوجه، ولا عبرة بالأنزع، ولا بالأغم، ولا بمن تجاوزت أصابعه العذار أو قصرت عنه، بل يرجع كل منهم إلى مستوى الخلقة، فيغسل ما يغسله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ليس في مقدم رأسه شعر، وأول منابت شعره في وسط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عكس الأنزع،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نزلت منابت الشعر إلى وسط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العظم المرتفع قليلاً بين العين والأذن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أريد بذلك أنه بعد انكشاف الواقع لا يجزي ما أتى به على طبق قطعه، فهو أيضاً حق في الجملة؛ لأنّ المكلف إن كان تكليفه حين العمل مجرد الواقع من دون مدخلية للاعتقاد، فالمأتي به المخالف للواقع لا يجزي عن الواقع، سواء القطاع وغيره، وإن كان للاعتقاد مدخل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أمر الشارع بالصلاة إلى ما يعتقد كونها 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قضية هذا كفاية القطع المتعارف، لا قطع القطاع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غسل الوجه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منابت الشعر في مقدم الرأس إلى طرف الذقن طولاً، وما اشتملت عليه الإبهام والوسطى عرضاً، وما خرج عن ذلك فليس من الوجه، ولا عبرة بالأنزع، ولا بالأغم، ولا بمن تجاوزت أصابعه العذار أو قصرت عنه، بل يرجع كل منهم إلى مستوى الخلقة، فيغسل ما يغسله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ليس في مقدم رأسه شعر، وأول منابت شعره في وسط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عكس الأنزع،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نزلت منابت الشعر إلى وسط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العظم المرتفع قليلاً بين العين والأذن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الصوم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يخفى أنّ المعيار في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 بالعين المجردة العادية في الآفاق المعتدلة ونحوها، فالرؤية بالآلة قبل خروجه عن تحت الشعاع، والرؤية بالعين الخارفة كذلك، والرؤِية في الآفاق الرحوية وما أشبه لا اعتبار بها؛ لأنَّ مصب النص والفتوى ما ذكرناه والاعتبار في بلد غير متعارف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الصوم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يخفى أنّ المعيار في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 بالعين المجردة العادية في الآفاق المعتدلة ونحوها، فالرؤية بالآلة قبل خروجه عن تحت الشعاع، والرؤية بالعين الخارفة كذلك، والرؤِية في الآفاق الرحوية وما أشبه لا اعتبار بها؛ لأنَّ مصب النص والفتوى ما ذكرناه والاعتبار في بلد غير متعارف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الصوم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يخفى أنّ المعيار في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 بالعين المجردة العادية في الآفاق المعتدلة ونحوها، فالرؤية بالآلة قبل خروجه عن تحت الشعاع، والرؤية بالعين الخارفة كذلك، والرؤِية في الآفاق الرحوية وما أشبه لا اعتبار بها؛ لأنَّ مصب النص والفتوى ما ذكرناه والاعتبار في بلد غير متعارف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جميع العوالم،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العبادي عبد الخالق، عمّن حدثه،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عز وجل اثني عشر ألف عالم، كل عالم منهم أكبر من سبع سماوات وسبع أرضين، ما يرى عالم منهم أن اللّه عز وجل عالماً غيرهم، وإني الحجة عليهم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التبرع بالدم،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الناس مسلطون على أموالهم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التبرع بالدم،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التبرع بالدم،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 مع المسائل الحديثة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باع إنسان عضواً من بدنه كعينه أو قلبه أو كليته ليفصل عن بدنه بعد موته، ويزرع في بدن شخص آخر، فلا يبعد جوازه، وخاصة إذا كان موجباً لإحياء نفس محترمة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الإجرام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الجرائم والموازين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ويؤيده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وبينه لمن اشتراه ليستصبح به، فإنّه ظاهر في أنَّ المشتري يجب إعلامه ممن يتأثر بالإعلام، وينحصر أمره بعد الإعلام بالاستصباح وليس ذلك إلا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يستفاد حرمة إعطاء الطعام النجس إلى الأطفال في الجملة من روايات الأمر بالإراقة على ما يأتي إن شاء اللّه تعالى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 والمحرمات</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إتلاف مادة الفساد، وقطع مادة الفساد،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ويؤيده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وبينه لمن اشتراه ليستصبح به، فإنّه ظاهر في أنَّ المشتري يجب إعلامه ممن يتأثر بالإعلام، وينحصر أمره بعد الإعلام بالاستصباح وليس ذلك إلا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يستفاد حرمة إعطاء الطعام النجس إلى الأطفال في الجملة من روايات الأمر بالإراقة على ما يأتي إن شاء اللّه تعالى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تلحيم الأعضاء،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يُشَاقِقِ الرَّسُولَ مِن بَعْدِ مَا تَبَيَّنَ لَهُ الْهُدَى وَيَتَّبِعْ غَيْرَ سَبِيلِ الْمُؤْمِنِينَ نُوَلِّهِ مَا تَوَلَّى وَنُصْلِهِ جَهَنَّمَ وَسَاءتْ مَصِيراً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يُشَاقِقِ الرَّسُولَ مِن بَعْدِ مَا تَبَيَّنَ لَهُ الْهُدَى وَيَتَّبِعْ غَيْرَ سَبِيلِ الْمُؤْمِنِينَ نُوَلِّهِ مَا تَوَلَّى وَنُصْلِهِ جَهَنَّمَ وَسَاءتْ مَصِيراً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 العشر من أموال الناس بالباطل ليخرج العامل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فقهية معروفة،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القواعد الفقهية، قاعدة التسلط</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 العشر من أموال الناس بالباطل ليخرج العامل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يُشَاقِقِ الرَّسُولَ مِن بَعْدِ مَا تَبَيَّنَ لَهُ الْهُدَى وَيَتَّبِعْ غَيْرَ سَبِيلِ الْمُؤْمِنِينَ نُوَلِّهِ مَا تَوَلَّى وَنُصْلِهِ جَهَنَّمَ وَسَاءتْ مَصِيراً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 العشر من أموال الناس بالباطل ليخرج العامل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مخرمة بن بكير،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نافعاً مولى ابن 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بن أبي بكر بن أبي قحافة يحدث عبد اللّه بن عمر، عن عائشة زوج النبي صلى اللّه عليه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لولا أن قومك حديثو عهد بجاهلية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بكفر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لأنفقت كنز الكعبة في سبيل اللّه، ولجعلت بابها بالأرض، ولأدخلت فيها من الحجر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مخرمة بن بكير،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نافعاً مولى ابن 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بن أبي بكر بن أبي قحافة يحدث عبد اللّه بن عمر، عن عائشة زوج النبي صلى اللّه عليه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لولا أن قومك حديثو عهد بجاهلية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بكفر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لأنفقت كنز الكعبة في سبيل اللّه، ولجعلت بابها بالأرض، ولأدخلت فيها من الحجر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مخرمة بن بكير،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نافعاً مولى ابن 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بن أبي بكر بن أبي قحافة يحدث عبد اللّه بن عمر، عن عائشة زوج النبي صلى اللّه عليه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لولا أن قومك حديثو عهد بجاهلية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بكفر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لأنفقت كنز الكعبة في سبيل اللّه، ولجعلت بابها بالأرض، ولأدخلت فيها من الحجر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إصفهان، وكان يُجري الحدّ بنفسه على من ثبتت إدانته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رصاصة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رصاصة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إذاعة سر المؤمن مما يسبب ضرراً عليه أو لا يريد هو ذلك، وإن لم يسبب الضرر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في حال التخلي، بل في سائر الأحوال ستر العورة عن الناظر المحترم، سواء كان من المحارم أم لا، رجلاً كان أو امرأة، حتى عن المجنون والطفل المميز، كما أنه يحرم على الناظر أيضاً النظر إلى عورة الغير ولو كان مجنوناً أو طفلا مميزاً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 الطهارة، السيد الخوئي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 الإلزام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قاعدة مشهورة دلّ عليها النص والإجماع، بل ربما العقل أيضاً، حيث إن مقتضى عدم إلزام الناس بالإسلام يلازم تقريرهم على أحكامهم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إذاعة سر المؤمن مما يسبب ضرراً عليه أو لا يريد هو ذلك، وإن لم يسبب الضرر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إذاعة سر المؤمن مما يسبب ضرراً عليه أو لا يريد هو ذلك، وإن لم يسبب الضرر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في حال التخلي، بل في سائر الأحوال ستر العورة عن الناظر المحترم، سواء كان من المحارم أم لا، رجلاً كان أو امرأة، حتى عن المجنون والطفل المميز، كما أنه يحرم على الناظر أيضاً النظر إلى عورة الغير ولو كان مجنوناً أو طفلا مميزاً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 الطهارة، السيد الخوئي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في حال التخلي، بل في سائر الأحوال ستر العورة عن الناظر المحترم، سواء كان من المحارم أم لا، رجلاً كان أو امرأة، حتى عن المجنون والطفل المميز، كما أنه يحرم على الناظر أيضاً النظر إلى عورة الغير ولو كان مجنوناً أو طفلا مميزاً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 الطهارة، السيد الخوئي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 الإلزام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قاعدة مشهورة دلّ عليها النص والإجماع، بل ربما العقل أيضاً، حيث إن مقتضى عدم إلزام الناس بالإسلام يلازم تقريرهم على أحكامهم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 الإلزام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قاعدة مشهورة دلّ عليها النص والإجماع، بل ربما العقل أيضاً، حيث إن مقتضى عدم إلزام الناس بالإسلام يلازم تقريرهم على أحكامهم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حلال لك أبداً حتى أن تعرف الحرام منه بعينه فتدعه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حلال لك أبداً حتى أن تعرف الحرام منه بعينه فتدعه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حلال لك أبداً حتى أن تعرف الحرام منه بعينه فتدعه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حلال لك أبداً حتى أن تعرف الحرام منه بعينه فتدعه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حرمته ميتاً كحرمته وهو حي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حلال لك أبداً حتى أن تعرف الحرام منه بعينه فتدعه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حرمته ميتاً كحرمته وهو حي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حرمته ميتاً كحرمته وهو حي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حلال لك أبداً حتى أن تعرف الحرام منه بعينه فتدعه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الإجرام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سليمان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 حتى يجيئك شاهدان يشهدان عندك أنَّ فيه ميتة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سليمان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 حتى يجيئك شاهدان يشهدان عندك أنَّ فيه ميتة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السينماءات المفزعة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سليمان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 حتى يجيئك شاهدان يشهدان عندك أنَّ فيه ميتة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سليمان ،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 حتى يجيئك شاهدان يشهدان عندك أنَّ فيه ميتة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السينماءات المفزعة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ذكرنا في بعض مباحث الكتاب أنّ الإضرار إنّما يحرم بالنسبة إلى النفس فيما إذا كان إضراراً متزايداً، أما إذا لم يكن إضراراً متزايداً لم يكن حراماً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باب أن كل شيء طاهر حتى يعلم ورود النجاسة عليه،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أصاب ثوبي دم رعاف أو غيره أو شيء من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ظننت أنه قد أصابه ولم أتيقن ذلك فنظرت فلم أر شيئاً ثم صليت فرأيت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تغسله، ولا تعيد الصلاة،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 كنت على يقين من طهارتك ثم شككت فليس ينبغي لك أن تنقض اليقين بالشك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علي إن شككت في أنه أصابه شيء أن أنظر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ولكنك إنما تريد أن تذهب الشك الذي وقع في نفسك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ذكرنا في بعض مباحث الكتاب أنّ الإضرار إنّما يحرم بالنسبة إلى النفس فيما إذا كان إضراراً متزايداً، أما إذا لم يكن إضراراً متزايداً لم يكن حراماً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باب أن كل شيء طاهر حتى يعلم ورود النجاسة عليه،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أصاب ثوبي دم رعاف أو غيره أو شيء من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ظننت أنه قد أصابه ولم أتيقن ذلك فنظرت فلم أر شيئاً ثم صليت فرأيت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تغسله، ولا تعيد الصلاة،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 كنت على يقين من طهارتك ثم شككت فليس ينبغي لك أن تنقض اليقين بالشك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علي إن شككت في أنه أصابه شيء أن أنظر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ولكنك إنما تريد أن تذهب الشك الذي وقع في نفسك</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رجحان الشعائر الحسينية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ذكرنا في بعض مباحث الكتاب أنّ الإضرار إنّما يحرم بالنسبة إلى النفس فيما إذا كان إضراراً متزايداً، أما إذا لم يكن إضراراً متزايداً لم يكن حراماً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المعلوم أن النداوة غير المسرية لا تسمى بالرطوبة، ولو شك في أصل الرطوبة أو كونها مسرية فالأصل الطهارة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المعلوم أن النداوة غير المسرية لا تسمى بالرطوبة، ولو شك في أصل الرطوبة أو كونها مسرية فالأصل الطهارة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ينقض الوضوء إلا البول والريح والنوم، والغائط والجنابة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واللبن والمنفذ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الأعضاء الصناعية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الأعضاء الصناعية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الأعضاء الصناعية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فيه حلال وحرام فهو لك حلال أبداً حتى تعرف الحرام منه بعينه فتدعه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الإسكاف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القرامل التي تضعها النساء في رؤوسهن يصلنه بشعورهن،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على المرأة بما تزينت به 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بلغنا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الواصلة والموصولة،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هنالك، إنّما 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الواصلة التي تزني في شبابها، فلما كبرت قادت النساء إلى الرجال فتلك الواصلة والموصولة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 بل المجمع عليه بين الشيعة والسنة هو حرمة حلق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استدل عليها بوجوه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تعالى في التحدث عن قول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ولآمرنهم فليغيرن 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بدعوى أنّ حلق اللحية من تغيير الخلقة، وكل ما يكون تغييراً لها فهو حرام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الاستصحاب يعتبر فيه وحدة القضية المتيقنة والقضية المشكوكة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المراد من وحدة القضية المتيقنة والقضية المشكوكة هو بقاء الموضوع في الخارج، وإلا لم يجرِ الاستصحاب فيما إذا كان الشك في بقاء نفس الوجود، كحياة زيد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من وحدة القضيتين كون الموضوع فيهما واحداً، بحيث لو ثبت الحكم في الآن الثاني لعده العرف بقاء للحكم الأول لا حكماً جديداً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 مع المسائل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زرع جزء من نجس العين كالكلب الكافر في جسد مسلم يطهر به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الاستصحاب يعتبر فيه وحدة القضية المتيقنة والقضية المشكوكة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المراد من وحدة القضية المتيقنة والقضية المشكوكة هو بقاء الموضوع في الخارج، وإلا لم يجرِ الاستصحاب فيما إذا كان الشك في بقاء نفس الوجود، كحياة زيد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من وحدة القضيتين كون الموضوع فيهما واحداً، بحيث لو ثبت الحكم في الآن الثاني لعده العرف بقاء للحكم الأول لا حكماً جديداً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الاستصحاب يعتبر فيه وحدة القضية المتيقنة والقضية المشكوكة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المراد من وحدة القضية المتيقنة والقضية المشكوكة هو بقاء الموضوع في الخارج، وإلا لم يجرِ الاستصحاب فيما إذا كان الشك في بقاء نفس الوجود، كحياة زيد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من وحدة القضيتين كون الموضوع فيهما واحداً، بحيث لو ثبت الحكم في الآن الثاني لعده العرف بقاء للحكم الأول لا حكماً جديداً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تبدل حقيقة الشيء وصورته النوعية إلى صورة أخرى، فإنها تطهر النجس، بل والمتنجس، كالعذرة تصير تراباً، والخشبة المتنجسة إذا صارت رماداً، والبول أو الماء المتنجس بخاراً، والكلب ملحاً، وهكذا كالنطفة تصير حيواناً، والطعام النجس جزءاً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تبدل الأوصاف وتفرق الأجزاء فلا اعتبار بهما، كالحنطة إذا صارت طحيناً أو عجيناً أو خبزاً، والحليب إذا صار جبناً، وفي صدق الاستحالة على صيرورة الخشب فحماً تأمل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تبدل حقيقة الشيء وصورته النوعية إلى صورة أخرى، فإنها تطهر النجس، بل والمتنجس، كالعذرة تصير تراباً، والخشبة المتنجسة إذا صارت رماداً، والبول أو الماء المتنجس بخاراً، والكلب ملحاً، وهكذا كالنطفة تصير حيواناً، والطعام النجس جزءاً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تبدل الأوصاف وتفرق الأجزاء فلا اعتبار بهما، كالحنطة إذا صارت طحيناً أو عجيناً أو خبزاً، والحليب إذا صار جبناً، وفي صدق الاستحالة على صيرورة الخشب فحماً تأمل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تبدل حقيقة الشيء وصورته النوعية إلى صورة أخرى، فإنها تطهر النجس، بل والمتنجس، كالعذرة تصير تراباً، والخشبة المتنجسة إذا صارت رماداً، والبول أو الماء المتنجس بخاراً، والكلب ملحاً، وهكذا كالنطفة تصير حيواناً، والطعام النجس جزءاً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تبدل الأوصاف وتفرق الأجزاء فلا اعتبار بهما، كالحنطة إذا صارت طحيناً أو عجيناً أو خبزاً، والحليب إذا صار جبناً، وفي صدق الاستحالة على صيرورة الخشب فحماً تأمل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تركها السيد المعلّق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يعلق عليها، ونحن نذكرها كما هي من كتاب المسائل المتجددة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اضطرت المرأة للدخول على الدكتور وأمنت على نفسها من الفتنة والريبة جاز لها الدخول وحدها في مقام العلاج، كما يجوز لها الذهاب للدكتور من دون بحث عن الدكتورة إذا كانت مضطرة لذلك من أجل العلاج</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وسأله عبد الرحمن بن سيابة عن السمك يصاد ثم يجعل في شي، ثم يعاد في الماء فيموت فيه،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تأكل لأنه مات في الذي فيه حياته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الحسن بن علي بن يقطين، عن أخيه الحسين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حججت مع أبي ومعي أخت لي، فلما قدمنا مكة حاضت فجزعت جزعاً شديداً خوفاً أن يفوتها الحج، فقال لي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يقرئك السلام ويقول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فتاة لي قد حججت بها وقد حاضت وجزعت جزعاً شديداً مخافة أن يفوتها الحج فما تأمرها؟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المسجد الحرام فوقفت بحذاه، فلما نظر إليَّ أشار إليَّ فأتيته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أبي يقرئك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وأديت إليه ما أمرني به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أبلغه السلام وقل له فليأمرها أن تأخذ قطنة بماء اللبن فلتستدخلها فإن الدم سينقطع عنها وتقضي مناسكها كلها،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إلى أبي فأديت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فأمرها بذلك ففعلته فانقطع عنها الدم وشهدت المناسك كلها، فلما أن ارتحلت من مكة بعد الحج وصارت في المحمل عاد إليها الدم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شرح نهج البلاغة، لابن ميثم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وجدت في بعض كتب أصحابنا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من أهل الشام أتى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زوجته،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أبي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بعد ذلك كلاماً نزهت عن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كنتم في دعواكم صادقين فحولني امرأة وحول امرأتي رجلاً، كالمستهزئ في كلامه، فغضب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ونظر إليه شزراً، وحرك شفتيه ودعا بما لم يفهم، ثم نظر إليهما، وأحد النظر، فرجع الشامي إلى نفسه وأطرق خجلاً، ووضع يده على وجهه، ثم ولى مسرعاً، وأقبلت امرأته،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صرت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وذهبا حينا من الزمان، ثم عادا إليه وقد ولد لهما مولود، وتضرعا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تائبين ومعتذرين مما فرطا فيه، وطلبا منه انقلابهما إلى حالتهما الأولى، فأجابهما إلى ذلك، ورفع يده،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كانا صادقين في توبتيهما فتب عليهما، وحولهما إلى ما كانا عليه، فرجعا إلى ذلك لا شك فيه ولا شبهة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حرمته ميتا كحرمته وهو حي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الإتلاف في 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اضمحلال الميت بالدواء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الإتلاف في الوباء في هذه الصفحة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اضمحلال الميت بالدواء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الإتلاف في الوباء في هذه الصفحة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اضمحلال الميت بالدواء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اضمحلال الميت بالدواء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الترتب، للسيد المعلّق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الإتلاف في الوباء في هذه الصفحة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اضمحلال الميت بالدواء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الولاية الثابتة لعدول المؤمنين ليست إلا على وجه الجواز أو الوجوب أو الندب التكليفي لا على وجه النيابة من حاكم الشرع، فضلاً عن كونه على وجه النصب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فمجرد وضع أحدهم يده على مال اليتيم لا يمنع الآخر عن تصرفاته، نظير الأب والجد حيث يجوز لكل منهما أن يتصرف فيما وضع الآخر يده عليه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والحاصل أنّ أصالة الاحترام من غير إناطة بالإسلام هي المعول عليها في كافة الأموال بالسيرة العقلائية، وحكومة العقل القاضي بقبح الظلم كما عرفت، إلا إذا ثبت إلغاؤه والإذن في التصرف فيه بدليل خاص، كما ثبت في الكافر الحربي بإذن من مالك الملوك الموجب لخروج ذلك عن عنوان الظلم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 من أتلف مال غيره فهو له ضامن، وهي بهذه الكيفية والخصوصية وإن لم تذكر في رواية خاصة، ولكنها قاعدة كلية متصيدة من الموارد الخاصة التي نقطع بعدم وجود الخصوصية لتلك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فتكون هذه القاعدة متبعة في كل مورد تمس بها الحاجة، والموارد التي أخذت منها هذه القاعدة هي الرهن والعارية والمضاربة والإجارة والوديعة، وغير ذلك من الموارد المناسبة لها، فإنه قد وردت فيها الأخبار الكثيرة الدالة على أنّ إتلاف مال الغير موجب للضمان، وقد استفاد منها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كلية، أعني بها قاعدة من أتلف مال غيره فهو له ضامن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 كتاب الأمر بالمعروف والنهي عن المنكر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خرج بالدليل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الحلال المخلوط بالحرام على وجه لا يتميز مع الجهل بصاحبه وبمقداره، فيحل بإخراج خمسه، ومصرفه مصرف سائر أقسام الخمس على الأقوى، وأما إن علم المقدار ولم يعلم المالك تصدق به عنه، والأحوط أن يكون بإذن المجتهد الجامع للشرائط، ولو انعكس بأن علم المالك وجهل المقدار تراضيا بالصلح ونحوه، وإن لم يرض المالك بالصلح ففي جواز الاكتفاء بالأقل أو وجوب إعطاء الأكثر وجهان، الأحوط الثاني، والأقوى الأول إذا كان المال في يده، وإن علم المالك والمقدار وجب دفعه إليه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الحلال المخلوط بالحرام على وجه لا يتميز مع الجهل بصاحبه وبمقداره، فيحل بإخراج خمسه، ومصرفه مصرف سائر أقسام الخمس على الأقوى، وأما إن علم المقدار ولم يعلم المالك تصدق به عنه، والأحوط أن يكون بإذن المجتهد الجامع للشرائط، ولو انعكس بأن علم المالك وجهل المقدار تراضيا بالصلح ونحوه، وإن لم يرض المالك بالصلح ففي جواز الاكتفاء بالأقل أو وجوب إعطاء الأكثر وجهان، الأحوط الثاني، والأقوى الأول إذا كان المال في يده، وإن علم المالك والمقدار وجب دفعه إليه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الحلال المخلوط بالحرام على وجه لا يتميز مع الجهل بصاحبه وبمقداره، فيحل بإخراج خمسه، ومصرفه مصرف سائر أقسام الخمس على الأقوى، وأما إن علم المقدار ولم يعلم المالك تصدق به عنه، والأحوط أن يكون بإذن المجتهد الجامع للشرائط، ولو انعكس بأن علم المالك وجهل المقدار تراضيا بالصلح ونحوه، وإن لم يرض المالك بالصلح ففي جواز الاكتفاء بالأقل أو وجوب إعطاء الأكثر وجهان، الأحوط الثاني، والأقوى الأول إذا كان المال في يده، وإن علم المالك والمقدار وجب دفعه إليه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 العلامة الحلي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يجوز أن يقتصر بالزكاة على صنف واحد، بل على شخص من صنف واحد وإن كثر المال، ولا يجب البسط على الأصناف،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أعلمهم أنّ عليهم صدقة تؤخذ من أغنيائهم فترد في فقرائهم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صنف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يستحب ذلك خصوصاً مع كثرة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 الناضرة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لا خلاف بين الأصحاب في عدم وجوب البسط على الأصناف، وأنه يجوز تخصيص جماعة من كل صنف أو صنف واحد، بل شخص واحد من بعض الأصناف ، قالوا نعم يستحب بسطها على الأصناف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 البسط على الأصناف، بل يجوز دفع تمامه إلى أحدهم، وكذا لا يجب استيعاب أفراد كل صنف، بل يجوز الاقتصار على واحد، ولو أراد البسط لا يجب التساوي بين الأصناف أو الأفراد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والزموا السواد الأعظم، فإنّ يد اللّه مع الجماعة، وإياكم والفرقة، فإنّ الشاذ من الناس للشيطان، كما أنّ الشاذ من الغنم للذئب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والزموا السواد الأعظم، فإنّ يد اللّه مع الجماعة، وإياكم والفرقة، فإنّ الشاذ من الناس للشيطان، كما أنّ الشاذ من الغنم للذئب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أوصيكما وجميع ولدي وأهلي ومَنْ بلغه كتابي بتقوى اللّه ونظم أمركم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والزموا السواد الأعظم، فإنّ يد اللّه مع الجماعة، وإياكم والفرقة، فإنّ الشاذ من الناس للشيطان، كما أنّ الشاذ من الغنم للذئب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أوصيكما وجميع ولدي وأهلي ومَنْ بلغه كتابي بتقوى اللّه ونظم أمركم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قد عرفت في المسألة السابقة مهمة الحزب وبعض خصوصياته، نبين هنا رأى الإسلام في الحزب، وهل أنّه جائز أو حرام؟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الحزب اذا كان مقدمة البرلمان الذي يحكم حسب الآراء والاهواء كان حراماً؛ وذلك لأنه مقدمة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يحرم الحزب اذا كان سبباً لقبض أزمّة السياسة في البلاد من دون الانضواء تحت لواء الفقيه العادل الجامع للشرائط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ويحرم ايضاً إذا كان الحزب سبباً لتسليط مَنْ لا ترضى به أكثرية الامة، ولو كان فقيهاً عادلاً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يعلم حرمة الحزب الواحد،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استئثار الحزب الواحد بالحكم، حيث إنّه يوجب الديكتاتورية المحرمة في الإسلام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قد عرفت في المسألة السابقة مهمة الحزب وبعض خصوصياته، نبين هنا رأى الإسلام في الحزب، وهل أنّه جائز أو حرام؟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الحزب اذا كان مقدمة البرلمان الذي يحكم حسب الآراء والاهواء كان حراماً؛ وذلك لأنه مقدمة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يحرم الحزب اذا كان سبباً لقبض أزمّة السياسة في البلاد من دون الانضواء تحت لواء الفقيه العادل الجامع للشرائط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ويحرم ايضاً إذا كان الحزب سبباً لتسليط مَنْ لا ترضى به أكثرية الامة، ولو كان فقيهاً عادلاً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يعلم حرمة الحزب الواحد،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استئثار الحزب الواحد بالحكم، حيث إنّه يوجب الديكتاتورية المحرمة في الإسلام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سرحان،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الحسنات، ويرفع لكم به الدرجات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والوقيعة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بالمباهتة إلزامهم بالحجج القاطعة وجعلهم متحيرين لا يحيرون جواباً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السابقة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سرحان،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الحسنات، ويرفع لكم به الدرجات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والوقيعة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بالمباهتة إلزامهم بالحجج القاطعة وجعلهم متحيرين لا يحيرون جواباً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السابقة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سرحان،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الحسنات، ويرفع لكم به الدرجات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والوقيعة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بالمباهتة إلزامهم بالحجج القاطعة وجعلهم متحيرين لا يحيرون جواباً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السابقة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لأعرابي سأله أن يوصيه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بتقوى اللّه، فإنْ امرؤ عيرك بشيء يعلمه فيك فلا تعيره بشيء تعلمه فيه، يكن وباله عليه وأجره لك</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لأعرابي سأله أن يوصيه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بتقوى اللّه، فإنْ امرؤ عيرك بشيء يعلمه فيك فلا تعيره بشيء تعلمه فيه، يكن وباله عليه وأجره لك</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لأعرابي سأله أن يوصيه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بتقوى اللّه، فإنْ امرؤ عيرك بشيء يعلمه فيك فلا تعيره بشيء تعلمه فيه، يكن وباله عليه وأجره لك</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الواجبات والمحرمات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الصلاة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هذه الأخبار الاختلاف في أنّ السنة في شعر الرأس هو الحلق أو التوفير، وبذلك أيضاً اختلفت كلمة الأصحاب، قال العلامة في المنتهى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اتخاذ الشعر يعني شعر الرأس أفضل من إزالته، ثم أورد حديثين على أثر ذلك، وهو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 الحسن من كسوة اللّه فأكرموه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ما قال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الحلق كان في الجاهلية عاراً عظيماً في العرب فلما جاء الإسلام وفرض الحج وصار سنة لم يجدوا بدا من فعله حين يحجون أو يعتمرون، ولكنه كان كبيراً عليهم في غيرهما، ولما رأى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منهم أمرهم بتربية الشعر لئلا يكونوا شعثاً ذوي قمل، ثم إن منهم من حلق ومنهم من ترك الشعر حتى آل الأمر إلى أن صار الحلق شعاراً للشيعة؛ لأنّ أئمتهم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محلقين أسوة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وخلافه شعاراً لمخالفيهم؛ لأنّ أئمتهم لحميتهم الجاهلية يعدونها مثلة لارتدادهم إلى ما كانوا عليه قبل الإسلام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السيد الخوئي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وردت في الهامش فقط، ولم يقل بتضعيفها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هذه الأخبار الاختلاف في أنّ السنة في شعر الرأس هو الحلق أو التوفير، وبذلك أيضاً اختلفت كلمة الأصحاب، قال العلامة في المنتهى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اتخاذ الشعر يعني شعر الرأس أفضل من إزالته، ثم أورد حديثين على أثر ذلك، وهو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 الحسن من كسوة اللّه فأكرموه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ما قال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الحلق كان في الجاهلية عاراً عظيماً في العرب فلما جاء الإسلام وفرض الحج وصار سنة لم يجدوا بدا من فعله حين يحجون أو يعتمرون، ولكنه كان كبيراً عليهم في غيرهما، ولما رأى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منهم أمرهم بتربية الشعر لئلا يكونوا شعثاً ذوي قمل، ثم إن منهم من حلق ومنهم من ترك الشعر حتى آل الأمر إلى أن صار الحلق شعاراً للشيعة؛ لأنّ أئمتهم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محلقين أسوة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وخلافه شعاراً لمخالفيهم؛ لأنّ أئمتهم لحميتهم الجاهلية يعدونها مثلة لارتدادهم إلى ما كانوا عليه قبل الإسلام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هذه الأخبار الاختلاف في أنّ السنة في شعر الرأس هو الحلق أو التوفير، وبذلك أيضاً اختلفت كلمة الأصحاب، قال العلامة في المنتهى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اتخاذ الشعر يعني شعر الرأس أفضل من إزالته، ثم أورد حديثين على أثر ذلك، وهو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 الحسن من كسوة اللّه فأكرموه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ما قال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الحلق كان في الجاهلية عاراً عظيماً في العرب فلما جاء الإسلام وفرض الحج وصار سنة لم يجدوا بدا من فعله حين يحجون أو يعتمرون، ولكنه كان كبيراً عليهم في غيرهما، ولما رأى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منهم أمرهم بتربية الشعر لئلا يكونوا شعثاً ذوي قمل، ثم إن منهم من حلق ومنهم من ترك الشعر حتى آل الأمر إلى أن صار الحلق شعاراً للشيعة؛ لأنّ أئمتهم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محلقين أسوة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وخلافه شعاراً لمخالفيهم؛ لأنّ أئمتهم لحميتهم الجاهلية يعدونها مثلة لارتدادهم إلى ما كانوا عليه قبل الإسلام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إذا كنت في 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غريباً فعاشر بآدابها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إذا كنت في 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غريباً فعاشر بآدابها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لبس لباس الشهرة بأن يلبس خلاف زيه من حيث جنس اللباس، أو من حيث لونه، أو من حيث وضعه وتفصيله وخياطته، كأن يلبس العالم لباس الجندي أو بالعكس مثلاً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إذا كنت في 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غريباً فعاشر بآدابها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فراجع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فراجع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فراجع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في حال التخلي، بل في سائر الأحوال ستر العورة عن الناظر المحترم، سواء كان من المحارم أم لا، رجلا كان أو امرأة، حتى عن المجنون والطفل المميز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في حال التخلي، بل في سائر الأحوال ستر العورة عن الناظر المحترم، سواء كان من المحارم أم لا، رجلا كان أو امرأة، حتى عن المجنون والطفل المميز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يجعل الإنسان نفسه مفعولاً للبهيمة رجلاً كان أو امرأة، وطأه الحيوان في قبلها أو دبرها، وحينئذٍ يكون عليه التعزير؛ لأن عدم حفظ الفرج عن غير الزوجة حرام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الصيد والذباحة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الصيد والذباحة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 الْحَرَامُ بِالشَّهْرِ الْحَرَامِ وَالْحُرُمَاتُ قِصَاصٌ فَمَنِ اعْتَدَى عَلَيْكُمْ فَاعْتَدُواْ عَلَيْهِ بِمِثْلِ مَا اعْتَدَى عَلَيْكُمْ وَاتَّقُواْ اللّهَ وَاعْلَمُواْ أَنَّ اللّهَ مَعَ الْمُتَّقِينَ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الصيد والذباحة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الصيد والذباحة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يبعد كون لفظ الأمر حقيقة في الوجوب، لانسباقه عنه عند إطلاقه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وتقسيمه إلى الإيجاب والاستحباب إنما يكون قرينة على إرادة المعنى الأعم منه في مقام تقسيمه، وصحة الاستعمال في معنى أعم من كونه على نحو الحقيقة،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وما في معناها حقيقة في الوجوب فقط بحسب اللغة على الأقوى وفاقا لجمهور الأصوليين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يبعد كون لفظ الأمر حقيقة في الوجوب، لانسباقه عنه عند إطلاقه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وتقسيمه إلى الإيجاب والاستحباب إنما يكون قرينة على إرادة المعنى الأعم منه في مقام تقسيمه، وصحة الاستعمال في معنى أعم من كونه على نحو الحقيقة،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وما في معناها حقيقة في الوجوب فقط بحسب اللغة على الأقوى وفاقا لجمهور الأصوليين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يبعد كون لفظ الأمر حقيقة في الوجوب، لانسباقه عنه عند إطلاقه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وتقسيمه إلى الإيجاب والاستحباب إنما يكون قرينة على إرادة المعنى الأعم منه في مقام تقسيمه، وصحة الاستعمال في معنى أعم من كونه على نحو الحقيقة،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وما في معناها حقيقة في الوجوب فقط بحسب اللغة على الأقوى وفاقا لجمهور الأصوليين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برضا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برضا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عدة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تهذيب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برضا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ذكرنا أن الفهم العرفي هو المحكم في الموضوعات وفي تطبيق الأحكام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ذكرنا أن الفهم العرفي هو المحكم في الموضوعات وفي تطبيق الأحكام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ذكرنا أن الفهم العرفي هو المحكم في الموضوعات وفي تطبيق الأحكام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الدماء والأموال والفروج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الدماء والأموال والفروج</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رصاصة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المصارعة والملاكمة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ولا إضرار في الإسلام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المصارعة والملاكمة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ولا إضرار في الإسلام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المصارعة والملاكمة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الديات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الديات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الأمر بالمعروف</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الديات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أصاب البغل كسر أو دبر أو غمز؟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قيمة ما بين الصحة والعيب يوم ترده عليه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هذه السنة كانت غزوة خالد بن الوليد بني جَذيمة، وكان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قد بعث السرايا بعد الفتح فيما حول مكة يدعون الناس إلى الإسلام ولم يأمرهم بقتال، وكان ممن بعث خالد بن الوليد بعثه داعياً ولم يبعثه مقاتلاً، فنزل على الغميصاء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من مياه جذيمة بن عامر بن عبد مناة بن كنانة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جَذيمة أصابت في الجاهلية عوف بن عبد عوف، أبا عبد الرحمن بن عوف والفاكه بن المغيرة عم خالد، كانا أقبلا تاجرين من اليمن فأخذت ما معهما وقتلتهما، فلما نزل خالد ذلك الماء أخذ بنو جذيمة السلاح، فقال لهم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ضعوا السلاح فإنّ الناس قد أسلموا، فوضعوا السلاح فأمر خالد بهم فكتفوا ثم عرضهم على السيف، فقتل منهم مَنْ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انتهى الخبر إلى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رفع يديه إلى السماء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أرسل علياً ومعه مال وأمره أنْ ينظر في أمرهم، فودي لهم الدماء والأموال حتى إنه ليدي ميلغة الكلب، وبقي معه من المال فضلة فقال لهم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بقي لكم مال أو دم لم يؤدَ؟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أعطيكم هذه البقية احتياطاً لرسول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ففعل، ثم رجع إلى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فأخبره،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وأحسنت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أصاب البغل كسر أو دبر أو غمز؟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قيمة ما بين الصحة والعيب يوم ترده عليه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أصاب البغل كسر أو دبر أو غمز؟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قيمة ما بين الصحة والعيب يوم ترده عليه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الاقتصاد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يجوز لجيل أو أجيال خاصة أن يستنفد ما في الكون من معادن، ويترك الأجيال الصاعدة بلا ضروريات، فكما لا يحق أن يستهلك أكثر من حقه بالنسبة إلى الجيل المعاصر له، كذلك لا يحق له أن يستهلك أكثر من حقه بالنسبة إلى الأجيال الآتية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الاقتصاد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يجوز لجيل أو أجيال خاصة أن يستنفد ما في الكون من معادن، ويترك الأجيال الصاعدة بلا ضروريات، فكما لا يحق أن يستهلك أكثر من حقه بالنسبة إلى الجيل المعاصر له، كذلك لا يحق له أن يستهلك أكثر من حقه بالنسبة إلى الأجيال الآتية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مقتضى ما تقدم من الروايات، بل والضرورة عند المتشرعة عدم جواز ترك الحيوان المعتد به حتى يموت جوعاً أو عطشاً، أو لأجل أمر غير ذلك، سواء كانت مملوكة أم لا، بل اللازم توفير الغذاء والماء والوقاية من الحر والبرد المميت 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مقتضى ما تقدم من الروايات، بل والضرورة عند المتشرعة عدم جواز ترك الحيوان المعتد به حتى يموت جوعاً أو عطشاً، أو لأجل أمر غير ذلك، سواء كانت مملوكة أم لا، بل اللازم توفير الغذاء والماء والوقاية من الحر والبرد المميت 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صالح،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قدم على رسول اللّه قوم من بني ضبة مرضى، فقال لهم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أقيموا عندي فإذا برئتم بعثتكم في سرية،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أخرجنا من المدينة فبعث بهم إلى إبل الصدقة يشربون من أبوالها ويأكلون من ألبانها، فلما برئوا واشتدوا قتلوا ثلاثة ممن كانوا في الإبل، فبلغ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إليهم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في واد قد تحيروا ليس يقدرون أن يخرجوا منه قريباً من أرض اليمن، فأسرهم وجاء بهم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فنزلت هذه الآية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جَزَاء الَّذِينَ يُحَارِبُونَ اللّهَ وَرَسُولَهُ وَيَسْعَوْنَ فِي الأَرْضِ فَسَاداً أَن يُقَتَّلُواْ أَوْ يُصَلَّبُواْ أَوْ تُقَطَّعَ أَيْدِيهِمْ وَأَرْجُلُهُم مِّنْ خِلافٍ أَوْ يُنفَوْاْ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فقطع أيديهم وأرجلهم من خلاف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قطع مادة الفساد وجوباً كفائياً، فإنّ ذلك من باب النهي عن المنكر ودفعه وكلاهما واجب كما ذكرناه في مورده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قطع مادة الفساد وجوباً كفائياً، فإنّ ذلك من باب النهي عن المنكر ودفعه وكلاهما واجب كما ذكرناه في مورده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قطع مادة الفساد وجوباً كفائياً، فإنّ ذلك من باب النهي عن المنكر ودفعه وكلاهما واجب كما ذكرناه في مورده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الجرائم والموازين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 اللّه وأبي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صلى قام على أصابع رجليه حتى تورمت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ونصوص الأخيار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هذه الأمة أعبد من فاطمة كانت تقوم حتى تورمت قدماها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السينماءات المفزعة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الجرائم والموازين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السينماءات المفزعة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الجرائم والموازين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لَكُمْ أَن تُؤْذُوا رَسُولَ اللَّهِ وَلَا أَن تَنكِحُوا أَزْوَاجَهُ مِن بَعْدِهِ أَبَداً إِنَّ ذَلِكُمْ كَانَ عِندَ اللَّهِ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تَكُونُوا كَالَّذِينَ آذَوْا مُوسَى فَبَرَّأَهُ اللَّهُ مِمَّا قَالُوا وَكَانَ عِندَ اللَّهِ وَجِيهاً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أحمد بن النضر، عن محمد بن مروان رفعه إليهم 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لكم أن تؤذوا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كالذين آذوا موسى فبرأه اللّه مما قالوا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السينماءات المفزعة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أسباط، عمن رواه،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أنعم اللّه على عبده بنعمة أحب أن يراها عليه؛ لأنه جميل يحب الجمال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القانون، لابن سينا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القانون، لابن سينا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عرفت حجية ظهور الكلام في تعيين المرام، فإن أحرز بالقطع وأنّ المفهوم منه جزماً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متفاهم أهل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فلا كلام، وإلا فإن كان لأجل احتمال وجود قرينة فلا خلاف في أنّ الأصل عدمها ، لكن الظاهر أنه معه يبنى على المعنى الذي لولاها كان اللفظ ظاهرا فيه ابتداء</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المحكم في أصول الفقه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عرفت حجية ظهور الكلام في تعيين المرام، فإن أحرز بالقطع وأنّ المفهوم منه جزماً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متفاهم أهل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فلا كلام، وإلا فإن كان لأجل احتمال وجود قرينة فلا خلاف في أنّ الأصل عدمها ، لكن الظاهر أنه معه يبنى على المعنى الذي لولاها كان اللفظ ظاهرا فيه ابتداء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بل المجمع عليه بين الشيعة والسنة هو حرمة حلق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استدل عليها بوجوه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تعالى في التحدث عن قول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ولآمرنهم فليغيرن 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بدعوى أنَّ حلق اللحية من تغيير الخلقة، وكل ما يكون تغييراً لها فهو حرام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بل المجمع عليه بين الشيعة والسنة هو حرمة حلق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استدل عليها بوجوه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تعالى في التحدث عن قول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ولآمرنهم فليغيرن 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بدعوى أنَّ حلق اللحية من تغيير الخلقة، وكل ما يكون تغييراً لها فهو حرام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بل المجمع عليه بين الشيعة والسنة هو حرمة حلق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استدل عليها بوجوه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تعالى في التحدث عن قول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ولآمرنهم فليغيرن 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بدعوى أنَّ حلق اللحية من تغيير الخلقة، وكل ما يكون تغييراً لها فهو حرام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تلحيم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تلحيم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الرافعي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التاثت عليه ناقته فرفع القضيب وأشار إليها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خوف القصاص لفعلت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الرافعي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التاثت عليه ناقته فرفع القضيب وأشار إليها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خوف القصاص لفعلت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فصل في النفقات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فصل في النفقات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إيذاء الحيوان بغير الطرق الواردة شرعاً في مثل ذبح الحيوان المحلل أو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إيذاء الحيوان في الحرم فهو حرام آكد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إيذاء الحيوان بغير الطرق الواردة شرعاً في مثل ذبح الحيوان المحلل أو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إيذاء الحيوان في الحرم فهو حرام آكد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تهييج الشهوة بالأجنبية ونحوها محرم شرعاً،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فَيَطْمَعَ الَّذي في قَلْبِهِ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مناطه شامل للمقام، ولا خصوصية في الآية لنساء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وإنما هن المخاطبات من باب المورد بقرينة سياق الآية، أما تهييجها بقراءة كتاب مثير أو ركوب فرس يوجبه أو تذكر كذلك، أو لمس لجسد نفسه إلى أمثالها فليس بمحرم؛ إذ لا دليل عليه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التشبيب بالغلام فهو محرم على كل حال، كما عن الشهيدين والمحقق الثاني وكاشف اللثام؛ لأنه فحش محض، فيشتمل على الإغراء بالقبيح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إطلاق الحكم نظراً، واللّه العالم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الزكاة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تجب الزكاة فيما عداهما من النقود، سواء كانت ورقية أم فلزية أم غيرهما؛ لأن الدليل إنّما دل على الزكاة فيها فقط، بل حصر الزكوي في التسعة في متواتر الروايات دال على عدم الزكاة في غيرهما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الزكاة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تجب الزكاة فيما عداهما من النقود، سواء كانت ورقية أم فلزية أم غيرهما؛ لأن الدليل إنّما دل على الزكاة فيها فقط، بل حصر الزكوي في التسعة في متواتر الروايات دال على عدم الزكاة في غيرهما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الزكاة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تجب الزكاة فيما عداهما من النقود، سواء كانت ورقية أم فلزية أم غيرهما؛ لأن الدليل إنّما دل على الزكاة فيها فقط، بل حصر الزكوي في التسعة في متواتر الروايات دال على عدم الزكاة في غيرهما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الصلاة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المسابقات في هذه الصفحة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الصلاة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المسابقات في هذه الصفحة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المسابقات في هذه الصفحة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الصوم</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اللازم بحكم العقل تحصيل غرض المولى مستقلاً من دون ملاحظة كونه سببا لسقوط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الصوم</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بن أسباط،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 اللّه عبداً قال خيراً فغنم، أو سكت على سوء فسلم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في بحار الأنوار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عمرت البلدان بحب الأوطان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بن أسباط،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 اللّه عبداً قال خيراً فغنم، أو سكت على سوء فسلم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في بحار الأنوار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عمرت البلدان بحب الأوطان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بن أسباط،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 اللّه عبداً قال خيراً فغنم، أو سكت على سوء فسلم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الصلاة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 العشر من أموال الناس بالباطل ليخرج العامل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في بحار الأنوار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عمرت البلدان بحب الأوطان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يستفاد من تضاعيف أحاديثنا المروية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استعمال صيغة الأمر في الندب كان شائعاً في عرفهم، بحيث صار من المجازات الراجحة المساوي احتمالها من اللفظ لاحتمال الحقيقة عند انتفاء المرجح الخارجي، فيشكل التعلق في إثبات وجوب أمر بمجرد ورود الأمر به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نهاية الدراية في شرح الكفاية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الصلاة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يستفاد من تضاعيف أحاديثنا المروية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استعمال صيغة الأمر في الندب كان شائعاً في عرفهم، بحيث صار من المجازات الراجحة المساوي احتمالها من اللفظ لاحتمال الحقيقة عند انتفاء المرجح الخارجي، فيشكل التعلق في إثبات وجوب أمر بمجرد ورود الأمر به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يستفاد من تضاعيف أحاديثنا المروية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استعمال صيغة الأمر في الندب كان شائعاً في عرفهم، بحيث صار من المجازات الراجحة المساوي احتمالها من اللفظ لاحتمال الحقيقة عند انتفاء المرجح الخارجي، فيشكل التعلق في إثبات وجوب أمر بمجرد ورود الأمر به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نهاية الدراية في شرح الكفاية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نهاية الدراية في شرح الكفاية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الصلاة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الصلاة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ويظهر من المحقق والشهيد الثانيين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شك في حيوان متولد من طاهر ونجس لا يتبعهما في الاسم وليس له مماثل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فيه الطهارة والحرمة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الوجه فيه أصالة عدم التذكية، فإنما يحسن مع الشك في قبول التذكية وعدم عموم يدل على جواز تذكية كل حيوان إلا ما خرج</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يؤكل من الصيد المقتول به إلاّ ما قتله السيف</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ومما تقدم يعرف حال ما إذا تترس الكفار بمن لا يجوز قتله من النساء والصبيان والمجانين والمسلمين ومن أشبههم، فإنه يجوز قتلهم مع توقف الفتح، ولا يجوز قتلهم إذا لم يتوقف الفتح، ولو قتل بدون التوقف ترتب عليه آثاره الشرعية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ومما تقدم يعرف حال ما إذا تترس الكفار بمن لا يجوز قتله من النساء والصبيان والمجانين والمسلمين ومن أشبههم، فإنه يجوز قتلهم مع توقف الفتح، ولا يجوز قتلهم إذا لم يتوقف الفتح، ولو قتل بدون التوقف ترتب عليه آثاره الشرعية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ومما تقدم يعرف حال ما إذا تترس الكفار بمن لا يجوز قتله من النساء والصبيان والمجانين والمسلمين ومن أشبههم، فإنه يجوز قتلهم مع توقف الفتح، ولا يجوز قتلهم إذا لم يتوقف الفتح، ولو قتل بدون التوقف ترتب عليه آثاره الشرعية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الجواز تكليفاً فلإطلاقات أدلة الأمر والنهي مع تلازمها عرفاً في كثير من الأحيان لهذه الأمور؛ ولذا نقول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عدم الضمان وضعاً فلأن أدلة الضمان محكومة بأدلة الأمر والنهي، حسب ما يراه العرف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الجواز تكليفاً فلإطلاقات أدلة الأمر والنهي مع تلازمها عرفاً في كثير من الأحيان لهذه الأمور؛ ولذا نقول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عدم الضمان وضعاً فلأن أدلة الضمان محكومة بأدلة الأمر والنهي، حسب ما يراه العرف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الجواز تكليفاً فلإطلاقات أدلة الأمر والنهي مع تلازمها عرفاً في كثير من الأحيان لهذه الأمور؛ ولذا نقول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عدم الضمان وضعاً فلأن أدلة الضمان محكومة بأدلة الأمر والنهي، حسب ما يراه العرف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الصلاة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الطهارة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الصيد والذباحة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الطهارة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في آخر السرائر، نقلاً من كتاب الجامع، لأحمد بن محمد بن أبي نصر البزنطي صاحب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وسألته عن الرجل هل يصلح له أن يأخذ من لحيته؟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عارضيه فلا بأس، وأما من مقدمها فلا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في آخر السرائر، نقلاً من كتاب الجامع، لأحمد بن محمد بن أبي نصر البزنطي صاحب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وسألته عن الرجل هل يصلح له أن يأخذ من لحيته؟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عارضيه فلا بأس، وأما من مقدمها فلا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في آخر السرائر، نقلاً من كتاب الجامع، لأحمد بن محمد بن أبي نصر البزنطي صاحب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وسألته عن الرجل هل يصلح له أن يأخذ من لحيته؟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عارضيه فلا بأس، وأما من مقدمها فلا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العمدة صحيحة البزنطي الدالة على حرمة حلق اللحية وأخذها ولو بالنتف ونحوه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العمدة صحيحة البزنطي الدالة على حرمة حلق اللحية وأخذها ولو بالنتف ونحوه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الأصول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الرواية ضعيفة السند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وتدل على ذلك أيضاً السيرة القطعية بين المتدينين المتصلة إلى زمان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فإنّهم ملتزمون بحفظ اللحية ويذمون حالقها، بل يعاملونه معاملة الفساق في الأمور التي تعتبر فيها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ما ذكرناه دعوى الإجماع عليه، كما في كلمات جملة من الأعلام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تلحيم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تلحيم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تلحيم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تلحيم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عن بعض أصحابنا يرفعه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نكون بمكة أو بالمدينة أو بالحائر أو في الموضع الذي جاء فيه الخير، فربما خرج الرجل يتوضأ فيجيء آخر فيصير مكانه،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موضع فهو أحق به في يومه وليلته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لكي يستوعب الحج عشرة ملايين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 البسط على الأصناف، بل يجوز دفع تمامه إلى أحدهم، وكذا لا يجب استيعاب أفراد كل صنف، بل يجوز الاقتصار على واحد، ولو أراد البسط لا يجب التساوي بين الأصناف أو الأفراد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للسيد الروحاني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اعتبر المشهور في الطواف أن يكون بين الكعبة ومقام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ويقدر هذا الفاصل بستة وعشرين ذراعاً ونصف ذراع، وبما أن حجر إسماعيل داخل في المطاف فمحل الطواف من الحجر لا يتجاوز ستة أذرع ونصف ذراع، ولكن الظاهر كفاية الطواف في الزائد على هذا المقدار أيضاً، ولا سيما لمن لا يقدر على الطواف في الحد المذكور أو أنه حرج عليه، ورعاية الاحتياط مع التمكن أولى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للسيد الروحاني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اعتبر المشهور في الطواف أن يكون بين الكعبة ومقام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ويقدر هذا الفاصل بستة وعشرين ذراعاً ونصف ذراع، وبما أن حجر إسماعيل داخل في المطاف فمحل الطواف من الحجر لا يتجاوز ستة أذرع ونصف ذراع، ولكن الظاهر كفاية الطواف في الزائد على هذا المقدار أيضاً، ولا سيما لمن لا يقدر على الطواف في الحد المذكور أو أنه حرج عليه، ورعاية الاحتياط مع التمكن أولى</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للسيد الروحاني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اعتبر المشهور في الطواف أن يكون بين الكعبة ومقام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ويقدر هذا الفاصل بستة وعشرين ذراعاً ونصف ذراع، وبما أن حجر إسماعيل داخل في المطاف فمحل الطواف من الحجر لا يتجاوز ستة أذرع ونصف ذراع، ولكن الظاهر كفاية الطواف في الزائد على هذا المقدار أيضاً، ولا سيما لمن لا يقدر على الطواف في الحد المذكور أو أنه حرج عليه، ورعاية الاحتياط مع التمكن أولى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القبلة ليست نفس البنية الشريفة، بل محلها من تخوم الأرض إلى عنان السماء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 أن يعلم أن القبلة ليس نفس البنية الشريفة، بل محلها من تخوم الأرض إلى 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الكعبة ما فوقها إلى السماء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القبلة ليست نفس البنية الشريفة، بل محلها من تخوم الأرض إلى عنان السماء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 أن يعلم أن القبلة ليس نفس البنية الشريفة، بل محلها من تخوم الأرض إلى 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الكعبة ما فوقها إلى السماء</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القبلة ليست نفس البنية الشريفة، بل محلها من تخوم الأرض إلى عنان السماء</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 أن يعلم أن القبلة ليس نفس البنية الشريفة، بل محلها من تخوم الأرض إلى 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الكعبة ما فوقها إلى السماء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الشيخ الأنصاري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السلس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الداء الذي لا يستمسك معه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كان له فترة يسع له الوضوء والصلاة وجب انتظارها، وإلا فمقتضى الجمع بين أدلَّة كون مطلق البول حدثاً ناقضاً للوضوء، واعتبار الطهور في الصلاة، وبطلانها بوقوع الفعل الكثير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تكليفه بالصلاة، إلا أنّه خلاف الإجماع فلا بدّ من رفع اليد عن بعض الأدلَّة السابقة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الشيخ الأنصاري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السلس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الداء الذي لا يستمسك معه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كان له فترة يسع له الوضوء والصلاة وجب انتظارها، وإلا فمقتضى الجمع بين أدلَّة كون مطلق البول حدثاً ناقضاً للوضوء، واعتبار الطهور في الصلاة، وبطلانها بوقوع الفعل الكثير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تكليفه بالصلاة، إلا أنّه خلاف الإجماع فلا بدّ من رفع اليد عن بعض الأدلَّة السابقة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الشيخ الأنصاري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السلس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الداء الذي لا يستمسك معه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كان له فترة يسع له الوضوء والصلاة وجب انتظارها، وإلا فمقتضى الجمع بين أدلَّة كون مطلق البول حدثاً ناقضاً للوضوء، واعتبار الطهور في الصلاة، وبطلانها بوقوع الفعل الكثير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تكليفه بالصلاة، إلا أنّه خلاف الإجماع فلا بدّ من رفع اليد عن بعض الأدلَّة السابقة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بعض الروايات، منها ما ورد في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متى تصلي؟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تقعد بقدر حيضها وتستظهر بيومين، فإن انقطع الدم وإلا اغتسلت واحتشت واستثفرت وصلّت، فإن جاز الدم الكرسف تعصبت واغتسلت، ثم صلت الغداة بغسل والظهر والعصر بغسل والمغرب والعشاء بغسل، وإن لم يجز الدم الكرسف صلت بغسل واحد،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سواء، فإن انقطع عنها الدم وإلا فهي مستحاضة تصنع مثل النفساء، سواء ثم تصلي ولا تدع الصلاة على حال،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بعض الروايات، منها ما ورد في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متى تصلي؟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تقعد بقدر حيضها وتستظهر بيومين، فإن انقطع الدم وإلا اغتسلت واحتشت واستثفرت وصلّت، فإن جاز الدم الكرسف تعصبت واغتسلت، ثم صلت الغداة بغسل والظهر والعصر بغسل والمغرب والعشاء بغسل، وإن لم يجز الدم الكرسف صلت بغسل واحد،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سواء، فإن انقطع عنها الدم وإلا فهي مستحاضة تصنع مثل النفساء، سواء ثم تصلي ولا تدع الصلاة على حال،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الصوم، السيد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الصوم، السيد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جواز الصلاة في المشكوك في كونه من غير المأكول أو منه، فعلى هذا لا بأس بالصلاة في الماهوت، وأما إذا شك في كون شيء من أجزاء الحيوان أو من غير الحيوان فلا إشكال فيه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جواز الصلاة في المشكوك في كونه من غير المأكول أو منه، فعلى هذا لا بأس بالصلاة في الماهوت، وأما إذا شك في كون شيء من أجزاء الحيوان أو من غير الحيوان فلا إشكال فيه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جواز الصلاة في المشكوك في كونه من غير المأكول أو منه، فعلى هذا لا بأس بالصلاة في الماهوت، وأما إذا شك في كون شيء من أجزاء الحيوان أو من غير الحيوان فلا إشكال فيه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المناط في خفاء الجدران خفاء جدران البيوت لا خفاء الأعلام والقباب والمنارات، بل ولا خفاء سور البلد إذا كان له سور، ويكفي خفاء صورها وأشكالها وإن لم يخف أشباحها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المناط في خفاء الجدران خفاء جدران البيوت لا خفاء الأعلام والقباب والمنارات، بل ولا خفاء سور البلد إذا كان له سور، ويكفي خفاء صورها وأشكالها وإن لم يخف أشباحها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المناط في خفاء الجدران خفاء جدران البيوت لا خفاء الأعلام والقباب والمنارات، بل ولا خفاء سور البلد إذا كان له سور، ويكفي خفاء صورها وأشكالها وإن لم يخف أشباحها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المناط في خفاء الجدران خفاء جدران البيوت لا خفاء الأعلام والقباب والمنارات، بل ولا خفاء سور البلد إذا كان له سور، ويكفي خفاء صورها وأشكالها وإن لم يخف أشباحها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خرج من المرأة مني الرجل لا يوجب جنابتها إلا مع العلم باختلاطه بمنيها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 من كل ما له نفس سائلة، إنساناً أو غيره، كبيراً أو صغيراً، قليلاً كان الدم أو كثيراً، وأما دم ما لا نفس له فطاهر، كبيراً كان أو صغيراً، كالسمك والبق والبرغوث</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خرج من المرأة مني الرجل لا يوجب جنابتها إلا مع العلم باختلاطه بمنيها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 من كل ما له نفس سائلة، إنساناً أو غيره، كبيراً أو صغيراً، قليلاً كان الدم أو كثيراً، وأما دم ما لا نفس له فطاهر، كبيراً كان أو صغيراً، كالسمك والبق والبرغوث</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المعدة الاصطناعية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قَطَعْتُم مِّن لِّينَةٍ أَوْ تَرَكْتُمُوهَا قَائِمَةً عَلَى أُصُولِهَا فَبِإِذْنِ اللَّهِ وَلِيُخْزِيَ الْفَاسِقِينَ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على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قَطَعْتُم مِّن لِّينَةٍ أَوْ تَرَكْتُمُوهَا قَائِمَةً عَلَى أُصُولِهَا فَبِإِذْنِ اللَّهِ وَلِيُخْزِيَ الْفَاسِقِينَ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قَطَعْتُم مِّن لِّينَةٍ أَوْ تَرَكْتُمُوهَا قَائِمَةً عَلَى أُصُولِهَا فَبِإِذْنِ اللَّهِ وَلِيُخْزِيَ الْفَاسِقِينَ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على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على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في غزواته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وسراياه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في غزواته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وسراياه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السيد البجنوردي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عدة كتب، ولكن من دون سنده،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عوالي الئالي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عدة كتب، ولكن من دون سنده،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عوالي الئالي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المسلم شعباً وحكومة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المسلم شعباً وحكومة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المسلم شعباً وحكومة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المسلم شعباً وحكومة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التعليم الإجباري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المسلم شعباً وحكومة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فرض كون المكلف في المكان الذي نهاره ستة أشهر وليله ستة أشهر، أو نهاره ثلاثة وليله ستة أو نحو ذلك، فلا يبعد كون المدار في صومه وصلاته على البلدان المتعارفة المتوسطة، مخيراً بين أفراد المتوسط</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الشهر في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الشرعية في الكوكب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فرض كون المكلف في المكان الذي نهاره ستة أشهر وليله ستة أشهر، أو نهاره ثلاثة وليله ستة أو نحو ذلك، فلا يبعد كون المدار في صومه وصلاته على البلدان المتعارفة المتوسطة، مخيراً بين أفراد المتوسط</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بالمجهود الحربي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التعليم الإجباري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بالمجهود الحربي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بالمجهود الحربي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التعليم الإجباري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التعليم الإجباري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قاعدة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الحروب الجرثومية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وتترس الكافر بالمسلم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رضاع بعد فطام ولا وصال في صيام، ولا يتم بعد احتلام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رضاع بعد فطام ولا وصال في صيام، ولا يتم بعد احتلام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التعليم الإجباري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التعليم الإجباري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يعلي الذمي بنيانه فوق المسلم ويقر ما ابتاعه من مسلم على حاله ولو انهدم لم يعل به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تطرّق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البحث في كتاب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ذكرنا أن الفهم العرفي هو المحكم في الموضوعات وفي تطبيق الأحكام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ذكرنا أن الفهم العرفي هو المحكم في الموضوعات وفي تطبيق الأحكام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تطرّق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البحث في كتاب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ذكرنا أن الفهم العرفي هو المحكم في الموضوعات وفي تطبيق الأحكام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المساهمة الخيرية في هذه الصفحة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المساهمة الخيرية في هذه الصفحة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المساهمة الخيرية في هذه الصفحة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اليزدي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اليزدي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اليزدي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نساء أمتي أصبحهن وجها وأقلهن مهراً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البيع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يجب الإمساك عنه في الصوم من المفطرات وهي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والشرب من غير فرق في المأكول والمشروب بين المعتاد كالخبز والماء ونحوهما وغيره، كالتراب والحصى وعصارة الأشجار ونحوها، ولا بين الكثير والقليل كعشر حبة الحنطة أو عشر قطرة من الماء أو غيرها من المائعات، حتى أنه لو بل الخياط الخيط بريقه أو غيره ثم رده إلى الفم وابتلع ما عليه من الرطوبة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يجب الإمساك عنه في الصوم من المفطرات وهي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والشرب من غير فرق في المأكول والمشروب بين المعتاد كالخبز والماء ونحوهما وغيره، كالتراب والحصى وعصارة الأشجار ونحوها، ولا بين الكثير والقليل كعشر حبة الحنطة أو عشر قطرة من الماء أو غيرها من المائعات، حتى أنه لو بل الخياط الخيط بريقه أو غيره ثم رده إلى الفم وابتلع ما عليه من الرطوبة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يجب الإمساك عنه في الصوم من المفطرات وهي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والشرب من غير فرق في المأكول والمشروب بين المعتاد كالخبز والماء ونحوهما وغيره، كالتراب والحصى وعصارة الأشجار ونحوها، ولا بين الكثير والقليل كعشر حبة الحنطة أو عشر قطرة من الماء أو غيرها من المائعات، حتى أنه لو بل الخياط الخيط بريقه أو غيره ثم رده إلى الفم وابتلع ما عليه من الرطوبة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تهييج الشهوة بالأجنبية ونحوها محرم شرعاً،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فَيَطْمَعَ الَّذي في قَلْبِهِ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مناطه شامل للمقام، ولا خصوصية في الآية لنساء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وإنما هن المخاطبات من باب المورد بقرينة سياق الآية، أما تهييجها بقراءة كتاب مثير أو ركوب فرس يوجبه أو تذكر كذلك، أو لمس لجسد نفسه إلى أمثالها فليس بمحرم؛ إذ لا دليل عليه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التشبيب بالمرأة المعروفة المؤمنة المحترمة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محاسنها وإظهار شدة حبها بالشعر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على ما عن المبسوط وجماعة، كالفاضلين والشهيدين والمحقق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عليه بلزوم تفضيحها، وهتك حرمتها، وإيذائها وإغراء الفساق بها، وإدخال النقص عليها وعلى أهلها؛ ولذا لا ترضى النفوس الأبية ذوات الغيرة والحمية أن يذكر ذاكر عشق بعض بناتهم وأخواتهم، بل البعيدات من قراباتهم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تهييج الشهوة بالأجنبية ونحوها محرم شرعاً،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فَيَطْمَعَ الَّذي في قَلْبِهِ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مناطه شامل للمقام، ولا خصوصية في الآية لنساء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وإنما هن المخاطبات من باب المورد بقرينة سياق الآية، أما تهييجها بقراءة كتاب مثير أو ركوب فرس يوجبه أو تذكر كذلك، أو لمس لجسد نفسه إلى أمثالها فليس بمحرم؛ إذ لا دليل عليه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التشبيب بالمرأة المعروفة المؤمنة المحترمة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محاسنها وإظهار شدة حبها بالشعر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على ما عن المبسوط وجماعة، كالفاضلين والشهيدين والمحقق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عليه بلزوم تفضيحها، وهتك حرمتها، وإيذائها وإغراء الفساق بها، وإدخال النقص عليها وعلى أهلها؛ ولذا لا ترضى النفوس الأبية ذوات الغيرة والحمية أن يذكر ذاكر عشق بعض بناتهم وأخواتهم، بل البعيدات من قراباتهم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تهييج الشهوة بالأجنبية ونحوها محرم شرعاً،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فَيَطْمَعَ الَّذي في قَلْبِهِ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مناطه شامل للمقام، ولا خصوصية في الآية لنساء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وإنما هن المخاطبات من باب المورد بقرينة سياق الآية، أما تهييجها بقراءة كتاب مثير أو ركوب فرس يوجبه أو تذكر كذلك، أو لمس لجسد نفسه إلى أمثالها فليس بمحرم؛ إذ لا دليل عليه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التشبيب بالمرأة المعروفة المؤمنة المحترمة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محاسنها وإظهار شدة حبها بالشعر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على ما عن المبسوط وجماعة، كالفاضلين والشهيدين والمحقق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عليه بلزوم تفضيحها، وهتك حرمتها، وإيذائها وإغراء الفساق بها، وإدخال النقص عليها وعلى أهلها؛ ولذا لا ترضى النفوس الأبية ذوات الغيرة والحمية أن يذكر ذاكر عشق بعض بناتهم وأخواتهم، بل البعيدات من قراباتهم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الواجبات والمحرمات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الواجبات والمحرمات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الواجبات والمحرمات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المطاطي في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المطاطي في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المطاطي في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المطاطي في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هُمْ لِفُرُوجِهِمْ 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المطاطي والغسل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 السيد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المطاطي والغسل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المطاطي والغسل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 السيد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 السيد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المطاطي والغسل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الإنسان أو غيره مما له نفس إلى جوف ما لا نفس له كالبق والقمل، وكانتقال البول إلى النبات والشجر ونحوهما، ولا بد من كونه على وجه لا يسند إلى المنتقل عنه، وإلا لم يطهر كدم العلق بعد مصه من الإنسان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كدم حيوان لا نفس له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كدم حيوان لا نفس له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الإنسان أو غيره مما له نفس إلى جوف ما لا نفس له كالبق والقمل، وكانتقال البول إلى النبات والشجر ونحوهما، ولا بد من كونه على وجه لا يسند إلى المنتقل عنه، وإلا لم يطهر كدم العلق بعد مصه من الإنسان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كدم حيوان لا نفس 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الإنسان أو غيره مما له نفس إلى جوف ما لا نفس له كالبق والقمل، وكانتقال البول إلى النبات والشجر ونحوهما، ولا بد من كونه على وجه لا يسند إلى المنتقل عنه، وإلا لم يطهر كدم العلق بعد مصه من الإنسان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كدم حيوان لا نفس 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ملاقاة الغائط في الباطن لا توجب النجاسة، كالنوى الخارج من الإنسان أو الدود الخارج منه إذا لم يكن معه شيء من الغائط، وإن كان ملاقياً له في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أدخل من الخارج شيئاً فلاقى الغائط في الباطن كشيشة الاحتقان إن علم ملاقاتها له فالأحوط الاجتناب عنه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سجادة، عن موسى بن 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دنانير مصبوبة بين يديه، فنظر إلى دينار فأخذه بيده ثم قطعه بنصفين،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ألقه في البالوعة حتى لا يباع شيء فيه غش</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ملاقاة الغائط في الباطن لا توجب النجاسة، كالنوى الخارج من الإنسان أو الدود الخارج منه إذا لم يكن معه شيء من الغائط، وإن كان ملاقياً له في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أدخل من الخارج شيئاً فلاقى الغائط في الباطن كشيشة الاحتقان إن علم ملاقاتها له فالأحوط الاجتناب عنه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سجادة، عن موسى بن 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دنانير مصبوبة بين يديه، فنظر إلى دينار فأخذه بيده ثم قطعه بنصفين،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ألقه في البالوعة حتى لا يباع شيء فيه غش</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ملاقاة الغائط في الباطن لا توجب النجاسة، كالنوى الخارج من الإنسان أو الدود الخارج منه إذا لم يكن معه شيء من الغائط، وإن كان ملاقياً له في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أدخل من الخارج شيئاً فلاقى الغائط في الباطن كشيشة الاحتقان إن علم ملاقاتها له فالأحوط الاجتناب عنه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ملاقاة الغائط في الباطن لا توجب النجاسة، كالنوى الخارج من الإنسان أو الدود الخارج منه إذا لم يكن معه شيء من الغائط، وإن كان ملاقياً له في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أدخل من الخارج شيئاً فلاقى الغائط في الباطن كشيشة الاحتقان إن علم ملاقاتها له فالأحوط الاجتناب عنه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سجادة، عن موسى بن 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دنانير مصبوبة بين يديه، فنظر إلى دينار فأخذه بيده ثم قطعه بنصفين،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ألقه في البالوعة حتى لا يباع شيء فيه غش</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الإيذاء السحري في هذه الصفحة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الإيذاء السحري في هذه الصفحة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الإيذاء السحري في هذه الصفحة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الإيذاء السحري في هذه الصفحة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الإيذاء السحري في هذه الصفحة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الشعبذة قسم من السحر، فالدليل على حرمته دليل على حرمتها؛ ولذا ذهب المشهور، بل ادعي الإجماع على الحرمة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الشعبذة حرام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الحركة السريعة بحيث يوجب على الحس الانتقال من الشيء إلى شبهه، كما ترى النار المتحركة على الاستدارة دائرة متصلة؛ لعدم إدراك السكونات المتخللة بين الحركات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الإجماع، مضافاً إلى أنه من الباطل واللّهو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دخوله في السحر في الرواية المتقدمة عن الاحتجاج، المنجبر وهنها بالإجماع المحكي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التعاريف المتقدمة للسحر ما يشملها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الشعبذة قسم من السحر، فالدليل على حرمته دليل على حرمتها؛ ولذا ذهب المشهور، بل ادعي الإجماع على الحرمة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الشعبذة حرام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الحركة السريعة بحيث يوجب على الحس الانتقال من الشيء إلى شبهه، كما ترى النار المتحركة على الاستدارة دائرة متصلة؛ لعدم إدراك السكونات المتخللة بين الحركات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الإجماع، مضافاً إلى أنه من الباطل واللّهو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دخوله في السحر في الرواية المتقدمة عن الاحتجاج، المنجبر وهنها بالإجماع المحكي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التعاريف المتقدمة للسحر ما يشملها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الشعبذة قسم من السحر، فالدليل على حرمته دليل على حرمتها؛ ولذا ذهب المشهور، بل ادعي الإجماع على الحرمة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الشعبذة حرام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الحركة السريعة بحيث يوجب على الحس الانتقال من الشيء إلى شبهه، كما ترى النار المتحركة على الاستدارة دائرة متصلة؛ لعدم إدراك السكونات المتخللة بين الحركات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الإجماع، مضافاً إلى أنه من الباطل واللّهو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دخوله في السحر في الرواية المتقدمة عن الاحتجاج، المنجبر وهنها بالإجماع المحكي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التعاريف المتقدمة للسحر ما يشملها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الإجارة لإتيان الواجبات العينية كالصلوات الخمس، والكفائية كتغسيل الأموات وتكفينهم والصلاة عليهم، وكتعليم القدر الواجب من أصول الدين وفروعه، والقدر الواجب من تعليم القرآن كالحمد وسورة منه، وكالقضاء والفتوى ونحو ذلك، ولا يجوز الإجارة على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بأس بارتزاق القاضي والمفتي والمؤذن من بيت المال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الإجارة لإتيان الواجبات العينية كالصلوات الخمس، والكفائية كتغسيل الأموات وتكفينهم والصلاة عليهم، وكتعليم القدر الواجب من أصول الدين وفروعه، والقدر الواجب من تعليم القرآن كالحمد وسورة منه، وكالقضاء والفتوى ونحو ذلك، ولا يجوز الإجارة على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بأس بارتزاق القاضي والمفتي والمؤذن من بيت المال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الإجارة لإتيان الواجبات العينية كالصلوات الخمس، والكفائية كتغسيل الأموات وتكفينهم والصلاة عليهم، وكتعليم القدر الواجب من أصول الدين وفروعه، والقدر الواجب من تعليم القرآن كالحمد وسورة منه، وكالقضاء والفتوى ونحو ذلك، ولا يجوز الإجارة على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بأس بارتزاق القاضي والمفتي والمؤذن من بيت المال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وحينئذ، فيستقيم أن يراد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الأحكام تدور مدار الأسماء، أنّ مقتضى ظاهر دليل الحكم تبعية ذلك الحكم لاسم الموضوع الذي علق عليه الحكم في ظاهر الدليل، فيراد من هذه القضية تأسيس أصل قد يعدل عنه بقرينة فهم العرف أو غيره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وحينئذ، فيستقيم أن يراد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الأحكام تدور مدار الأسماء، أنّ مقتضى ظاهر دليل الحكم تبعية ذلك الحكم لاسم الموضوع الذي علق عليه الحكم في ظاهر الدليل، فيراد من هذه القضية تأسيس أصل قد يعدل عنه بقرينة فهم العرف أو غيره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وحينئذ، فيستقيم أن يراد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الأحكام تدور مدار الأسماء، أنّ مقتضى ظاهر دليل الحكم تبعية ذلك الحكم لاسم الموضوع الذي علق عليه الحكم في ظاهر الدليل، فيراد من هذه القضية تأسيس أصل قد يعدل عنه بقرينة فهم العرف أو غيره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وحينئذ، فيستقيم أن يراد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الأحكام تدور مدار الأسماء، أنّ مقتضى ظاهر دليل الحكم تبعية ذلك الحكم لاسم الموضوع الذي علق عليه الحكم في ظاهر الدليل، فيراد من هذه القضية تأسيس أصل قد يعدل عنه بقرينة فهم العرف أو غيره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وحينئذ، فيستقيم أن يراد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الأحكام تدور مدار الأسماء، أنّ مقتضى ظاهر دليل الحكم تبعية ذلك الحكم لاسم الموضوع الذي علق عليه الحكم في ظاهر الدليل، فيراد من هذه القضية تأسيس أصل قد يعدل عنه بقرينة فهم العرف أو غيره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تبييض الشعر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تبييض الشعر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تبييض الشعر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انقلب الشاب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انقلب الشاب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انقلب الشاب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مُتَّخِذَاتِ أَخْدَانٍ فَإِذَا أُحْصِنَّ فَإِنْ أَتَيْنَ بِفَاحِشَةٍ فَعَلَيْهِنَّ نِصْفُ مَا عَلَى الْمُحْصَنَاتِ مِنَ الْعَذَابِ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مُتَّخِذَاتِ أَخْدَانٍ فَإِذَا أُحْصِنَّ فَإِنْ أَتَيْنَ بِفَاحِشَةٍ فَعَلَيْهِنَّ نِصْفُ مَا عَلَى الْمُحْصَنَاتِ مِنَ الْعَذَابِ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بسماع صوت الأجنبية ما لم يكن تلذذ ولا ريبة، من غير فرق بين الأعمى والبصير، وإن كان الأحوط الترك في غير مقام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ويحرم عليها إسماع الصوت الذي فيه تهييج للسامع بتحسينه وترقيقه،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تخضعن بالقول فيطمع الذي في قلبه مرض</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بسماع صوت الأجنبية ما لم يكن تلذذ ولا ريبة، من غير فرق بين الأعمى والبصير، وإن كان الأحوط الترك في غير مقام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ويحرم عليها إسماع الصوت الذي فيه تهييج للسامع بتحسينه وترقيقه،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تخضعن بالقول فيطمع الذي في قلبه مرض</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الأحكام متعلقة بنفس الطبائع والحقائق، بلا سراية إلى الخصوصيات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الأحكام متعلقة بنفس الطبائع والحقائق، بلا سراية إلى الخصوصيات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المراد به تغيير دين اللّه الذي فطر الناس عليها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المراد به تغيير دين اللّه الذي فطر الناس عليها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تهييج الشهوة بالأجنبية ونحوها محرم شرعاً،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فَيَطْمَعَ الَّذي في قَلْبِهِ مَرَضٌ</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تهييجها بقراءة كتاب مثير أو ركوب فرس يوجبه أو تذكر كذلك، أو لمس لجسد نفسه إلى أمثالها فليس بمحرم؛ إذ لا دليل عليه، بل سيرة المتشرعة جارية عليه من غير احتمال للحرمة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بشهوة إلى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بشهوة إلى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بشهوة إلى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بشهوة إلى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بشهوة إلى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بالروح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بالروح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بصير للباقر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 أكثر الحجيج وأعظم الضجيج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 أكثر الضجيج وأقل الحجيج، أتحب أن تعلم صدق ما أقوله، وتراه عيانا؟ فمسح يده على عينيه ودعا بدعوات فعاد بصيراً،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يا أبا بصير إلى الحجيج،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فإذا أكثر الناس قردة وخنازير، والمؤمن بينهم مثل الكوكب اللامع في الظلماء، فقال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يا مولاي ما أقل الحجيج وأكثر الضجيج؟ ثم دعا بدعوات فعاد ضريراً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بالروح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إيذاء الحيوان بغير الطرق الواردة شرعاً في مثل ذبح الحيوان المحلل أو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إيذاء الحيوان في الحرم فهو حرام آكد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إيذاء الحيوان بغير الطرق الواردة شرعاً في مثل ذبح الحيوان المحلل أو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إيذاء الحيوان في الحرم فهو حرام آكد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إيذاء الحيوان بغير الطرق الواردة شرعاً في مثل ذبح الحيوان المحلل أو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إيذاء الحيوان في الحرم فهو حرام آكد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إيذاء الحيوان بغير الطرق الواردة شرعاً في مثل ذبح الحيوان المحلل أو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إيذاء الحيوان في الحرم فهو حرام آكد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إيذاء الحيوان بغير الطرق الواردة شرعاً في مثل ذبح الحيوان المحلل أو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إيذاء الحيوان في الحرم فهو حرام آكد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ألوان البشرة في هذه الصفحة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ألوان البشرة في هذه الصفحة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ألوان البشرة في هذه الصفحة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مسعدة بن زياد،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إياكم ونكاح الزنج فإنّه خلق مشوه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تقوية السمع والبصر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تقوية السمع والبصر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الارتماس في الماء، ويكفي فيه رمس الرأس فيه، وإن كان سائر البدن خارجاً عنه من غير فرق بين أن يكون رمسه دفعة أو تدريجاً، على وجه يكون تمامه تحت الماء زماناً، وأما لو غمسه على التعاقب لا على هذا الوجه فلا بأس به وإن استغرقه، والمراد بالرأس</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الارتماس في الماء، ويكفي فيه رمس الرأس فيه، وإن كان سائر البدن خارجاً عنه من غير فرق بين أن يكون رمسه دفعة أو تدريجاً، على وجه يكون تمامه تحت الماء زماناً، وأما لو غمسه على التعاقب لا على هذا الوجه فلا بأس به وإن استغرقه، والمراد بالرأس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الارتماس في الماء، ويكفي فيه رمس الرأس فيه، وإن كان سائر البدن خارجاً عنه من غير فرق بين أن يكون رمسه دفعة أو تدريجاً، على وجه يكون تمامه تحت الماء زماناً، وأما لو غمسه على التعاقب لا على هذا الوجه فلا بأس به وإن استغرقه، والمراد بالرأس</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الارتماس في الماء، ويكفي فيه رمس الرأس فيه، وإن كان سائر البدن خارجاً عنه من غير فرق بين أن يكون رمسه دفعة أو تدريجاً، على وجه يكون تمامه تحت الماء زماناً، وأما لو غمسه على التعاقب لا على هذا الوجه فلا بأس به وإن استغرقه، والمراد بالرأس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بعض أصحابنا، عن سجادة، عن موسى بن 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دنانير مصبوبة بين يديه فنظر إلى دينار فأخذه بيده ثم قطعه بنصفين،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ألقه في البالوعة حتى لا يباع شيء فيه غش</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الارتماس في الماء، ويكفي فيه رمس الرأس فيه، وإن كان سائر البدن خارجاً عنه من غير فرق بين أن يكون رمسه دفعة أو تدريجاً، على وجه يكون تمامه تحت الماء زماناً، وأما لو غمسه على التعاقب لا على هذا الوجه فلا بأس به وإن استغرقه، والمراد بالرأس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المؤسسات الخيرية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المؤسسات الخيرية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المؤسسات الخيرية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بواسطة الأرواح في هذه الصفحة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أن رؤيتهما وشهادتهما لجميع أعمال العباد، ومن ذلك إجراؤهم لصيغة الطلاق، لا يكفي في صحة الطلاق، لانصراف الأدلة عن مثل هذه الرؤية والشهادة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بواسطة الأرواح في هذه الصفحة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بواسطة الأرواح في هذه الصفحة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أن رؤيتهما وشهادتهما لجميع أعمال العباد، ومن ذلك إجراؤهم لصيغة الطلاق، لا يكفي في صحة الطلاق، لانصراف الأدلة عن مثل هذه الرؤية والشهادة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أن رؤيتهما وشهادتهما لجميع أعمال العباد، ومن ذلك إجراؤهم لصيغة الطلاق، لا يكفي في صحة الطلاق، لانصراف الأدلة عن مثل هذه الرؤية والشهادة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 والتعزيرات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حرمته ميتاً كحرمته وهو حي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حرمته ميتاً كحرمته وهو حي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الأمر بالمعروف والنهي عن المنكر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خرج بالدليل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الأرواح، والطلاق بواسطة الأرواح، وكتابة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الأرواح، والطلاق بواسطة الأرواح، وكتابة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الأرواح، والطلاق بواسطة الأرواح، وكتابة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الأرواح، والطلاق بواسطة الأرواح، وكتابة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الأرواح، والطلاق بواسطة الأرواح، وكتابة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الحدود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المؤسسات الخيرية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تسجيل الوعظ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المؤسسات الخيرية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تسجيل الوعظ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المؤسسات الخيرية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تسجيل الوعظ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الروحاني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الروحاني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الروحاني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الروحاني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الروحاني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 الشبهات عن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فتحصل أنه لا مانع عقلاً ولا شرعاً من جريان المعاطاة في النكاح، ومقتضى العمومات والإطلاقات جريانها فيه كسائر مضامين العقود، ولكن قام الإجماع على عدم الجريان، وهو المستند لو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الفارق بين النكاح وغيره من مضامين العقود، فإنه يجوز إنشائها بالفعل بخلافه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فتحصل أنه لا مانع عقلاً ولا شرعاً من جريان المعاطاة في النكاح، ومقتضى العمومات والإطلاقات جريانها فيه كسائر مضامين العقود، ولكن قام الإجماع على عدم الجريان، وهو المستند لو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الفارق بين النكاح وغيره من مضامين العقود، فإنه يجوز إنشائها بالفعل بخلافه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آية اللّه السيد حسن الشيرازي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 أنّ الطبيعي والفرد وأن كانا متغايرين مفهوماً، وفي عالم التصور، حيث كانا صورتين متباينتين في الذهن، بحيث لا يكاد انتقال الذهن في مقام لحاظ الطبيعي وتصوره إلى الفرد، وبهذه الجهة أيضاً لا يكاد سراية الحكم المتعلق بالطبيعي والكلي إلى الفرد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آية اللّه السيد حسن الشيرازي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آية اللّه السيد حسن الشيرازي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 أنّ الطبيعي والفرد وأن كانا متغايرين مفهوماً، وفي عالم التصور، حيث كانا صورتين متباينتين في الذهن، بحيث لا يكاد انتقال الذهن في مقام لحاظ الطبيعي وتصوره إلى الفرد، وبهذه الجهة أيضاً لا يكاد سراية الحكم المتعلق بالطبيعي والكلي إلى الفرد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 أنّ الطبيعي والفرد وأن كانا متغايرين مفهوماً، وفي عالم التصور، حيث كانا صورتين متباينتين في الذهن، بحيث لا يكاد انتقال الذهن في مقام لحاظ الطبيعي وتصوره إلى الفرد، وبهذه الجهة أيضاً لا يكاد سراية الحكم المتعلق بالطبيعي والكلي إلى الفرد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نقل ناقل فتوى المجتهد لغيره، ثم تبدل رأي المجتهد في تلك المسألة لا يجب على الناقل إعلام مَنْ سمع منه الفتوى الأولى، وإن كان أحوط، بخلاف ما إذا تبين له خطؤه في النقل فإنه يجب عليه الإعلام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نقل ناقل فتوى المجتهد لغيره، ثم تبدل رأي المجتهد في تلك المسألة لا يجب على الناقل إعلام مَنْ سمع منه الفتوى الأولى، وإن كان أحوط، بخلاف ما إذا تبين له خطؤه في النقل فإنه يجب عليه الإعلام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التبليغ بالوسائل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التبليغ بالوسائل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مقتضى إطلاق الدليل هو الوجوب العيني على جميع هذه الوجوه والاحتمالات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التبليغ بالوسائل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الدفاع عن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تزريق المواد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تبدل حقيقة الشيء وصورته النوعية إلى صورة أخرى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الانقلاب غير الاستحالة؛ إذ لا يتبدل فيه الحقيقة النوعية بخلافها؛ ولذا لا تطهر المتنجسات به وتطهر بها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تزريق المواد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الطهارة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تبدل حقيقة الشيء وصورته النوعية إلى صورة أخرى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الانقلاب غير الاستحالة؛ إذ لا يتبدل فيه الحقيقة النوعية بخلافها؛ ولذا لا تطهر المتنجسات به وتطهر بها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تزريق المواد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تبدل حقيقة الشيء وصورته النوعية إلى صورة أخرى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الانقلاب غير الاستحالة؛ إذ لا يتبدل فيه الحقيقة النوعية بخلافها؛ ولذا لا تطهر المتنجسات به وتطهر بها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النجاسات وعصارتها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اللّه تبارك وتعالى حرّم الخمر بعينها، وحرّم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شراب مسكر، ولعن بائعها ومشتريها وآكل ثمنها وساقيها وشاربها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الريان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نبياً قط إلا بتحريم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مجاهد، عن أبيه،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الذنوب التي تغير النعم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تهتك الستر شرب الخمر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الفحص الطبي للمعالجات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بالروح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بالروح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بالروح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البيع،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البيع،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البيع،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غبن المسترسل سحت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يجوز الإنكار باليد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مرتبته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يبلغ حد الجرح والقتل، وإلا احتاج إلى إذن الحكام الشرعي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يجوز الإنكار باليد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مرتبته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يبلغ حد الجرح والقتل، وإلا احتاج إلى إذن الحكام الشرعي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يجوز الإنكار باليد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مرتبته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يبلغ حد الجرح والقتل، وإلا احتاج إلى إذن الحكام الشرعي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ويقع الكلام بعد ذلك في مرجحات باب التزاحم التي يحكم بها العقل، بخلاف مرجحات باب التعارض، فإن المرجع فيها هو المولى نفسه، وهذه هي جهة الفرق بين البابين في الحاكم بالتقديم والتخيير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الفرق بين البابين في جهة التقديم فهي محل الكلام؛ إذ تقديم أحد المتعارضين على الآخر يكون بأقوائية الدلالة والسند بالشهرة، أو موافقة الكتاب أو غير ذلك مما يذكر في مبحث التعارض، ويقع الخلاف هناك في تعيين بعضها دون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تقديم أحد المتزاحمين على الآخر فهو بأمور مترتبة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الإسراف في ماء الوضوء مكروه، لكن الإسباغ مستحب، وقد مرّ أنه يستحب أن يكون ماء الوضوء بمقدار مد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الواجبات والمحرمات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الإسراف مطلقاً حرام إذا كان مما يعده العرف إسرافاً، وحتى في الحج والعمرة، كما أنه إذا لم يكن مما يعده العرف إسرافاً، وإن كان بالدقة إسرافاً لم يكن بمحرم، وكأن الاستثناء في الحج والعمرة لبيان استحباب المزيد من النفقة، فهو استثناء منقطع، لا أنّ المراد أن الإسراف مطلقاً هنا محلل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الإسراف في ماء الوضوء مكروه، لكن الإسباغ مستحب، وقد مرّ أنه يستحب أن يكون ماء الوضوء بمقدار مد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الإسراف في ماء الوضوء مكروه، لكن الإسباغ مستحب، وقد مرّ أنه يستحب أن يكون ماء الوضوء بمقدار مد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الواجبات والمحرمات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الإسراف مطلقاً حرام إذا كان مما يعده العرف إسرافاً، وحتى في الحج والعمرة، كما أنه إذا لم يكن مما يعده العرف إسرافاً، وإن كان بالدقة إسرافاً لم يكن بمحرم، وكأن الاستثناء في الحج والعمرة لبيان استحباب المزيد من النفقة، فهو استثناء منقطع، لا أنّ المراد أن الإسراف مطلقاً هنا محلل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الإسراف في ماء الوضوء مكروه، لكن الإسباغ مستحب، وقد مرّ أنه يستحب أن يكون ماء الوضوء بمقدار مد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الإسراف في ماء الوضوء مكروه، لكن الإسباغ مستحب، وقد مرّ أنه يستحب أن يكون ماء الوضوء بمقدار مد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الواجبات والمحرمات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الإسراف مطلقاً حرام إذا كان مما يعده العرف إسرافاً، وحتى في الحج والعمرة، كما أنه إذا لم يكن مما يعده العرف إسرافاً، وإن كان بالدقة إسرافاً لم يكن بمحرم، وكأن الاستثناء في الحج والعمرة لبيان استحباب المزيد من النفقة، فهو استثناء منقطع، لا أنّ المراد أن الإسراف مطلقاً هنا محلل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النص، وإنما ورد في 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إسراج السراج قبل أن تغيب الشمس ينفي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الفروق اللغوية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بين التبذير والإسراف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إنفاق المال فيما 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زيادة على ما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الحد في صرف المال، والتبذير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إتلافه في غير موضعه، وهو أعظم من الإسراف؛ ولذا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المبذرين كانوا إخوان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 بعض الأخبار أن الإسراف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إتلاف مال ونحوه فيما فوق المتعارف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إتلاف شيء ذي نفع بلا غرض، ومنه إهراق ما بقي من شرب ماء الفرات ونحوها خارج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الفروق اللغوية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بين التبذير والإسراف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إنفاق المال فيما 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زيادة على ما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الحد في صرف المال، والتبذير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إتلافه في غير موضعه، وهو أعظم من الإسراف؛ ولذا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المبذرين كانوا إخوان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 بعض الأخبار أن الإسراف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إتلاف مال ونحوه فيما فوق المتعارف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إتلاف شيء ذي نفع بلا غرض، ومنه إهراق ما بقي من شرب ماء الفرات ونحوها خارج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الفروق اللغوية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بين التبذير والإسراف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إنفاق المال فيما 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زيادة على ما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الحد في صرف المال، والتبذير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إتلافه في غير موضعه، وهو أعظم من الإسراف؛ ولذا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المبذرين كانوا إخوان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 بعض الأخبار أن الإسراف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إتلاف مال ونحوه فيما فوق المتعارف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إتلاف شيء ذي نفع بلا غرض، ومنه إهراق ما بقي من شرب ماء الفرات ونحوها خارج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النطفة من رحم إلى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النطفة من رحم إلى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النطفة من رحم إلى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المهايأة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عند الفقهاء يطلق على شريكين في شيء يريد كل منهما أن يستفيد من ذلك الشيء بقدر سهمه في الشركة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هاياه في دار 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سكنها هذا مدة وذاك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انتفع كل منهما بقدر سهمه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المهايأة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عند الفقهاء يطلق على شريكين في شيء يريد كل منهما أن يستفيد من ذلك الشيء بقدر سهمه في الشركة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هاياه في دار 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سكنها هذا مدة وذاك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انتفع كل منهما بقدر سهمه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المهايأة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عند الفقهاء يطلق على شريكين في شيء يريد كل منهما أن يستفيد من ذلك الشيء بقدر سهمه في الشركة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هاياه في دار 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سكنها هذا مدة وذاك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انتفع كل منهما بقدر سهمه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 ومشد الإزار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 ومشد الإزار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 ومشد الإزار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علي بن أحمد بن أشيم، عن القاسم بن محمد الجوهري، عن حريز بن عبد اللّه،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ولد على عهد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مولود له رأسان وصدران في حقو واحد، فسئل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يورث ميراث اثنين أو واحد؟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 حتى ينام ثم يصاح به، فإنْ انتبها جميعها معاً كان له ميراث واحد، وإن انتبه واحد وبقي الآخر نائماً يورث ميراث اثنين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السيد الخوئي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ذي الرأسين إذا تميز الأصلي منهما فالمدار عليه، ومع عدم التمييز يجب الاجتناب عن رمس كل منهما، لكن لا يحكم ببطلان الصوم إلا برمسهما ولو متعاقبا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الكاتب، عن علي بن عبد اللّه بن معاوية بن ميسرة بن شريح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عبد اللّه بن معاوية عن أبيه ميسرة، عن أبيه شريح قال ميسرة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تقدمت إلى شريح امرأة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جئتك مخاصمة،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خصمك؟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خصمي، فاخلى لها المجلس وقال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امرأة لي إحليل ولي فرج،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قضية، ورث من حيث جاء البول،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يجيء منهما جميعاً،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سبق البول؟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منهما شيء يسبق البول يجيئان في وقت واحد وينقطعان في وقت واحد،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لتخبرين بعجب،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أخبرك بما هو أعجب من هذا تزوجني ابن عم لي وأخدمني خادماً فوطأتها فأولدتها، وإنما جئتك لما ولد لي لتفرق بيني وبين زوجي، فقام من مجلس القضاء فدخل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 بما قالت المرأة فأمر بها فأدخلت وسألها عما قال القاضي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أخبرك،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فاحضر زوجها ابن عمها فقال له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امرأتك وابنة عمك؟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ما كان؟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أخدمتها خادما فوطأتها فأولدتها،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وطأتها بعد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لأنت أجرأ من خاصي الأسد، عليَّ بدينار الخصي، وكان معدلاً وبمرأتين، فأتي بهم،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هذه المرأة إن كانت امرأة فادخلوها بيتاً وألبسوها نقاباً وجردوها من ثيابها، وعدوا أضلاع جنبيها ففعلوا ثم خرجوا إليه،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الجنب الأيمن اثنا عشر ضلعاً، والجنب الأيسر أحد عشر ضلعاً،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أكبر إيتوني بالحجام فأخذ من شعرها وأعطاها رداءً وحذاءً، وألحقها بالرجال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بيان تعارض الاستصحاب مع القرعة، وتفصيل القول فيها يحتاج إلى بسط لا يسعه الوقت، ومجمل القول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 أخبارها أعم من جميع أدلة الاستصحاب، فلا بد من تخصيصها بها، فيختص القرعة بموارد لا يجري فيها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القرعة واردة على أصالة التخيير، وأصالتي الإباحة والاحتياط إذا كان مدركهما العقل، وإن كان مدركهما تعبد الشارع بهما في مواردهما فدليل القرعة حاكم عليهما، كما لا يخفى</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العورتين المختلفتين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العورتين المتشابهتين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 الجلل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غذاؤه أجمع عذرة الإنسان لا يخلطها بغيرها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 الجلل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غذاؤه أجمع عذرة الإنسان لا يخلطها بغيرها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 الجلل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غذاؤه أجمع عذرة الإنسان لا يخلطها بغيرها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 الجلل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غذاؤه أجمع عذرة الإنسان لا يخلطها بغيرها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 الجلل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غذاؤه أجمع عذرة الإنسان لا يخلطها بغيرها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 من السمك له فلس صغير يحك جسمه بأرض البحر فيزول الفلس ثم يعود بعد مدة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انعدام فلس 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انعدام فلس 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انعدام فلس 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من السمك ما كان له فلوس، ولا تأكل منه ما ليس له فلس</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من السمك ما كان له فلوس، ولا تأكل منه ما ليس له فلس</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من السمك ما كان له فلوس، ولا تأكل منه ما ليس له فلس</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ولادة غير الإنسان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وتعليقة علی المسائل المتجددة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الصناعي، وغيرهما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ولادة غير الإنسان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وتعليقة علی المسائل المتجددة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الصناعي، وغيرهما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ولادة غير الإنسان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وتعليقة علی المسائل المتجددة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الصناعي، وغيرهما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ولادة غير الإنسان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وتعليقة علی المسائل المتجددة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الصناعي، وغيرهما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ولادة غير الإنسان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وتعليقة علی المسائل المتجددة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الصناعي، وغيرهما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السيد الخوئي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السيد الخوئي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السيد الخوئي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السيد الخوئي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السيد الخوئي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الغناء</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يعتبر في وجوب السجدة كون القراءة بقصد القرآنية، فلو تكلم شخص بالآية لا بقصد القرآنية لا يجب السجود بسماعه، وكذا لو سمعها ممن قرأها حال النوم أو سمعها من صبي غير مميز، بل وكذا لو سمعها من صندوق حبس الصوت، وإن كان الأحوط السجود في الجميع</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الغناء</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كحرمته وهو حيّ</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تحنيط الموتى بالتشريح في هذه الصفحة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تحنيط الموتى بالتشريح في هذه الصفحة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تحنيط الأموات بالتزريق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تحنيط الأموات بالتزريق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تحنيط الأموات بالتزريق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تحنيط الأموات بالتزريق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تحنيط الأموات بالتزريق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ألزموهم بما ألزموا أنفسهم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ألزموهم بما ألزموا أنفسهم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في شرائط الذمة،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يتظاهروا بالمناكير، كشرب الخمر والزنا، وأكل لحم الخنزير، ونكاح المحرمات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ألزموهم بما ألزموا أنفسهم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ألزموهم بما ألزموا أنفسهم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في شرائط الذمة،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يتظاهروا بالمناكير، كشرب الخمر والزنا، وأكل لحم الخنزير، ونكاح المحرمات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في شرائط الذمة،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يتظاهروا بالمناكير، كشرب الخمر والزنا، وأكل لحم الخنزير، ونكاح المحرمات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ألزموهم بما ألزموا أنفسهم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تبدل حقيقة الشيء وصورته النوعية إلى صورة أخرى، فإنها تطهر النجس، بل والمتنجس، كالعذرة تصير تراباً، والخشبة المتنجسة إذا صارت رماداً، والبول أو الماء المتنجس بخاراً، والكلب ملحاً، وهكذا كالنطفة تصير حيواناً، والطعام النجس جزءاً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تبدل الأوصاف وتفرق الأجزاء فلا اعتبار بهما، كالحنطة إذا صارت طحيناً أو عجيناً أو خبزاً، والحليب إذا صار جبناً، وفي صدق الاستحالة على صيرورة الخشب فحماً تأمل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تبدل حقيقة الشيء وصورته النوعية إلى صورة أخرى، فإنها تطهر النجس، بل والمتنجس، كالعذرة تصير تراباً، والخشبة المتنجسة إذا صارت رماداً، والبول أو الماء المتنجس بخاراً، والكلب ملحاً، وهكذا كالنطفة تصير حيواناً، والطعام النجس جزءاً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تبدل الأوصاف وتفرق الأجزاء فلا اعتبار بهما، كالحنطة إذا صارت طحيناً أو عجيناً أو خبزاً، والحليب إذا صار جبناً، وفي صدق الاستحالة على صيرورة الخشب فحماً تأمل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تبدل حقيقة الشيء وصورته النوعية إلى صورة أخرى، فإنها تطهر النجس، بل والمتنجس، كالعذرة تصير تراباً، والخشبة المتنجسة إذا صارت رماداً، والبول أو الماء المتنجس بخاراً، والكلب ملحاً، وهكذا كالنطفة تصير حيواناً، والطعام النجس جزءاً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تبدل الأوصاف وتفرق الأجزاء فلا اعتبار بهما، كالحنطة إذا صارت طحيناً أو عجيناً أو خبزاً، والحليب إذا صار جبناً، وفي صدق الاستحالة على صيرورة الخشب فحماً تأمل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الصورة السادسة من هذه المسألة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الصورة السادسة من هذه المسألة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الصورة السادسة من هذه المسألة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الصورة السادسة من هذه المسألة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نظيف حتى تعلم أنه قذر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نظيف حتى تعلم أنه قذر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الجزء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الجزء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المتولد بين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تركيب نطفة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المتولد بين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تركيب نطفة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الجزء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السيد محمد الروحاني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وطأ إنسان حيواناً محللاً أكله ومما يطلب لحمه حرم لحمه ولحم نسله ولبنهما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السيد محمد الروحاني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وطأ إنسان حيواناً محللاً أكله ومما يطلب لحمه حرم لحمه ولحم نسله ولبنهما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الحيوانات فيما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الحيوانات فيما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الحيوانات فيما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إخصاب نطفة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إخصاب نطفة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إخصاب نطفة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إخصاب نطفة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إخصاب نطفة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النطفة من رحم إلى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النطفة من رحم إلى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النطفة من رحم إلى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المركب من حيوانين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إيذاء الحيوان بغير الطرق الواردة شرعاً في مثل ذبح الحيوان المحلل أو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إيذاء الحيوان في الحرم فهو حرام آكد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إيذاء الحيوان بغير الطرق الواردة شرعاً في مثل ذبح الحيوان المحلل أو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إيذاء الحيوان في الحرم فهو حرام آكد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إيذاء الحيوان بغير الطرق الواردة شرعاً في مثل ذبح الحيوان المحلل أو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إيذاء الحيوان في الحرم فهو حرام آكد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الإجرام للحيوانات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الإجرام للحيوانات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الإجرام للحيوانات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الإجرام للحيوانات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الإجرام للحيوانات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موسى بن 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كنا عند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دنانير مصبوبة بين يديه، فنظر إلى دينار فأخذه بيده ثم قطعه بنصفين،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ألقه في البالوعة حتى لا يباع شيء فيه غش</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البيع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 والمحرمات</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إتلاف مادة الفساد، وقطع مادة الفساد،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 والمحرمات</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إتلاف مادة الفساد، وقطع مادة الفساد،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البيع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المعاملات الآلية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 والمحرمات</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إتلاف مادة الفساد، وقطع مادة الفساد،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المعاملات بواسطة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المعاملات بواسطة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الحدود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 يجرى على السارق بشروط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آخر الكتاب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اليهود والنصارى والمجوس من سائر أصناف الكفار، سواء اعتقد معبوداً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كالشمس والوثن والنجوم، أو لم يعتقد كالدهري</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المتاع</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اليهود والنصارى والمجوس من سائر أصناف الكفار، سواء اعتقد معبوداً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كالشمس والوثن والنجوم، أو لم يعتقد كالدهري</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اليهود والنصارى والمجوس من سائر أصناف الكفار، سواء اعتقد معبوداً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كالشمس والوثن والنجوم، أو لم يعتقد كالدهري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المتاع</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وفي عوالي اللئالي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إذا حرم شيئا حرم ثمنه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حرمة الاكتساب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المتعلقة بالمعاملة إما أن تكون وضعية وإما أن تكون تكليفية، وبينهما عموم من وجه، فالبيع وقت الندي لصلاة الجمعة حرام تكليفاً، والبيع الغرري حرام وضعاً، وبيع الخمر حرام وضعاً وتكليفاً، وكلام المصنف هنا مسوق لبيان خصوص الحرمة التكليفية في البيع</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رفع إليه رجل كسر بربطاً فأبطله، ولم يوجب على الرجل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دعائم الإسلام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كسر بربطاً أو لعبة من اللعب، أو بعض الملاهي، أو خرق زق مسكر أو خمر، فقد أحسن ولا غرم عليه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رفع إليه رجل كسر بربطاً فأبطله، ولم يوجب على الرجل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دعائم الإسلام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كسر بربطاً أو لعبة من اللعب، أو بعض الملاهي، أو خرق زق مسكر أو خمر، فقد أحسن ولا غرم عليه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لئلا يتوى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السيد الخوئي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ينبغي الإشكال في أنّ التغير الدقي الفلسفي الذي لا يدرك بشيء من الحواس لا يوجب الانفعال شرعاً، كما إذا وقع مقدار قليل من السكر أو غيره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المهم بيان أنّ التغير المأخوذ في لسان الدليل هل هو طريق إلى كم خاص من النجس، ليكون هذا الكم هو الموجب للانفعال، وأنّ التغير بأحد الأوصاف طريق إليه ولا موضوعية له في الحكم بالانفعال، حتى لا يدور الحكم مدار فعلية التغير وهو القول بكفاية التغير التقديري، أو أنّ التغير بنفسه موضوع للحكم بالانفعال، لا أنه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جعل التغير طريقاً إلى كم خاص من النجس وهو الموضع للحكم بالانفعال إحالة إلى أمر مجهول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السيد الخوئي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ينبغي الإشكال في أنّ التغير الدقي الفلسفي الذي لا يدرك بشيء من الحواس لا يوجب الانفعال شرعاً، كما إذا وقع مقدار قليل من السكر أو غيره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المهم بيان أنّ التغير المأخوذ في لسان الدليل هل هو طريق إلى كم خاص من النجس، ليكون هذا الكم هو الموجب للانفعال، وأنّ التغير بأحد الأوصاف طريق إليه ولا موضوعية له في الحكم بالانفعال، حتى لا يدور الحكم مدار فعلية التغير وهو القول بكفاية التغير التقديري، أو أنّ التغير بنفسه موضوع للحكم بالانفعال، لا أنه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جعل التغير طريقاً إلى كم خاص من النجس وهو الموضع للحكم بالانفعال إحالة إلى أمر مجهول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السيد الخوئي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ينبغي الإشكال في أنّ التغير الدقي الفلسفي الذي لا يدرك بشيء من الحواس لا يوجب الانفعال شرعاً، كما إذا وقع مقدار قليل من السكر أو غيره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المهم بيان أنّ التغير المأخوذ في لسان الدليل هل هو طريق إلى كم خاص من النجس، ليكون هذا الكم هو الموجب للانفعال، وأنّ التغير بأحد الأوصاف طريق إليه ولا موضوعية له في الحكم بالانفعال، حتى لا يدور الحكم مدار فعلية التغير وهو القول بكفاية التغير التقديري، أو أنّ التغير بنفسه موضوع للحكم بالانفعال، لا أنه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جعل التغير طريقاً إلى كم خاص من النجس وهو الموضع للحكم بالانفعال إحالة إلى أمر مجهول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الإمناء بالأدوية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الإمناء بالأدوية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وجدت في بعض كتب أصحابنا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من أهل الشام أتى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زوجته،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أبي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بعد ذلك كلاماً نزهت عن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كنتم في دعواكم صادقين فحولني امرأة وحول امرأتي رجلاً، كالمستهزئ في كلامه، فغضب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ونظر إليه شزراً، وحرك شفتيه ودعا بما لم يفهم، ثم نظر إليهما، وأحدّ النظر، فرجع الشامي إلى نفسه وأطرق خجلاً، ووضع يده على وجهه، ثم ولى مسرعاً، وأقبلت امرأته،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صرت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وذهبا حينا من الزمان، ثم عادا إليه وقد ولد لهما مولود، وتضرعا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تائبين ومعتذرين مما فرطا فيه، وطلبا منه انقلابهما إلى حالتهما الأولى، فأجابهما إلى ذلك، ورفع يده،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كانا صادقين في توبتيهما فتب عليهما، وحولهما إلى ما كانا عليه، فرجعا إلى ذلك لا شك فيه ولا شبهة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وجدت في بعض كتب أصحابنا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من أهل الشام أتى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زوجته،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أبي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بعد ذلك كلاماً نزهت عن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كنتم في دعواكم صادقين فحولني امرأة وحول امرأتي رجلاً، كالمستهزئ في كلامه، فغضب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ونظر إليه شزراً، وحرك شفتيه ودعا بما لم يفهم، ثم نظر إليهما، وأحدّ النظر، فرجع الشامي إلى نفسه وأطرق خجلاً، ووضع يده على وجهه، ثم ولى مسرعاً، وأقبلت امرأته،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صرت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وذهبا حينا من الزمان، ثم عادا إليه وقد ولد لهما مولود، وتضرعا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تائبين ومعتذرين مما فرطا فيه، وطلبا منه انقلابهما إلى حالتهما الأولى، فأجابهما إلى ذلك، ورفع يده،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كانا صادقين في توبتيهما فتب عليهما، وحولهما إلى ما كانا عليه، فرجعا إلى ذلك لا شك فيه ولا شبهة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وجدت في بعض كتب أصحابنا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من أهل الشام أتى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زوجته،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أبي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بعد ذلك كلاماً نزهت عن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كنتم في دعواكم صادقين فحولني امرأة وحول امرأتي رجلاً، كالمستهزئ في كلامه، فغضب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ونظر إليه شزراً، وحرك شفتيه ودعا بما لم يفهم، ثم نظر إليهما، وأحدّ النظر، فرجع الشامي إلى نفسه وأطرق خجلاً، ووضع يده على وجهه، ثم ولى مسرعاً، وأقبلت امرأته،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صرت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وذهبا حينا من الزمان، ثم عادا إليه وقد ولد لهما مولود، وتضرعا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تائبين ومعتذرين مما فرطا فيه، وطلبا منه انقلابهما إلى حالتهما الأولى، فأجابهما إلى ذلك، ورفع يده،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كانا صادقين في توبتيهما فتب عليهما، وحولهما إلى ما كانا عليه، فرجعا إلى ذلك لا شك فيه ولا شبهة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إيذاء الحيوان بغير الطرق الواردة شرعاً في مثل ذبح الحيوان المحلل أو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إيذاء الحيوان في الحرم فهو حرام آكد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الاعتبار بقيمة النصاب يوم الإخراج، فلا عبرة بغيره من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اشترك جماعة في الاستخراج بحيث صار المخرج مشتركاً بينهم، فصرح بعض باعتبار بلوغ نصيب كل منهم النصاب، وظاهر الصحيحة عدم اعتبار ذلك</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الاعتبار بقيمة النصاب يوم الإخراج، فلا عبرة بغيره من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اشترك جماعة في الاستخراج بحيث صار المخرج مشتركاً بينهم، فصرح بعض باعتبار بلوغ نصيب كل منهم النصاب، وظاهر الصحيحة عدم اعتبار ذلك</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الاعتبار بقيمة النصاب يوم الإخراج، فلا عبرة بغيره من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اشترك جماعة في الاستخراج بحيث صار المخرج مشتركاً بينهم، فصرح بعض باعتبار بلوغ نصيب كل منهم النصاب، وظاهر الصحيحة عدم اعتبار ذلك</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الاعتبار بقيمة النصاب يوم الإخراج، فلا عبرة بغيره من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اشترك جماعة في الاستخراج بحيث صار المخرج مشتركاً بينهم، فصرح بعض باعتبار بلوغ نصيب كل منهم النصاب، وظاهر الصحيحة عدم اعتبار ذلك</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الاعتبار بقيمة النصاب يوم الإخراج، فلا عبرة بغيره من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اشترك جماعة في الاستخراج بحيث صار المخرج مشتركاً بينهم، فصرح بعض باعتبار بلوغ نصيب كل منهم النصاب، وظاهر الصحيحة عدم اعتبار ذلك</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الاعتبار بقيمة النصاب يوم الإخراج، فلا عبرة بغيره من الأوقات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اشترك جماعة في الاستخراج بحيث صار المخرج مشتركاً بينهم، فصرح بعض باعتبار بلوغ نصيب كل منهم النصاب، وظاهر الصحيحة عدم اعتبار ذلك</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تكبير وتصغير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تكبير وتصغير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قَالَ مُوسَى لِقَوْمِهِ إِنَّ اللّهَ يَأْمُرُكُمْ أَنْ تَذْبَحُواْ بَقَرَةً قَالُواْ أَتَتَّخِذُنَا هُزُواً قَالَ أَعُوذُ بِاللّهِ أَنْ أَكُونَ مِنَ الْجَاهِلِينَ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ادْعُ لَنَا رَبَّكَ يُبَيِّن لّنَا مَا هِيَ قَالَ إِنَّهُ يَقُولُ إِنَّهَا بَقَرَةٌ لاَّ فَارِضٌ وَلاَ بِكْرٌ عَوَانٌ بَيْنَ ذَلِكَ فَافْعَلُواْ مَا تُؤْمَرونَ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ادْعُ لَنَا رَبَّكَ يُبَيِّن لَّنَا مَا لَوْنُهَا قَالَ إِنَّهُ يَقُولُ إِنّهَا بَقَرَةٌ صَفْرَاء فَاقِعٌ لَّوْنُهَا تَسُرُّ النَّاظِرِينَ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ادْعُ لَنَا رَبَّكَ يُبَيِّن لَّنَا مَا هِيَ إِنَّ البَقَرَ تَشَابَهَ عَلَيْنَا وَإِنَّا إِن شَاء اللَّهُ لَمُهْتَدُونَ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إِنَّهُ يَقُولُ إِنَّهَا بَقَرَةٌ لاَّ ذَلُولٌ تُثِيرُ الأَرْضَ وَلاَ تَسْقِي الْحَرْثَ مُسَلَّمَةٌ لاَّ شِيَةَ فِيهَا قَالُواْ الآنَ جِئْتَ بِالْحَقِّ فَذَبَحُوهَا وَمَا كَادُواْ يَفْعَلُونَ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قَتَلْتُمْ نَفْساً فَادَّارَأْتُمْ فِيهَا وَاللّهُ مُخْرِجٌ مَّا كُنتُمْ تَكْتُمُونَ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اضْرِبُوهُ بِبَعْضِهَا كَذَلِكَ يُحْيِي اللّهُ الْمَوْتَى وَيُرِيكُمْ آيَاتِهِ لَعَلَّكُمْ تَعْقِلُونَ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قَالَ مُوسَى لِقَوْمِهِ إِنَّ اللّهَ يَأْمُرُكُمْ أَنْ تَذْبَحُواْ بَقَرَةً قَالُواْ أَتَتَّخِذُنَا هُزُواً قَالَ أَعُوذُ بِاللّهِ أَنْ أَكُونَ مِنَ الْجَاهِلِينَ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ادْعُ لَنَا رَبَّكَ يُبَيِّن لّنَا مَا هِيَ قَالَ إِنَّهُ يَقُولُ إِنَّهَا بَقَرَةٌ لاَّ فَارِضٌ وَلاَ بِكْرٌ عَوَانٌ بَيْنَ ذَلِكَ فَافْعَلُواْ مَا تُؤْمَرونَ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ادْعُ لَنَا رَبَّكَ يُبَيِّن لَّنَا مَا لَوْنُهَا قَالَ إِنَّهُ يَقُولُ إِنّهَا بَقَرَةٌ صَفْرَاء فَاقِعٌ لَّوْنُهَا تَسُرُّ النَّاظِرِينَ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ادْعُ لَنَا رَبَّكَ يُبَيِّن لَّنَا مَا هِيَ إِنَّ البَقَرَ تَشَابَهَ عَلَيْنَا وَإِنَّا إِن شَاء اللَّهُ لَمُهْتَدُونَ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إِنَّهُ يَقُولُ إِنَّهَا بَقَرَةٌ لاَّ ذَلُولٌ تُثِيرُ الأَرْضَ وَلاَ تَسْقِي الْحَرْثَ مُسَلَّمَةٌ لاَّ شِيَةَ فِيهَا قَالُواْ الآنَ جِئْتَ بِالْحَقِّ فَذَبَحُوهَا وَمَا كَادُواْ يَفْعَلُونَ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قَتَلْتُمْ نَفْساً فَادَّارَأْتُمْ فِيهَا وَاللّهُ مُخْرِجٌ مَّا كُنتُمْ تَكْتُمُونَ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اضْرِبُوهُ بِبَعْضِهَا كَذَلِكَ يُحْيِي اللّهُ الْمَوْتَى وَيُرِيكُمْ آيَاتِهِ لَعَلَّكُمْ تَعْقِلُونَ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نهى عن قتل كل ذي روح إلا أن يؤذي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نهى عن قتل كل ذي روح إلا أن يؤذي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 الوجود خير والعدم 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خير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تأملنا كل ما يقال له خير وجدناه وجوداً، وإذا تأملنا ما يقال له شر وجدناه عدماً، ألا ترى القتل فإنّ العقلاء حكموا بكونه شراً، وإذا تأملناه وجدنا شريته باعتبار ما يتضمن من العدم، فإنّه ليس شراً من حيث قدرة القادر عليه، فإن القدرة كمال الإنسان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الربيع صاحب المنصور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المنصور يوماً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على المنصور ذباب فذبه عنه، ثم وقع عليه فذبه عنه، ثم وقع عليه فذبه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لأي شيء خلق اللّه تعالى الذباب؟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ليذل به الجبارين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جَعَلَ لَكُمُ الأَرْضَ فِرَاشاً وَالسَّمَاء بِنَاء وَأَنزَلَ مِنَ السَّمَاءِ مَاءً فَأَخْرَجَ بِهِ مِنَ الثَّمَرَاتِ رِزْقاً لَّكُمْ فَلاَ تَجْعَلُواْ لِلّهِ أَندَاداً وَأَنتُمْ تَعْلَمُونَ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مسكين ابن آدم مكتوم الأجل، مكنون العلل، محفوظ العمل، تؤلمه البقة، وتقتله الشرقة، وتنتنه العرقة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الربيع صاحب المنصور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المنصور يوماً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على المنصور ذباب فذبه عنه، ثم وقع عليه فذبه عنه، ثم وقع عليه فذبه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لأي شيء خلق اللّه تعالى الذباب؟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ليذل به الجبارين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جَعَلَ لَكُمُ الأَرْضَ فِرَاشاً وَالسَّمَاء بِنَاء وَأَنزَلَ مِنَ السَّمَاءِ مَاءً فَأَخْرَجَ بِهِ مِنَ الثَّمَرَاتِ رِزْقاً لَّكُمْ فَلاَ تَجْعَلُواْ لِلّهِ أَندَاداً وَأَنتُمْ تَعْلَمُونَ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مسكين ابن آدم مكتوم الأجل، مكنون العلل، محفوظ العمل، تؤلمه البقة، وتقتله الشرقة، وتنتنه العرقة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الربيع صاحب المنصور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المنصور يوماً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على المنصور ذباب فذبه عنه، ثم وقع عليه فذبه عنه، ثم وقع عليه فذبه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لأي شيء خلق اللّه تعالى الذباب؟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ليذل به الجبارين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مسكين ابن آدم مكتوم الأجل، مكنون العلل، محفوظ العمل، تؤلمه البقة، وتقتله الشرقة، وتنتنه العرقة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الربيع صاحب المنصور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المنصور يوماً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على المنصور ذباب فذبه عنه، ثم وقع عليه فذبه عنه، ثم وقع عليه فذبه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لأي شيء خلق اللّه تعالى الذباب؟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ليذل به الجبارين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جَعَلَ لَكُمُ الأَرْضَ فِرَاشاً وَالسَّمَاء بِنَاء وَأَنزَلَ مِنَ السَّمَاءِ مَاءً فَأَخْرَجَ بِهِ مِنَ الثَّمَرَاتِ رِزْقاً لَّكُمْ فَلاَ تَجْعَلُواْ لِلّهِ أَندَاداً وَأَنتُمْ تَعْلَمُونَ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الفردوس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ورد في خصوص الأكل في المخمصة جواز تناول ما يتوقف حفظ النفس المحترمة عليه، ولكن مع ضمانه بالمثل أو القيمة كما ربما يستشعر ذلك من الآية الشريفة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الفردوس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ورد في خصوص الأكل في المخمصة جواز تناول ما يتوقف حفظ النفس المحترمة عليه، ولكن مع ضمانه بالمثل أو القيمة كما ربما يستشعر ذلك من الآية الشريفة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الفردوس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ورد في خصوص الأكل في المخمصة جواز تناول ما يتوقف حفظ النفس المحترمة عليه، ولكن مع ضمانه بالمثل أو القيمة كما ربما يستشعر ذلك من الآية الشريفة</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 على أموالهم وأنفسهم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فقهية مشهورة تطرّق إليها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هناك تدرج في الأمر والنهي بين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التقطيب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واليد؟ وهل هناك تدرج في كل مرتبة شروعاً بالايسر وانتهاءً بالأصعب،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التقطيب القليل مقدم على التقطيب الكثير، وكل مراتب التقطيب مقدمة على اللسان، ثم كل مراتب اللسان مقدمة على اليد، قال بذلك جمع من الفقهاء، واستدلوا لذلك بأمرين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والنهي على خلاف الأصل، فيقتضي فيهما على قدره كالضرورة التي تقدر بقدرها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أمرنا رسول اللّه أن نلاقي أهل المعاصي بوجوه مكفهرة، مما يدل على أنه مقدم على اللسان واليد، وهذا القول نسب إلى الشهرة، بل ربما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يوجد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قول ثانٍ ذهب إليه بعض هو عدم الترتيب مطلقاً، لا بين الأفراد الثلاثة، ولا في المراتب لكل فرد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 على أموالهم وأنفسهم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فقهية مشهورة تطرّق إليها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 على أموالهم وأنفسهم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فقهية مشهورة تطرّق إليها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هناك تدرج في الأمر والنهي بين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التقطيب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واليد؟ وهل هناك تدرج في كل مرتبة شروعاً بالايسر وانتهاءً بالأصعب،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التقطيب القليل مقدم على التقطيب الكثير، وكل مراتب التقطيب مقدمة على اللسان، ثم كل مراتب اللسان مقدمة على اليد، قال بذلك جمع من الفقهاء، واستدلوا لذلك بأمرين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والنهي على خلاف الأصل، فيقتضي فيهما على قدره كالضرورة التي تقدر بقدرها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أمرنا رسول اللّه أن نلاقي أهل المعاصي بوجوه مكفهرة، مما يدل على أنه مقدم على اللسان واليد، وهذا القول نسب إلى الشهرة، بل ربما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يوجد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قول ثانٍ ذهب إليه بعض هو عدم الترتيب مطلقاً، لا بين الأفراد الثلاثة، ولا في المراتب لكل فرد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هناك تدرج في الأمر والنهي بين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التقطيب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واليد؟ وهل هناك تدرج في كل مرتبة شروعاً بالايسر وانتهاءً بالأصعب،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التقطيب القليل مقدم على التقطيب الكثير، وكل مراتب التقطيب مقدمة على اللسان، ثم كل مراتب اللسان مقدمة على اليد، قال بذلك جمع من الفقهاء، واستدلوا لذلك بأمرين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والنهي على خلاف الأصل، فيقتضي فيهما على قدره كالضرورة التي تقدر بقدرها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أمرنا رسول اللّه أن نلاقي أهل المعاصي بوجوه مكفهرة، مما يدل على أنه مقدم على اللسان واليد، وهذا القول نسب إلى الشهرة، بل ربما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يوجد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قول ثانٍ ذهب إليه بعض هو عدم الترتيب مطلقاً، لا بين الأفراد الثلاثة، ولا في المراتب لكل فرد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يونس بن عبد الرحمن،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ماء البحر أطهور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يونس بن عبد الرحمن،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ماء البحر أطهور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 الشبهة في حدود المفهوم على نحو يوجب الشك في صدقه على بعض الأفراد، كما لو كان الماء المطلق واضحاً مفهوماً، اذ يعرف معناه العرف وكذا الماء المضاف، وانما يقع الشك في بعض المصاديق كالماء المخلوط بالطين الكثير، فإن حد المطلق وحد المضاف غير واضح؛ ولذا يشك في أن هذا الفرد من المخلوط بالطين مطلق أو مضاف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يونس بن عبد الرحمن،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ماء البحر أطهور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مشاهدة المهرجانات من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المظاهرات والمسيرات الشعبية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المظاهرات والمسيرات الشعبية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روي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اجتمعوا إليه بالكوفة فسألوه أن ينصب له إماماً يصلي بهم نافلة شهر رمضان زجرهم، وعرفهم أن ذلك خلاف السنة، فتركوه واجتمعوا لأنفسهم وقدموا بعضهم، فبعث إليهم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عليهم المسجد ومعه الدرة، فلما رأوه تبادروا الأبواب وصاحوا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عمراه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روي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اجتمعوا إليه بالكوفة فسألوه أن ينصب له إماماً يصلي بهم نافلة شهر رمضان زجرهم، وعرفهم أن ذلك خلاف السنة، فتركوه واجتمعوا لأنفسهم وقدموا بعضهم، فبعث إليهم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عليهم المسجد ومعه الدرة، فلما رأوه تبادروا الأبواب وصاحوا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عمراه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إذا كنت في 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غريباً فعاشر بآدابها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إذا كنت في 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غريباً فعاشر بآدابها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يجوز للإنسان أن يلبس لباس الشهرة مما يوجب ازدراء الناس به، واشتهاره بعدم المبالاة، وعدم المروءة وما أشبه ذلك، وفي صحيح بن أبي عمير، عن أبي أيوب الخزار،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يبغض شهرة اللباس</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ابن بكير،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نمر بالمال على العشار، فيطلبون منّا أن نحلف لهم ويخلون سبيلنا، ولا يرضون منّا إلا بذلك،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فاحلف لهم فهو أحل من التمر والزبد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إذا كنت في 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غريباً فعاشر بآدابها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يجوز للإنسان أن يلبس لباس الشهرة مما يوجب ازدراء الناس به، واشتهاره بعدم المبالاة، وعدم المروءة وما أشبه ذلك، وفي صحيح بن أبي عمير، عن أبي أيوب الخزار،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يبغض شهرة اللباس</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لبس لباس الشهرة بأن يلبس خلاف زيه من حيث جنس اللباس، أو من حيث لونه، أو من حيث وضعه وتفصيله وخياطته، كأن يلبس العالم لباس الجندي أو بالعكس مثلاً، وكذا يحرم على الأحوط لبس الرجال ما يختص بالنساء وبالعكس، والأحوط ترك الصلاة فيهما، وإن كان الأقوى عدم البطلان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 بني أمية وجدوا مَنْ يكتب لهم، ويجبي لهم الفيء، ويقاتل عنهم، ويشهد جماعتهم، لما سلبونا حقنا، ولو تركهم الناس وما في أيديهم ما وجدوا شيئاً إلا ما وقع في أيديهم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 بني أمية وجدوا مَنْ يكتب لهم، ويجبي لهم الفيء، ويقاتل عنهم، ويشهد جماعتهم، لما سلبونا حقنا، ولو تركهم الناس وما في أيديهم ما وجدوا شيئاً إلا ما وقع في أيديهم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 بني أمية وجدوا مَنْ يكتب لهم، ويجبي لهم الفيء، ويقاتل عنهم، ويشهد جماعتهم، لما سلبونا حقنا، ولو تركهم الناس وما في أيديهم ما وجدوا شيئاً إلا ما وقع في أيديهم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زرارة،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 أنّي أكره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استعان بقوم حتى إذا ظفر بعدوه قتلهم لضربت أعناق قوم كثير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زرارة،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لولا أنّي أكره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استعان بقوم حتى إذا ظفر بعدوه قتلهم لضربت أعناق قوم كثير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قومك حديثو عهد بالجاهلية لهدمت الكعبة وبنيتها على قواعد إبراهيم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البيع،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البيع،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قاعدة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هو الرسائل العملية للعلماء</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قاعدة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قاعدة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هو الرسائل العملية للعلماء</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هو الرسائل العملية للعلماء</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سنان بن طريف مولى بني هاشم، يقال مولى بني أبي طالب، ويقال مولى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خازنا للمنصور والمهدي والهادي والرشيد، كوفي، ثقة، من أصحابنا، جليل، لا يطعن عليه في شيء</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سنان بن طريف مولى بني هاشم، يقال مولى بني أبي طالب، ويقال مولى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خازنا للمنصور والمهدي والهادي والرشيد، كوفي، ثقة، من أصحابنا، جليل، لا يطعن عليه في شيء</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إسماعيل، عن محمد بن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 بن يقطين كتب إلى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يسأله عن الوضوء؟ فكتب إليه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فهمت ما ذكرت من الاختلاف في الوضوء، والذي آمرك به في ذلك أن تمضمض ثلاثاً، وتستنشق ثلاثاً، وتغسل وجهك ثلاثاً، وتخلل شعر لحيتك وتغسل يديك إلى المرفقين ثلاثاً، وتمسح رأسك كله، وتمسح ظاهر أذنيك وباطنهما، وتغسل رجليك إلى الكعبين ثلاثاً، ولا تخالف ذلك إلى غيره، فلما وصل الكتاب إلى علي بن يقطين تعجب مما رسم له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مما جميع العصابة على خلافه،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مولاي أعلم بما قال، وأنا أمتثل أمره فكان يعمل في وضوئه على هذا الحد، ويخالف ما عليه جميع الشيعة امتثالاً لأمر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وسعي بعلي بن يقطين إلى الرشيد،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رافضي فامتحنه الرشيد من حيث لا يشعر، فلما نظر إلى وضوئه ناداه كذب يا علي بن يقطين من زعم أنك من الرافضة وصلحت حاله عنده، وورد عليه كتاب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 من الآن يا علي بن يقطين وتوضأ كما أمرك اللّه تعالى، اغسل وجهك مرة فريضة، وأخرى إسباغاً، واغسل يديك من المرفقين كذلك وامسح بمقدم رأسك وظاهر قدميك من فضل نداوة وضوئك، فقد زال ما كنا نخاف منه عليك والسلام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الولاية من قبل الجائر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صيرورته والياً على قوم منصوباً من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محرمة؛ لأنّ الوالي من أعظم الأعوان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سنان بن طريف مولى بني هاشم، يقال مولى بني أبي طالب، ويقال مولى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خازنا للمنصور والمهدي والهادي والرشيد، كوفي، ثقة، من أصحابنا، جليل، لا يطعن عليه في شيء</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داود بن سرحان،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الحسنات، ويرفع لكم به الدرجات في الآخرة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التسلسل في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الاحتيال للإنقاذ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الضعف ودنو الهمّة وتعني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الهرمة 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الضروريات لا حاجة إلى التقليد، كوجوب الصلاة والصوم ونحوهما، وكذا في اليقينيات إذا حصل له اليقين</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الاحتيال للإنقاذ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الاحتيال للإنقاذ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الضعف ودنو الهمّة وتعني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الهرمة 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الضعف ودنو الهمّة وتعني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الهرمة 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الضروريات لا حاجة إلى التقليد، كوجوب الصلاة والصوم ونحوهما، وكذا في اليقينيات إذا حصل له اليقين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الضروريات لا حاجة إلى التقليد، كوجوب الصلاة والصوم ونحوهما، وكذا في اليقينيات إذا حصل له اليقين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فيها إلى رواة حديثنا، فإنهم حجتي عليكم وأنا حجة اللّه عليهم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الاجتهاد والتقليد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الاجتهاد والتقليد،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كتاب النكاح،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كتاب الصلاة، للشيخ عبد الكريم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كتاب الصلاة، للكاظمي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كتاب النكاح،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كتاب الصلاة، للشيخ عبد الكريم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كتاب الصلاة، للكاظمي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قُلْ ِلأَزْوَاجِكَ وَبَنَاتِكَ وَنِسَاءِ الْمُؤْمِنِينَ يُدْنِينَ عَلَيْهِنَّ مِنْ جَلاَبِيبِهِنَّ ذَلِكَ أَدْنَى أَنْ يُعْرَفْنَ فَلاَ يُؤْذَيْنَ وَكَانَ اللَّهُ غَفُوراً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قُلْ ِلأَزْوَاجِكَ وَبَنَاتِكَ وَنِسَاءِ الْمُؤْمِنِينَ يُدْنِينَ عَلَيْهِنَّ مِنْ جَلاَبِيبِهِنَّ ذَلِكَ أَدْنَى أَنْ يُعْرَفْنَ فَلاَ يُؤْذَيْنَ وَكَانَ اللَّهُ غَفُوراً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الجنود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الجنود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الجنود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الجنود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الجنود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الجنود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الجنود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الجنود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الجنود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أربعة قد يجب عليهم التمام، في السفر كانوا أو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المكاري والكري والراعي والاشتقان؛ لأنّه عملهم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والاشتقان هو أمين البيدر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الحملدار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الحملدار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الحملدار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الحملدار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الحملدار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الحملدار وكيفية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السيد البجنوردي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السيد البجنوردي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السيد البجنوردي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جمارك ولا تهريب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جمارك ولا تهريب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موضع فهو أحق به في يومه وليلته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تبين خطأ القاضي في دم أو قطع عضو أو مال، فإن لم يجر الحكم بعد في الأولين يمنع من إجرائه، أو كانت العين باقية في الثالث ولو عند المحكوم له فتسترد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الحكم من القاضي بعد بذل جهده فلا ضمان عليه أصلاً، للأصل وعدم الدليل، بل على بيت المال إن كان في دم أو قطع، لرواية الأصبغ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أخطأت القضاة في دم أو قطع فعلى بيت مال المسلمين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موضع فهو أحق به في يومه وليلته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تبين خطأ القاضي في دم أو قطع عضو أو مال، فإن لم يجر الحكم بعد في الأولين يمنع من إجرائه، أو كانت العين باقية في الثالث ولو عند المحكوم له فتسترد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الحكم من القاضي بعد بذل جهده فلا ضمان عليه أصلاً، للأصل وعدم الدليل، بل على بيت المال إن كان في دم أو قطع، لرواية الأصبغ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أخطأت القضاة في دم أو قطع فعلى بيت مال المسلمين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تبين خطأ القاضي في دم أو قطع عضو أو مال، فإن لم يجر الحكم بعد في الأولين يمنع من إجرائه، أو كانت العين باقية في الثالث ولو عند المحكوم له فتسترد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الحكم من القاضي بعد بذل جهده فلا ضمان عليه أصلاً، للأصل وعدم الدليل، بل على بيت المال إن كان في دم أو قطع، لرواية الأصبغ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أخطأت القضاة في دم أو قطع فعلى بيت مال المسلمين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موضع فهو أحق به في يومه وليلته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مسلم، وزرارة عنهما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أمير المؤمنين صلوات اللّه عليه على الخيل العتاق الراعية في كل فرس في كل عام دينارين، وجعل على البراذين ديناراً</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معروف، وهو ممّا وضعه علماء الهند من الأمثال والأحاديث علی أفواه البهائم والطّير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مسلم، وزرارة عنهما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أمير المؤمنين صلوات اللّه عليه على الخيل العتاق الراعية في كل فرس في كل عام دينارين، وجعل على البراذين ديناراً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مسلم، وزرارة عنهما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أمير المؤمنين صلوات اللّه عليه على الخيل العتاق الراعية في كل فرس في كل عام دينارين، وجعل على البراذين ديناراً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معروف، وهو ممّا وضعه علماء الهند من الأمثال والأحاديث علی أفواه البهائم والطّير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معروف، وهو ممّا وضعه علماء الهند من الأمثال والأحاديث علی أفواه البهائم والطّير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جمارك ولا تهريب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جمارك ولا تهريب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جمارك ولا تهريب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العسكرية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العسكرية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العسكرية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العسكرية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العسكرية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مفيد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والتوى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المال،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توى المال بالكسر يتوى توى، وأتواه غيره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والتوى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المال،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توى المال بالكسر يتوى توى، وأتواه غيره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حبس الحر مدة لها أجرة عادة لم يضمن أجرته إذا لم يستعمله؛ لأن منافع الحر لا تدخل تحت اليد تبعاً له، سواء كان قد استأجره لعمل فاعتقله ولم يستعمله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قد استأجره مدة معينة فمضت زمن اعتقاله وهو باذل نفسه للعمل استقرت الأجرة لذلك، لا للغصب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شرح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إذا حبس العبد فإنه يضمن منفعته، دون ما إذا حبس الحر فإنه لا يضمن إلا إذا كان أجيراً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مسألة عدم الضمان في حبس الحرّ فهي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الحرّ المحبوس إن كان كسوباً، كالبنّاء الذي خرج من داره للبناية وهو معدّ نفسه لعمل البناية أو غيرها، كالنجارة أو التجارة أو غيرهما، فلا مانع من أن يكون الحابس ضامناً لما فوّته عليه من عمله يوماً أو أكثر؛ إذ يصدق عليه عرفاً أنّه أتلف عليه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لم يكن كسوباً ولم يكن له شغل لتحصيل المال كالطلاّب ونحوهم فلا وجه للحكم بالضمان في مثله؛ إذ لا وجه للضمان إلاّ من جهة قاعدة من أتلف، ولا إتلاف في المقام؛ إذ لم يوجب حبسه تفويت عمله الذي يعطى بإزائه المال إذ لو لم يحبسه أيضاً لم يكن يصدر منه عمل بإزائه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فلا مقتضي للحكم بالضمان حينئذ</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حبس الحر مدة لها أجرة عادة لم يضمن أجرته إذا لم يستعمله؛ لأن منافع الحر لا تدخل تحت اليد تبعاً له، سواء كان قد استأجره لعمل فاعتقله ولم يستعمله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قد استأجره مدة معينة فمضت زمن اعتقاله وهو باذل نفسه للعمل استقرت الأجرة لذلك، لا للغصب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شرح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إذا حبس العبد فإنه يضمن منفعته، دون ما إذا حبس الحر فإنه لا يضمن إلا إذا كان أجيراً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مسألة عدم الضمان في حبس الحرّ فهي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الحرّ المحبوس إن كان كسوباً، كالبنّاء الذي خرج من داره للبناية وهو معدّ نفسه لعمل البناية أو غيرها، كالنجارة أو التجارة أو غيرهما، فلا مانع من أن يكون الحابس ضامناً لما فوّته عليه من عمله يوماً أو أكثر؛ إذ يصدق عليه عرفاً أنّه أتلف عليه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لم يكن كسوباً ولم يكن له شغل لتحصيل المال كالطلاّب ونحوهم فلا وجه للحكم بالضمان في مثله؛ إذ لا وجه للضمان إلاّ من جهة قاعدة من أتلف، ولا إتلاف في المقام؛ إذ لم يوجب حبسه تفويت عمله الذي يعطى بإزائه المال إذ لو لم يحبسه أيضاً لم يكن يصدر منه عمل بإزائه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فلا مقتضي للحكم بالضمان حينئذ</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حبس الحر مدة لها أجرة عادة لم يضمن أجرته إذا لم يستعمله؛ لأن منافع الحر لا تدخل تحت اليد تبعاً له، سواء كان قد استأجره لعمل فاعتقله ولم يستعمله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قد استأجره مدة معينة فمضت زمن اعتقاله وهو باذل نفسه للعمل استقرت الأجرة لذلك، لا للغصب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شرح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إذا حبس العبد فإنه يضمن منفعته، دون ما إذا حبس الحر فإنه لا يضمن إلا إذا كان أجيراً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المكاسب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مسألة عدم الضمان في حبس الحرّ فهي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الحرّ المحبوس إن كان كسوباً، كالبنّاء الذي خرج من داره للبناية وهو معدّ نفسه لعمل البناية أو غيرها، كالنجارة أو التجارة أو غيرهما، فلا مانع من أن يكون الحابس ضامناً لما فوّته عليه من عمله يوماً أو أكثر؛ إذ يصدق عليه عرفاً أنّه أتلف عليه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لم يكن كسوباً ولم يكن له شغل لتحصيل المال كالطلاّب ونحوهم فلا وجه للحكم بالضمان في مثله؛ إذ لا وجه للضمان إلاّ من جهة قاعدة من أتلف، ولا إتلاف في المقام؛ إذ لم يوجب حبسه تفويت عمله الذي يعطى بإزائه المال إذ لو لم يحبسه أيضاً لم يكن يصدر منه عمل بإزائه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فلا مقتضي للحكم بالضمان حينئذ</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الصوم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الصوم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الإنجاب</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الإنجاب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الدعاء فيه بالفارسية ونحوها من اللغات غير العربية، وإن كان لا يتحقق وظيفة القنوت إلا بالعربي، وكذا في سائر أحوال الصلاة وأذكارها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الأذكار المخصوصة لا يجوز إتيانها بغير العربي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الدعاء فيه بالفارسية ونحوها من اللغات غير العربية، وإن كان لا يتحقق وظيفة القنوت إلا بالعربي، وكذا في سائر أحوال الصلاة وأذكارها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الأذكار المخصوصة لا يجوز إتيانها بغير العربي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الدعاء فيه بالفارسية ونحوها من اللغات غير العربية، وإن كان لا يتحقق وظيفة القنوت إلا بالعربي، وكذا في سائر أحوال الصلاة وأذكارها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الأذكار المخصوصة لا يجوز إتيانها بغير العربي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الدعاء فيه بالفارسية ونحوها من اللغات غير العربية، وإن كان لا يتحقق وظيفة القنوت إلا بالعربي، وكذا في سائر أحوال الصلاة وأذكارها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الأذكار المخصوصة لا يجوز إتيانها بغير العربي</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الدعاء فيه بالفارسية ونحوها من اللغات غير العربية، وإن كان لا يتحقق وظيفة القنوت إلا بالعربي، وكذا في سائر أحوال الصلاة وأذكارها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الأذكار المخصوصة لا يجوز إتيانها بغير العربي</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 الظلم، ومنه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سعد بن طريف،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يغفره اللّه، وظلم لا يغفره اللّه، وظلم لا يدعه اللّه، فأما الظلم الذي لا يغفره فالشرك، وأما الظلم الذي يغفره فظلم الرجل نفسه فيما بينه وبين اللّه، وأما الظلم الذي لا يدعه فالمداينة بين العباد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 الظلم، ومنه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سعد بن طريف،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يغفره اللّه، وظلم لا يغفره اللّه، وظلم لا يدعه اللّه، فأما الظلم الذي لا يغفره فالشرك، وأما الظلم الذي يغفره فظلم الرجل نفسه فيما بينه وبين اللّه، وأما الظلم الذي لا يدعه فالمداينة بين العباد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 الظلم، ومنه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سعد بن طريف،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يغفره اللّه، وظلم لا يغفره اللّه، وظلم لا يدعه اللّه، فأما الظلم الذي لا يغفره فالشرك، وأما الظلم الذي يغفره فظلم الرجل نفسه فيما بينه وبين اللّه، وأما الظلم الذي لا يدعه فالمداينة بين العباد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ظاهر الأخبار اختصاص حرمة الغيبة بالمؤمن، فيجوز اغتياب المخالف</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ظاهر الأخبار اختصاص حرمة الغيبة بالمؤمن، فيجوز اغتياب المخالف</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ظاهر الأخبار اختصاص حرمة الغيبة بالمؤمن، فيجوز اغتياب المخالف</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عاد بن عوص بن إرم بن سام بن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النسب، لا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أبلغ في الحجة عليهم، إذا اختار الرسالة إليهم من هو من قبيلتهم، ليكونوا إليه أسكن، وبه آنس</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فقهية معروفة وصدرها رواية،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الناس مسلطون على أموالهم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فقهية معروفة وصدرها رواية،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الناس مسلطون على أموالهم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فقهية معروفة وصدرها رواية،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الناس مسلطون على أموالهم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الدولة الإسلامية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التعذيب بالوسائل القديمة والحديثة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التعذيب بالوسائل القديمة والحديثة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التعذيب بالوسائل القديمة والحديثة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التعذيب بالوسائل القديمة والحديثة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التعذيب بالوسائل القديمة والحديثة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للسيد البجنوردي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المفقود الّذي لم يعلم خبره وأنّه حيّ أو ميّت، إذا لم يمكن إعمال الكيفيّات المذكورة في تخليص زوجته لمانع من الموانع ولو من جهة عدم النفقة لها في المدّة المضروبة، وعدم وجود باذل من متبرّع أو من وليّ الزوج، لا يبعد جواز طلاقها للحاكم الشرعي مع مطالبتها وعدم صبرها، بل وكذا المفقود المعلوم حياته مع عدم تمكّن زوجته من الصبر، بل وفي غير المفقود ممّن علم أنّه محبوس في مكان لا يمكن مجيؤه أبداً، وكذا في الحاضر المعسر الّذي لا يتمكّن من الإنفاق مع عدم صبر زوجته على هذه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جميع هذه الصور وأشباهها وإن كان ظاهر كلماتهم عدم جواز فكّها وطلاقها للحاكم؛ لأنّ الطلاق بيد من أخذ بالساق، إلاّ أنّه يمكن أن يقال بجوازه، لقاعدة نفي الحرج والضرر خصوصاً إذا كانت شابّة واستلزم صبرها طول عمرها وقوعها في مشقّة شديدة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للسيد البجنوردي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التنقيح في شرح المكاسب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مسألة عدم الضمان في حبس الحرّ فهي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الحرّ المحبوس إن كان كسوباً، كالبنّاء الذي خرج من داره للبناية، وهو معدّ نفسه لعمل البناية أو غيرها، كالنجارة أو التجارة أو غيرهما، فلا مانع من أن يكون الحابس ضامناً لما فوّته عليه من عمله يوماً أو أكثر؛ إذ يصدق عليه عرفاً أنّه أتلف عليه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لم يكن كسوباً ولم يكن له شغل لتحصيل المال، كالطلاّب ونحوهم، فلا وجه للحكم بالضمان في مثله؛ إذ لا وجه للضمان إلاّ من جهة قاعدة من أتلف، ولا إتلاف في المقام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المحجوز إذا فاتته منافعه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التنقيح في شرح المكاسب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مسألة عدم الضمان في حبس الحرّ فهي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الحرّ المحبوس إن كان كسوباً، كالبنّاء الذي خرج من داره للبناية، وهو معدّ نفسه لعمل البناية أو غيرها، كالنجارة أو التجارة أو غيرهما، فلا مانع من أن يكون الحابس ضامناً لما فوّته عليه من عمله يوماً أو أكثر؛ إذ يصدق عليه عرفاً أنّه أتلف عليه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لم يكن كسوباً ولم يكن له شغل لتحصيل المال، كالطلاّب ونحوهم، فلا وجه للحكم بالضمان في مثله؛ إذ لا وجه للضمان إلاّ من جهة قاعدة من أتلف، ولا إتلاف في المقام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المحجوز إذا فاتته منافعه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القواعد الفقهية، بحث قاعدة العدل،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وقد تقدم في المسألة السابقة، فلاحظ</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وقد تقدم في المسألة السابقة، فلاحظ</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وقد تقدم في المسألة السابقة، فلاحظ</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 السيد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علم المكلف أن أعماله التي أتى بها من دون تقليد أو عن التقليد غير الصحيح مخالفة للواقع حسب فتوى المجتهد الذي يجب أن يقلده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ووجبت عليه إعادتها أو قضاؤها، حتى إذا كانت المخالفة في غير الأركان؛ لما تقدم من أن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تعاد غير شامل للجاهل المقصر وإن اعتقد صحة عمله، فإن علم بالمقدار الذي تجب إعادته أو قضاؤه فهو، وأما إذا شك في مقداره وترددت الفائتة وأعماله المحكومة بالبطلان بين الأقل والأكثر، فهل يجوز أن يقتصر في قضائها بالمقدار المتيقن ويدع قضاء ما يشك في فوته وبطلانه أو لا بد من أن يأتي بمقدار يظن معه بالبراءة أو بمقدار يتيقن معه بالفراغ؟ فيه وجوه وأقوال ذهب إلى كل فريق</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غاية المراد في شرح نكت 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غاية المراد في شرح نكت 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غاية المراد في شرح نكت 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التعذيب بالوسائل القديمة والحديثة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غاية المراد في شرح نكت الإرشاد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المحجوز إذا فاتته منافعه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المحجوز إذا فاتته منافعه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المحجوز إذا فاتته منافعه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المحجوز إذا فاتته منافعه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المحجوز إذا فاتته منافعه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المحجوز إذا فاتته منافعه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الديات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الديات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لا تقدير فيه شرعاً، ففيه الأرش، ويسمى بالحكومة؛ لأن قدر الأرش يعتبر بها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الديات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الديات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الديات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لا تقدير فيه شرعاً، ففيه الأرش، ويسمى بالحكومة؛ لأن قدر الأرش يعتبر بها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الديات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لا تقدير فيه شرعاً، ففيه الأرش، ويسمى بالحكومة؛ لأن قدر الأرش يعتبر بها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 والدولة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 والدولة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الصوم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لا يلزم أن يشهد الشاهدان عنده، بل إذا علم برؤية الشاهدين العادلين كفى؛ لوضوح أن الشهادة طريقية لا موضوعية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الصوم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لا يلزم أن يشهد الشاهدان عنده، بل إذا علم برؤية الشاهدين العادلين كفى؛ لوضوح أن الشهادة طريقية لا موضوعية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 عن علي بن محمد القاشاني،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إليه وأنا بالمدينة أسأله عن اليوم الذي يشك فيه من شهر رمضان هل يصام أم لا؟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لا يدخل فيه الشك، صم للرؤية وأفطر للرؤية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 عن علي بن محمد القاشاني،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إليه وأنا بالمدينة أسأله عن اليوم الذي يشك فيه من شهر رمضان هل يصام أم لا؟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لا يدخل فيه الشك، صم للرؤية وأفطر للرؤية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الصوم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لا يلزم أن يشهد الشاهدان عنده، بل إذا علم برؤية الشاهدين العادلين كفى؛ لوضوح أن الشهادة طريقية لا موضوعية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الشيخ التبريزي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حصل الاطمئنان الشخصي بصحة الحسابات الفلكية لتوليد الهلال، فهل يمكن الاعتماد على هذا الاطمئنان في إثبات أول الشهر أو العيد مثلاً؟ وخاصة إذا صدرت عن أهل الخبرة في هذا المجال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الشيخ التبريزي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حصل الاطمئنان الشخصي بصحة الحسابات الفلكية لتوليد الهلال، فهل يمكن الاعتماد على هذا الاطمئنان في إثبات أول الشهر أو العيد مثلاً؟ وخاصة إذا صدرت عن أهل الخبرة في هذا المجال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الشيخ التبريزي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حصل الاطمئنان الشخصي بصحة الحسابات الفلكية لتوليد الهلال، فهل يمكن الاعتماد على هذا الاطمئنان في إثبات أول الشهر أو العيد مثلاً؟ وخاصة إذا صدرت عن أهل الخبرة في هذا المجال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غبطت الكبش أغبطه غبطاً، إذا أحسست أليته لتنظر أبه طرق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تتمنى مثل حال المغبوط من غير أن تريد زوالها عنه، وليس بحسد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غبطته بما نال أغبطه غبطاً وغبطة، فاغتبط هو</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غبطت الكبش أغبطه غبطاً، إذا أحسست أليته لتنظر أبه طرق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تتمنى مثل حال المغبوط من غير أن تريد زوالها عنه، وليس بحسد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غبطته بما نال أغبطه غبطاً وغبطة، فاغتبط هو</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يتصرف الولي بالغبطة، فلو اشترى لا معها لم يصح، ويكون الملك باقياً للبائع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تصرفات الوصي كلها منوطة بالغبطة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يقوم مقام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غبطت الكبش أغبطه غبطاً، إذا أحسست أليته لتنظر أبه طرق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تتمنى مثل حال المغبوط من غير أن تريد زوالها عنه، وليس بحسد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غبطته بما نال أغبطه غبطاً وغبطة، فاغتبط هو</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يتصرف الولي بالغبطة، فلو اشترى لا معها لم يصح، ويكون الملك باقياً للبائع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تصرفات الوصي كلها منوطة بالغبطة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الإنسان الحر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ضابط ما يصح تعلق النذر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يكون المتعلق طاعة لله مأموراً به وجوباً أو استحباباً، فلا ينعقد لو كان مرجوحاً أو مباحاً كما هو المشهور بين الأصحاب، بل عن ظاهر المختلف في مسألة نذر صوم أول يوم من رمضان، الإجماع عليه، حيث قال بعد اختيار جوازه رداً على المبسوط والحلي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للإجماع منّا على أن النذر إنما ينعقد إذا كان متعلق النذر طاعة، وفي المقام أقوال أخر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الإنسان الحر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الإنسان الحر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ضابط ما يصح تعلق النذر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يكون المتعلق طاعة لله مأموراً به وجوباً أو استحباباً، فلا ينعقد لو كان مرجوحاً أو مباحاً كما هو المشهور بين الأصحاب، بل عن ظاهر المختلف في مسألة نذر صوم أول يوم من رمضان، الإجماع عليه، حيث قال بعد اختيار جوازه رداً على المبسوط والحلي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للإجماع منّا على أن النذر إنما ينعقد إذا كان متعلق النذر طاعة، وفي المقام أقوال أخر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الإنسان الحر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الإنسان الحر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ضابط ما يصح تعلق النذر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يكون المتعلق طاعة لله مأموراً به وجوباً أو استحباباً، فلا ينعقد لو كان مرجوحاً أو مباحاً كما هو المشهور بين الأصحاب، بل عن ظاهر المختلف في مسألة نذر صوم أول يوم من رمضان، الإجماع عليه، حيث قال بعد اختيار جوازه رداً على المبسوط والحلي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للإجماع منّا على أن النذر إنما ينعقد إذا كان متعلق النذر طاعة، وفي المقام أقوال أخر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الإنسان دمه في هذه الصفحة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الإنسان دمه في هذه الصفحة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الإنسان دمه في هذه الصفحة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الإنسان دمه في هذه الصفحة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دفن الأجزاء المبانة من الميت حتى الشعر والسن والظفر، وأمّا السن أو الظفر من الحي فلا يجب دفنهما وإن كان معهما شيء يسير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يستحب دفنهما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دفن الأجزاء المبانة من الميت حتى الشعر والسن والظفر، وأمّا السن أو الظفر من الحي فلا يجب دفنهما وإن كان معهما شيء يسير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يستحب دفنهما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يسخن الماء للميت</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يسخن الماء للميت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يسخن الماء للميت</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ما يكون العبد إلى الكفر أن يواخي الرجل الرجل على الدين فيحصي عليه زلاته ليعيره بها يوماً ما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ابن بكير،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 ما يكون العبد من اللّه أن يكون الرجل يواخي الرجل وهو يحفظ عليه زلاته ليعيره بها يوماً ما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ما يكون العبد إلى الكفر أن يواخي الرجل الرجل على الدين فيحصي عليه زلاته ليعيره بها يوماً ما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ابن بكير،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 ما يكون العبد من اللّه أن يكون الرجل يواخي الرجل وهو يحفظ عليه زلاته ليعيره بها يوماً ما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ما يكون العبد إلى الكفر أن يواخي الرجل الرجل على الدين فيحصي عليه زلاته ليعيره بها يوماً ما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ابن بكير،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 ما يكون العبد من اللّه أن يكون الرجل يواخي الرجل وهو يحفظ عليه زلاته ليعيره بها يوماً ما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فاعلم أن المستفاد من الأخبار المتقدمة وغيرها أنّ حرمة الغيبة لأجل انتقاص المؤمن وتأذيه منه، فإذا فرض هناك مصلحة راجعة إلى المغتاب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 أو بالفتح ، أو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العقل أو الشرع على كونها أعظم من مصلحة احترام المؤمن بترك ذلك القول فيه، وجب كون الحكم على طبق أقوى المصلحتين، كما هو الحال في كل معصية من حقوق اللّه وحقوق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فموارد الاستثناء لا تنحصر في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الظاهر استثناء موضعين لجواز الغيبة من دون 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كان المغتاب متجاهراً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المظلوم وإظهار ما فعل به الظالم، وإن كان متستراًَ به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فاعلم أن المستفاد من الأخبار المتقدمة وغيرها أنّ حرمة الغيبة لأجل انتقاص المؤمن وتأذيه منه، فإذا فرض هناك مصلحة راجعة إلى المغتاب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 أو بالفتح ، أو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العقل أو الشرع على كونها أعظم من مصلحة احترام المؤمن بترك ذلك القول فيه، وجب كون الحكم على طبق أقوى المصلحتين، كما هو الحال في كل معصية من حقوق اللّه وحقوق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فموارد الاستثناء لا تنحصر في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الظاهر استثناء موضعين لجواز الغيبة من دون 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كان المغتاب متجاهراً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المظلوم وإظهار ما فعل به الظالم، وإن كان متستراًَ به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الأمر بالمعروف والنهي عن المنكر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من القواعد الفقهية، ويدل عليها الأدلة الأربعة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من القواعد الفقهية، ويدل عليها الأدلة الأربعة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الطوسي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سليمان بن داود المنقري أبي أيوب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حفص بن غياث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 إلي بعض إخواني أن أسأل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مدينة من مدائن الحرب هل يجوز أن يرسل عليهم الماء، أو يحرقون بالنيران، أو يرمون بالمنجنيق حتى يقتلوا، وفيهم النساء والصبيان والشيخ الكبير والأسارى من المسلمين والتجار؟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ذلك بهم ولا يمسك عنهم لهؤلاء ولا دية عليهم للمسلمين ولا كفارة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الأمر بالمعروف والنهي عن المنكر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الطوسي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سليمان بن داود المنقري أبي أيوب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حفص بن غياث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 إلي بعض إخواني أن أسأل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مدينة من مدائن الحرب هل يجوز أن يرسل عليهم الماء، أو يحرقون بالنيران، أو يرمون بالمنجنيق حتى يقتلوا، وفيهم النساء والصبيان والشيخ الكبير والأسارى من المسلمين والتجار؟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ذلك بهم ولا يمسك عنهم لهؤلاء ولا دية عليهم للمسلمين ولا كفارة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الأمر بالمعروف والنهي عن المنكر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من القواعد الفقهية، ويدل عليها الأدلة الأربعة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الطوسي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سليمان بن داود المنقري أبي أيوب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حفص بن غياث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 إلي بعض إخواني أن أسأل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مدينة من مدائن الحرب هل يجوز أن يرسل عليهم الماء، أو يحرقون بالنيران، أو يرمون بالمنجنيق حتى يقتلوا، وفيهم النساء والصبيان والشيخ الكبير والأسارى من المسلمين والتجار؟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ذلك بهم ولا يمسك عنهم لهؤلاء ولا دية عليهم للمسلمين ولا كفارة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الحيوانات بالآلات الحديثة في هذه الصفحة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الحيوانات بالآلات الحديثة في هذه الصفحة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الحيوانات بالآلات الحديثة في هذه الصفحة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الحيوانات بالآلات الحديثة في هذه الصفحة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عبيدة الحذاء،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بنى مسجداً كمفحص قطاة بنى اللّه له بيتاً في الجنة،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بي وأنا بين مكة والمدينة أضع الأحجار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الفضائي للرواد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عبيدة الحذاء،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بنى مسجداً كمفحص قطاة بنى اللّه له بيتاً في الجنة،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بي وأنا بين مكة والمدينة أضع الأحجار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الفضائي للرواد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الفضائي للرواد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عبيدة الحذاء،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بنى مسجداً كمفحص قطاة بنى اللّه له بيتاً في الجنة،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بي وأنا بين مكة والمدينة أضع الأحجار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ما كان من قبيل التمليك كالأوقاف الخاصة وكالوقف على المسجد، بناءً على كونه ملكا للمسجد لا أنه يكون مثل المسجد محرراً، فالظاهر أنّه مبني على أنّ التأبيد مأخوذ في حقيقة الوقف أم لا، فإنّه بناءً على أخذه فيه لا يجوز هذا الاشتراط؛ لأنه يكون الاشتراط بالنسبة إلى الوقف متناقضاً؛ لأن اعتبار الوقف مقتضى التأبيد والاشتراط يقتضي التوقيت</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ما كان من قبيل التمليك كالأوقاف الخاصة وكالوقف على المسجد، بناءً على كونه ملكا للمسجد لا أنه يكون مثل المسجد محرراً، فالظاهر أنّه مبني على أنّ التأبيد مأخوذ في حقيقة الوقف أم لا، فإنّه بناءً على أخذه فيه لا يجوز هذا الاشتراط؛ لأنه يكون الاشتراط بالنسبة إلى الوقف متناقضاً؛ لأن اعتبار الوقف مقتضى التأبيد والاشتراط يقتضي التوقيت</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ما كان من قبيل التمليك كالأوقاف الخاصة وكالوقف على المسجد، بناءً على كونه ملكا للمسجد لا أنه يكون مثل المسجد محرراً، فالظاهر أنّه مبني على أنّ التأبيد مأخوذ في حقيقة الوقف أم لا، فإنّه بناءً على أخذه فيه لا يجوز هذا الاشتراط؛ لأنه يكون الاشتراط بالنسبة إلى الوقف متناقضاً؛ لأن اعتبار الوقف مقتضى التأبيد والاشتراط يقتضي التوقيت</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في الكواكب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في الكواكب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بيعه ولا بيع آلاته وإن صار خراباً ولم يبق آثار مسجديته، ولا إدخاله في الملك ولا في الطريق، فلا يخرج عن المسجدية أبداً، ويبقى الأحكام من حرمة تنجيسه ووجوب احترامه، وتصرف آلاته في تعميره، وإن لم يكن معمراً تصرف في مسجد آخر، وإن لم يمكن الانتفاع بها أصلاً يجوز بيعها وصرف القيمة في تعميره، أو تعمير مسجد آخر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ذكرنا يظهر أن معنى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تدور مدار الأسماء أنّها تدور مدار أسماء موضوعاتها التي هي المعيار في وجودها وعدمها</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بيعه ولا بيع آلاته وإن صار خراباً ولم يبق آثار مسجديته، ولا إدخاله في الملك ولا في الطريق، فلا يخرج عن المسجدية أبداً، ويبقى الأحكام من حرمة تنجيسه ووجوب احترامه، وتصرف آلاته في تعميره، وإن لم يكن معمراً تصرف في مسجد آخر، وإن لم يمكن الانتفاع بها أصلاً يجوز بيعها وصرف القيمة في تعميره، أو تعمير مسجد آخر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بيعه ولا بيع آلاته وإن صار خراباً ولم يبق آثار مسجديته، ولا إدخاله في الملك ولا في الطريق، فلا يخرج عن المسجدية أبداً، ويبقى الأحكام من حرمة تنجيسه ووجوب احترامه، وتصرف آلاته في تعميره، وإن لم يكن معمراً تصرف في مسجد آخر، وإن لم يمكن الانتفاع بها أصلاً يجوز بيعها وصرف القيمة في تعميره، أو تعمير مسجد آخر</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الاقتصاد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الاقتصاد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الفضائي وأحكام أجزائه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يقوم مقام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الفقر أزين على المؤمن من العذار على خد الفرس، وإن آخر الأنبياء دخولاً إلى الجنة سليمان؛ وذلك لما اُعطي من الدنيا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ذر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أوصاني خليلي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أوصاني بطاعة ولاة الأمر، وأن أصل رحمي وإن ولت، وأن أقول الحق وإن كان مراً، وأن أجالس المساكين، وأن أكثر من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المؤمن الأنصاري،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عرضت علي بطحاء مكة ذهباً،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لا ولكن أشبع يوماً وأجوع يوماً، فإذا شبعت حمدتك وشكرتك، وإذا جعت دعوتك وذكرتك</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أصنع بفدك وغير فدك والنفس مظانها في غد جدث تنقطع في ظلمته آثارها، وتغيب أخبارها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العون على تقوى اللّه الغنى</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أبي يعفور،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فقراء المسلمين يتقلبون في رياض الجنة قبل أغنيائهم بأربعين خريفاً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 اللّه عز وجل للملك الموكل بالمؤمن إذا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له ما كنت تكتب له في صحته، فإني أنا الذي صيرته في حبالي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العون على تقوى اللّه الغنى</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أبي يعفور،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فقراء المسلمين يتقلبون في رياض الجنة قبل أغنيائهم بأربعين خريفاً</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العون على تقوى اللّه الغنى</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أبي يعفور،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فقراء المسلمين يتقلبون في رياض الجنة قبل أغنيائهم بأربعين خريفاً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العون على تقوى اللّه الغنى</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الرواية دون سند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وعوالي اللئالي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المسلم شعباً وحكومة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الرواية دون سند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وعوالي اللئالي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الرواية دون سند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وعوالي اللئالي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المسلم شعباً وحكومة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المسلم شعباً وحكومة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 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 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 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الحريات الإسلامية في هذه الصفحة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الحريات الإسلامية في هذه الصفحة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في الانسان الحرية، في قبال الأنسان الآخر، بجميع أقسام الحرية؛ إذ لا وجه لتسلط إنسان على إنسان آخر وهو مثله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في الانسان الحرية، في قبال الأنسان الآخر، بجميع أقسام الحرية؛ إذ لا وجه لتسلط إنسان على إنسان آخر وهو مثله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حرية الجمعيات والتكتلات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حرية الجمعيات والتكتلات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هو لك حلال حتى تعلم أنه حرام بعينه فتدعه من قبل نفسك</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هو لك حلال حتى تعلم أنه حرام بعينه فتدعه من قبل نفسك</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الشرط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الولاية لله سبحانه، عقلاً وشرعاً، فلايحق لأحد تولي الأمر بدون رضاه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الشرط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أَمْرُهُمْ 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وَشاوِرْهُمْ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إطلاق الآيتين يعطى أنه بدون الشورى لايصح الحكم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الشرط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الولاية لله سبحانه، عقلاً وشرعاً، فلايحق لأحد تولي الأمر بدون رضاه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الشرط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أَمْرُهُمْ 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وَشاوِرْهُمْ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إطلاق الآيتين يعطى أنه بدون الشورى لايصح الحكم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يبدل مخ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يبدل مخ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يبدل مخ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يبدل مخ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يبدل مخ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يبدل مخ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معلومات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كتاب الصلاة، للسيد الخوئي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كتاب الصلاة، للسيد الخوئي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إيران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إيران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إيران</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الجهاد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يعطي الطفل المخذل أم لا؟</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أخو غامد قد وردت خيله الأنبار، وقد قتل حسان بن حسان البكري، وأزال خيلكم عن مسالحها، ولقد بلغني أن الرجل منهم كان يدخل على المرأة المسلمة والأخرى المعاهدة، فينتزع حجلها وقلبها وقلائدها ورعاثها ما تمتنع منه إلا بالاسترجاع والاسترحام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رعثة بالفتح ويحرك بمعنى القرط</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الواجبات والمحرمات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قرر في بحث التجري أن الرضا بعمل إنسان لا يكون موجباً للحرمة على الراضي، كما أنه إذا رضي هو بنفسه بعد التوبة بمحرم أتاه سابقاً لم يكن ذلك يسلب عدالته،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قلباً بكذب الكاذب أو ما أشبه ذلك بدون أن يظهره بقلم أو لسان أو 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الرضا بالحرام المرتبط بأصول الدين كان حراماً قطعاً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الواجبات والمحرمات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قرر في بحث التجري أن الرضا بعمل إنسان لا يكون موجباً للحرمة على الراضي، كما أنه إذا رضي هو بنفسه بعد التوبة بمحرم أتاه سابقاً لم يكن ذلك يسلب عدالته،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قلباً بكذب الكاذب أو ما أشبه ذلك بدون أن يظهره بقلم أو لسان أو 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الرضا بالحرام المرتبط بأصول الدين كان حراماً قطعاً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الواجبات والمحرمات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قرر في بحث التجري أن الرضا بعمل إنسان لا يكون موجباً للحرمة على الراضي، كما أنه إذا رضي هو بنفسه بعد التوبة بمحرم أتاه سابقاً لم يكن ذلك يسلب عدالته،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قلباً بكذب الكاذب أو ما أشبه ذلك بدون أن يظهره بقلم أو لسان أو 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الرضا بالحرام المرتبط بأصول الدين كان حراماً قطعاً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تطهير المصحف كفائي لا يختص بمن نجسه، ولو استلزم صرف المال وجب، ولا يضمنه من نجسه إذا لم يكن لغيره، وإن صار هو السبب للتكليف بصرف المال، وكذا لو ألقاه في البالوعة فإن مؤونة الإخراج الواجب على كل أحد ليس عليه؛ لأن الضرر إنما جاء من قبل التكليف الشرعي، ويحتمل ضمان المسبب كما قيل، بل قيل باختصاص الوجوب به، ويجبره الحاكم عليه لو امتنع، أو يستأجر آخر ولكن يأخذ الأجرة منه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تطهير المصحف كفائي لا يختص بمن نجسه، ولو استلزم صرف المال وجب، ولا يضمنه من نجسه إذا لم يكن لغيره، وإن صار هو السبب للتكليف بصرف المال، وكذا لو ألقاه في البالوعة فإن مؤونة الإخراج الواجب على كل أحد ليس عليه؛ لأن الضرر إنما جاء من قبل التكليف الشرعي، ويحتمل ضمان المسبب كما قيل، بل قيل باختصاص الوجوب به، ويجبره الحاكم عليه لو امتنع، أو يستأجر آخر ولكن يأخذ الأجرة منه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تطهير المصحف كفائي لا يختص بمن نجسه، ولو استلزم صرف المال وجب، ولا يضمنه من نجسه إذا لم يكن لغيره، وإن صار هو السبب للتكليف بصرف المال، وكذا لو ألقاه في البالوعة فإن مؤونة الإخراج الواجب على كل أحد ليس عليه؛ لأن الضرر إنما جاء من قبل التكليف الشرعي، ويحتمل ضمان المسبب كما قيل، بل قيل باختصاص الوجوب به، ويجبره الحاكم عليه لو امتنع، أو يستأجر آخر ولكن يأخذ الأجرة منه</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الاقتصاد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وبما تقدم تبين أن بيت المال يقوم بحوائج الناس مجاناً وبلا عوض، لا أن يكون كالبنك في الحكومات الحاضرة تعطى القرض بفائدة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الاقتصاد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وبما تقدم تبين أن بيت المال يقوم بحوائج الناس مجاناً وبلا عوض، لا أن يكون كالبنك في الحكومات الحاضرة تعطى القرض بفائدة</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التارك شفاء المجروح من جرحه شريك لجارحه لا محالة؛ وذلك أن الجارح أراد فساد المجروح، والتارك لإشفائه لم يشأ صلاحه، فإذا لم يشأ صلاحه فقد شاء فساده اضطراراً، فكذلك لا تحدثوا بالحكمة غير أهلها فتجهلوا، ولا تمنعوها أهلها فتأثموا، وليكن أحدكم بمنزلة الطبيب المداوي إن رأى موضعاً لدوائه وإلا أمسك</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ضعيف، هكذا ورد في 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عبيد اللّه الدهقان، عن عبد اللّه بن القاسم، عن ابن أبي نجران، عن 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التارك شفاء المجروح من جرحه شريك لجارحه لا محالة؛ وذلك أن الجارح أراد فساد المجروح، والتارك لإشفائه لم يشأ صلاحه، فإذا لم يشأ صلاحه فقد شاء فساده اضطراراً، فكذلك لا تحدثوا بالحكمة غير أهلها فتجهلوا، ولا تمنعوها أهلها فتأثموا، وليكن أحدكم بمنزلة الطبيب المداوي إن رأى موضعاً لدوائه وإلا أمسك</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ضعيف، هكذا ورد في 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عبيد اللّه الدهقان، عن عبد اللّه بن القاسم، عن ابن أبي نجران، عن 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ضعيف، هكذا ورد في 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زياد، عن عبيد اللّه الدهقان، عن عبد اللّه بن القاسم، عن ابن أبي نجران، عن 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كتاب الطهارة، السيد الخوئي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إذا علمنا أن أحد الميتين مسلم فيحتاط بتكفينهما وتغسيلهما والصلاة عليهما؛ لأن الكافر لا يحرم تجهيزه حرمة ذاتية، وإنما لا يجوز تشريعاً ومع الاحتياط لا تشريع في البين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يحرم لتحريم ما يقصد منه شأناً، بمعنى أن من شأنه أن يقصد منه الحرام، وتحريم هذا مقصور على النص؛ إذ لا يدخل ذلك تحت الإعانة، خصوصاً مع عدم العلم بصرف الغير له في الحرام، كبيع السلاح من أعداء الدين مع عدم قصد تقويهم، بل وعدم العلم باستعمالهم لهذا المبيع الخاص في حرب المسلمين، إلا أن المعروف بين الأصحاب حرمته، بل لا خلاف فيها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يحرم لتحريم ما يقصد منه شأناً، بمعنى أن من شأنه أن يقصد منه الحرام، وتحريم هذا مقصور على النص؛ إذ لا يدخل ذلك تحت الإعانة، خصوصاً مع عدم العلم بصرف الغير له في الحرام، كبيع السلاح من أعداء الدين مع عدم قصد تقويهم، بل وعدم العلم باستعمالهم لهذا المبيع الخاص في حرب المسلمين، إلا أن المعروف بين الأصحاب حرمته، بل لا خلاف فيها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يحرم لتحريم ما يقصد منه شأناً، بمعنى أن من شأنه أن يقصد منه الحرام، وتحريم هذا مقصور على النص؛ إذ لا يدخل ذلك تحت الإعانة، خصوصاً مع عدم العلم بصرف الغير له في الحرام، كبيع السلاح من أعداء الدين مع عدم قصد تقويهم، بل وعدم العلم باستعمالهم لهذا المبيع الخاص في حرب المسلمين، إلا أن المعروف بين الأصحاب حرمته، بل لا خلاف فيها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الجارود،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أعان على مسلم بشطر كلمة كتب بين عينيه يوم القيامة آيسٌ من رحمة اللّه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انفردت به الإمامية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الاثنين أو ما زاد عليهما من العدد إذا قتلوا واحدا فإن أولياء الدم مخيرون بين أمور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 يقتلوا القاتلين كلهم، ويؤدوا فضل ما بين دياتهم ودية المقتول إلى أولياء المقتولين، والأمر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يتخيروا واحداً منهم فيقتلوه ويؤدي المستبقون ديته إلى أولياء صاحبهم بحساب أقساطهم من الدية، فإن اختار أولياء المقتول أخذ الدية كانت على القاتلين بحسب عددهم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باقي الفقهاء في ذلك وإن اختلفت أقوالهم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يدل على صحة ما ذهبنا إليه إجماع الطائفة؛ ولأن ما ذكرناه أشبه بالعدل؛ لأن الجماعة إنما أتلفت نفساً واحدة فكيف تؤخذ النفوس الكثيرة بالنفس الواحدة؟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36749</Words>
  <Characters>163873</Characters>
  <CharactersWithSpaces>197075</CharactersWithSpaces>
  <Paragraphs>3782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2026-08-25T03:24:28Z</dcterms:created>
  <dc:creator>ghaemiyeh.com</dc:creator>
  <dc:description/>
  <dc:language>en-US</dc:language>
  <cp:lastModifiedBy/>
  <dcterms:modified xsi:type="dcterms:W3CDTF">2026-08-25T06:54:49Z</dcterms:modified>
  <cp:revision>1</cp:revision>
  <dc:subject/>
  <dc:title>موسوعة الفقیه الشیرازی جلد 16</dc:title>
</cp:coreProperties>
</file>

<file path=docProps/custom.xml><?xml version="1.0" encoding="utf-8"?>
<Properties xmlns="http://schemas.openxmlformats.org/officeDocument/2006/custom-properties" xmlns:vt="http://schemas.openxmlformats.org/officeDocument/2006/docPropsVTypes"/>
</file>