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document.xml" ContentType="application/vnd.openxmlformats-officedocument.wordprocessingml.document.main+xml"/>
  <Override PartName="/word/footer10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229.xml" ContentType="application/vnd.openxmlformats-officedocument.wordprocessingml.footer+xml"/>
  <Override PartName="/word/styles.xml" ContentType="application/vnd.openxmlformats-officedocument.wordprocessingml.styles+xml"/>
  <Override PartName="/word/footer389.xml" ContentType="application/vnd.openxmlformats-officedocument.wordprocessingml.footer+xml"/>
  <Override PartName="/word/footer427.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426.xml" ContentType="application/vnd.openxmlformats-officedocument.wordprocessingml.footer+xml"/>
  <Override PartName="/word/footer260.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5.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6.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429.xml" ContentType="application/vnd.openxmlformats-officedocument.wordprocessingml.footer+xml"/>
  <Override PartName="/word/footer82.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8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224.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74.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5.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ntTable.xml" ContentType="application/vnd.openxmlformats-officedocument.wordprocessingml.fontTable+xml"/>
  <Override PartName="/word/footer253.xml" ContentType="application/vnd.openxmlformats-officedocument.wordprocessingml.footer+xml"/>
  <Override PartName="/word/footer41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329.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49.xml" ContentType="application/vnd.openxmlformats-officedocument.wordprocessingml.footer+xml"/>
  <Override PartName="/word/footer146.xml" ContentType="application/vnd.openxmlformats-officedocument.wordprocessingml.footer+xml"/>
  <Override PartName="/word/footer339.xml" ContentType="application/vnd.openxmlformats-officedocument.wordprocessingml.footer+xml"/>
  <Override PartName="/word/footer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12.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13.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416.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369.xml" ContentType="application/vnd.openxmlformats-officedocument.wordprocessingml.footer+xml"/>
  <Override PartName="/word/footer241.xml" ContentType="application/vnd.openxmlformats-officedocument.wordprocessingml.footer+xml"/>
  <Override PartName="/word/footer356.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338.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1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212.xml" ContentType="application/vnd.openxmlformats-officedocument.wordprocessingml.footer+xml"/>
  <Override PartName="/word/footer31.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152.xml" ContentType="application/vnd.openxmlformats-officedocument.wordprocessingml.footer+xml"/>
  <Override PartName="/word/footer55.xml" ContentType="application/vnd.openxmlformats-officedocument.wordprocessingml.footer+xml"/>
  <Override PartName="/word/footer27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93.xml" ContentType="application/vnd.openxmlformats-officedocument.wordprocessingml.footer+xml"/>
  <Override PartName="/word/footer190.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0.xml" ContentType="application/vnd.openxmlformats-officedocument.wordprocessingml.footer+xml"/>
  <Override PartName="/word/footer38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0.xml" ContentType="application/vnd.openxmlformats-officedocument.wordprocessingml.footer+xml"/>
  <Override PartName="/word/footer39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Override PartName="/word/footer492.xml" ContentType="application/vnd.openxmlformats-officedocument.wordprocessingml.footer+xml"/>
  <Override PartName="/word/footer493.xml" ContentType="application/vnd.openxmlformats-officedocument.wordprocessingml.footer+xml"/>
  <Override PartName="/word/footer494.xml" ContentType="application/vnd.openxmlformats-officedocument.wordprocessingml.footer+xml"/>
  <Override PartName="/word/footer495.xml" ContentType="application/vnd.openxmlformats-officedocument.wordprocessingml.footer+xml"/>
  <Override PartName="/word/footer496.xml" ContentType="application/vnd.openxmlformats-officedocument.wordprocessingml.footer+xml"/>
  <Override PartName="/word/footer497.xml" ContentType="application/vnd.openxmlformats-officedocument.wordprocessingml.footer+xml"/>
  <Override PartName="/word/footer498.xml" ContentType="application/vnd.openxmlformats-officedocument.wordprocessingml.footer+xml"/>
  <Override PartName="/word/footer499.xml" ContentType="application/vnd.openxmlformats-officedocument.wordprocessingml.footer+xml"/>
  <Override PartName="/word/footer500.xml" ContentType="application/vnd.openxmlformats-officedocument.wordprocessingml.footer+xml"/>
  <Override PartName="/word/footer501.xml" ContentType="application/vnd.openxmlformats-officedocument.wordprocessingml.footer+xml"/>
  <Override PartName="/word/footer502.xml" ContentType="application/vnd.openxmlformats-officedocument.wordprocessingml.footer+xml"/>
  <Override PartName="/word/footer503.xml" ContentType="application/vnd.openxmlformats-officedocument.wordprocessingml.footer+xml"/>
  <Override PartName="/word/footer504.xml" ContentType="application/vnd.openxmlformats-officedocument.wordprocessingml.footer+xml"/>
  <Override PartName="/word/footer505.xml" ContentType="application/vnd.openxmlformats-officedocument.wordprocessingml.footer+xml"/>
  <Override PartName="/word/footer510.xml" ContentType="application/vnd.openxmlformats-officedocument.wordprocessingml.footer+xml"/>
  <Override PartName="/word/footer511.xml" ContentType="application/vnd.openxmlformats-officedocument.wordprocessingml.footer+xml"/>
  <Override PartName="/word/footer512.xml" ContentType="application/vnd.openxmlformats-officedocument.wordprocessingml.footer+xml"/>
  <Override PartName="/word/footer513.xml" ContentType="application/vnd.openxmlformats-officedocument.wordprocessingml.footer+xml"/>
  <Override PartName="/word/footer514.xml" ContentType="application/vnd.openxmlformats-officedocument.wordprocessingml.footer+xml"/>
  <Override PartName="/word/footer515.xml" ContentType="application/vnd.openxmlformats-officedocument.wordprocessingml.footer+xml"/>
  <Override PartName="/word/footer520.xml" ContentType="application/vnd.openxmlformats-officedocument.wordprocessingml.footer+xml"/>
  <Override PartName="/word/footer521.xml" ContentType="application/vnd.openxmlformats-officedocument.wordprocessingml.footer+xml"/>
  <Override PartName="/word/footer522.xml" ContentType="application/vnd.openxmlformats-officedocument.wordprocessingml.footer+xml"/>
  <Override PartName="/word/footer523.xml" ContentType="application/vnd.openxmlformats-officedocument.wordprocessingml.footer+xml"/>
  <Override PartName="/word/footer524.xml" ContentType="application/vnd.openxmlformats-officedocument.wordprocessingml.footer+xml"/>
  <Override PartName="/word/footer5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تقرِیب تهذیب الأصول جلد </w:t>
      </w:r>
      <w:r>
        <w:rPr/>
        <w:t>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900472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5900474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5900476_2142443653">
            <w:r>
              <w:rPr>
                <w:webHidden/>
                <w:rStyle w:val="IndexLink"/>
                <w:rtl w:val="true"/>
              </w:rPr>
              <w:t>خاتمة في النسبة بين الأمارات والأصول ونسبة الأصول بعضها مع بعض</w:t>
            </w:r>
            <w:r>
              <w:rPr>
                <w:rStyle w:val="IndexLink"/>
                <w:rtl w:val="true"/>
              </w:rPr>
              <w:tab/>
            </w:r>
            <w:r>
              <w:rPr>
                <w:rStyle w:val="IndexLink"/>
              </w:rPr>
              <w:t>13</w:t>
            </w:r>
          </w:hyperlink>
        </w:p>
        <w:p>
          <w:pPr>
            <w:pStyle w:val="Contents3"/>
            <w:tabs>
              <w:tab w:val="clear" w:pos="8459"/>
              <w:tab w:val="right" w:pos="9026" w:leader="dot"/>
            </w:tabs>
            <w:rPr/>
          </w:pPr>
          <w:hyperlink w:anchor="__RefHeading___Toc5900478_2142443653">
            <w:r>
              <w:rPr>
                <w:webHidden/>
                <w:rStyle w:val="IndexLink"/>
                <w:rtl w:val="true"/>
              </w:rPr>
              <w:t>تمهيد</w:t>
            </w:r>
            <w:r>
              <w:rPr>
                <w:rStyle w:val="IndexLink"/>
                <w:rtl w:val="true"/>
              </w:rPr>
              <w:tab/>
            </w:r>
            <w:r>
              <w:rPr>
                <w:rStyle w:val="IndexLink"/>
              </w:rPr>
              <w:t>13</w:t>
            </w:r>
          </w:hyperlink>
        </w:p>
        <w:p>
          <w:pPr>
            <w:pStyle w:val="Contents3"/>
            <w:tabs>
              <w:tab w:val="clear" w:pos="8459"/>
              <w:tab w:val="right" w:pos="9026" w:leader="dot"/>
            </w:tabs>
            <w:rPr/>
          </w:pPr>
          <w:hyperlink w:anchor="__RefHeading___Toc5900480_2142443653">
            <w:r>
              <w:rPr>
                <w:webHidden/>
                <w:rStyle w:val="IndexLink"/>
                <w:rtl w:val="true"/>
              </w:rPr>
              <w:t>المقام الأول</w:t>
            </w:r>
            <w:r>
              <w:rPr>
                <w:rStyle w:val="IndexLink"/>
                <w:rtl w:val="true"/>
              </w:rPr>
              <w:t xml:space="preserve">: </w:t>
            </w:r>
            <w:r>
              <w:rPr>
                <w:rStyle w:val="IndexLink"/>
                <w:rtl w:val="true"/>
              </w:rPr>
              <w:t>تقدم الأمارات على الأصول</w:t>
            </w:r>
            <w:r>
              <w:rPr>
                <w:rStyle w:val="IndexLink"/>
                <w:rtl w:val="true"/>
              </w:rPr>
              <w:tab/>
            </w:r>
            <w:r>
              <w:rPr>
                <w:rStyle w:val="IndexLink"/>
              </w:rPr>
              <w:t>17</w:t>
            </w:r>
          </w:hyperlink>
        </w:p>
        <w:p>
          <w:pPr>
            <w:pStyle w:val="Contents4"/>
            <w:tabs>
              <w:tab w:val="clear" w:pos="8176"/>
              <w:tab w:val="right" w:pos="9026" w:leader="dot"/>
            </w:tabs>
            <w:rPr/>
          </w:pPr>
          <w:hyperlink w:anchor="__RefHeading___Toc5900482_2142443653">
            <w:r>
              <w:rPr>
                <w:webHidden/>
                <w:rStyle w:val="IndexLink"/>
                <w:rtl w:val="true"/>
              </w:rPr>
              <w:t>اشارة</w:t>
            </w:r>
            <w:r>
              <w:rPr>
                <w:rStyle w:val="IndexLink"/>
                <w:rtl w:val="true"/>
              </w:rPr>
              <w:tab/>
            </w:r>
            <w:r>
              <w:rPr>
                <w:rStyle w:val="IndexLink"/>
              </w:rPr>
              <w:t>17</w:t>
            </w:r>
          </w:hyperlink>
        </w:p>
        <w:p>
          <w:pPr>
            <w:pStyle w:val="Contents4"/>
            <w:tabs>
              <w:tab w:val="clear" w:pos="8176"/>
              <w:tab w:val="right" w:pos="9026" w:leader="dot"/>
            </w:tabs>
            <w:rPr/>
          </w:pPr>
          <w:hyperlink w:anchor="__RefHeading___Toc5900484_2142443653">
            <w:r>
              <w:rPr>
                <w:webHidden/>
                <w:rStyle w:val="IndexLink"/>
                <w:rtl w:val="true"/>
              </w:rPr>
              <w:t>أمور ختامية</w:t>
            </w:r>
            <w:r>
              <w:rPr>
                <w:rStyle w:val="IndexLink"/>
                <w:rtl w:val="true"/>
              </w:rPr>
              <w:tab/>
            </w:r>
            <w:r>
              <w:rPr>
                <w:rStyle w:val="IndexLink"/>
              </w:rPr>
              <w:t>26</w:t>
            </w:r>
          </w:hyperlink>
        </w:p>
        <w:p>
          <w:pPr>
            <w:pStyle w:val="Contents3"/>
            <w:tabs>
              <w:tab w:val="clear" w:pos="8459"/>
              <w:tab w:val="right" w:pos="9026" w:leader="dot"/>
            </w:tabs>
            <w:rPr/>
          </w:pPr>
          <w:hyperlink w:anchor="__RefHeading___Toc5900486_2142443653">
            <w:r>
              <w:rPr>
                <w:webHidden/>
                <w:rStyle w:val="IndexLink"/>
                <w:rtl w:val="true"/>
              </w:rPr>
              <w:t>المقام الثاني</w:t>
            </w:r>
            <w:r>
              <w:rPr>
                <w:rStyle w:val="IndexLink"/>
                <w:rtl w:val="true"/>
              </w:rPr>
              <w:t xml:space="preserve">: </w:t>
            </w:r>
            <w:r>
              <w:rPr>
                <w:rStyle w:val="IndexLink"/>
                <w:rtl w:val="true"/>
              </w:rPr>
              <w:t>تقديم الأصول بعضها على بعض</w:t>
            </w:r>
            <w:r>
              <w:rPr>
                <w:rStyle w:val="IndexLink"/>
                <w:rtl w:val="true"/>
              </w:rPr>
              <w:tab/>
            </w:r>
            <w:r>
              <w:rPr>
                <w:rStyle w:val="IndexLink"/>
              </w:rPr>
              <w:t>28</w:t>
            </w:r>
          </w:hyperlink>
        </w:p>
        <w:p>
          <w:pPr>
            <w:pStyle w:val="Contents3"/>
            <w:tabs>
              <w:tab w:val="clear" w:pos="8459"/>
              <w:tab w:val="right" w:pos="9026" w:leader="dot"/>
            </w:tabs>
            <w:rPr/>
          </w:pPr>
          <w:hyperlink w:anchor="__RefHeading___Toc5900488_2142443653">
            <w:r>
              <w:rPr>
                <w:webHidden/>
                <w:rStyle w:val="IndexLink"/>
                <w:rtl w:val="true"/>
              </w:rPr>
              <w:t>تمهيد</w:t>
            </w:r>
            <w:r>
              <w:rPr>
                <w:rStyle w:val="IndexLink"/>
                <w:rtl w:val="true"/>
              </w:rPr>
              <w:tab/>
            </w:r>
            <w:r>
              <w:rPr>
                <w:rStyle w:val="IndexLink"/>
              </w:rPr>
              <w:t>28</w:t>
            </w:r>
          </w:hyperlink>
        </w:p>
        <w:p>
          <w:pPr>
            <w:pStyle w:val="Contents4"/>
            <w:tabs>
              <w:tab w:val="clear" w:pos="8176"/>
              <w:tab w:val="right" w:pos="9026" w:leader="dot"/>
            </w:tabs>
            <w:rPr/>
          </w:pPr>
          <w:hyperlink w:anchor="__RefHeading___Toc5900490_2142443653">
            <w:r>
              <w:rPr>
                <w:webHidden/>
                <w:rStyle w:val="IndexLink"/>
                <w:rtl w:val="true"/>
              </w:rPr>
              <w:t>اشارة</w:t>
            </w:r>
            <w:r>
              <w:rPr>
                <w:rStyle w:val="IndexLink"/>
                <w:rtl w:val="true"/>
              </w:rPr>
              <w:tab/>
            </w:r>
            <w:r>
              <w:rPr>
                <w:rStyle w:val="IndexLink"/>
              </w:rPr>
              <w:t>28</w:t>
            </w:r>
          </w:hyperlink>
        </w:p>
        <w:p>
          <w:pPr>
            <w:pStyle w:val="Contents4"/>
            <w:tabs>
              <w:tab w:val="clear" w:pos="8176"/>
              <w:tab w:val="right" w:pos="9026" w:leader="dot"/>
            </w:tabs>
            <w:rPr/>
          </w:pPr>
          <w:hyperlink w:anchor="__RefHeading___Toc5900492_2142443653">
            <w:r>
              <w:rPr>
                <w:webHidden/>
                <w:rStyle w:val="IndexLink"/>
                <w:rtl w:val="true"/>
              </w:rPr>
              <w:t>المورد الأول</w:t>
            </w:r>
            <w:r>
              <w:rPr>
                <w:rStyle w:val="IndexLink"/>
                <w:rtl w:val="true"/>
              </w:rPr>
              <w:t xml:space="preserve">: </w:t>
            </w:r>
            <w:r>
              <w:rPr>
                <w:rStyle w:val="IndexLink"/>
                <w:rtl w:val="true"/>
              </w:rPr>
              <w:t>في الأصلين المتوافقين أو المتنافيين ذاتاً</w:t>
            </w:r>
            <w:r>
              <w:rPr>
                <w:rStyle w:val="IndexLink"/>
                <w:rtl w:val="true"/>
              </w:rPr>
              <w:tab/>
            </w:r>
            <w:r>
              <w:rPr>
                <w:rStyle w:val="IndexLink"/>
              </w:rPr>
              <w:t>29</w:t>
            </w:r>
          </w:hyperlink>
        </w:p>
        <w:p>
          <w:pPr>
            <w:pStyle w:val="Contents4"/>
            <w:tabs>
              <w:tab w:val="clear" w:pos="8176"/>
              <w:tab w:val="right" w:pos="9026" w:leader="dot"/>
            </w:tabs>
            <w:rPr/>
          </w:pPr>
          <w:hyperlink w:anchor="__RefHeading___Toc5900494_2142443653">
            <w:r>
              <w:rPr>
                <w:webHidden/>
                <w:rStyle w:val="IndexLink"/>
                <w:rtl w:val="true"/>
              </w:rPr>
              <w:t>المورد الثاني</w:t>
            </w:r>
            <w:r>
              <w:rPr>
                <w:rStyle w:val="IndexLink"/>
                <w:rtl w:val="true"/>
              </w:rPr>
              <w:t xml:space="preserve">: </w:t>
            </w:r>
            <w:r>
              <w:rPr>
                <w:rStyle w:val="IndexLink"/>
                <w:rtl w:val="true"/>
              </w:rPr>
              <w:t>ما يتعلق بالأصلين العرضيين المتنافيين</w:t>
            </w:r>
            <w:r>
              <w:rPr>
                <w:rStyle w:val="IndexLink"/>
                <w:rtl w:val="true"/>
              </w:rPr>
              <w:tab/>
            </w:r>
            <w:r>
              <w:rPr>
                <w:rStyle w:val="IndexLink"/>
              </w:rPr>
              <w:t>32</w:t>
            </w:r>
          </w:hyperlink>
        </w:p>
        <w:p>
          <w:pPr>
            <w:pStyle w:val="Contents4"/>
            <w:tabs>
              <w:tab w:val="clear" w:pos="8176"/>
              <w:tab w:val="right" w:pos="9026" w:leader="dot"/>
            </w:tabs>
            <w:rPr/>
          </w:pPr>
          <w:hyperlink w:anchor="__RefHeading___Toc5900496_2142443653">
            <w:r>
              <w:rPr>
                <w:webHidden/>
                <w:rStyle w:val="IndexLink"/>
                <w:rtl w:val="true"/>
              </w:rPr>
              <w:t>المورد الثالث</w:t>
            </w:r>
            <w:r>
              <w:rPr>
                <w:rStyle w:val="IndexLink"/>
                <w:rtl w:val="true"/>
              </w:rPr>
              <w:t xml:space="preserve">: </w:t>
            </w:r>
            <w:r>
              <w:rPr>
                <w:rStyle w:val="IndexLink"/>
                <w:rtl w:val="true"/>
              </w:rPr>
              <w:t>التعارض بالعرض بين الأصول العملية</w:t>
            </w:r>
            <w:r>
              <w:rPr>
                <w:rStyle w:val="IndexLink"/>
                <w:rtl w:val="true"/>
              </w:rPr>
              <w:tab/>
            </w:r>
            <w:r>
              <w:rPr>
                <w:rStyle w:val="IndexLink"/>
              </w:rPr>
              <w:t>38</w:t>
            </w:r>
          </w:hyperlink>
        </w:p>
        <w:p>
          <w:pPr>
            <w:pStyle w:val="Contents4"/>
            <w:tabs>
              <w:tab w:val="clear" w:pos="8176"/>
              <w:tab w:val="right" w:pos="9026" w:leader="dot"/>
            </w:tabs>
            <w:rPr/>
          </w:pPr>
          <w:hyperlink w:anchor="__RefHeading___Toc5900498_2142443653">
            <w:r>
              <w:rPr>
                <w:webHidden/>
                <w:rStyle w:val="IndexLink"/>
                <w:rtl w:val="true"/>
              </w:rPr>
              <w:t>المورد الرابع</w:t>
            </w:r>
            <w:r>
              <w:rPr>
                <w:rStyle w:val="IndexLink"/>
                <w:rtl w:val="true"/>
              </w:rPr>
              <w:t xml:space="preserve">: </w:t>
            </w:r>
            <w:r>
              <w:rPr>
                <w:rStyle w:val="IndexLink"/>
                <w:rtl w:val="true"/>
              </w:rPr>
              <w:t>التعارض بين الأصلين في مرحلة الإمتثال</w:t>
            </w:r>
            <w:r>
              <w:rPr>
                <w:rStyle w:val="IndexLink"/>
                <w:rtl w:val="true"/>
              </w:rPr>
              <w:tab/>
            </w:r>
            <w:r>
              <w:rPr>
                <w:rStyle w:val="IndexLink"/>
              </w:rPr>
              <w:t>41</w:t>
            </w:r>
          </w:hyperlink>
        </w:p>
        <w:p>
          <w:pPr>
            <w:pStyle w:val="Contents4"/>
            <w:tabs>
              <w:tab w:val="clear" w:pos="8176"/>
              <w:tab w:val="right" w:pos="9026" w:leader="dot"/>
            </w:tabs>
            <w:rPr/>
          </w:pPr>
          <w:hyperlink w:anchor="__RefHeading___Toc5900500_2142443653">
            <w:r>
              <w:rPr>
                <w:webHidden/>
                <w:rStyle w:val="IndexLink"/>
                <w:rtl w:val="true"/>
              </w:rPr>
              <w:t>قواعد فقهية</w:t>
            </w:r>
            <w:r>
              <w:rPr>
                <w:rStyle w:val="IndexLink"/>
                <w:rtl w:val="true"/>
              </w:rPr>
              <w:tab/>
            </w:r>
            <w:r>
              <w:rPr>
                <w:rStyle w:val="IndexLink"/>
              </w:rPr>
              <w:t>42</w:t>
            </w:r>
          </w:hyperlink>
        </w:p>
        <w:p>
          <w:pPr>
            <w:pStyle w:val="Contents3"/>
            <w:tabs>
              <w:tab w:val="clear" w:pos="8459"/>
              <w:tab w:val="right" w:pos="9026" w:leader="dot"/>
            </w:tabs>
            <w:rPr/>
          </w:pPr>
          <w:hyperlink w:anchor="__RefHeading___Toc5900502_2142443653">
            <w:r>
              <w:rPr>
                <w:webHidden/>
                <w:rStyle w:val="IndexLink"/>
                <w:rtl w:val="true"/>
              </w:rPr>
              <w:t>قاعدة التجاوز والفراغ</w:t>
            </w:r>
            <w:r>
              <w:rPr>
                <w:rStyle w:val="IndexLink"/>
                <w:rtl w:val="true"/>
              </w:rPr>
              <w:tab/>
            </w:r>
            <w:r>
              <w:rPr>
                <w:rStyle w:val="IndexLink"/>
              </w:rPr>
              <w:t>47</w:t>
            </w:r>
          </w:hyperlink>
        </w:p>
        <w:p>
          <w:pPr>
            <w:pStyle w:val="Contents4"/>
            <w:tabs>
              <w:tab w:val="clear" w:pos="8176"/>
              <w:tab w:val="right" w:pos="9026" w:leader="dot"/>
            </w:tabs>
            <w:rPr/>
          </w:pPr>
          <w:hyperlink w:anchor="__RefHeading___Toc5900504_2142443653">
            <w:r>
              <w:rPr>
                <w:webHidden/>
                <w:rStyle w:val="IndexLink"/>
                <w:rtl w:val="true"/>
              </w:rPr>
              <w:t>اشارة</w:t>
            </w:r>
            <w:r>
              <w:rPr>
                <w:rStyle w:val="IndexLink"/>
                <w:rtl w:val="true"/>
              </w:rPr>
              <w:tab/>
            </w:r>
            <w:r>
              <w:rPr>
                <w:rStyle w:val="IndexLink"/>
              </w:rPr>
              <w:t>47</w:t>
            </w:r>
          </w:hyperlink>
        </w:p>
        <w:p>
          <w:pPr>
            <w:pStyle w:val="Contents4"/>
            <w:tabs>
              <w:tab w:val="clear" w:pos="8176"/>
              <w:tab w:val="right" w:pos="9026" w:leader="dot"/>
            </w:tabs>
            <w:rPr/>
          </w:pPr>
          <w:hyperlink w:anchor="__RefHeading___Toc5900506_2142443653">
            <w:r>
              <w:rPr>
                <w:webHidden/>
                <w:rStyle w:val="IndexLink"/>
                <w:rtl w:val="true"/>
              </w:rPr>
              <w:t>المبحث الأول</w:t>
            </w:r>
            <w:r>
              <w:rPr>
                <w:rStyle w:val="IndexLink"/>
                <w:rtl w:val="true"/>
              </w:rPr>
              <w:t xml:space="preserve">: </w:t>
            </w:r>
            <w:r>
              <w:rPr>
                <w:rStyle w:val="IndexLink"/>
                <w:rtl w:val="true"/>
              </w:rPr>
              <w:t>في كون القاعدة من المسائل الأصولية أو القواعد الفقهية</w:t>
            </w:r>
            <w:r>
              <w:rPr>
                <w:rStyle w:val="IndexLink"/>
                <w:rtl w:val="true"/>
              </w:rPr>
              <w:t>.</w:t>
              <w:tab/>
            </w:r>
            <w:r>
              <w:rPr>
                <w:rStyle w:val="IndexLink"/>
              </w:rPr>
              <w:t>47</w:t>
            </w:r>
          </w:hyperlink>
        </w:p>
        <w:p>
          <w:pPr>
            <w:pStyle w:val="Contents4"/>
            <w:tabs>
              <w:tab w:val="clear" w:pos="8176"/>
              <w:tab w:val="right" w:pos="9026" w:leader="dot"/>
            </w:tabs>
            <w:rPr/>
          </w:pPr>
          <w:hyperlink w:anchor="__RefHeading___Toc5900508_2142443653">
            <w:r>
              <w:rPr>
                <w:webHidden/>
                <w:rStyle w:val="IndexLink"/>
                <w:rtl w:val="true"/>
              </w:rPr>
              <w:t>المبحث الثاني</w:t>
            </w:r>
            <w:r>
              <w:rPr>
                <w:rStyle w:val="IndexLink"/>
                <w:rtl w:val="true"/>
              </w:rPr>
              <w:t xml:space="preserve">: </w:t>
            </w:r>
            <w:r>
              <w:rPr>
                <w:rStyle w:val="IndexLink"/>
                <w:rtl w:val="true"/>
              </w:rPr>
              <w:t>في كون هذه القاعدة من الأمارات الحاكمة على الأصول مطلقاً</w:t>
            </w:r>
            <w:r>
              <w:rPr>
                <w:rStyle w:val="IndexLink"/>
                <w:rtl w:val="true"/>
              </w:rPr>
              <w:tab/>
            </w:r>
            <w:r>
              <w:rPr>
                <w:rStyle w:val="IndexLink"/>
              </w:rPr>
              <w:t>47</w:t>
            </w:r>
          </w:hyperlink>
        </w:p>
        <w:p>
          <w:pPr>
            <w:pStyle w:val="Contents4"/>
            <w:tabs>
              <w:tab w:val="clear" w:pos="8176"/>
              <w:tab w:val="right" w:pos="9026" w:leader="dot"/>
            </w:tabs>
            <w:rPr/>
          </w:pPr>
          <w:hyperlink w:anchor="__RefHeading___Toc5900510_2142443653">
            <w:r>
              <w:rPr>
                <w:webHidden/>
                <w:rStyle w:val="IndexLink"/>
                <w:rtl w:val="true"/>
              </w:rPr>
              <w:t>المبحث الثالث</w:t>
            </w:r>
            <w:r>
              <w:rPr>
                <w:rStyle w:val="IndexLink"/>
                <w:rtl w:val="true"/>
              </w:rPr>
              <w:t xml:space="preserve">: </w:t>
            </w:r>
            <w:r>
              <w:rPr>
                <w:rStyle w:val="IndexLink"/>
                <w:rtl w:val="true"/>
              </w:rPr>
              <w:t>في أنَّهما قاعدتان أو قاعدة واحدة</w:t>
            </w:r>
            <w:r>
              <w:rPr>
                <w:rStyle w:val="IndexLink"/>
                <w:rtl w:val="true"/>
              </w:rPr>
              <w:t>.</w:t>
              <w:tab/>
            </w:r>
            <w:r>
              <w:rPr>
                <w:rStyle w:val="IndexLink"/>
              </w:rPr>
              <w:t>50</w:t>
            </w:r>
          </w:hyperlink>
        </w:p>
        <w:p>
          <w:pPr>
            <w:pStyle w:val="Contents4"/>
            <w:tabs>
              <w:tab w:val="clear" w:pos="8176"/>
              <w:tab w:val="right" w:pos="9026" w:leader="dot"/>
            </w:tabs>
            <w:rPr/>
          </w:pPr>
          <w:hyperlink w:anchor="__RefHeading___Toc5900512_2142443653">
            <w:r>
              <w:rPr>
                <w:webHidden/>
                <w:rStyle w:val="IndexLink"/>
                <w:rtl w:val="true"/>
              </w:rPr>
              <w:t>المبحث الرابع</w:t>
            </w:r>
            <w:r>
              <w:rPr>
                <w:rStyle w:val="IndexLink"/>
                <w:rtl w:val="true"/>
              </w:rPr>
              <w:t xml:space="preserve">: </w:t>
            </w:r>
            <w:r>
              <w:rPr>
                <w:rStyle w:val="IndexLink"/>
                <w:rtl w:val="true"/>
              </w:rPr>
              <w:t>في ذكر الأخبار الواردة في الباب</w:t>
            </w:r>
            <w:r>
              <w:rPr>
                <w:rStyle w:val="IndexLink"/>
                <w:rtl w:val="true"/>
              </w:rPr>
              <w:tab/>
            </w:r>
            <w:r>
              <w:rPr>
                <w:rStyle w:val="IndexLink"/>
              </w:rPr>
              <w:t>60</w:t>
            </w:r>
          </w:hyperlink>
        </w:p>
        <w:p>
          <w:pPr>
            <w:pStyle w:val="Contents4"/>
            <w:tabs>
              <w:tab w:val="clear" w:pos="8176"/>
              <w:tab w:val="right" w:pos="9026" w:leader="dot"/>
            </w:tabs>
            <w:rPr/>
          </w:pPr>
          <w:hyperlink w:anchor="__RefHeading___Toc5900514_2142443653">
            <w:r>
              <w:rPr>
                <w:webHidden/>
                <w:rStyle w:val="IndexLink"/>
                <w:rtl w:val="true"/>
              </w:rPr>
              <w:t>المبحث الخامس</w:t>
            </w:r>
            <w:r>
              <w:rPr>
                <w:rStyle w:val="IndexLink"/>
                <w:rtl w:val="true"/>
              </w:rPr>
              <w:t xml:space="preserve">: </w:t>
            </w:r>
            <w:r>
              <w:rPr>
                <w:rStyle w:val="IndexLink"/>
                <w:rtl w:val="true"/>
              </w:rPr>
              <w:t>في معنى التجاوز والفراغ</w:t>
            </w:r>
            <w:r>
              <w:rPr>
                <w:rStyle w:val="IndexLink"/>
                <w:rtl w:val="true"/>
              </w:rPr>
              <w:tab/>
            </w:r>
            <w:r>
              <w:rPr>
                <w:rStyle w:val="IndexLink"/>
              </w:rPr>
              <w:t>63</w:t>
            </w:r>
          </w:hyperlink>
        </w:p>
        <w:p>
          <w:pPr>
            <w:pStyle w:val="Contents4"/>
            <w:tabs>
              <w:tab w:val="clear" w:pos="8176"/>
              <w:tab w:val="right" w:pos="9026" w:leader="dot"/>
            </w:tabs>
            <w:rPr/>
          </w:pPr>
          <w:hyperlink w:anchor="__RefHeading___Toc5900516_2142443653">
            <w:r>
              <w:rPr>
                <w:webHidden/>
                <w:rStyle w:val="IndexLink"/>
                <w:rtl w:val="true"/>
              </w:rPr>
              <w:t>المبحث السادس</w:t>
            </w:r>
            <w:r>
              <w:rPr>
                <w:rStyle w:val="IndexLink"/>
                <w:rtl w:val="true"/>
              </w:rPr>
              <w:t xml:space="preserve">: </w:t>
            </w:r>
            <w:r>
              <w:rPr>
                <w:rStyle w:val="IndexLink"/>
                <w:rtl w:val="true"/>
              </w:rPr>
              <w:t>في اعتبار الدخول في الغير</w:t>
            </w:r>
            <w:r>
              <w:rPr>
                <w:rStyle w:val="IndexLink"/>
                <w:rtl w:val="true"/>
              </w:rPr>
              <w:tab/>
            </w:r>
            <w:r>
              <w:rPr>
                <w:rStyle w:val="IndexLink"/>
              </w:rPr>
              <w:t>68</w:t>
            </w:r>
          </w:hyperlink>
        </w:p>
        <w:p>
          <w:pPr>
            <w:pStyle w:val="Contents5"/>
            <w:tabs>
              <w:tab w:val="clear" w:pos="7892"/>
              <w:tab w:val="right" w:pos="9026" w:leader="dot"/>
            </w:tabs>
            <w:rPr/>
          </w:pPr>
          <w:hyperlink w:anchor="__RefHeading___Toc5900518_2142443653">
            <w:r>
              <w:rPr>
                <w:webHidden/>
                <w:rStyle w:val="IndexLink"/>
                <w:rtl w:val="true"/>
              </w:rPr>
              <w:t>اشارة</w:t>
            </w:r>
            <w:r>
              <w:rPr>
                <w:rStyle w:val="IndexLink"/>
                <w:rtl w:val="true"/>
              </w:rPr>
              <w:tab/>
            </w:r>
            <w:r>
              <w:rPr>
                <w:rStyle w:val="IndexLink"/>
              </w:rPr>
              <w:t>68</w:t>
            </w:r>
          </w:hyperlink>
        </w:p>
        <w:p>
          <w:pPr>
            <w:pStyle w:val="Contents5"/>
            <w:tabs>
              <w:tab w:val="clear" w:pos="7892"/>
              <w:tab w:val="right" w:pos="9026" w:leader="dot"/>
            </w:tabs>
            <w:rPr/>
          </w:pPr>
          <w:hyperlink w:anchor="__RefHeading___Toc5900520_2142443653">
            <w:r>
              <w:rPr>
                <w:webHidden/>
                <w:rStyle w:val="IndexLink"/>
                <w:rtl w:val="true"/>
              </w:rPr>
              <w:t>الجهة الأولى</w:t>
            </w:r>
            <w:r>
              <w:rPr>
                <w:rStyle w:val="IndexLink"/>
                <w:rtl w:val="true"/>
              </w:rPr>
              <w:t xml:space="preserve">: </w:t>
            </w:r>
            <w:r>
              <w:rPr>
                <w:rStyle w:val="IndexLink"/>
                <w:rtl w:val="true"/>
              </w:rPr>
              <w:t>في اعتبار الدخول في الغير في قاعدة الفراغ</w:t>
            </w:r>
            <w:r>
              <w:rPr>
                <w:rStyle w:val="IndexLink"/>
                <w:rtl w:val="true"/>
              </w:rPr>
              <w:tab/>
            </w:r>
            <w:r>
              <w:rPr>
                <w:rStyle w:val="IndexLink"/>
              </w:rPr>
              <w:t>68</w:t>
            </w:r>
          </w:hyperlink>
        </w:p>
        <w:p>
          <w:pPr>
            <w:pStyle w:val="Contents5"/>
            <w:tabs>
              <w:tab w:val="clear" w:pos="7892"/>
              <w:tab w:val="right" w:pos="9026" w:leader="dot"/>
            </w:tabs>
            <w:rPr/>
          </w:pPr>
          <w:hyperlink w:anchor="__RefHeading___Toc5900522_2142443653">
            <w:r>
              <w:rPr>
                <w:webHidden/>
                <w:rStyle w:val="IndexLink"/>
                <w:rtl w:val="true"/>
              </w:rPr>
              <w:t>الجهة الثانية</w:t>
            </w:r>
            <w:r>
              <w:rPr>
                <w:rStyle w:val="IndexLink"/>
                <w:rtl w:val="true"/>
              </w:rPr>
              <w:t xml:space="preserve">: </w:t>
            </w:r>
            <w:r>
              <w:rPr>
                <w:rStyle w:val="IndexLink"/>
                <w:rtl w:val="true"/>
              </w:rPr>
              <w:t>في اعتبار الدخول في الغير في قاعدة التجاوز</w:t>
            </w:r>
            <w:r>
              <w:rPr>
                <w:rStyle w:val="IndexLink"/>
                <w:rtl w:val="true"/>
              </w:rPr>
              <w:t>.</w:t>
              <w:tab/>
            </w:r>
            <w:r>
              <w:rPr>
                <w:rStyle w:val="IndexLink"/>
              </w:rPr>
              <w:t>72</w:t>
            </w:r>
          </w:hyperlink>
        </w:p>
        <w:p>
          <w:pPr>
            <w:pStyle w:val="Contents5"/>
            <w:tabs>
              <w:tab w:val="clear" w:pos="7892"/>
              <w:tab w:val="right" w:pos="9026" w:leader="dot"/>
            </w:tabs>
            <w:rPr/>
          </w:pPr>
          <w:hyperlink w:anchor="__RefHeading___Toc5900524_2142443653">
            <w:r>
              <w:rPr>
                <w:webHidden/>
                <w:rStyle w:val="IndexLink"/>
                <w:rtl w:val="true"/>
              </w:rPr>
              <w:t>الجهة الثالثة</w:t>
            </w:r>
            <w:r>
              <w:rPr>
                <w:rStyle w:val="IndexLink"/>
                <w:rtl w:val="true"/>
              </w:rPr>
              <w:t xml:space="preserve">: </w:t>
            </w:r>
            <w:r>
              <w:rPr>
                <w:rStyle w:val="IndexLink"/>
                <w:rtl w:val="true"/>
              </w:rPr>
              <w:t>في المراد من الغير</w:t>
            </w:r>
            <w:r>
              <w:rPr>
                <w:rStyle w:val="IndexLink"/>
                <w:rtl w:val="true"/>
              </w:rPr>
              <w:t>.</w:t>
              <w:tab/>
            </w:r>
            <w:r>
              <w:rPr>
                <w:rStyle w:val="IndexLink"/>
              </w:rPr>
              <w:t>74</w:t>
            </w:r>
          </w:hyperlink>
        </w:p>
        <w:p>
          <w:pPr>
            <w:pStyle w:val="Contents5"/>
            <w:tabs>
              <w:tab w:val="clear" w:pos="7892"/>
              <w:tab w:val="right" w:pos="9026" w:leader="dot"/>
            </w:tabs>
            <w:rPr/>
          </w:pPr>
          <w:hyperlink w:anchor="__RefHeading___Toc5900526_2142443653">
            <w:r>
              <w:rPr>
                <w:webHidden/>
                <w:rStyle w:val="IndexLink"/>
                <w:rtl w:val="true"/>
              </w:rPr>
              <w:t>المبحث السابع</w:t>
            </w:r>
            <w:r>
              <w:rPr>
                <w:rStyle w:val="IndexLink"/>
                <w:rtl w:val="true"/>
              </w:rPr>
              <w:t xml:space="preserve">: </w:t>
            </w:r>
            <w:r>
              <w:rPr>
                <w:rStyle w:val="IndexLink"/>
                <w:rtl w:val="true"/>
              </w:rPr>
              <w:t>في السكوت بعد الفراغ أو في الأثناء</w:t>
            </w:r>
            <w:r>
              <w:rPr>
                <w:rStyle w:val="IndexLink"/>
                <w:rtl w:val="true"/>
              </w:rPr>
              <w:tab/>
            </w:r>
            <w:r>
              <w:rPr>
                <w:rStyle w:val="IndexLink"/>
              </w:rPr>
              <w:t>80</w:t>
            </w:r>
          </w:hyperlink>
        </w:p>
        <w:p>
          <w:pPr>
            <w:pStyle w:val="Contents4"/>
            <w:tabs>
              <w:tab w:val="clear" w:pos="8176"/>
              <w:tab w:val="right" w:pos="9026" w:leader="dot"/>
            </w:tabs>
            <w:rPr/>
          </w:pPr>
          <w:hyperlink w:anchor="__RefHeading___Toc5900528_2142443653">
            <w:r>
              <w:rPr>
                <w:webHidden/>
                <w:rStyle w:val="IndexLink"/>
                <w:rtl w:val="true"/>
              </w:rPr>
              <w:t>المبحث الثامن</w:t>
            </w:r>
            <w:r>
              <w:rPr>
                <w:rStyle w:val="IndexLink"/>
                <w:rtl w:val="true"/>
              </w:rPr>
              <w:t xml:space="preserve">: </w:t>
            </w:r>
            <w:r>
              <w:rPr>
                <w:rStyle w:val="IndexLink"/>
                <w:rtl w:val="true"/>
              </w:rPr>
              <w:t>في جريان قاعدة التجاوز في الوضوء، بل في الطهارات الثلاث</w:t>
            </w:r>
            <w:r>
              <w:rPr>
                <w:rStyle w:val="IndexLink"/>
                <w:rtl w:val="true"/>
              </w:rPr>
              <w:t>.</w:t>
              <w:tab/>
            </w:r>
            <w:r>
              <w:rPr>
                <w:rStyle w:val="IndexLink"/>
              </w:rPr>
              <w:t>87</w:t>
            </w:r>
          </w:hyperlink>
        </w:p>
        <w:p>
          <w:pPr>
            <w:pStyle w:val="Contents4"/>
            <w:tabs>
              <w:tab w:val="clear" w:pos="8176"/>
              <w:tab w:val="right" w:pos="9026" w:leader="dot"/>
            </w:tabs>
            <w:rPr/>
          </w:pPr>
          <w:hyperlink w:anchor="__RefHeading___Toc5900530_2142443653">
            <w:r>
              <w:rPr>
                <w:webHidden/>
                <w:rStyle w:val="IndexLink"/>
                <w:rtl w:val="true"/>
              </w:rPr>
              <w:t>المبحث التاسع</w:t>
            </w:r>
            <w:r>
              <w:rPr>
                <w:rStyle w:val="IndexLink"/>
                <w:rtl w:val="true"/>
              </w:rPr>
              <w:t xml:space="preserve">: </w:t>
            </w:r>
            <w:r>
              <w:rPr>
                <w:rStyle w:val="IndexLink"/>
                <w:rtl w:val="true"/>
              </w:rPr>
              <w:t>إعتبار إحراز أصل التكليف في الجملة في جريان القاعدتين</w:t>
            </w:r>
            <w:r>
              <w:rPr>
                <w:rStyle w:val="IndexLink"/>
                <w:rtl w:val="true"/>
              </w:rPr>
              <w:tab/>
            </w:r>
            <w:r>
              <w:rPr>
                <w:rStyle w:val="IndexLink"/>
              </w:rPr>
              <w:t>90</w:t>
            </w:r>
          </w:hyperlink>
        </w:p>
        <w:p>
          <w:pPr>
            <w:pStyle w:val="Contents4"/>
            <w:tabs>
              <w:tab w:val="clear" w:pos="8176"/>
              <w:tab w:val="right" w:pos="9026" w:leader="dot"/>
            </w:tabs>
            <w:rPr/>
          </w:pPr>
          <w:hyperlink w:anchor="__RefHeading___Toc5900532_2142443653">
            <w:r>
              <w:rPr>
                <w:webHidden/>
                <w:rStyle w:val="IndexLink"/>
                <w:rtl w:val="true"/>
              </w:rPr>
              <w:t>المبحث العاشر</w:t>
            </w:r>
            <w:r>
              <w:rPr>
                <w:rStyle w:val="IndexLink"/>
                <w:rtl w:val="true"/>
              </w:rPr>
              <w:t xml:space="preserve">: </w:t>
            </w:r>
            <w:r>
              <w:rPr>
                <w:rStyle w:val="IndexLink"/>
                <w:rtl w:val="true"/>
              </w:rPr>
              <w:t>في أنّ المضي وعدم الإعتناء بالشك في القاعدتين على نحو العزيمة</w:t>
            </w:r>
            <w:r>
              <w:rPr>
                <w:rStyle w:val="IndexLink"/>
                <w:rtl w:val="true"/>
              </w:rPr>
              <w:tab/>
            </w:r>
            <w:r>
              <w:rPr>
                <w:rStyle w:val="IndexLink"/>
              </w:rPr>
              <w:t>94</w:t>
            </w:r>
          </w:hyperlink>
        </w:p>
        <w:p>
          <w:pPr>
            <w:pStyle w:val="Contents4"/>
            <w:tabs>
              <w:tab w:val="clear" w:pos="8176"/>
              <w:tab w:val="right" w:pos="9026" w:leader="dot"/>
            </w:tabs>
            <w:rPr/>
          </w:pPr>
          <w:hyperlink w:anchor="__RefHeading___Toc5900534_2142443653">
            <w:r>
              <w:rPr>
                <w:webHidden/>
                <w:rStyle w:val="IndexLink"/>
                <w:rtl w:val="true"/>
              </w:rPr>
              <w:t>المبحث الحادي عشر</w:t>
            </w:r>
            <w:r>
              <w:rPr>
                <w:rStyle w:val="IndexLink"/>
                <w:rtl w:val="true"/>
              </w:rPr>
              <w:t xml:space="preserve">: </w:t>
            </w:r>
            <w:r>
              <w:rPr>
                <w:rStyle w:val="IndexLink"/>
                <w:rtl w:val="true"/>
              </w:rPr>
              <w:t>في البناء على كونهما من صغريات أصالة عدم السهو والغفلة والنسيان</w:t>
            </w:r>
            <w:r>
              <w:rPr>
                <w:rStyle w:val="IndexLink"/>
                <w:rtl w:val="true"/>
              </w:rPr>
              <w:tab/>
            </w:r>
            <w:r>
              <w:rPr>
                <w:rStyle w:val="IndexLink"/>
              </w:rPr>
              <w:t>96</w:t>
            </w:r>
          </w:hyperlink>
        </w:p>
        <w:p>
          <w:pPr>
            <w:pStyle w:val="Contents3"/>
            <w:tabs>
              <w:tab w:val="clear" w:pos="8459"/>
              <w:tab w:val="right" w:pos="9026" w:leader="dot"/>
            </w:tabs>
            <w:rPr/>
          </w:pPr>
          <w:hyperlink w:anchor="__RefHeading___Toc5900536_2142443653">
            <w:r>
              <w:rPr>
                <w:webHidden/>
                <w:rStyle w:val="IndexLink"/>
                <w:rtl w:val="true"/>
              </w:rPr>
              <w:t>قاعدة أصالة الصحة</w:t>
            </w:r>
            <w:r>
              <w:rPr>
                <w:rStyle w:val="IndexLink"/>
                <w:rtl w:val="true"/>
              </w:rPr>
              <w:tab/>
            </w:r>
            <w:r>
              <w:rPr>
                <w:rStyle w:val="IndexLink"/>
              </w:rPr>
              <w:t>97</w:t>
            </w:r>
          </w:hyperlink>
        </w:p>
        <w:p>
          <w:pPr>
            <w:pStyle w:val="Contents4"/>
            <w:tabs>
              <w:tab w:val="clear" w:pos="8176"/>
              <w:tab w:val="right" w:pos="9026" w:leader="dot"/>
            </w:tabs>
            <w:rPr/>
          </w:pPr>
          <w:hyperlink w:anchor="__RefHeading___Toc5900538_2142443653">
            <w:r>
              <w:rPr>
                <w:webHidden/>
                <w:rStyle w:val="IndexLink"/>
                <w:rtl w:val="true"/>
              </w:rPr>
              <w:t>اشارة</w:t>
            </w:r>
            <w:r>
              <w:rPr>
                <w:rStyle w:val="IndexLink"/>
                <w:rtl w:val="true"/>
              </w:rPr>
              <w:tab/>
            </w:r>
            <w:r>
              <w:rPr>
                <w:rStyle w:val="IndexLink"/>
              </w:rPr>
              <w:t>97</w:t>
            </w:r>
          </w:hyperlink>
        </w:p>
        <w:p>
          <w:pPr>
            <w:pStyle w:val="Contents4"/>
            <w:tabs>
              <w:tab w:val="clear" w:pos="8176"/>
              <w:tab w:val="right" w:pos="9026" w:leader="dot"/>
            </w:tabs>
            <w:rPr/>
          </w:pPr>
          <w:hyperlink w:anchor="__RefHeading___Toc5900540_2142443653">
            <w:r>
              <w:rPr>
                <w:webHidden/>
                <w:rStyle w:val="IndexLink"/>
                <w:rtl w:val="true"/>
              </w:rPr>
              <w:t>الجهة الأولى</w:t>
            </w:r>
            <w:r>
              <w:rPr>
                <w:rStyle w:val="IndexLink"/>
                <w:rtl w:val="true"/>
              </w:rPr>
              <w:t xml:space="preserve">: </w:t>
            </w:r>
            <w:r>
              <w:rPr>
                <w:rStyle w:val="IndexLink"/>
                <w:rtl w:val="true"/>
              </w:rPr>
              <w:t>في بيان الدليل عليها</w:t>
            </w:r>
            <w:r>
              <w:rPr>
                <w:rStyle w:val="IndexLink"/>
                <w:rtl w:val="true"/>
              </w:rPr>
              <w:t>.</w:t>
              <w:tab/>
            </w:r>
            <w:r>
              <w:rPr>
                <w:rStyle w:val="IndexLink"/>
              </w:rPr>
              <w:t>97</w:t>
            </w:r>
          </w:hyperlink>
        </w:p>
        <w:p>
          <w:pPr>
            <w:pStyle w:val="Contents4"/>
            <w:tabs>
              <w:tab w:val="clear" w:pos="8176"/>
              <w:tab w:val="right" w:pos="9026" w:leader="dot"/>
            </w:tabs>
            <w:rPr/>
          </w:pPr>
          <w:hyperlink w:anchor="__RefHeading___Toc5900542_2142443653">
            <w:r>
              <w:rPr>
                <w:webHidden/>
                <w:rStyle w:val="IndexLink"/>
                <w:rtl w:val="true"/>
              </w:rPr>
              <w:t>الجهة الثانية</w:t>
            </w:r>
            <w:r>
              <w:rPr>
                <w:rStyle w:val="IndexLink"/>
                <w:rtl w:val="true"/>
              </w:rPr>
              <w:t xml:space="preserve">: </w:t>
            </w:r>
            <w:r>
              <w:rPr>
                <w:rStyle w:val="IndexLink"/>
                <w:rtl w:val="true"/>
              </w:rPr>
              <w:t>لا وجه للبحث في أنها أمارة أو قاعدة أو أصل</w:t>
            </w:r>
            <w:r>
              <w:rPr>
                <w:rStyle w:val="IndexLink"/>
                <w:rtl w:val="true"/>
              </w:rPr>
              <w:tab/>
            </w:r>
            <w:r>
              <w:rPr>
                <w:rStyle w:val="IndexLink"/>
              </w:rPr>
              <w:t>100</w:t>
            </w:r>
          </w:hyperlink>
        </w:p>
        <w:p>
          <w:pPr>
            <w:pStyle w:val="Contents4"/>
            <w:tabs>
              <w:tab w:val="clear" w:pos="8176"/>
              <w:tab w:val="right" w:pos="9026" w:leader="dot"/>
            </w:tabs>
            <w:rPr/>
          </w:pPr>
          <w:hyperlink w:anchor="__RefHeading___Toc5900544_2142443653">
            <w:r>
              <w:rPr>
                <w:webHidden/>
                <w:rStyle w:val="IndexLink"/>
                <w:rtl w:val="true"/>
              </w:rPr>
              <w:t>الجهة الثالثة</w:t>
            </w:r>
            <w:r>
              <w:rPr>
                <w:rStyle w:val="IndexLink"/>
                <w:rtl w:val="true"/>
              </w:rPr>
              <w:t xml:space="preserve">: </w:t>
            </w:r>
            <w:r>
              <w:rPr>
                <w:rStyle w:val="IndexLink"/>
                <w:rtl w:val="true"/>
              </w:rPr>
              <w:t>في المراد من الصحة</w:t>
            </w:r>
            <w:r>
              <w:rPr>
                <w:rStyle w:val="IndexLink"/>
                <w:rtl w:val="true"/>
              </w:rPr>
              <w:tab/>
            </w:r>
            <w:r>
              <w:rPr>
                <w:rStyle w:val="IndexLink"/>
              </w:rPr>
              <w:t>103</w:t>
            </w:r>
          </w:hyperlink>
        </w:p>
        <w:p>
          <w:pPr>
            <w:pStyle w:val="Contents4"/>
            <w:tabs>
              <w:tab w:val="clear" w:pos="8176"/>
              <w:tab w:val="right" w:pos="9026" w:leader="dot"/>
            </w:tabs>
            <w:rPr/>
          </w:pPr>
          <w:hyperlink w:anchor="__RefHeading___Toc5900546_2142443653">
            <w:r>
              <w:rPr>
                <w:webHidden/>
                <w:rStyle w:val="IndexLink"/>
                <w:rtl w:val="true"/>
              </w:rPr>
              <w:t>الجهة الرابعة</w:t>
            </w:r>
            <w:r>
              <w:rPr>
                <w:rStyle w:val="IndexLink"/>
                <w:rtl w:val="true"/>
              </w:rPr>
              <w:t xml:space="preserve">: </w:t>
            </w:r>
            <w:r>
              <w:rPr>
                <w:rStyle w:val="IndexLink"/>
                <w:rtl w:val="true"/>
              </w:rPr>
              <w:t>يشترط في جريان أصالة الصحة إحراز عنوان العمل</w:t>
            </w:r>
            <w:r>
              <w:rPr>
                <w:rStyle w:val="IndexLink"/>
                <w:rtl w:val="true"/>
              </w:rPr>
              <w:tab/>
            </w:r>
            <w:r>
              <w:rPr>
                <w:rStyle w:val="IndexLink"/>
              </w:rPr>
              <w:t>106</w:t>
            </w:r>
          </w:hyperlink>
        </w:p>
        <w:p>
          <w:pPr>
            <w:pStyle w:val="Contents4"/>
            <w:tabs>
              <w:tab w:val="clear" w:pos="8176"/>
              <w:tab w:val="right" w:pos="9026" w:leader="dot"/>
            </w:tabs>
            <w:rPr/>
          </w:pPr>
          <w:hyperlink w:anchor="__RefHeading___Toc5900548_2142443653">
            <w:r>
              <w:rPr>
                <w:webHidden/>
                <w:rStyle w:val="IndexLink"/>
                <w:rtl w:val="true"/>
              </w:rPr>
              <w:t>الجهة الخامسة</w:t>
            </w:r>
            <w:r>
              <w:rPr>
                <w:rStyle w:val="IndexLink"/>
                <w:rtl w:val="true"/>
              </w:rPr>
              <w:t xml:space="preserve">: </w:t>
            </w:r>
            <w:r>
              <w:rPr>
                <w:rStyle w:val="IndexLink"/>
                <w:rtl w:val="true"/>
              </w:rPr>
              <w:t>لا فرق في مجرى هذه القاعدة بين كونها من العبادات أو غيرها مطلقاً</w:t>
            </w:r>
            <w:r>
              <w:rPr>
                <w:rStyle w:val="IndexLink"/>
                <w:rtl w:val="true"/>
              </w:rPr>
              <w:t>.</w:t>
              <w:tab/>
            </w:r>
            <w:r>
              <w:rPr>
                <w:rStyle w:val="IndexLink"/>
              </w:rPr>
              <w:t>108</w:t>
            </w:r>
          </w:hyperlink>
        </w:p>
        <w:p>
          <w:pPr>
            <w:pStyle w:val="Contents4"/>
            <w:tabs>
              <w:tab w:val="clear" w:pos="8176"/>
              <w:tab w:val="right" w:pos="9026" w:leader="dot"/>
            </w:tabs>
            <w:rPr/>
          </w:pPr>
          <w:hyperlink w:anchor="__RefHeading___Toc5900550_2142443653">
            <w:r>
              <w:rPr>
                <w:webHidden/>
                <w:rStyle w:val="IndexLink"/>
                <w:rtl w:val="true"/>
              </w:rPr>
              <w:t>الجهة السادسة</w:t>
            </w:r>
            <w:r>
              <w:rPr>
                <w:rStyle w:val="IndexLink"/>
                <w:rtl w:val="true"/>
              </w:rPr>
              <w:t xml:space="preserve">: </w:t>
            </w:r>
            <w:r>
              <w:rPr>
                <w:rStyle w:val="IndexLink"/>
                <w:rtl w:val="true"/>
              </w:rPr>
              <w:t>لا يشترط في مجري هذه القاعدة البلوغ</w:t>
            </w:r>
            <w:r>
              <w:rPr>
                <w:rStyle w:val="IndexLink"/>
                <w:rtl w:val="true"/>
              </w:rPr>
              <w:tab/>
            </w:r>
            <w:r>
              <w:rPr>
                <w:rStyle w:val="IndexLink"/>
              </w:rPr>
              <w:t>118</w:t>
            </w:r>
          </w:hyperlink>
        </w:p>
        <w:p>
          <w:pPr>
            <w:pStyle w:val="Contents3"/>
            <w:tabs>
              <w:tab w:val="clear" w:pos="8459"/>
              <w:tab w:val="right" w:pos="9026" w:leader="dot"/>
            </w:tabs>
            <w:rPr/>
          </w:pPr>
          <w:hyperlink w:anchor="__RefHeading___Toc5900552_2142443653">
            <w:r>
              <w:rPr>
                <w:webHidden/>
                <w:rStyle w:val="IndexLink"/>
                <w:rtl w:val="true"/>
              </w:rPr>
              <w:t>قاعدة اليد</w:t>
            </w:r>
            <w:r>
              <w:rPr>
                <w:rStyle w:val="IndexLink"/>
                <w:rtl w:val="true"/>
              </w:rPr>
              <w:tab/>
            </w:r>
            <w:r>
              <w:rPr>
                <w:rStyle w:val="IndexLink"/>
              </w:rPr>
              <w:t>123</w:t>
            </w:r>
          </w:hyperlink>
        </w:p>
        <w:p>
          <w:pPr>
            <w:pStyle w:val="Contents4"/>
            <w:tabs>
              <w:tab w:val="clear" w:pos="8176"/>
              <w:tab w:val="right" w:pos="9026" w:leader="dot"/>
            </w:tabs>
            <w:rPr/>
          </w:pPr>
          <w:hyperlink w:anchor="__RefHeading___Toc5900554_2142443653">
            <w:r>
              <w:rPr>
                <w:webHidden/>
                <w:rStyle w:val="IndexLink"/>
                <w:rtl w:val="true"/>
              </w:rPr>
              <w:t>اشارة</w:t>
            </w:r>
            <w:r>
              <w:rPr>
                <w:rStyle w:val="IndexLink"/>
                <w:rtl w:val="true"/>
              </w:rPr>
              <w:tab/>
            </w:r>
            <w:r>
              <w:rPr>
                <w:rStyle w:val="IndexLink"/>
              </w:rPr>
              <w:t>123</w:t>
            </w:r>
          </w:hyperlink>
        </w:p>
        <w:p>
          <w:pPr>
            <w:pStyle w:val="Contents4"/>
            <w:tabs>
              <w:tab w:val="clear" w:pos="8176"/>
              <w:tab w:val="right" w:pos="9026" w:leader="dot"/>
            </w:tabs>
            <w:rPr/>
          </w:pPr>
          <w:hyperlink w:anchor="__RefHeading___Toc5900556_2142443653">
            <w:r>
              <w:rPr>
                <w:webHidden/>
                <w:rStyle w:val="IndexLink"/>
                <w:rtl w:val="true"/>
              </w:rPr>
              <w:t>الأمر الأول</w:t>
            </w:r>
            <w:r>
              <w:rPr>
                <w:rStyle w:val="IndexLink"/>
                <w:rtl w:val="true"/>
              </w:rPr>
              <w:t xml:space="preserve">: </w:t>
            </w:r>
            <w:r>
              <w:rPr>
                <w:rStyle w:val="IndexLink"/>
                <w:rtl w:val="true"/>
              </w:rPr>
              <w:t>في المراد باليد في هذه القاعدة</w:t>
            </w:r>
            <w:r>
              <w:rPr>
                <w:rStyle w:val="IndexLink"/>
                <w:rtl w:val="true"/>
              </w:rPr>
              <w:t>.</w:t>
              <w:tab/>
            </w:r>
            <w:r>
              <w:rPr>
                <w:rStyle w:val="IndexLink"/>
              </w:rPr>
              <w:t>123</w:t>
            </w:r>
          </w:hyperlink>
        </w:p>
        <w:p>
          <w:pPr>
            <w:pStyle w:val="Contents4"/>
            <w:tabs>
              <w:tab w:val="clear" w:pos="8176"/>
              <w:tab w:val="right" w:pos="9026" w:leader="dot"/>
            </w:tabs>
            <w:rPr/>
          </w:pPr>
          <w:hyperlink w:anchor="__RefHeading___Toc5900558_2142443653">
            <w:r>
              <w:rPr>
                <w:webHidden/>
                <w:rStyle w:val="IndexLink"/>
                <w:rtl w:val="true"/>
              </w:rPr>
              <w:t>الأمر الثاني</w:t>
            </w:r>
            <w:r>
              <w:rPr>
                <w:rStyle w:val="IndexLink"/>
                <w:rtl w:val="true"/>
              </w:rPr>
              <w:t xml:space="preserve">: </w:t>
            </w:r>
            <w:r>
              <w:rPr>
                <w:rStyle w:val="IndexLink"/>
                <w:rtl w:val="true"/>
              </w:rPr>
              <w:t>في الدليل على اعتبارها</w:t>
            </w:r>
            <w:r>
              <w:rPr>
                <w:rStyle w:val="IndexLink"/>
                <w:rtl w:val="true"/>
              </w:rPr>
              <w:tab/>
            </w:r>
            <w:r>
              <w:rPr>
                <w:rStyle w:val="IndexLink"/>
              </w:rPr>
              <w:t>125</w:t>
            </w:r>
          </w:hyperlink>
        </w:p>
        <w:p>
          <w:pPr>
            <w:pStyle w:val="Contents4"/>
            <w:tabs>
              <w:tab w:val="clear" w:pos="8176"/>
              <w:tab w:val="right" w:pos="9026" w:leader="dot"/>
            </w:tabs>
            <w:rPr/>
          </w:pPr>
          <w:hyperlink w:anchor="__RefHeading___Toc5900560_2142443653">
            <w:r>
              <w:rPr>
                <w:webHidden/>
                <w:rStyle w:val="IndexLink"/>
                <w:rtl w:val="true"/>
              </w:rPr>
              <w:t>الأمر الثالث</w:t>
            </w:r>
            <w:r>
              <w:rPr>
                <w:rStyle w:val="IndexLink"/>
                <w:rtl w:val="true"/>
              </w:rPr>
              <w:t xml:space="preserve">: </w:t>
            </w:r>
            <w:r>
              <w:rPr>
                <w:rStyle w:val="IndexLink"/>
                <w:rtl w:val="true"/>
              </w:rPr>
              <w:t>في تقدم اليد على الإستصحاب</w:t>
            </w:r>
            <w:r>
              <w:rPr>
                <w:rStyle w:val="IndexLink"/>
                <w:rtl w:val="true"/>
              </w:rPr>
              <w:t>.</w:t>
              <w:tab/>
            </w:r>
            <w:r>
              <w:rPr>
                <w:rStyle w:val="IndexLink"/>
              </w:rPr>
              <w:t>130</w:t>
            </w:r>
          </w:hyperlink>
        </w:p>
        <w:p>
          <w:pPr>
            <w:pStyle w:val="Contents4"/>
            <w:tabs>
              <w:tab w:val="clear" w:pos="8176"/>
              <w:tab w:val="right" w:pos="9026" w:leader="dot"/>
            </w:tabs>
            <w:rPr/>
          </w:pPr>
          <w:hyperlink w:anchor="__RefHeading___Toc5900562_2142443653">
            <w:r>
              <w:rPr>
                <w:webHidden/>
                <w:rStyle w:val="IndexLink"/>
                <w:rtl w:val="true"/>
              </w:rPr>
              <w:t>الأمر الرابع</w:t>
            </w:r>
            <w:r>
              <w:rPr>
                <w:rStyle w:val="IndexLink"/>
                <w:rtl w:val="true"/>
              </w:rPr>
              <w:t xml:space="preserve">: </w:t>
            </w:r>
            <w:r>
              <w:rPr>
                <w:rStyle w:val="IndexLink"/>
                <w:rtl w:val="true"/>
              </w:rPr>
              <w:t>في سعة وضيق القاعدة</w:t>
            </w:r>
            <w:r>
              <w:rPr>
                <w:rStyle w:val="IndexLink"/>
                <w:rtl w:val="true"/>
              </w:rPr>
              <w:tab/>
            </w:r>
            <w:r>
              <w:rPr>
                <w:rStyle w:val="IndexLink"/>
              </w:rPr>
              <w:t>131</w:t>
            </w:r>
          </w:hyperlink>
        </w:p>
        <w:p>
          <w:pPr>
            <w:pStyle w:val="Contents3"/>
            <w:tabs>
              <w:tab w:val="clear" w:pos="8459"/>
              <w:tab w:val="right" w:pos="9026" w:leader="dot"/>
            </w:tabs>
            <w:rPr/>
          </w:pPr>
          <w:hyperlink w:anchor="__RefHeading___Toc5900564_2142443653">
            <w:r>
              <w:rPr>
                <w:webHidden/>
                <w:rStyle w:val="IndexLink"/>
                <w:rtl w:val="true"/>
              </w:rPr>
              <w:t>قاعدة القرعة</w:t>
            </w:r>
            <w:r>
              <w:rPr>
                <w:rStyle w:val="IndexLink"/>
                <w:rtl w:val="true"/>
              </w:rPr>
              <w:tab/>
            </w:r>
            <w:r>
              <w:rPr>
                <w:rStyle w:val="IndexLink"/>
              </w:rPr>
              <w:t>141</w:t>
            </w:r>
          </w:hyperlink>
        </w:p>
        <w:p>
          <w:pPr>
            <w:pStyle w:val="Contents4"/>
            <w:tabs>
              <w:tab w:val="clear" w:pos="8176"/>
              <w:tab w:val="right" w:pos="9026" w:leader="dot"/>
            </w:tabs>
            <w:rPr/>
          </w:pPr>
          <w:hyperlink w:anchor="__RefHeading___Toc5900566_2142443653">
            <w:r>
              <w:rPr>
                <w:webHidden/>
                <w:rStyle w:val="IndexLink"/>
                <w:rtl w:val="true"/>
              </w:rPr>
              <w:t>اشارة</w:t>
            </w:r>
            <w:r>
              <w:rPr>
                <w:rStyle w:val="IndexLink"/>
                <w:rtl w:val="true"/>
              </w:rPr>
              <w:tab/>
            </w:r>
            <w:r>
              <w:rPr>
                <w:rStyle w:val="IndexLink"/>
              </w:rPr>
              <w:t>141</w:t>
            </w:r>
          </w:hyperlink>
        </w:p>
        <w:p>
          <w:pPr>
            <w:pStyle w:val="Contents4"/>
            <w:tabs>
              <w:tab w:val="clear" w:pos="8176"/>
              <w:tab w:val="right" w:pos="9026" w:leader="dot"/>
            </w:tabs>
            <w:rPr/>
          </w:pPr>
          <w:hyperlink w:anchor="__RefHeading___Toc5900568_2142443653">
            <w:r>
              <w:rPr>
                <w:webHidden/>
                <w:rStyle w:val="IndexLink"/>
                <w:rtl w:val="true"/>
              </w:rPr>
              <w:t>الجهة الأولى</w:t>
            </w:r>
            <w:r>
              <w:rPr>
                <w:rStyle w:val="IndexLink"/>
                <w:rtl w:val="true"/>
              </w:rPr>
              <w:t xml:space="preserve">: </w:t>
            </w:r>
            <w:r>
              <w:rPr>
                <w:rStyle w:val="IndexLink"/>
                <w:rtl w:val="true"/>
              </w:rPr>
              <w:t>في الدليل على اعتبارها</w:t>
            </w:r>
            <w:r>
              <w:rPr>
                <w:rStyle w:val="IndexLink"/>
                <w:rtl w:val="true"/>
              </w:rPr>
              <w:tab/>
            </w:r>
            <w:r>
              <w:rPr>
                <w:rStyle w:val="IndexLink"/>
              </w:rPr>
              <w:t>141</w:t>
            </w:r>
          </w:hyperlink>
        </w:p>
        <w:p>
          <w:pPr>
            <w:pStyle w:val="Contents4"/>
            <w:tabs>
              <w:tab w:val="clear" w:pos="8176"/>
              <w:tab w:val="right" w:pos="9026" w:leader="dot"/>
            </w:tabs>
            <w:rPr/>
          </w:pPr>
          <w:hyperlink w:anchor="__RefHeading___Toc5900570_2142443653">
            <w:r>
              <w:rPr>
                <w:webHidden/>
                <w:rStyle w:val="IndexLink"/>
                <w:rtl w:val="true"/>
              </w:rPr>
              <w:t>الجهة الثانية</w:t>
            </w:r>
            <w:r>
              <w:rPr>
                <w:rStyle w:val="IndexLink"/>
                <w:rtl w:val="true"/>
              </w:rPr>
              <w:t xml:space="preserve">: </w:t>
            </w:r>
            <w:r>
              <w:rPr>
                <w:rStyle w:val="IndexLink"/>
                <w:rtl w:val="true"/>
              </w:rPr>
              <w:t>في بيان مقدار دلالة النصوص على هذه القاعدة</w:t>
            </w:r>
            <w:r>
              <w:rPr>
                <w:rStyle w:val="IndexLink"/>
                <w:rtl w:val="true"/>
              </w:rPr>
              <w:t>.</w:t>
              <w:tab/>
            </w:r>
            <w:r>
              <w:rPr>
                <w:rStyle w:val="IndexLink"/>
              </w:rPr>
              <w:t>147</w:t>
            </w:r>
          </w:hyperlink>
        </w:p>
        <w:p>
          <w:pPr>
            <w:pStyle w:val="Contents4"/>
            <w:tabs>
              <w:tab w:val="clear" w:pos="8176"/>
              <w:tab w:val="right" w:pos="9026" w:leader="dot"/>
            </w:tabs>
            <w:rPr/>
          </w:pPr>
          <w:hyperlink w:anchor="__RefHeading___Toc5900572_2142443653">
            <w:r>
              <w:rPr>
                <w:webHidden/>
                <w:rStyle w:val="IndexLink"/>
                <w:rtl w:val="true"/>
              </w:rPr>
              <w:t>الجهة الثالثة</w:t>
            </w:r>
            <w:r>
              <w:rPr>
                <w:rStyle w:val="IndexLink"/>
                <w:rtl w:val="true"/>
              </w:rPr>
              <w:t xml:space="preserve">: </w:t>
            </w:r>
            <w:r>
              <w:rPr>
                <w:rStyle w:val="IndexLink"/>
                <w:rtl w:val="true"/>
              </w:rPr>
              <w:t>في شروط جريان القاعدة</w:t>
            </w:r>
            <w:r>
              <w:rPr>
                <w:rStyle w:val="IndexLink"/>
                <w:rtl w:val="true"/>
              </w:rPr>
              <w:tab/>
            </w:r>
            <w:r>
              <w:rPr>
                <w:rStyle w:val="IndexLink"/>
              </w:rPr>
              <w:t>150</w:t>
            </w:r>
          </w:hyperlink>
        </w:p>
        <w:p>
          <w:pPr>
            <w:pStyle w:val="Contents4"/>
            <w:tabs>
              <w:tab w:val="clear" w:pos="8176"/>
              <w:tab w:val="right" w:pos="9026" w:leader="dot"/>
            </w:tabs>
            <w:rPr/>
          </w:pPr>
          <w:hyperlink w:anchor="__RefHeading___Toc5900574_2142443653">
            <w:r>
              <w:rPr>
                <w:webHidden/>
                <w:rStyle w:val="IndexLink"/>
                <w:rtl w:val="true"/>
              </w:rPr>
              <w:t>الجهة الرابعة</w:t>
            </w:r>
            <w:r>
              <w:rPr>
                <w:rStyle w:val="IndexLink"/>
                <w:rtl w:val="true"/>
              </w:rPr>
              <w:t xml:space="preserve">: </w:t>
            </w:r>
            <w:r>
              <w:rPr>
                <w:rStyle w:val="IndexLink"/>
                <w:rtl w:val="true"/>
              </w:rPr>
              <w:t>في أنّ القرعة أمارة أو أصل</w:t>
            </w:r>
            <w:r>
              <w:rPr>
                <w:rStyle w:val="IndexLink"/>
                <w:rtl w:val="true"/>
              </w:rPr>
              <w:t>.</w:t>
              <w:tab/>
            </w:r>
            <w:r>
              <w:rPr>
                <w:rStyle w:val="IndexLink"/>
              </w:rPr>
              <w:t>151</w:t>
            </w:r>
          </w:hyperlink>
        </w:p>
        <w:p>
          <w:pPr>
            <w:pStyle w:val="Contents4"/>
            <w:tabs>
              <w:tab w:val="clear" w:pos="8176"/>
              <w:tab w:val="right" w:pos="9026" w:leader="dot"/>
            </w:tabs>
            <w:rPr/>
          </w:pPr>
          <w:hyperlink w:anchor="__RefHeading___Toc5900576_2142443653">
            <w:r>
              <w:rPr>
                <w:webHidden/>
                <w:rStyle w:val="IndexLink"/>
                <w:rtl w:val="true"/>
              </w:rPr>
              <w:t>الجهة الخامسة</w:t>
            </w:r>
            <w:r>
              <w:rPr>
                <w:rStyle w:val="IndexLink"/>
                <w:rtl w:val="true"/>
              </w:rPr>
              <w:t xml:space="preserve">: </w:t>
            </w:r>
            <w:r>
              <w:rPr>
                <w:rStyle w:val="IndexLink"/>
                <w:rtl w:val="true"/>
              </w:rPr>
              <w:t>في أنّ المجهول ظاهري أم واقعي</w:t>
            </w:r>
            <w:r>
              <w:rPr>
                <w:rStyle w:val="IndexLink"/>
                <w:rtl w:val="true"/>
              </w:rPr>
              <w:tab/>
            </w:r>
            <w:r>
              <w:rPr>
                <w:rStyle w:val="IndexLink"/>
              </w:rPr>
              <w:t>154</w:t>
            </w:r>
          </w:hyperlink>
        </w:p>
        <w:p>
          <w:pPr>
            <w:pStyle w:val="Contents4"/>
            <w:tabs>
              <w:tab w:val="clear" w:pos="8176"/>
              <w:tab w:val="right" w:pos="9026" w:leader="dot"/>
            </w:tabs>
            <w:rPr/>
          </w:pPr>
          <w:hyperlink w:anchor="__RefHeading___Toc5900578_2142443653">
            <w:r>
              <w:rPr>
                <w:webHidden/>
                <w:rStyle w:val="IndexLink"/>
                <w:rtl w:val="true"/>
              </w:rPr>
              <w:t>الجهة السادسة</w:t>
            </w:r>
            <w:r>
              <w:rPr>
                <w:rStyle w:val="IndexLink"/>
                <w:rtl w:val="true"/>
              </w:rPr>
              <w:t xml:space="preserve">: </w:t>
            </w:r>
            <w:r>
              <w:rPr>
                <w:rStyle w:val="IndexLink"/>
                <w:rtl w:val="true"/>
              </w:rPr>
              <w:t>في أنّ القرعة رخصة أم عزيمة</w:t>
            </w:r>
            <w:r>
              <w:rPr>
                <w:rStyle w:val="IndexLink"/>
                <w:rtl w:val="true"/>
              </w:rPr>
              <w:tab/>
            </w:r>
            <w:r>
              <w:rPr>
                <w:rStyle w:val="IndexLink"/>
              </w:rPr>
              <w:t>159</w:t>
            </w:r>
          </w:hyperlink>
        </w:p>
        <w:p>
          <w:pPr>
            <w:pStyle w:val="Contents4"/>
            <w:tabs>
              <w:tab w:val="clear" w:pos="8176"/>
              <w:tab w:val="right" w:pos="9026" w:leader="dot"/>
            </w:tabs>
            <w:rPr/>
          </w:pPr>
          <w:hyperlink w:anchor="__RefHeading___Toc5900580_2142443653">
            <w:r>
              <w:rPr>
                <w:webHidden/>
                <w:rStyle w:val="IndexLink"/>
                <w:rtl w:val="true"/>
              </w:rPr>
              <w:t>ختام فيه أمران</w:t>
            </w:r>
            <w:r>
              <w:rPr>
                <w:rStyle w:val="IndexLink"/>
                <w:rtl w:val="true"/>
              </w:rPr>
              <w:tab/>
            </w:r>
            <w:r>
              <w:rPr>
                <w:rStyle w:val="IndexLink"/>
              </w:rPr>
              <w:t>163</w:t>
            </w:r>
          </w:hyperlink>
        </w:p>
        <w:p>
          <w:pPr>
            <w:pStyle w:val="Contents3"/>
            <w:tabs>
              <w:tab w:val="clear" w:pos="8459"/>
              <w:tab w:val="right" w:pos="9026" w:leader="dot"/>
            </w:tabs>
            <w:rPr/>
          </w:pPr>
          <w:hyperlink w:anchor="__RefHeading___Toc5900582_2142443653">
            <w:r>
              <w:rPr>
                <w:webHidden/>
                <w:rStyle w:val="IndexLink"/>
                <w:rtl w:val="true"/>
              </w:rPr>
              <w:t>کلام في الإستخارة</w:t>
            </w:r>
            <w:r>
              <w:rPr>
                <w:rStyle w:val="IndexLink"/>
                <w:rtl w:val="true"/>
              </w:rPr>
              <w:tab/>
            </w:r>
            <w:r>
              <w:rPr>
                <w:rStyle w:val="IndexLink"/>
              </w:rPr>
              <w:t>165</w:t>
            </w:r>
          </w:hyperlink>
        </w:p>
        <w:p>
          <w:pPr>
            <w:pStyle w:val="Contents4"/>
            <w:tabs>
              <w:tab w:val="clear" w:pos="8176"/>
              <w:tab w:val="right" w:pos="9026" w:leader="dot"/>
            </w:tabs>
            <w:rPr/>
          </w:pPr>
          <w:hyperlink w:anchor="__RefHeading___Toc5900584_2142443653">
            <w:r>
              <w:rPr>
                <w:webHidden/>
                <w:rStyle w:val="IndexLink"/>
                <w:rtl w:val="true"/>
              </w:rPr>
              <w:t>اشارة</w:t>
            </w:r>
            <w:r>
              <w:rPr>
                <w:rStyle w:val="IndexLink"/>
                <w:rtl w:val="true"/>
              </w:rPr>
              <w:tab/>
            </w:r>
            <w:r>
              <w:rPr>
                <w:rStyle w:val="IndexLink"/>
              </w:rPr>
              <w:t>165</w:t>
            </w:r>
          </w:hyperlink>
        </w:p>
        <w:p>
          <w:pPr>
            <w:pStyle w:val="Contents4"/>
            <w:tabs>
              <w:tab w:val="clear" w:pos="8176"/>
              <w:tab w:val="right" w:pos="9026" w:leader="dot"/>
            </w:tabs>
            <w:rPr/>
          </w:pPr>
          <w:hyperlink w:anchor="__RefHeading___Toc5900586_2142443653">
            <w:r>
              <w:rPr>
                <w:webHidden/>
                <w:rStyle w:val="IndexLink"/>
                <w:rtl w:val="true"/>
              </w:rPr>
              <w:t>تنبيهان</w:t>
            </w:r>
            <w:r>
              <w:rPr>
                <w:rStyle w:val="IndexLink"/>
                <w:rtl w:val="true"/>
              </w:rPr>
              <w:t>:</w:t>
              <w:tab/>
            </w:r>
            <w:r>
              <w:rPr>
                <w:rStyle w:val="IndexLink"/>
              </w:rPr>
              <w:t>178</w:t>
            </w:r>
          </w:hyperlink>
        </w:p>
        <w:p>
          <w:pPr>
            <w:pStyle w:val="Contents2"/>
            <w:tabs>
              <w:tab w:val="clear" w:pos="8743"/>
              <w:tab w:val="right" w:pos="9026" w:leader="dot"/>
            </w:tabs>
            <w:rPr/>
          </w:pPr>
          <w:hyperlink w:anchor="__RefHeading___Toc5900588_2142443653">
            <w:r>
              <w:rPr>
                <w:webHidden/>
                <w:rStyle w:val="IndexLink"/>
                <w:rtl w:val="true"/>
              </w:rPr>
              <w:t>المقصد الخامس</w:t>
            </w:r>
            <w:r>
              <w:rPr>
                <w:rStyle w:val="IndexLink"/>
                <w:rtl w:val="true"/>
              </w:rPr>
              <w:t>:</w:t>
            </w:r>
            <w:r>
              <w:rPr>
                <w:rStyle w:val="IndexLink"/>
                <w:rtl w:val="true"/>
              </w:rPr>
              <w:t>تعارض الأدلة الشرعية</w:t>
            </w:r>
            <w:r>
              <w:rPr>
                <w:rStyle w:val="IndexLink"/>
                <w:rtl w:val="true"/>
              </w:rPr>
              <w:tab/>
            </w:r>
            <w:r>
              <w:rPr>
                <w:rStyle w:val="IndexLink"/>
              </w:rPr>
              <w:t>183</w:t>
            </w:r>
          </w:hyperlink>
        </w:p>
        <w:p>
          <w:pPr>
            <w:pStyle w:val="Contents3"/>
            <w:tabs>
              <w:tab w:val="clear" w:pos="8459"/>
              <w:tab w:val="right" w:pos="9026" w:leader="dot"/>
            </w:tabs>
            <w:rPr/>
          </w:pPr>
          <w:hyperlink w:anchor="__RefHeading___Toc5900590_2142443653">
            <w:r>
              <w:rPr>
                <w:webHidden/>
                <w:rStyle w:val="IndexLink"/>
                <w:rtl w:val="true"/>
              </w:rPr>
              <w:t>اشارة</w:t>
            </w:r>
            <w:r>
              <w:rPr>
                <w:rStyle w:val="IndexLink"/>
                <w:rtl w:val="true"/>
              </w:rPr>
              <w:tab/>
            </w:r>
            <w:r>
              <w:rPr>
                <w:rStyle w:val="IndexLink"/>
              </w:rPr>
              <w:t>183</w:t>
            </w:r>
          </w:hyperlink>
        </w:p>
        <w:p>
          <w:pPr>
            <w:pStyle w:val="Contents3"/>
            <w:tabs>
              <w:tab w:val="clear" w:pos="8459"/>
              <w:tab w:val="right" w:pos="9026" w:leader="dot"/>
            </w:tabs>
            <w:rPr/>
          </w:pPr>
          <w:hyperlink w:anchor="__RefHeading___Toc5900592_2142443653">
            <w:r>
              <w:rPr>
                <w:webHidden/>
                <w:rStyle w:val="IndexLink"/>
                <w:rtl w:val="true"/>
              </w:rPr>
              <w:t>تمهيد فيه أمور</w:t>
            </w:r>
            <w:r>
              <w:rPr>
                <w:rStyle w:val="IndexLink"/>
                <w:rtl w:val="true"/>
              </w:rPr>
              <w:tab/>
            </w:r>
            <w:r>
              <w:rPr>
                <w:rStyle w:val="IndexLink"/>
              </w:rPr>
              <w:t>184</w:t>
            </w:r>
          </w:hyperlink>
        </w:p>
        <w:p>
          <w:pPr>
            <w:pStyle w:val="Contents4"/>
            <w:tabs>
              <w:tab w:val="clear" w:pos="8176"/>
              <w:tab w:val="right" w:pos="9026" w:leader="dot"/>
            </w:tabs>
            <w:rPr/>
          </w:pPr>
          <w:hyperlink w:anchor="__RefHeading___Toc5900594_2142443653">
            <w:r>
              <w:rPr>
                <w:webHidden/>
                <w:rStyle w:val="IndexLink"/>
                <w:rtl w:val="true"/>
              </w:rPr>
              <w:t>اشارة</w:t>
            </w:r>
            <w:r>
              <w:rPr>
                <w:rStyle w:val="IndexLink"/>
                <w:rtl w:val="true"/>
              </w:rPr>
              <w:tab/>
            </w:r>
            <w:r>
              <w:rPr>
                <w:rStyle w:val="IndexLink"/>
              </w:rPr>
              <w:t>184</w:t>
            </w:r>
          </w:hyperlink>
        </w:p>
        <w:p>
          <w:pPr>
            <w:pStyle w:val="Contents4"/>
            <w:tabs>
              <w:tab w:val="clear" w:pos="8176"/>
              <w:tab w:val="right" w:pos="9026" w:leader="dot"/>
            </w:tabs>
            <w:rPr/>
          </w:pPr>
          <w:hyperlink w:anchor="__RefHeading___Toc5900596_2142443653">
            <w:r>
              <w:rPr>
                <w:webHidden/>
                <w:rStyle w:val="IndexLink"/>
                <w:rtl w:val="true"/>
              </w:rPr>
              <w:t>التعارض</w:t>
            </w:r>
            <w:r>
              <w:rPr>
                <w:rStyle w:val="IndexLink"/>
                <w:rtl w:val="true"/>
              </w:rPr>
              <w:tab/>
            </w:r>
            <w:r>
              <w:rPr>
                <w:rStyle w:val="IndexLink"/>
              </w:rPr>
              <w:t>187</w:t>
            </w:r>
          </w:hyperlink>
        </w:p>
        <w:p>
          <w:pPr>
            <w:pStyle w:val="Contents4"/>
            <w:tabs>
              <w:tab w:val="clear" w:pos="8176"/>
              <w:tab w:val="right" w:pos="9026" w:leader="dot"/>
            </w:tabs>
            <w:rPr/>
          </w:pPr>
          <w:hyperlink w:anchor="__RefHeading___Toc5900598_2142443653">
            <w:r>
              <w:rPr>
                <w:webHidden/>
                <w:rStyle w:val="IndexLink"/>
                <w:rtl w:val="true"/>
              </w:rPr>
              <w:t>المبحث الأول</w:t>
            </w:r>
            <w:r>
              <w:rPr>
                <w:rStyle w:val="IndexLink"/>
                <w:rtl w:val="true"/>
              </w:rPr>
              <w:t xml:space="preserve">: </w:t>
            </w:r>
            <w:r>
              <w:rPr>
                <w:rStyle w:val="IndexLink"/>
                <w:rtl w:val="true"/>
              </w:rPr>
              <w:t>معنى التعارض</w:t>
            </w:r>
            <w:r>
              <w:rPr>
                <w:rStyle w:val="IndexLink"/>
                <w:rtl w:val="true"/>
              </w:rPr>
              <w:tab/>
            </w:r>
            <w:r>
              <w:rPr>
                <w:rStyle w:val="IndexLink"/>
              </w:rPr>
              <w:t>187</w:t>
            </w:r>
          </w:hyperlink>
        </w:p>
        <w:p>
          <w:pPr>
            <w:pStyle w:val="Contents5"/>
            <w:tabs>
              <w:tab w:val="clear" w:pos="7892"/>
              <w:tab w:val="right" w:pos="9026" w:leader="dot"/>
            </w:tabs>
            <w:rPr/>
          </w:pPr>
          <w:hyperlink w:anchor="__RefHeading___Toc5900600_2142443653">
            <w:r>
              <w:rPr>
                <w:webHidden/>
                <w:rStyle w:val="IndexLink"/>
                <w:rtl w:val="true"/>
              </w:rPr>
              <w:t>اشارة</w:t>
            </w:r>
            <w:r>
              <w:rPr>
                <w:rStyle w:val="IndexLink"/>
                <w:rtl w:val="true"/>
              </w:rPr>
              <w:tab/>
            </w:r>
            <w:r>
              <w:rPr>
                <w:rStyle w:val="IndexLink"/>
              </w:rPr>
              <w:t>187</w:t>
            </w:r>
          </w:hyperlink>
        </w:p>
        <w:p>
          <w:pPr>
            <w:pStyle w:val="Contents5"/>
            <w:tabs>
              <w:tab w:val="clear" w:pos="7892"/>
              <w:tab w:val="right" w:pos="9026" w:leader="dot"/>
            </w:tabs>
            <w:rPr/>
          </w:pPr>
          <w:hyperlink w:anchor="__RefHeading___Toc5900602_2142443653">
            <w:r>
              <w:rPr>
                <w:webHidden/>
                <w:rStyle w:val="IndexLink"/>
                <w:rtl w:val="true"/>
              </w:rPr>
              <w:t>أنواع تنافي الدليلين</w:t>
            </w:r>
            <w:r>
              <w:rPr>
                <w:rStyle w:val="IndexLink"/>
                <w:rtl w:val="true"/>
              </w:rPr>
              <w:tab/>
            </w:r>
            <w:r>
              <w:rPr>
                <w:rStyle w:val="IndexLink"/>
              </w:rPr>
              <w:t>196</w:t>
            </w:r>
          </w:hyperlink>
        </w:p>
        <w:p>
          <w:pPr>
            <w:pStyle w:val="Contents5"/>
            <w:tabs>
              <w:tab w:val="clear" w:pos="7892"/>
              <w:tab w:val="right" w:pos="9026" w:leader="dot"/>
            </w:tabs>
            <w:rPr/>
          </w:pPr>
          <w:hyperlink w:anchor="__RefHeading___Toc5900604_2142443653">
            <w:r>
              <w:rPr>
                <w:webHidden/>
                <w:rStyle w:val="IndexLink"/>
                <w:rtl w:val="true"/>
              </w:rPr>
              <w:t>شروط تحقق التعارض</w:t>
            </w:r>
            <w:r>
              <w:rPr>
                <w:rStyle w:val="IndexLink"/>
                <w:rtl w:val="true"/>
              </w:rPr>
              <w:tab/>
            </w:r>
            <w:r>
              <w:rPr>
                <w:rStyle w:val="IndexLink"/>
              </w:rPr>
              <w:t>196</w:t>
            </w:r>
          </w:hyperlink>
        </w:p>
        <w:p>
          <w:pPr>
            <w:pStyle w:val="Contents5"/>
            <w:tabs>
              <w:tab w:val="clear" w:pos="7892"/>
              <w:tab w:val="right" w:pos="9026" w:leader="dot"/>
            </w:tabs>
            <w:rPr/>
          </w:pPr>
          <w:hyperlink w:anchor="__RefHeading___Toc5900606_2142443653">
            <w:r>
              <w:rPr>
                <w:webHidden/>
                <w:rStyle w:val="IndexLink"/>
                <w:rtl w:val="true"/>
              </w:rPr>
              <w:t>مناقشة ما ذكره الأصوليون في المقام</w:t>
            </w:r>
            <w:r>
              <w:rPr>
                <w:rStyle w:val="IndexLink"/>
                <w:rtl w:val="true"/>
              </w:rPr>
              <w:tab/>
            </w:r>
            <w:r>
              <w:rPr>
                <w:rStyle w:val="IndexLink"/>
              </w:rPr>
              <w:t>200</w:t>
            </w:r>
          </w:hyperlink>
        </w:p>
        <w:p>
          <w:pPr>
            <w:pStyle w:val="Contents4"/>
            <w:tabs>
              <w:tab w:val="clear" w:pos="8176"/>
              <w:tab w:val="right" w:pos="9026" w:leader="dot"/>
            </w:tabs>
            <w:rPr/>
          </w:pPr>
          <w:hyperlink w:anchor="__RefHeading___Toc5900608_2142443653">
            <w:r>
              <w:rPr>
                <w:webHidden/>
                <w:rStyle w:val="IndexLink"/>
                <w:rtl w:val="true"/>
              </w:rPr>
              <w:t>المبحث الثاني</w:t>
            </w:r>
            <w:r>
              <w:rPr>
                <w:rStyle w:val="IndexLink"/>
                <w:rtl w:val="true"/>
              </w:rPr>
              <w:t xml:space="preserve">: </w:t>
            </w:r>
            <w:r>
              <w:rPr>
                <w:rStyle w:val="IndexLink"/>
                <w:rtl w:val="true"/>
              </w:rPr>
              <w:t>أسباب التعارض ومنشؤه</w:t>
            </w:r>
            <w:r>
              <w:rPr>
                <w:rStyle w:val="IndexLink"/>
                <w:rtl w:val="true"/>
              </w:rPr>
              <w:tab/>
            </w:r>
            <w:r>
              <w:rPr>
                <w:rStyle w:val="IndexLink"/>
              </w:rPr>
              <w:t>205</w:t>
            </w:r>
          </w:hyperlink>
        </w:p>
        <w:p>
          <w:pPr>
            <w:pStyle w:val="Contents4"/>
            <w:tabs>
              <w:tab w:val="clear" w:pos="8176"/>
              <w:tab w:val="right" w:pos="9026" w:leader="dot"/>
            </w:tabs>
            <w:rPr/>
          </w:pPr>
          <w:hyperlink w:anchor="__RefHeading___Toc5900610_2142443653">
            <w:r>
              <w:rPr>
                <w:webHidden/>
                <w:rStyle w:val="IndexLink"/>
                <w:rtl w:val="true"/>
              </w:rPr>
              <w:t>المبحث الثالث</w:t>
            </w:r>
            <w:r>
              <w:rPr>
                <w:rStyle w:val="IndexLink"/>
                <w:rtl w:val="true"/>
              </w:rPr>
              <w:t xml:space="preserve">: </w:t>
            </w:r>
            <w:r>
              <w:rPr>
                <w:rStyle w:val="IndexLink"/>
                <w:rtl w:val="true"/>
              </w:rPr>
              <w:t>أقسام التعارض</w:t>
            </w:r>
            <w:r>
              <w:rPr>
                <w:rStyle w:val="IndexLink"/>
                <w:rtl w:val="true"/>
              </w:rPr>
              <w:tab/>
            </w:r>
            <w:r>
              <w:rPr>
                <w:rStyle w:val="IndexLink"/>
              </w:rPr>
              <w:t>215</w:t>
            </w:r>
          </w:hyperlink>
        </w:p>
        <w:p>
          <w:pPr>
            <w:pStyle w:val="Contents5"/>
            <w:tabs>
              <w:tab w:val="clear" w:pos="7892"/>
              <w:tab w:val="right" w:pos="9026" w:leader="dot"/>
            </w:tabs>
            <w:rPr/>
          </w:pPr>
          <w:hyperlink w:anchor="__RefHeading___Toc5900612_2142443653">
            <w:r>
              <w:rPr>
                <w:webHidden/>
                <w:rStyle w:val="IndexLink"/>
                <w:rtl w:val="true"/>
              </w:rPr>
              <w:t>اشارة</w:t>
            </w:r>
            <w:r>
              <w:rPr>
                <w:rStyle w:val="IndexLink"/>
                <w:rtl w:val="true"/>
              </w:rPr>
              <w:tab/>
            </w:r>
            <w:r>
              <w:rPr>
                <w:rStyle w:val="IndexLink"/>
              </w:rPr>
              <w:t>215</w:t>
            </w:r>
          </w:hyperlink>
        </w:p>
        <w:p>
          <w:pPr>
            <w:pStyle w:val="Contents5"/>
            <w:tabs>
              <w:tab w:val="clear" w:pos="7892"/>
              <w:tab w:val="right" w:pos="9026" w:leader="dot"/>
            </w:tabs>
            <w:rPr/>
          </w:pPr>
          <w:hyperlink w:anchor="__RefHeading___Toc5900614_2142443653">
            <w:r>
              <w:rPr>
                <w:webHidden/>
                <w:rStyle w:val="IndexLink"/>
                <w:rtl w:val="true"/>
              </w:rPr>
              <w:t>القسم الأول</w:t>
            </w:r>
            <w:r>
              <w:rPr>
                <w:rStyle w:val="IndexLink"/>
                <w:rtl w:val="true"/>
              </w:rPr>
              <w:t xml:space="preserve">: </w:t>
            </w:r>
            <w:r>
              <w:rPr>
                <w:rStyle w:val="IndexLink"/>
                <w:rtl w:val="true"/>
              </w:rPr>
              <w:t>التعارض غير المستقر</w:t>
            </w:r>
            <w:r>
              <w:rPr>
                <w:rStyle w:val="IndexLink"/>
                <w:rtl w:val="true"/>
              </w:rPr>
              <w:tab/>
            </w:r>
            <w:r>
              <w:rPr>
                <w:rStyle w:val="IndexLink"/>
              </w:rPr>
              <w:t>215</w:t>
            </w:r>
          </w:hyperlink>
        </w:p>
        <w:p>
          <w:pPr>
            <w:pStyle w:val="Contents6"/>
            <w:tabs>
              <w:tab w:val="clear" w:pos="7609"/>
              <w:tab w:val="right" w:pos="9026" w:leader="dot"/>
            </w:tabs>
            <w:rPr/>
          </w:pPr>
          <w:hyperlink w:anchor="__RefHeading___Toc5900616_2142443653">
            <w:r>
              <w:rPr>
                <w:webHidden/>
                <w:rStyle w:val="IndexLink"/>
                <w:rtl w:val="true"/>
              </w:rPr>
              <w:t>الأمر الأول</w:t>
            </w:r>
            <w:r>
              <w:rPr>
                <w:rStyle w:val="IndexLink"/>
                <w:rtl w:val="true"/>
              </w:rPr>
              <w:t xml:space="preserve">: </w:t>
            </w:r>
            <w:r>
              <w:rPr>
                <w:rStyle w:val="IndexLink"/>
                <w:rtl w:val="true"/>
              </w:rPr>
              <w:t>إنه لا تكاذب فيه بين الدليلين</w:t>
            </w:r>
            <w:r>
              <w:rPr>
                <w:rStyle w:val="IndexLink"/>
                <w:rtl w:val="true"/>
              </w:rPr>
              <w:tab/>
            </w:r>
            <w:r>
              <w:rPr>
                <w:rStyle w:val="IndexLink"/>
              </w:rPr>
              <w:t>215</w:t>
            </w:r>
          </w:hyperlink>
        </w:p>
        <w:p>
          <w:pPr>
            <w:pStyle w:val="Contents6"/>
            <w:tabs>
              <w:tab w:val="clear" w:pos="7609"/>
              <w:tab w:val="right" w:pos="9026" w:leader="dot"/>
            </w:tabs>
            <w:rPr/>
          </w:pPr>
          <w:hyperlink w:anchor="__RefHeading___Toc5900618_2142443653">
            <w:r>
              <w:rPr>
                <w:webHidden/>
                <w:rStyle w:val="IndexLink"/>
                <w:rtl w:val="true"/>
              </w:rPr>
              <w:t>الأمر الثاني</w:t>
            </w:r>
            <w:r>
              <w:rPr>
                <w:rStyle w:val="IndexLink"/>
                <w:rtl w:val="true"/>
              </w:rPr>
              <w:t xml:space="preserve">: </w:t>
            </w:r>
            <w:r>
              <w:rPr>
                <w:rStyle w:val="IndexLink"/>
                <w:rtl w:val="true"/>
              </w:rPr>
              <w:t>في نظرية الورود</w:t>
            </w:r>
            <w:r>
              <w:rPr>
                <w:rStyle w:val="IndexLink"/>
                <w:rtl w:val="true"/>
              </w:rPr>
              <w:t>.</w:t>
              <w:tab/>
            </w:r>
            <w:r>
              <w:rPr>
                <w:rStyle w:val="IndexLink"/>
              </w:rPr>
              <w:t>217</w:t>
            </w:r>
          </w:hyperlink>
        </w:p>
        <w:p>
          <w:pPr>
            <w:pStyle w:val="Contents4"/>
            <w:tabs>
              <w:tab w:val="clear" w:pos="8176"/>
              <w:tab w:val="right" w:pos="9026" w:leader="dot"/>
            </w:tabs>
            <w:rPr/>
          </w:pPr>
          <w:hyperlink w:anchor="__RefHeading___Toc5900620_2142443653">
            <w:r>
              <w:rPr>
                <w:webHidden/>
                <w:rStyle w:val="IndexLink"/>
                <w:rtl w:val="true"/>
              </w:rPr>
              <w:t>البحث الثالث</w:t>
            </w:r>
            <w:r>
              <w:rPr>
                <w:rStyle w:val="IndexLink"/>
                <w:rtl w:val="true"/>
              </w:rPr>
              <w:t xml:space="preserve">: </w:t>
            </w:r>
            <w:r>
              <w:rPr>
                <w:rStyle w:val="IndexLink"/>
                <w:rtl w:val="true"/>
              </w:rPr>
              <w:t>أحكام الورود</w:t>
            </w:r>
            <w:r>
              <w:rPr>
                <w:rStyle w:val="IndexLink"/>
                <w:rtl w:val="true"/>
              </w:rPr>
              <w:tab/>
            </w:r>
            <w:r>
              <w:rPr>
                <w:rStyle w:val="IndexLink"/>
              </w:rPr>
              <w:t>221</w:t>
            </w:r>
          </w:hyperlink>
        </w:p>
        <w:p>
          <w:pPr>
            <w:pStyle w:val="Contents4"/>
            <w:tabs>
              <w:tab w:val="clear" w:pos="8176"/>
              <w:tab w:val="right" w:pos="9026" w:leader="dot"/>
            </w:tabs>
            <w:rPr/>
          </w:pPr>
          <w:hyperlink w:anchor="__RefHeading___Toc5900622_2142443653">
            <w:r>
              <w:rPr>
                <w:webHidden/>
                <w:rStyle w:val="IndexLink"/>
                <w:rtl w:val="true"/>
              </w:rPr>
              <w:t>البحث الرابع</w:t>
            </w:r>
            <w:r>
              <w:rPr>
                <w:rStyle w:val="IndexLink"/>
                <w:rtl w:val="true"/>
              </w:rPr>
              <w:t xml:space="preserve">: </w:t>
            </w:r>
            <w:r>
              <w:rPr>
                <w:rStyle w:val="IndexLink"/>
                <w:rtl w:val="true"/>
              </w:rPr>
              <w:t>التزاحم</w:t>
            </w:r>
            <w:r>
              <w:rPr>
                <w:rStyle w:val="IndexLink"/>
                <w:rtl w:val="true"/>
              </w:rPr>
              <w:tab/>
            </w:r>
            <w:r>
              <w:rPr>
                <w:rStyle w:val="IndexLink"/>
              </w:rPr>
              <w:t>223</w:t>
            </w:r>
          </w:hyperlink>
        </w:p>
        <w:p>
          <w:pPr>
            <w:pStyle w:val="Contents5"/>
            <w:tabs>
              <w:tab w:val="clear" w:pos="7892"/>
              <w:tab w:val="right" w:pos="9026" w:leader="dot"/>
            </w:tabs>
            <w:rPr/>
          </w:pPr>
          <w:hyperlink w:anchor="__RefHeading___Toc5900624_2142443653">
            <w:r>
              <w:rPr>
                <w:webHidden/>
                <w:rStyle w:val="IndexLink"/>
                <w:rtl w:val="true"/>
              </w:rPr>
              <w:t>اشارة</w:t>
            </w:r>
            <w:r>
              <w:rPr>
                <w:rStyle w:val="IndexLink"/>
                <w:rtl w:val="true"/>
              </w:rPr>
              <w:tab/>
            </w:r>
            <w:r>
              <w:rPr>
                <w:rStyle w:val="IndexLink"/>
              </w:rPr>
              <w:t>223</w:t>
            </w:r>
          </w:hyperlink>
        </w:p>
        <w:p>
          <w:pPr>
            <w:pStyle w:val="Contents5"/>
            <w:tabs>
              <w:tab w:val="clear" w:pos="7892"/>
              <w:tab w:val="right" w:pos="9026" w:leader="dot"/>
            </w:tabs>
            <w:rPr/>
          </w:pPr>
          <w:hyperlink w:anchor="__RefHeading___Toc5900626_2142443653">
            <w:r>
              <w:rPr>
                <w:webHidden/>
                <w:rStyle w:val="IndexLink"/>
                <w:rtl w:val="true"/>
              </w:rPr>
              <w:t>المقام الأول</w:t>
            </w:r>
            <w:r>
              <w:rPr>
                <w:rStyle w:val="IndexLink"/>
                <w:rtl w:val="true"/>
              </w:rPr>
              <w:t xml:space="preserve">: </w:t>
            </w:r>
            <w:r>
              <w:rPr>
                <w:rStyle w:val="IndexLink"/>
                <w:rtl w:val="true"/>
              </w:rPr>
              <w:t>خروج التزاحم عن التعارض الحقيقي ودخوله في الورود</w:t>
            </w:r>
            <w:r>
              <w:rPr>
                <w:rStyle w:val="IndexLink"/>
                <w:rtl w:val="true"/>
              </w:rPr>
              <w:t>.</w:t>
              <w:tab/>
            </w:r>
            <w:r>
              <w:rPr>
                <w:rStyle w:val="IndexLink"/>
              </w:rPr>
              <w:t>223</w:t>
            </w:r>
          </w:hyperlink>
        </w:p>
        <w:p>
          <w:pPr>
            <w:pStyle w:val="Contents6"/>
            <w:tabs>
              <w:tab w:val="clear" w:pos="7609"/>
              <w:tab w:val="right" w:pos="9026" w:leader="dot"/>
            </w:tabs>
            <w:rPr/>
          </w:pPr>
          <w:hyperlink w:anchor="__RefHeading___Toc5900628_2142443653">
            <w:r>
              <w:rPr>
                <w:webHidden/>
                <w:rStyle w:val="IndexLink"/>
                <w:rtl w:val="true"/>
              </w:rPr>
              <w:t>اشارة</w:t>
            </w:r>
            <w:r>
              <w:rPr>
                <w:rStyle w:val="IndexLink"/>
                <w:rtl w:val="true"/>
              </w:rPr>
              <w:tab/>
            </w:r>
            <w:r>
              <w:rPr>
                <w:rStyle w:val="IndexLink"/>
              </w:rPr>
              <w:t>223</w:t>
            </w:r>
          </w:hyperlink>
        </w:p>
        <w:p>
          <w:pPr>
            <w:pStyle w:val="Contents6"/>
            <w:tabs>
              <w:tab w:val="clear" w:pos="7609"/>
              <w:tab w:val="right" w:pos="9026" w:leader="dot"/>
            </w:tabs>
            <w:rPr/>
          </w:pPr>
          <w:hyperlink w:anchor="__RefHeading___Toc5900630_2142443653">
            <w:r>
              <w:rPr>
                <w:webHidden/>
                <w:rStyle w:val="IndexLink"/>
                <w:rtl w:val="true"/>
              </w:rPr>
              <w:t>حكم المتزاحمين</w:t>
            </w:r>
            <w:r>
              <w:rPr>
                <w:rStyle w:val="IndexLink"/>
                <w:rtl w:val="true"/>
              </w:rPr>
              <w:tab/>
            </w:r>
            <w:r>
              <w:rPr>
                <w:rStyle w:val="IndexLink"/>
              </w:rPr>
              <w:t>228</w:t>
            </w:r>
          </w:hyperlink>
        </w:p>
        <w:p>
          <w:pPr>
            <w:pStyle w:val="Contents5"/>
            <w:tabs>
              <w:tab w:val="clear" w:pos="7892"/>
              <w:tab w:val="right" w:pos="9026" w:leader="dot"/>
            </w:tabs>
            <w:rPr/>
          </w:pPr>
          <w:hyperlink w:anchor="__RefHeading___Toc5900632_2142443653">
            <w:r>
              <w:rPr>
                <w:webHidden/>
                <w:rStyle w:val="IndexLink"/>
                <w:rtl w:val="true"/>
              </w:rPr>
              <w:t>المقام الثاني</w:t>
            </w:r>
            <w:r>
              <w:rPr>
                <w:rStyle w:val="IndexLink"/>
                <w:rtl w:val="true"/>
              </w:rPr>
              <w:t xml:space="preserve">: </w:t>
            </w:r>
            <w:r>
              <w:rPr>
                <w:rStyle w:val="IndexLink"/>
                <w:rtl w:val="true"/>
              </w:rPr>
              <w:t>مرجحات باب التزاحم</w:t>
            </w:r>
            <w:r>
              <w:rPr>
                <w:rStyle w:val="IndexLink"/>
                <w:rtl w:val="true"/>
              </w:rPr>
              <w:tab/>
            </w:r>
            <w:r>
              <w:rPr>
                <w:rStyle w:val="IndexLink"/>
              </w:rPr>
              <w:t>229</w:t>
            </w:r>
          </w:hyperlink>
        </w:p>
        <w:p>
          <w:pPr>
            <w:pStyle w:val="Contents6"/>
            <w:tabs>
              <w:tab w:val="clear" w:pos="7609"/>
              <w:tab w:val="right" w:pos="9026" w:leader="dot"/>
            </w:tabs>
            <w:rPr/>
          </w:pPr>
          <w:hyperlink w:anchor="__RefHeading___Toc5900634_2142443653">
            <w:r>
              <w:rPr>
                <w:webHidden/>
                <w:rStyle w:val="IndexLink"/>
                <w:rtl w:val="true"/>
              </w:rPr>
              <w:t>اشارة</w:t>
            </w:r>
            <w:r>
              <w:rPr>
                <w:rStyle w:val="IndexLink"/>
                <w:rtl w:val="true"/>
              </w:rPr>
              <w:tab/>
            </w:r>
            <w:r>
              <w:rPr>
                <w:rStyle w:val="IndexLink"/>
              </w:rPr>
              <w:t>229</w:t>
            </w:r>
          </w:hyperlink>
        </w:p>
        <w:p>
          <w:pPr>
            <w:pStyle w:val="Contents6"/>
            <w:tabs>
              <w:tab w:val="clear" w:pos="7609"/>
              <w:tab w:val="right" w:pos="9026" w:leader="dot"/>
            </w:tabs>
            <w:rPr/>
          </w:pPr>
          <w:hyperlink w:anchor="__RefHeading___Toc5900636_2142443653">
            <w:r>
              <w:rPr>
                <w:webHidden/>
                <w:rStyle w:val="IndexLink"/>
                <w:rtl w:val="true"/>
              </w:rPr>
              <w:t>المرجح الأول</w:t>
            </w:r>
            <w:r>
              <w:rPr>
                <w:rStyle w:val="IndexLink"/>
                <w:rtl w:val="true"/>
              </w:rPr>
              <w:t xml:space="preserve">: </w:t>
            </w:r>
            <w:r>
              <w:rPr>
                <w:rStyle w:val="IndexLink"/>
                <w:rtl w:val="true"/>
              </w:rPr>
              <w:t>ترجيح المشروط بالقدرة العقلية على المشروط بالقدرة الشرعية</w:t>
            </w:r>
            <w:r>
              <w:rPr>
                <w:rStyle w:val="IndexLink"/>
                <w:rtl w:val="true"/>
              </w:rPr>
              <w:tab/>
            </w:r>
            <w:r>
              <w:rPr>
                <w:rStyle w:val="IndexLink"/>
              </w:rPr>
              <w:t>229</w:t>
            </w:r>
          </w:hyperlink>
        </w:p>
        <w:p>
          <w:pPr>
            <w:pStyle w:val="Contents6"/>
            <w:tabs>
              <w:tab w:val="clear" w:pos="7609"/>
              <w:tab w:val="right" w:pos="9026" w:leader="dot"/>
            </w:tabs>
            <w:rPr/>
          </w:pPr>
          <w:hyperlink w:anchor="__RefHeading___Toc5900638_2142443653">
            <w:r>
              <w:rPr>
                <w:webHidden/>
                <w:rStyle w:val="IndexLink"/>
                <w:rtl w:val="true"/>
              </w:rPr>
              <w:t>المرجح الثاني</w:t>
            </w:r>
            <w:r>
              <w:rPr>
                <w:rStyle w:val="IndexLink"/>
                <w:rtl w:val="true"/>
              </w:rPr>
              <w:t xml:space="preserve">: </w:t>
            </w:r>
            <w:r>
              <w:rPr>
                <w:rStyle w:val="IndexLink"/>
                <w:rtl w:val="true"/>
              </w:rPr>
              <w:t>ترجيح المضيق</w:t>
            </w:r>
            <w:r>
              <w:rPr>
                <w:rStyle w:val="IndexLink"/>
                <w:rtl w:val="true"/>
              </w:rPr>
              <w:tab/>
            </w:r>
            <w:r>
              <w:rPr>
                <w:rStyle w:val="IndexLink"/>
              </w:rPr>
              <w:t>238</w:t>
            </w:r>
          </w:hyperlink>
        </w:p>
        <w:p>
          <w:pPr>
            <w:pStyle w:val="Contents6"/>
            <w:tabs>
              <w:tab w:val="clear" w:pos="7609"/>
              <w:tab w:val="right" w:pos="9026" w:leader="dot"/>
            </w:tabs>
            <w:rPr/>
          </w:pPr>
          <w:hyperlink w:anchor="__RefHeading___Toc5900640_2142443653">
            <w:r>
              <w:rPr>
                <w:webHidden/>
                <w:rStyle w:val="IndexLink"/>
                <w:rtl w:val="true"/>
              </w:rPr>
              <w:t>المرجح الثالث</w:t>
            </w:r>
            <w:r>
              <w:rPr>
                <w:rStyle w:val="IndexLink"/>
                <w:rtl w:val="true"/>
              </w:rPr>
              <w:t xml:space="preserve">: </w:t>
            </w:r>
            <w:r>
              <w:rPr>
                <w:rStyle w:val="IndexLink"/>
                <w:rtl w:val="true"/>
              </w:rPr>
              <w:t>ترجيح الأسبق زماناً</w:t>
            </w:r>
            <w:r>
              <w:rPr>
                <w:rStyle w:val="IndexLink"/>
                <w:rtl w:val="true"/>
              </w:rPr>
              <w:t>.</w:t>
              <w:tab/>
            </w:r>
            <w:r>
              <w:rPr>
                <w:rStyle w:val="IndexLink"/>
              </w:rPr>
              <w:t>238</w:t>
            </w:r>
          </w:hyperlink>
        </w:p>
        <w:p>
          <w:pPr>
            <w:pStyle w:val="Contents6"/>
            <w:tabs>
              <w:tab w:val="clear" w:pos="7609"/>
              <w:tab w:val="right" w:pos="9026" w:leader="dot"/>
            </w:tabs>
            <w:rPr/>
          </w:pPr>
          <w:hyperlink w:anchor="__RefHeading___Toc5900642_2142443653">
            <w:r>
              <w:rPr>
                <w:webHidden/>
                <w:rStyle w:val="IndexLink"/>
                <w:rtl w:val="true"/>
              </w:rPr>
              <w:t>المرجح الرابع</w:t>
            </w:r>
            <w:r>
              <w:rPr>
                <w:rStyle w:val="IndexLink"/>
                <w:rtl w:val="true"/>
              </w:rPr>
              <w:t xml:space="preserve">: </w:t>
            </w:r>
            <w:r>
              <w:rPr>
                <w:rStyle w:val="IndexLink"/>
                <w:rtl w:val="true"/>
              </w:rPr>
              <w:t>ترجيح الواجب المعين على الواجب المخيّر</w:t>
            </w:r>
            <w:r>
              <w:rPr>
                <w:rStyle w:val="IndexLink"/>
                <w:rtl w:val="true"/>
              </w:rPr>
              <w:tab/>
            </w:r>
            <w:r>
              <w:rPr>
                <w:rStyle w:val="IndexLink"/>
              </w:rPr>
              <w:t>240</w:t>
            </w:r>
          </w:hyperlink>
        </w:p>
        <w:p>
          <w:pPr>
            <w:pStyle w:val="Contents6"/>
            <w:tabs>
              <w:tab w:val="clear" w:pos="7609"/>
              <w:tab w:val="right" w:pos="9026" w:leader="dot"/>
            </w:tabs>
            <w:rPr/>
          </w:pPr>
          <w:hyperlink w:anchor="__RefHeading___Toc5900644_2142443653">
            <w:r>
              <w:rPr>
                <w:webHidden/>
                <w:rStyle w:val="IndexLink"/>
                <w:rtl w:val="true"/>
              </w:rPr>
              <w:t>المرجح الخامس</w:t>
            </w:r>
            <w:r>
              <w:rPr>
                <w:rStyle w:val="IndexLink"/>
                <w:rtl w:val="true"/>
              </w:rPr>
              <w:t xml:space="preserve">: </w:t>
            </w:r>
            <w:r>
              <w:rPr>
                <w:rStyle w:val="IndexLink"/>
                <w:rtl w:val="true"/>
              </w:rPr>
              <w:t>ترجيح ما ليس له بدل على ما له بدل</w:t>
            </w:r>
            <w:r>
              <w:rPr>
                <w:rStyle w:val="IndexLink"/>
                <w:rtl w:val="true"/>
              </w:rPr>
              <w:t>.</w:t>
              <w:tab/>
            </w:r>
            <w:r>
              <w:rPr>
                <w:rStyle w:val="IndexLink"/>
              </w:rPr>
              <w:t>240</w:t>
            </w:r>
          </w:hyperlink>
        </w:p>
        <w:p>
          <w:pPr>
            <w:pStyle w:val="Contents6"/>
            <w:tabs>
              <w:tab w:val="clear" w:pos="7609"/>
              <w:tab w:val="right" w:pos="9026" w:leader="dot"/>
            </w:tabs>
            <w:rPr/>
          </w:pPr>
          <w:hyperlink w:anchor="__RefHeading___Toc5900646_2142443653">
            <w:r>
              <w:rPr>
                <w:webHidden/>
                <w:rStyle w:val="IndexLink"/>
                <w:rtl w:val="true"/>
              </w:rPr>
              <w:t>المرجح السادس</w:t>
            </w:r>
            <w:r>
              <w:rPr>
                <w:rStyle w:val="IndexLink"/>
                <w:rtl w:val="true"/>
              </w:rPr>
              <w:t xml:space="preserve">: </w:t>
            </w:r>
            <w:r>
              <w:rPr>
                <w:rStyle w:val="IndexLink"/>
                <w:rtl w:val="true"/>
              </w:rPr>
              <w:t>الترجيح بالأهمية</w:t>
            </w:r>
            <w:r>
              <w:rPr>
                <w:rStyle w:val="IndexLink"/>
                <w:rtl w:val="true"/>
              </w:rPr>
              <w:t>.</w:t>
              <w:tab/>
            </w:r>
            <w:r>
              <w:rPr>
                <w:rStyle w:val="IndexLink"/>
              </w:rPr>
              <w:t>242</w:t>
            </w:r>
          </w:hyperlink>
        </w:p>
        <w:p>
          <w:pPr>
            <w:pStyle w:val="Contents6"/>
            <w:tabs>
              <w:tab w:val="clear" w:pos="7609"/>
              <w:tab w:val="right" w:pos="9026" w:leader="dot"/>
            </w:tabs>
            <w:rPr/>
          </w:pPr>
          <w:hyperlink w:anchor="__RefHeading___Toc5900648_2142443653">
            <w:r>
              <w:rPr>
                <w:webHidden/>
                <w:rStyle w:val="IndexLink"/>
                <w:rtl w:val="true"/>
              </w:rPr>
              <w:t>اشارة</w:t>
            </w:r>
            <w:r>
              <w:rPr>
                <w:rStyle w:val="IndexLink"/>
                <w:rtl w:val="true"/>
              </w:rPr>
              <w:tab/>
            </w:r>
            <w:r>
              <w:rPr>
                <w:rStyle w:val="IndexLink"/>
              </w:rPr>
              <w:t>242</w:t>
            </w:r>
          </w:hyperlink>
        </w:p>
        <w:p>
          <w:pPr>
            <w:pStyle w:val="Contents6"/>
            <w:tabs>
              <w:tab w:val="clear" w:pos="7609"/>
              <w:tab w:val="right" w:pos="9026" w:leader="dot"/>
            </w:tabs>
            <w:rPr/>
          </w:pPr>
          <w:hyperlink w:anchor="__RefHeading___Toc5900650_2142443653">
            <w:r>
              <w:rPr>
                <w:webHidden/>
                <w:rStyle w:val="IndexLink"/>
                <w:rtl w:val="true"/>
              </w:rPr>
              <w:t>الجهة الأولى</w:t>
            </w:r>
            <w:r>
              <w:rPr>
                <w:rStyle w:val="IndexLink"/>
                <w:rtl w:val="true"/>
              </w:rPr>
              <w:t xml:space="preserve">: </w:t>
            </w:r>
            <w:r>
              <w:rPr>
                <w:rStyle w:val="IndexLink"/>
                <w:rtl w:val="true"/>
              </w:rPr>
              <w:t>في الفروض المتصورة</w:t>
            </w:r>
            <w:r>
              <w:rPr>
                <w:rStyle w:val="IndexLink"/>
                <w:rtl w:val="true"/>
              </w:rPr>
              <w:tab/>
            </w:r>
            <w:r>
              <w:rPr>
                <w:rStyle w:val="IndexLink"/>
              </w:rPr>
              <w:t>242</w:t>
            </w:r>
          </w:hyperlink>
        </w:p>
        <w:p>
          <w:pPr>
            <w:pStyle w:val="Contents6"/>
            <w:tabs>
              <w:tab w:val="clear" w:pos="7609"/>
              <w:tab w:val="right" w:pos="9026" w:leader="dot"/>
            </w:tabs>
            <w:rPr/>
          </w:pPr>
          <w:hyperlink w:anchor="__RefHeading___Toc5900652_2142443653">
            <w:r>
              <w:rPr>
                <w:webHidden/>
                <w:rStyle w:val="IndexLink"/>
                <w:rtl w:val="true"/>
              </w:rPr>
              <w:t>الجهة الثانية</w:t>
            </w:r>
            <w:r>
              <w:rPr>
                <w:rStyle w:val="IndexLink"/>
                <w:rtl w:val="true"/>
              </w:rPr>
              <w:t xml:space="preserve">: </w:t>
            </w:r>
            <w:r>
              <w:rPr>
                <w:rStyle w:val="IndexLink"/>
                <w:rtl w:val="true"/>
              </w:rPr>
              <w:t>طرق إثبات الأهمية</w:t>
            </w:r>
            <w:r>
              <w:rPr>
                <w:rStyle w:val="IndexLink"/>
                <w:rtl w:val="true"/>
              </w:rPr>
              <w:t>.</w:t>
              <w:tab/>
            </w:r>
            <w:r>
              <w:rPr>
                <w:rStyle w:val="IndexLink"/>
              </w:rPr>
              <w:t>246</w:t>
            </w:r>
          </w:hyperlink>
        </w:p>
        <w:p>
          <w:pPr>
            <w:pStyle w:val="Contents6"/>
            <w:tabs>
              <w:tab w:val="clear" w:pos="7609"/>
              <w:tab w:val="right" w:pos="9026" w:leader="dot"/>
            </w:tabs>
            <w:rPr/>
          </w:pPr>
          <w:hyperlink w:anchor="__RefHeading___Toc5900654_2142443653">
            <w:r>
              <w:rPr>
                <w:webHidden/>
                <w:rStyle w:val="IndexLink"/>
                <w:rtl w:val="true"/>
              </w:rPr>
              <w:t>الجهة الثالثة</w:t>
            </w:r>
            <w:r>
              <w:rPr>
                <w:rStyle w:val="IndexLink"/>
                <w:rtl w:val="true"/>
              </w:rPr>
              <w:t xml:space="preserve">: </w:t>
            </w:r>
            <w:r>
              <w:rPr>
                <w:rStyle w:val="IndexLink"/>
                <w:rtl w:val="true"/>
              </w:rPr>
              <w:t>في سريان الترجيح بالأهمية إلى المشروطين بالقدرة الشرعية</w:t>
            </w:r>
            <w:r>
              <w:rPr>
                <w:rStyle w:val="IndexLink"/>
                <w:rtl w:val="true"/>
              </w:rPr>
              <w:t>.</w:t>
              <w:tab/>
            </w:r>
            <w:r>
              <w:rPr>
                <w:rStyle w:val="IndexLink"/>
              </w:rPr>
              <w:t>248</w:t>
            </w:r>
          </w:hyperlink>
        </w:p>
        <w:p>
          <w:pPr>
            <w:pStyle w:val="Contents6"/>
            <w:tabs>
              <w:tab w:val="clear" w:pos="7609"/>
              <w:tab w:val="right" w:pos="9026" w:leader="dot"/>
            </w:tabs>
            <w:rPr/>
          </w:pPr>
          <w:hyperlink w:anchor="__RefHeading___Toc5900656_2142443653">
            <w:r>
              <w:rPr>
                <w:webHidden/>
                <w:rStyle w:val="IndexLink"/>
                <w:rtl w:val="true"/>
              </w:rPr>
              <w:t>حكم التزاحم في حالة عدم الترجيح</w:t>
            </w:r>
            <w:r>
              <w:rPr>
                <w:rStyle w:val="IndexLink"/>
                <w:rtl w:val="true"/>
              </w:rPr>
              <w:tab/>
            </w:r>
            <w:r>
              <w:rPr>
                <w:rStyle w:val="IndexLink"/>
              </w:rPr>
              <w:t>251</w:t>
            </w:r>
          </w:hyperlink>
        </w:p>
        <w:p>
          <w:pPr>
            <w:pStyle w:val="Contents6"/>
            <w:tabs>
              <w:tab w:val="clear" w:pos="7609"/>
              <w:tab w:val="right" w:pos="9026" w:leader="dot"/>
            </w:tabs>
            <w:rPr/>
          </w:pPr>
          <w:hyperlink w:anchor="__RefHeading___Toc5900658_2142443653">
            <w:r>
              <w:rPr>
                <w:webHidden/>
                <w:rStyle w:val="IndexLink"/>
                <w:rtl w:val="true"/>
              </w:rPr>
              <w:t>تنبيهات باب التزاحم</w:t>
            </w:r>
            <w:r>
              <w:rPr>
                <w:rStyle w:val="IndexLink"/>
                <w:rtl w:val="true"/>
              </w:rPr>
              <w:tab/>
            </w:r>
            <w:r>
              <w:rPr>
                <w:rStyle w:val="IndexLink"/>
              </w:rPr>
              <w:t>253</w:t>
            </w:r>
          </w:hyperlink>
        </w:p>
        <w:p>
          <w:pPr>
            <w:pStyle w:val="Contents6"/>
            <w:tabs>
              <w:tab w:val="clear" w:pos="7609"/>
              <w:tab w:val="right" w:pos="9026" w:leader="dot"/>
            </w:tabs>
            <w:rPr/>
          </w:pPr>
          <w:hyperlink w:anchor="__RefHeading___Toc5900660_2142443653">
            <w:r>
              <w:rPr>
                <w:webHidden/>
                <w:rStyle w:val="IndexLink"/>
                <w:rtl w:val="true"/>
              </w:rPr>
              <w:t>الموارد الخارجة عن باب التزاحم</w:t>
            </w:r>
            <w:r>
              <w:rPr>
                <w:rStyle w:val="IndexLink"/>
                <w:rtl w:val="true"/>
              </w:rPr>
              <w:tab/>
            </w:r>
            <w:r>
              <w:rPr>
                <w:rStyle w:val="IndexLink"/>
              </w:rPr>
              <w:t>256</w:t>
            </w:r>
          </w:hyperlink>
        </w:p>
        <w:p>
          <w:pPr>
            <w:pStyle w:val="Contents6"/>
            <w:tabs>
              <w:tab w:val="clear" w:pos="7609"/>
              <w:tab w:val="right" w:pos="9026" w:leader="dot"/>
            </w:tabs>
            <w:rPr/>
          </w:pPr>
          <w:hyperlink w:anchor="__RefHeading___Toc5900662_2142443653">
            <w:r>
              <w:rPr>
                <w:webHidden/>
                <w:rStyle w:val="IndexLink"/>
                <w:rtl w:val="true"/>
              </w:rPr>
              <w:t>التنبيه الرابع</w:t>
            </w:r>
            <w:r>
              <w:rPr>
                <w:rStyle w:val="IndexLink"/>
                <w:rtl w:val="true"/>
              </w:rPr>
              <w:t xml:space="preserve">: </w:t>
            </w:r>
            <w:r>
              <w:rPr>
                <w:rStyle w:val="IndexLink"/>
                <w:rtl w:val="true"/>
              </w:rPr>
              <w:t>في التزاحم بين المستحبات</w:t>
            </w:r>
            <w:r>
              <w:rPr>
                <w:rStyle w:val="IndexLink"/>
                <w:rtl w:val="true"/>
              </w:rPr>
              <w:tab/>
            </w:r>
            <w:r>
              <w:rPr>
                <w:rStyle w:val="IndexLink"/>
              </w:rPr>
              <w:t>282</w:t>
            </w:r>
          </w:hyperlink>
        </w:p>
        <w:p>
          <w:pPr>
            <w:pStyle w:val="Contents4"/>
            <w:tabs>
              <w:tab w:val="clear" w:pos="8176"/>
              <w:tab w:val="right" w:pos="9026" w:leader="dot"/>
            </w:tabs>
            <w:rPr/>
          </w:pPr>
          <w:hyperlink w:anchor="__RefHeading___Toc5900664_2142443653">
            <w:r>
              <w:rPr>
                <w:webHidden/>
                <w:rStyle w:val="IndexLink"/>
                <w:rtl w:val="true"/>
              </w:rPr>
              <w:t>البحث الخامس</w:t>
            </w:r>
            <w:r>
              <w:rPr>
                <w:rStyle w:val="IndexLink"/>
                <w:rtl w:val="true"/>
              </w:rPr>
              <w:t xml:space="preserve">: </w:t>
            </w:r>
            <w:r>
              <w:rPr>
                <w:rStyle w:val="IndexLink"/>
                <w:rtl w:val="true"/>
              </w:rPr>
              <w:t>القرينة</w:t>
            </w:r>
            <w:r>
              <w:rPr>
                <w:rStyle w:val="IndexLink"/>
                <w:rtl w:val="true"/>
              </w:rPr>
              <w:tab/>
            </w:r>
            <w:r>
              <w:rPr>
                <w:rStyle w:val="IndexLink"/>
              </w:rPr>
              <w:t>284</w:t>
            </w:r>
          </w:hyperlink>
        </w:p>
        <w:p>
          <w:pPr>
            <w:pStyle w:val="Contents5"/>
            <w:tabs>
              <w:tab w:val="clear" w:pos="7892"/>
              <w:tab w:val="right" w:pos="9026" w:leader="dot"/>
            </w:tabs>
            <w:rPr/>
          </w:pPr>
          <w:hyperlink w:anchor="__RefHeading___Toc5900666_2142443653">
            <w:r>
              <w:rPr>
                <w:webHidden/>
                <w:rStyle w:val="IndexLink"/>
                <w:rtl w:val="true"/>
              </w:rPr>
              <w:t>اشارة</w:t>
            </w:r>
            <w:r>
              <w:rPr>
                <w:rStyle w:val="IndexLink"/>
                <w:rtl w:val="true"/>
              </w:rPr>
              <w:tab/>
            </w:r>
            <w:r>
              <w:rPr>
                <w:rStyle w:val="IndexLink"/>
              </w:rPr>
              <w:t>284</w:t>
            </w:r>
          </w:hyperlink>
        </w:p>
        <w:p>
          <w:pPr>
            <w:pStyle w:val="Contents5"/>
            <w:tabs>
              <w:tab w:val="clear" w:pos="7892"/>
              <w:tab w:val="right" w:pos="9026" w:leader="dot"/>
            </w:tabs>
            <w:rPr/>
          </w:pPr>
          <w:hyperlink w:anchor="__RefHeading___Toc5900668_2142443653">
            <w:r>
              <w:rPr>
                <w:webHidden/>
                <w:rStyle w:val="IndexLink"/>
                <w:rtl w:val="true"/>
              </w:rPr>
              <w:t>الأمر الأول</w:t>
            </w:r>
            <w:r>
              <w:rPr>
                <w:rStyle w:val="IndexLink"/>
                <w:rtl w:val="true"/>
              </w:rPr>
              <w:t xml:space="preserve">: </w:t>
            </w:r>
            <w:r>
              <w:rPr>
                <w:rStyle w:val="IndexLink"/>
                <w:rtl w:val="true"/>
              </w:rPr>
              <w:t>الحكومة</w:t>
            </w:r>
            <w:r>
              <w:rPr>
                <w:rStyle w:val="IndexLink"/>
                <w:rtl w:val="true"/>
              </w:rPr>
              <w:tab/>
            </w:r>
            <w:r>
              <w:rPr>
                <w:rStyle w:val="IndexLink"/>
              </w:rPr>
              <w:t>284</w:t>
            </w:r>
          </w:hyperlink>
        </w:p>
        <w:p>
          <w:pPr>
            <w:pStyle w:val="Contents5"/>
            <w:tabs>
              <w:tab w:val="clear" w:pos="7892"/>
              <w:tab w:val="right" w:pos="9026" w:leader="dot"/>
            </w:tabs>
            <w:rPr/>
          </w:pPr>
          <w:hyperlink w:anchor="__RefHeading___Toc5900670_2142443653">
            <w:r>
              <w:rPr>
                <w:webHidden/>
                <w:rStyle w:val="IndexLink"/>
                <w:rtl w:val="true"/>
              </w:rPr>
              <w:t>الأمر الثاني</w:t>
            </w:r>
            <w:r>
              <w:rPr>
                <w:rStyle w:val="IndexLink"/>
                <w:rtl w:val="true"/>
              </w:rPr>
              <w:t xml:space="preserve">: </w:t>
            </w:r>
            <w:r>
              <w:rPr>
                <w:rStyle w:val="IndexLink"/>
                <w:rtl w:val="true"/>
              </w:rPr>
              <w:t>التقييد</w:t>
            </w:r>
            <w:r>
              <w:rPr>
                <w:rStyle w:val="IndexLink"/>
                <w:rtl w:val="true"/>
              </w:rPr>
              <w:tab/>
            </w:r>
            <w:r>
              <w:rPr>
                <w:rStyle w:val="IndexLink"/>
              </w:rPr>
              <w:t>291</w:t>
            </w:r>
          </w:hyperlink>
        </w:p>
        <w:p>
          <w:pPr>
            <w:pStyle w:val="Contents5"/>
            <w:tabs>
              <w:tab w:val="clear" w:pos="7892"/>
              <w:tab w:val="right" w:pos="9026" w:leader="dot"/>
            </w:tabs>
            <w:rPr/>
          </w:pPr>
          <w:hyperlink w:anchor="__RefHeading___Toc5900672_2142443653">
            <w:r>
              <w:rPr>
                <w:webHidden/>
                <w:rStyle w:val="IndexLink"/>
                <w:rtl w:val="true"/>
              </w:rPr>
              <w:t>الأمر الثالث</w:t>
            </w:r>
            <w:r>
              <w:rPr>
                <w:rStyle w:val="IndexLink"/>
                <w:rtl w:val="true"/>
              </w:rPr>
              <w:t xml:space="preserve">: </w:t>
            </w:r>
            <w:r>
              <w:rPr>
                <w:rStyle w:val="IndexLink"/>
                <w:rtl w:val="true"/>
              </w:rPr>
              <w:t>النص والظاهر والأظهر</w:t>
            </w:r>
            <w:r>
              <w:rPr>
                <w:rStyle w:val="IndexLink"/>
                <w:rtl w:val="true"/>
              </w:rPr>
              <w:tab/>
            </w:r>
            <w:r>
              <w:rPr>
                <w:rStyle w:val="IndexLink"/>
              </w:rPr>
              <w:t>304</w:t>
            </w:r>
          </w:hyperlink>
        </w:p>
        <w:p>
          <w:pPr>
            <w:pStyle w:val="Contents6"/>
            <w:tabs>
              <w:tab w:val="clear" w:pos="7609"/>
              <w:tab w:val="right" w:pos="9026" w:leader="dot"/>
            </w:tabs>
            <w:rPr/>
          </w:pPr>
          <w:hyperlink w:anchor="__RefHeading___Toc5900674_2142443653">
            <w:r>
              <w:rPr>
                <w:webHidden/>
                <w:rStyle w:val="IndexLink"/>
                <w:rtl w:val="true"/>
              </w:rPr>
              <w:t>اشارة</w:t>
            </w:r>
            <w:r>
              <w:rPr>
                <w:rStyle w:val="IndexLink"/>
                <w:rtl w:val="true"/>
              </w:rPr>
              <w:tab/>
            </w:r>
            <w:r>
              <w:rPr>
                <w:rStyle w:val="IndexLink"/>
              </w:rPr>
              <w:t>304</w:t>
            </w:r>
          </w:hyperlink>
        </w:p>
        <w:p>
          <w:pPr>
            <w:pStyle w:val="Contents6"/>
            <w:tabs>
              <w:tab w:val="clear" w:pos="7609"/>
              <w:tab w:val="right" w:pos="9026" w:leader="dot"/>
            </w:tabs>
            <w:rPr/>
          </w:pPr>
          <w:hyperlink w:anchor="__RefHeading___Toc5900676_2142443653">
            <w:r>
              <w:rPr>
                <w:webHidden/>
                <w:rStyle w:val="IndexLink"/>
                <w:rtl w:val="true"/>
              </w:rPr>
              <w:t>ختام فيه أمران</w:t>
            </w:r>
            <w:r>
              <w:rPr>
                <w:rStyle w:val="IndexLink"/>
                <w:rtl w:val="true"/>
              </w:rPr>
              <w:tab/>
            </w:r>
            <w:r>
              <w:rPr>
                <w:rStyle w:val="IndexLink"/>
              </w:rPr>
              <w:t>307</w:t>
            </w:r>
          </w:hyperlink>
        </w:p>
        <w:p>
          <w:pPr>
            <w:pStyle w:val="Contents6"/>
            <w:tabs>
              <w:tab w:val="clear" w:pos="7609"/>
              <w:tab w:val="right" w:pos="9026" w:leader="dot"/>
            </w:tabs>
            <w:rPr/>
          </w:pPr>
          <w:hyperlink w:anchor="__RefHeading___Toc5900678_2142443653">
            <w:r>
              <w:rPr>
                <w:webHidden/>
                <w:rStyle w:val="IndexLink"/>
                <w:rtl w:val="true"/>
              </w:rPr>
              <w:t>الشروط العامة للتعارض غير المستقر</w:t>
            </w:r>
            <w:r>
              <w:rPr>
                <w:rStyle w:val="IndexLink"/>
                <w:rtl w:val="true"/>
              </w:rPr>
              <w:tab/>
            </w:r>
            <w:r>
              <w:rPr>
                <w:rStyle w:val="IndexLink"/>
              </w:rPr>
              <w:t>309</w:t>
            </w:r>
          </w:hyperlink>
        </w:p>
        <w:p>
          <w:pPr>
            <w:pStyle w:val="Contents6"/>
            <w:tabs>
              <w:tab w:val="clear" w:pos="7609"/>
              <w:tab w:val="right" w:pos="9026" w:leader="dot"/>
            </w:tabs>
            <w:rPr/>
          </w:pPr>
          <w:hyperlink w:anchor="__RefHeading___Toc5900680_2142443653">
            <w:r>
              <w:rPr>
                <w:webHidden/>
                <w:rStyle w:val="IndexLink"/>
                <w:rtl w:val="true"/>
              </w:rPr>
              <w:t>ثمرات الجمع العرفي ونتائجه</w:t>
            </w:r>
            <w:r>
              <w:rPr>
                <w:rStyle w:val="IndexLink"/>
                <w:rtl w:val="true"/>
              </w:rPr>
              <w:tab/>
            </w:r>
            <w:r>
              <w:rPr>
                <w:rStyle w:val="IndexLink"/>
              </w:rPr>
              <w:t>314</w:t>
            </w:r>
          </w:hyperlink>
        </w:p>
        <w:p>
          <w:pPr>
            <w:pStyle w:val="Contents6"/>
            <w:tabs>
              <w:tab w:val="clear" w:pos="7609"/>
              <w:tab w:val="right" w:pos="9026" w:leader="dot"/>
            </w:tabs>
            <w:rPr/>
          </w:pPr>
          <w:hyperlink w:anchor="__RefHeading___Toc5900682_2142443653">
            <w:r>
              <w:rPr>
                <w:webHidden/>
                <w:rStyle w:val="IndexLink"/>
                <w:rtl w:val="true"/>
              </w:rPr>
              <w:t>القسم الثاني</w:t>
            </w:r>
            <w:r>
              <w:rPr>
                <w:rStyle w:val="IndexLink"/>
                <w:rtl w:val="true"/>
              </w:rPr>
              <w:t xml:space="preserve">: </w:t>
            </w:r>
            <w:r>
              <w:rPr>
                <w:rStyle w:val="IndexLink"/>
                <w:rtl w:val="true"/>
              </w:rPr>
              <w:t>التعارض المستقر</w:t>
            </w:r>
            <w:r>
              <w:rPr>
                <w:rStyle w:val="IndexLink"/>
                <w:rtl w:val="true"/>
              </w:rPr>
              <w:tab/>
            </w:r>
            <w:r>
              <w:rPr>
                <w:rStyle w:val="IndexLink"/>
              </w:rPr>
              <w:t>317</w:t>
            </w:r>
          </w:hyperlink>
        </w:p>
        <w:p>
          <w:pPr>
            <w:pStyle w:val="Contents6"/>
            <w:tabs>
              <w:tab w:val="clear" w:pos="7609"/>
              <w:tab w:val="right" w:pos="9026" w:leader="dot"/>
            </w:tabs>
            <w:rPr/>
          </w:pPr>
          <w:hyperlink w:anchor="__RefHeading___Toc5900684_2142443653">
            <w:r>
              <w:rPr>
                <w:webHidden/>
                <w:rStyle w:val="IndexLink"/>
                <w:rtl w:val="true"/>
              </w:rPr>
              <w:t>تمهيد</w:t>
            </w:r>
            <w:r>
              <w:rPr>
                <w:rStyle w:val="IndexLink"/>
                <w:rtl w:val="true"/>
              </w:rPr>
              <w:tab/>
            </w:r>
            <w:r>
              <w:rPr>
                <w:rStyle w:val="IndexLink"/>
              </w:rPr>
              <w:t>317</w:t>
            </w:r>
          </w:hyperlink>
        </w:p>
        <w:p>
          <w:pPr>
            <w:pStyle w:val="Contents6"/>
            <w:tabs>
              <w:tab w:val="clear" w:pos="7609"/>
              <w:tab w:val="right" w:pos="9026" w:leader="dot"/>
            </w:tabs>
            <w:rPr/>
          </w:pPr>
          <w:hyperlink w:anchor="__RefHeading___Toc5900686_2142443653">
            <w:r>
              <w:rPr>
                <w:webHidden/>
                <w:rStyle w:val="IndexLink"/>
                <w:rtl w:val="true"/>
              </w:rPr>
              <w:t>اشارة</w:t>
            </w:r>
            <w:r>
              <w:rPr>
                <w:rStyle w:val="IndexLink"/>
                <w:rtl w:val="true"/>
              </w:rPr>
              <w:tab/>
            </w:r>
            <w:r>
              <w:rPr>
                <w:rStyle w:val="IndexLink"/>
              </w:rPr>
              <w:t>317</w:t>
            </w:r>
          </w:hyperlink>
        </w:p>
        <w:p>
          <w:pPr>
            <w:pStyle w:val="Contents6"/>
            <w:tabs>
              <w:tab w:val="clear" w:pos="7609"/>
              <w:tab w:val="right" w:pos="9026" w:leader="dot"/>
            </w:tabs>
            <w:rPr/>
          </w:pPr>
          <w:hyperlink w:anchor="__RefHeading___Toc5900688_2142443653">
            <w:r>
              <w:rPr>
                <w:webHidden/>
                <w:rStyle w:val="IndexLink"/>
                <w:rtl w:val="true"/>
              </w:rPr>
              <w:t>الأمر الأول</w:t>
            </w:r>
            <w:r>
              <w:rPr>
                <w:rStyle w:val="IndexLink"/>
                <w:rtl w:val="true"/>
              </w:rPr>
              <w:t>:</w:t>
            </w:r>
            <w:r>
              <w:rPr>
                <w:rStyle w:val="IndexLink"/>
                <w:rtl w:val="true"/>
              </w:rPr>
              <w:t>في كيفية تحصيل الأدلة الشرعية</w:t>
            </w:r>
            <w:r>
              <w:rPr>
                <w:rStyle w:val="IndexLink"/>
                <w:rtl w:val="true"/>
              </w:rPr>
              <w:tab/>
            </w:r>
            <w:r>
              <w:rPr>
                <w:rStyle w:val="IndexLink"/>
              </w:rPr>
              <w:t>319</w:t>
            </w:r>
          </w:hyperlink>
        </w:p>
        <w:p>
          <w:pPr>
            <w:pStyle w:val="Contents6"/>
            <w:tabs>
              <w:tab w:val="clear" w:pos="7609"/>
              <w:tab w:val="right" w:pos="9026" w:leader="dot"/>
            </w:tabs>
            <w:rPr/>
          </w:pPr>
          <w:hyperlink w:anchor="__RefHeading___Toc5900690_2142443653">
            <w:r>
              <w:rPr>
                <w:webHidden/>
                <w:rStyle w:val="IndexLink"/>
                <w:rtl w:val="true"/>
              </w:rPr>
              <w:t>الأمر الثاني</w:t>
            </w:r>
            <w:r>
              <w:rPr>
                <w:rStyle w:val="IndexLink"/>
                <w:rtl w:val="true"/>
              </w:rPr>
              <w:t xml:space="preserve">: </w:t>
            </w:r>
            <w:r>
              <w:rPr>
                <w:rStyle w:val="IndexLink"/>
                <w:rtl w:val="true"/>
              </w:rPr>
              <w:t>في استيعاب التعارض لمدلول الدليلين</w:t>
            </w:r>
            <w:r>
              <w:rPr>
                <w:rStyle w:val="IndexLink"/>
                <w:rtl w:val="true"/>
              </w:rPr>
              <w:tab/>
            </w:r>
            <w:r>
              <w:rPr>
                <w:rStyle w:val="IndexLink"/>
              </w:rPr>
              <w:t>325</w:t>
            </w:r>
          </w:hyperlink>
        </w:p>
        <w:p>
          <w:pPr>
            <w:pStyle w:val="Contents6"/>
            <w:tabs>
              <w:tab w:val="clear" w:pos="7609"/>
              <w:tab w:val="right" w:pos="9026" w:leader="dot"/>
            </w:tabs>
            <w:rPr/>
          </w:pPr>
          <w:hyperlink w:anchor="__RefHeading___Toc5900692_2142443653">
            <w:r>
              <w:rPr>
                <w:webHidden/>
                <w:rStyle w:val="IndexLink"/>
                <w:rtl w:val="true"/>
              </w:rPr>
              <w:t>اشارة</w:t>
            </w:r>
            <w:r>
              <w:rPr>
                <w:rStyle w:val="IndexLink"/>
                <w:rtl w:val="true"/>
              </w:rPr>
              <w:tab/>
            </w:r>
            <w:r>
              <w:rPr>
                <w:rStyle w:val="IndexLink"/>
              </w:rPr>
              <w:t>325</w:t>
            </w:r>
          </w:hyperlink>
        </w:p>
        <w:p>
          <w:pPr>
            <w:pStyle w:val="Contents6"/>
            <w:tabs>
              <w:tab w:val="clear" w:pos="7609"/>
              <w:tab w:val="right" w:pos="9026" w:leader="dot"/>
            </w:tabs>
            <w:rPr/>
          </w:pPr>
          <w:hyperlink w:anchor="__RefHeading___Toc5900694_2142443653">
            <w:r>
              <w:rPr>
                <w:webHidden/>
                <w:rStyle w:val="IndexLink"/>
                <w:rtl w:val="true"/>
              </w:rPr>
              <w:t>البحث الأول</w:t>
            </w:r>
            <w:r>
              <w:rPr>
                <w:rStyle w:val="IndexLink"/>
                <w:rtl w:val="true"/>
              </w:rPr>
              <w:t xml:space="preserve">: </w:t>
            </w:r>
            <w:r>
              <w:rPr>
                <w:rStyle w:val="IndexLink"/>
                <w:rtl w:val="true"/>
              </w:rPr>
              <w:t>في تنقيح الموضوع</w:t>
            </w:r>
            <w:r>
              <w:rPr>
                <w:rStyle w:val="IndexLink"/>
                <w:rtl w:val="true"/>
              </w:rPr>
              <w:tab/>
            </w:r>
            <w:r>
              <w:rPr>
                <w:rStyle w:val="IndexLink"/>
              </w:rPr>
              <w:t>327</w:t>
            </w:r>
          </w:hyperlink>
        </w:p>
        <w:p>
          <w:pPr>
            <w:pStyle w:val="Contents6"/>
            <w:tabs>
              <w:tab w:val="clear" w:pos="7609"/>
              <w:tab w:val="right" w:pos="9026" w:leader="dot"/>
            </w:tabs>
            <w:rPr/>
          </w:pPr>
          <w:hyperlink w:anchor="__RefHeading___Toc5900696_2142443653">
            <w:r>
              <w:rPr>
                <w:webHidden/>
                <w:rStyle w:val="IndexLink"/>
                <w:rtl w:val="true"/>
              </w:rPr>
              <w:t>البحث الثاني</w:t>
            </w:r>
            <w:r>
              <w:rPr>
                <w:rStyle w:val="IndexLink"/>
                <w:rtl w:val="true"/>
              </w:rPr>
              <w:t xml:space="preserve">: </w:t>
            </w:r>
            <w:r>
              <w:rPr>
                <w:rStyle w:val="IndexLink"/>
                <w:rtl w:val="true"/>
              </w:rPr>
              <w:t>البحث عن أحكام التعارض</w:t>
            </w:r>
            <w:r>
              <w:rPr>
                <w:rStyle w:val="IndexLink"/>
                <w:rtl w:val="true"/>
              </w:rPr>
              <w:tab/>
            </w:r>
            <w:r>
              <w:rPr>
                <w:rStyle w:val="IndexLink"/>
              </w:rPr>
              <w:t>332</w:t>
            </w:r>
          </w:hyperlink>
        </w:p>
        <w:p>
          <w:pPr>
            <w:pStyle w:val="Contents6"/>
            <w:tabs>
              <w:tab w:val="clear" w:pos="7609"/>
              <w:tab w:val="right" w:pos="9026" w:leader="dot"/>
            </w:tabs>
            <w:rPr/>
          </w:pPr>
          <w:hyperlink w:anchor="__RefHeading___Toc5900698_2142443653">
            <w:r>
              <w:rPr>
                <w:webHidden/>
                <w:rStyle w:val="IndexLink"/>
                <w:rtl w:val="true"/>
              </w:rPr>
              <w:t>اشارة</w:t>
            </w:r>
            <w:r>
              <w:rPr>
                <w:rStyle w:val="IndexLink"/>
                <w:rtl w:val="true"/>
              </w:rPr>
              <w:tab/>
            </w:r>
            <w:r>
              <w:rPr>
                <w:rStyle w:val="IndexLink"/>
              </w:rPr>
              <w:t>332</w:t>
            </w:r>
          </w:hyperlink>
        </w:p>
        <w:p>
          <w:pPr>
            <w:pStyle w:val="Contents6"/>
            <w:tabs>
              <w:tab w:val="clear" w:pos="7609"/>
              <w:tab w:val="right" w:pos="9026" w:leader="dot"/>
            </w:tabs>
            <w:rPr/>
          </w:pPr>
          <w:hyperlink w:anchor="__RefHeading___Toc5900700_2142443653">
            <w:r>
              <w:rPr>
                <w:webHidden/>
                <w:rStyle w:val="IndexLink"/>
                <w:rtl w:val="true"/>
              </w:rPr>
              <w:t>الجهة الأولى</w:t>
            </w:r>
            <w:r>
              <w:rPr>
                <w:rStyle w:val="IndexLink"/>
                <w:rtl w:val="true"/>
              </w:rPr>
              <w:t xml:space="preserve">: </w:t>
            </w:r>
            <w:r>
              <w:rPr>
                <w:rStyle w:val="IndexLink"/>
                <w:rtl w:val="true"/>
              </w:rPr>
              <w:t>مقتضى الأصل الأولي في التعارض بين الدليلين</w:t>
            </w:r>
            <w:r>
              <w:rPr>
                <w:rStyle w:val="IndexLink"/>
                <w:rtl w:val="true"/>
              </w:rPr>
              <w:t>.</w:t>
              <w:tab/>
            </w:r>
            <w:r>
              <w:rPr>
                <w:rStyle w:val="IndexLink"/>
              </w:rPr>
              <w:t>335</w:t>
            </w:r>
          </w:hyperlink>
        </w:p>
        <w:p>
          <w:pPr>
            <w:pStyle w:val="Contents6"/>
            <w:tabs>
              <w:tab w:val="clear" w:pos="7609"/>
              <w:tab w:val="right" w:pos="9026" w:leader="dot"/>
            </w:tabs>
            <w:rPr/>
          </w:pPr>
          <w:hyperlink w:anchor="__RefHeading___Toc5900702_2142443653">
            <w:r>
              <w:rPr>
                <w:webHidden/>
                <w:rStyle w:val="IndexLink"/>
                <w:rtl w:val="true"/>
              </w:rPr>
              <w:t>أقسام التنافي العرضي</w:t>
            </w:r>
            <w:r>
              <w:rPr>
                <w:rStyle w:val="IndexLink"/>
                <w:rtl w:val="true"/>
              </w:rPr>
              <w:tab/>
            </w:r>
            <w:r>
              <w:rPr>
                <w:rStyle w:val="IndexLink"/>
              </w:rPr>
              <w:t>339</w:t>
            </w:r>
          </w:hyperlink>
        </w:p>
        <w:p>
          <w:pPr>
            <w:pStyle w:val="Contents6"/>
            <w:tabs>
              <w:tab w:val="clear" w:pos="7609"/>
              <w:tab w:val="right" w:pos="9026" w:leader="dot"/>
            </w:tabs>
            <w:rPr/>
          </w:pPr>
          <w:hyperlink w:anchor="__RefHeading___Toc5900704_2142443653">
            <w:r>
              <w:rPr>
                <w:webHidden/>
                <w:rStyle w:val="IndexLink"/>
                <w:rtl w:val="true"/>
              </w:rPr>
              <w:t>الأمر الثالث</w:t>
            </w:r>
            <w:r>
              <w:rPr>
                <w:rStyle w:val="IndexLink"/>
                <w:rtl w:val="true"/>
              </w:rPr>
              <w:t xml:space="preserve">: </w:t>
            </w:r>
            <w:r>
              <w:rPr>
                <w:rStyle w:val="IndexLink"/>
                <w:rtl w:val="true"/>
              </w:rPr>
              <w:t>في إمكان نفي الحكم المخالف</w:t>
            </w:r>
            <w:r>
              <w:rPr>
                <w:rStyle w:val="IndexLink"/>
                <w:rtl w:val="true"/>
              </w:rPr>
              <w:tab/>
            </w:r>
            <w:r>
              <w:rPr>
                <w:rStyle w:val="IndexLink"/>
              </w:rPr>
              <w:t>349</w:t>
            </w:r>
          </w:hyperlink>
        </w:p>
        <w:p>
          <w:pPr>
            <w:pStyle w:val="Contents6"/>
            <w:tabs>
              <w:tab w:val="clear" w:pos="7609"/>
              <w:tab w:val="right" w:pos="9026" w:leader="dot"/>
            </w:tabs>
            <w:rPr/>
          </w:pPr>
          <w:hyperlink w:anchor="__RefHeading___Toc5900706_2142443653">
            <w:r>
              <w:rPr>
                <w:webHidden/>
                <w:rStyle w:val="IndexLink"/>
                <w:rtl w:val="true"/>
              </w:rPr>
              <w:t>الأمر الرابع</w:t>
            </w:r>
            <w:r>
              <w:rPr>
                <w:rStyle w:val="IndexLink"/>
                <w:rtl w:val="true"/>
              </w:rPr>
              <w:t xml:space="preserve">: </w:t>
            </w:r>
            <w:r>
              <w:rPr>
                <w:rStyle w:val="IndexLink"/>
                <w:rtl w:val="true"/>
              </w:rPr>
              <w:t>في التعارض بين أكثر من دليلين</w:t>
            </w:r>
            <w:r>
              <w:rPr>
                <w:rStyle w:val="IndexLink"/>
                <w:rtl w:val="true"/>
              </w:rPr>
              <w:tab/>
            </w:r>
            <w:r>
              <w:rPr>
                <w:rStyle w:val="IndexLink"/>
              </w:rPr>
              <w:t>355</w:t>
            </w:r>
          </w:hyperlink>
        </w:p>
        <w:p>
          <w:pPr>
            <w:pStyle w:val="Contents6"/>
            <w:tabs>
              <w:tab w:val="clear" w:pos="7609"/>
              <w:tab w:val="right" w:pos="9026" w:leader="dot"/>
            </w:tabs>
            <w:rPr/>
          </w:pPr>
          <w:hyperlink w:anchor="__RefHeading___Toc5900708_2142443653">
            <w:r>
              <w:rPr>
                <w:webHidden/>
                <w:rStyle w:val="IndexLink"/>
                <w:rtl w:val="true"/>
              </w:rPr>
              <w:t>اشارة</w:t>
            </w:r>
            <w:r>
              <w:rPr>
                <w:rStyle w:val="IndexLink"/>
                <w:rtl w:val="true"/>
              </w:rPr>
              <w:tab/>
            </w:r>
            <w:r>
              <w:rPr>
                <w:rStyle w:val="IndexLink"/>
              </w:rPr>
              <w:t>355</w:t>
            </w:r>
          </w:hyperlink>
        </w:p>
        <w:p>
          <w:pPr>
            <w:pStyle w:val="Contents6"/>
            <w:tabs>
              <w:tab w:val="clear" w:pos="7609"/>
              <w:tab w:val="right" w:pos="9026" w:leader="dot"/>
            </w:tabs>
            <w:rPr/>
          </w:pPr>
          <w:hyperlink w:anchor="__RefHeading___Toc5900710_2142443653">
            <w:r>
              <w:rPr>
                <w:webHidden/>
                <w:rStyle w:val="IndexLink"/>
                <w:rtl w:val="true"/>
              </w:rPr>
              <w:t>الجهة الثانية</w:t>
            </w:r>
            <w:r>
              <w:rPr>
                <w:rStyle w:val="IndexLink"/>
                <w:rtl w:val="true"/>
              </w:rPr>
              <w:t xml:space="preserve">: </w:t>
            </w:r>
            <w:r>
              <w:rPr>
                <w:rStyle w:val="IndexLink"/>
                <w:rtl w:val="true"/>
              </w:rPr>
              <w:t>مقتضى الأصل الثانوي</w:t>
            </w:r>
            <w:r>
              <w:rPr>
                <w:rStyle w:val="IndexLink"/>
                <w:rtl w:val="true"/>
              </w:rPr>
              <w:tab/>
            </w:r>
            <w:r>
              <w:rPr>
                <w:rStyle w:val="IndexLink"/>
              </w:rPr>
              <w:t>358</w:t>
            </w:r>
          </w:hyperlink>
        </w:p>
        <w:p>
          <w:pPr>
            <w:pStyle w:val="Contents6"/>
            <w:tabs>
              <w:tab w:val="clear" w:pos="7609"/>
              <w:tab w:val="right" w:pos="9026" w:leader="dot"/>
            </w:tabs>
            <w:rPr/>
          </w:pPr>
          <w:hyperlink w:anchor="__RefHeading___Toc5900712_2142443653">
            <w:r>
              <w:rPr>
                <w:webHidden/>
                <w:rStyle w:val="IndexLink"/>
                <w:rtl w:val="true"/>
              </w:rPr>
              <w:t>ختام في موارد اشتباه التعارض المستقر وغير المستقر</w:t>
            </w:r>
            <w:r>
              <w:rPr>
                <w:rStyle w:val="IndexLink"/>
                <w:rtl w:val="true"/>
              </w:rPr>
              <w:tab/>
            </w:r>
            <w:r>
              <w:rPr>
                <w:rStyle w:val="IndexLink"/>
              </w:rPr>
              <w:t>366</w:t>
            </w:r>
          </w:hyperlink>
        </w:p>
        <w:p>
          <w:pPr>
            <w:pStyle w:val="Contents6"/>
            <w:tabs>
              <w:tab w:val="clear" w:pos="7609"/>
              <w:tab w:val="right" w:pos="9026" w:leader="dot"/>
            </w:tabs>
            <w:rPr/>
          </w:pPr>
          <w:hyperlink w:anchor="__RefHeading___Toc5900714_2142443653">
            <w:r>
              <w:rPr>
                <w:webHidden/>
                <w:rStyle w:val="IndexLink"/>
                <w:rtl w:val="true"/>
              </w:rPr>
              <w:t>المورد الأول</w:t>
            </w:r>
            <w:r>
              <w:rPr>
                <w:rStyle w:val="IndexLink"/>
                <w:rtl w:val="true"/>
              </w:rPr>
              <w:t xml:space="preserve">: </w:t>
            </w:r>
            <w:r>
              <w:rPr>
                <w:rStyle w:val="IndexLink"/>
                <w:rtl w:val="true"/>
              </w:rPr>
              <w:t>تعارض الدلالة الوضعية كالعموم مع دلالة حكمية كالإطلاق</w:t>
            </w:r>
            <w:r>
              <w:rPr>
                <w:rStyle w:val="IndexLink"/>
                <w:rtl w:val="true"/>
              </w:rPr>
              <w:tab/>
            </w:r>
            <w:r>
              <w:rPr>
                <w:rStyle w:val="IndexLink"/>
              </w:rPr>
              <w:t>366</w:t>
            </w:r>
          </w:hyperlink>
        </w:p>
        <w:p>
          <w:pPr>
            <w:pStyle w:val="Contents6"/>
            <w:tabs>
              <w:tab w:val="clear" w:pos="7609"/>
              <w:tab w:val="right" w:pos="9026" w:leader="dot"/>
            </w:tabs>
            <w:rPr/>
          </w:pPr>
          <w:hyperlink w:anchor="__RefHeading___Toc5900716_2142443653">
            <w:r>
              <w:rPr>
                <w:webHidden/>
                <w:rStyle w:val="IndexLink"/>
                <w:rtl w:val="true"/>
              </w:rPr>
              <w:t>المورد الثاني</w:t>
            </w:r>
            <w:r>
              <w:rPr>
                <w:rStyle w:val="IndexLink"/>
                <w:rtl w:val="true"/>
              </w:rPr>
              <w:t xml:space="preserve">: </w:t>
            </w:r>
            <w:r>
              <w:rPr>
                <w:rStyle w:val="IndexLink"/>
                <w:rtl w:val="true"/>
              </w:rPr>
              <w:t>تعارض الإطلاق الشمولي والإطلاق البدلي</w:t>
            </w:r>
            <w:r>
              <w:rPr>
                <w:rStyle w:val="IndexLink"/>
                <w:rtl w:val="true"/>
              </w:rPr>
              <w:tab/>
            </w:r>
            <w:r>
              <w:rPr>
                <w:rStyle w:val="IndexLink"/>
              </w:rPr>
              <w:t>371</w:t>
            </w:r>
          </w:hyperlink>
        </w:p>
        <w:p>
          <w:pPr>
            <w:pStyle w:val="Contents6"/>
            <w:tabs>
              <w:tab w:val="clear" w:pos="7609"/>
              <w:tab w:val="right" w:pos="9026" w:leader="dot"/>
            </w:tabs>
            <w:rPr/>
          </w:pPr>
          <w:hyperlink w:anchor="__RefHeading___Toc5900718_2142443653">
            <w:r>
              <w:rPr>
                <w:webHidden/>
                <w:rStyle w:val="IndexLink"/>
                <w:rtl w:val="true"/>
              </w:rPr>
              <w:t>المورد الثالث</w:t>
            </w:r>
            <w:r>
              <w:rPr>
                <w:rStyle w:val="IndexLink"/>
                <w:rtl w:val="true"/>
              </w:rPr>
              <w:t xml:space="preserve">: </w:t>
            </w:r>
            <w:r>
              <w:rPr>
                <w:rStyle w:val="IndexLink"/>
                <w:rtl w:val="true"/>
              </w:rPr>
              <w:t>موارد انقلاب النسبة</w:t>
            </w:r>
            <w:r>
              <w:rPr>
                <w:rStyle w:val="IndexLink"/>
                <w:rtl w:val="true"/>
              </w:rPr>
              <w:tab/>
            </w:r>
            <w:r>
              <w:rPr>
                <w:rStyle w:val="IndexLink"/>
              </w:rPr>
              <w:t>373</w:t>
            </w:r>
          </w:hyperlink>
        </w:p>
        <w:p>
          <w:pPr>
            <w:pStyle w:val="Contents6"/>
            <w:tabs>
              <w:tab w:val="clear" w:pos="7609"/>
              <w:tab w:val="right" w:pos="9026" w:leader="dot"/>
            </w:tabs>
            <w:rPr/>
          </w:pPr>
          <w:hyperlink w:anchor="__RefHeading___Toc5900720_2142443653">
            <w:r>
              <w:rPr>
                <w:webHidden/>
                <w:rStyle w:val="IndexLink"/>
                <w:rtl w:val="true"/>
              </w:rPr>
              <w:t>المورد الرابع</w:t>
            </w:r>
            <w:r>
              <w:rPr>
                <w:rStyle w:val="IndexLink"/>
                <w:rtl w:val="true"/>
              </w:rPr>
              <w:t xml:space="preserve">: </w:t>
            </w:r>
            <w:r>
              <w:rPr>
                <w:rStyle w:val="IndexLink"/>
                <w:rtl w:val="true"/>
              </w:rPr>
              <w:t>مورد النسبة من العموم من وجه</w:t>
            </w:r>
            <w:r>
              <w:rPr>
                <w:rStyle w:val="IndexLink"/>
                <w:rtl w:val="true"/>
              </w:rPr>
              <w:tab/>
            </w:r>
            <w:r>
              <w:rPr>
                <w:rStyle w:val="IndexLink"/>
              </w:rPr>
              <w:t>386</w:t>
            </w:r>
          </w:hyperlink>
        </w:p>
        <w:p>
          <w:pPr>
            <w:pStyle w:val="Contents4"/>
            <w:tabs>
              <w:tab w:val="clear" w:pos="8176"/>
              <w:tab w:val="right" w:pos="9026" w:leader="dot"/>
            </w:tabs>
            <w:rPr/>
          </w:pPr>
          <w:hyperlink w:anchor="__RefHeading___Toc5900722_2142443653">
            <w:r>
              <w:rPr>
                <w:webHidden/>
                <w:rStyle w:val="IndexLink"/>
                <w:rtl w:val="true"/>
              </w:rPr>
              <w:t>المبحث الرابع</w:t>
            </w:r>
            <w:r>
              <w:rPr>
                <w:rStyle w:val="IndexLink"/>
                <w:rtl w:val="true"/>
              </w:rPr>
              <w:t xml:space="preserve">: </w:t>
            </w:r>
            <w:r>
              <w:rPr>
                <w:rStyle w:val="IndexLink"/>
                <w:rtl w:val="true"/>
              </w:rPr>
              <w:t>حكم المتعارضين من جهة الأخبار الخاصة</w:t>
            </w:r>
            <w:r>
              <w:rPr>
                <w:rStyle w:val="IndexLink"/>
                <w:rtl w:val="true"/>
              </w:rPr>
              <w:t>.</w:t>
              <w:tab/>
            </w:r>
            <w:r>
              <w:rPr>
                <w:rStyle w:val="IndexLink"/>
              </w:rPr>
              <w:t>397</w:t>
            </w:r>
          </w:hyperlink>
        </w:p>
        <w:p>
          <w:pPr>
            <w:pStyle w:val="Contents5"/>
            <w:tabs>
              <w:tab w:val="clear" w:pos="7892"/>
              <w:tab w:val="right" w:pos="9026" w:leader="dot"/>
            </w:tabs>
            <w:rPr/>
          </w:pPr>
          <w:hyperlink w:anchor="__RefHeading___Toc5900724_2142443653">
            <w:r>
              <w:rPr>
                <w:webHidden/>
                <w:rStyle w:val="IndexLink"/>
                <w:rtl w:val="true"/>
              </w:rPr>
              <w:t>اشارة</w:t>
            </w:r>
            <w:r>
              <w:rPr>
                <w:rStyle w:val="IndexLink"/>
                <w:rtl w:val="true"/>
              </w:rPr>
              <w:tab/>
            </w:r>
            <w:r>
              <w:rPr>
                <w:rStyle w:val="IndexLink"/>
              </w:rPr>
              <w:t>397</w:t>
            </w:r>
          </w:hyperlink>
        </w:p>
        <w:p>
          <w:pPr>
            <w:pStyle w:val="Contents5"/>
            <w:tabs>
              <w:tab w:val="clear" w:pos="7892"/>
              <w:tab w:val="right" w:pos="9026" w:leader="dot"/>
            </w:tabs>
            <w:rPr/>
          </w:pPr>
          <w:hyperlink w:anchor="__RefHeading___Toc5900726_2142443653">
            <w:r>
              <w:rPr>
                <w:webHidden/>
                <w:rStyle w:val="IndexLink"/>
                <w:rtl w:val="true"/>
              </w:rPr>
              <w:t>القسم الأول</w:t>
            </w:r>
            <w:r>
              <w:rPr>
                <w:rStyle w:val="IndexLink"/>
                <w:rtl w:val="true"/>
              </w:rPr>
              <w:t xml:space="preserve">: </w:t>
            </w:r>
            <w:r>
              <w:rPr>
                <w:rStyle w:val="IndexLink"/>
                <w:rtl w:val="true"/>
              </w:rPr>
              <w:t>أخبار الطرح</w:t>
            </w:r>
            <w:r>
              <w:rPr>
                <w:rStyle w:val="IndexLink"/>
                <w:rtl w:val="true"/>
              </w:rPr>
              <w:tab/>
            </w:r>
            <w:r>
              <w:rPr>
                <w:rStyle w:val="IndexLink"/>
              </w:rPr>
              <w:t>397</w:t>
            </w:r>
          </w:hyperlink>
        </w:p>
        <w:p>
          <w:pPr>
            <w:pStyle w:val="Contents6"/>
            <w:tabs>
              <w:tab w:val="clear" w:pos="7609"/>
              <w:tab w:val="right" w:pos="9026" w:leader="dot"/>
            </w:tabs>
            <w:rPr/>
          </w:pPr>
          <w:hyperlink w:anchor="__RefHeading___Toc5900728_2142443653">
            <w:r>
              <w:rPr>
                <w:webHidden/>
                <w:rStyle w:val="IndexLink"/>
                <w:rtl w:val="true"/>
              </w:rPr>
              <w:t>اشارة</w:t>
            </w:r>
            <w:r>
              <w:rPr>
                <w:rStyle w:val="IndexLink"/>
                <w:rtl w:val="true"/>
              </w:rPr>
              <w:tab/>
            </w:r>
            <w:r>
              <w:rPr>
                <w:rStyle w:val="IndexLink"/>
              </w:rPr>
              <w:t>397</w:t>
            </w:r>
          </w:hyperlink>
        </w:p>
        <w:p>
          <w:pPr>
            <w:pStyle w:val="Contents6"/>
            <w:tabs>
              <w:tab w:val="clear" w:pos="7609"/>
              <w:tab w:val="right" w:pos="9026" w:leader="dot"/>
            </w:tabs>
            <w:rPr/>
          </w:pPr>
          <w:hyperlink w:anchor="__RefHeading___Toc5900730_2142443653">
            <w:r>
              <w:rPr>
                <w:webHidden/>
                <w:rStyle w:val="IndexLink"/>
                <w:rtl w:val="true"/>
              </w:rPr>
              <w:t>الطائفة الأولى</w:t>
            </w:r>
            <w:r>
              <w:rPr>
                <w:rStyle w:val="IndexLink"/>
                <w:rtl w:val="true"/>
              </w:rPr>
              <w:t>:</w:t>
              <w:tab/>
            </w:r>
            <w:r>
              <w:rPr>
                <w:rStyle w:val="IndexLink"/>
              </w:rPr>
              <w:t>397</w:t>
            </w:r>
          </w:hyperlink>
        </w:p>
        <w:p>
          <w:pPr>
            <w:pStyle w:val="Contents6"/>
            <w:tabs>
              <w:tab w:val="clear" w:pos="7609"/>
              <w:tab w:val="right" w:pos="9026" w:leader="dot"/>
            </w:tabs>
            <w:rPr/>
          </w:pPr>
          <w:hyperlink w:anchor="__RefHeading___Toc5900732_2142443653">
            <w:r>
              <w:rPr>
                <w:webHidden/>
                <w:rStyle w:val="IndexLink"/>
                <w:rtl w:val="true"/>
              </w:rPr>
              <w:t>الطائفة الثانية</w:t>
            </w:r>
            <w:r>
              <w:rPr>
                <w:rStyle w:val="IndexLink"/>
                <w:rtl w:val="true"/>
              </w:rPr>
              <w:t xml:space="preserve">: </w:t>
            </w:r>
            <w:r>
              <w:rPr>
                <w:rStyle w:val="IndexLink"/>
                <w:rtl w:val="true"/>
              </w:rPr>
              <w:t>ما يدل على إناطة العمل بالرواية</w:t>
            </w:r>
            <w:r>
              <w:rPr>
                <w:rStyle w:val="IndexLink"/>
                <w:rtl w:val="true"/>
              </w:rPr>
              <w:tab/>
            </w:r>
            <w:r>
              <w:rPr>
                <w:rStyle w:val="IndexLink"/>
              </w:rPr>
              <w:t>402</w:t>
            </w:r>
          </w:hyperlink>
        </w:p>
        <w:p>
          <w:pPr>
            <w:pStyle w:val="Contents6"/>
            <w:tabs>
              <w:tab w:val="clear" w:pos="7609"/>
              <w:tab w:val="right" w:pos="9026" w:leader="dot"/>
            </w:tabs>
            <w:rPr/>
          </w:pPr>
          <w:hyperlink w:anchor="__RefHeading___Toc5900734_2142443653">
            <w:r>
              <w:rPr>
                <w:webHidden/>
                <w:rStyle w:val="IndexLink"/>
                <w:rtl w:val="true"/>
              </w:rPr>
              <w:t>الطائفة الثالثة</w:t>
            </w:r>
            <w:r>
              <w:rPr>
                <w:rStyle w:val="IndexLink"/>
                <w:rtl w:val="true"/>
              </w:rPr>
              <w:t xml:space="preserve">: </w:t>
            </w:r>
            <w:r>
              <w:rPr>
                <w:rStyle w:val="IndexLink"/>
                <w:rtl w:val="true"/>
              </w:rPr>
              <w:t>ما يكون مفاده نفي حجية ما يخالف الكتاب الكريم أو السنة القطعية</w:t>
            </w:r>
            <w:r>
              <w:rPr>
                <w:rStyle w:val="IndexLink"/>
                <w:rtl w:val="true"/>
              </w:rPr>
              <w:t>.</w:t>
              <w:tab/>
            </w:r>
            <w:r>
              <w:rPr>
                <w:rStyle w:val="IndexLink"/>
              </w:rPr>
              <w:t>407</w:t>
            </w:r>
          </w:hyperlink>
        </w:p>
        <w:p>
          <w:pPr>
            <w:pStyle w:val="Contents5"/>
            <w:tabs>
              <w:tab w:val="clear" w:pos="7892"/>
              <w:tab w:val="right" w:pos="9026" w:leader="dot"/>
            </w:tabs>
            <w:rPr/>
          </w:pPr>
          <w:hyperlink w:anchor="__RefHeading___Toc5900736_2142443653">
            <w:r>
              <w:rPr>
                <w:webHidden/>
                <w:rStyle w:val="IndexLink"/>
                <w:rtl w:val="true"/>
              </w:rPr>
              <w:t>القسم الثاني</w:t>
            </w:r>
            <w:r>
              <w:rPr>
                <w:rStyle w:val="IndexLink"/>
                <w:rtl w:val="true"/>
              </w:rPr>
              <w:t xml:space="preserve">: </w:t>
            </w:r>
            <w:r>
              <w:rPr>
                <w:rStyle w:val="IndexLink"/>
                <w:rtl w:val="true"/>
              </w:rPr>
              <w:t>أخبار العلاج</w:t>
            </w:r>
            <w:r>
              <w:rPr>
                <w:rStyle w:val="IndexLink"/>
                <w:rtl w:val="true"/>
              </w:rPr>
              <w:tab/>
            </w:r>
            <w:r>
              <w:rPr>
                <w:rStyle w:val="IndexLink"/>
              </w:rPr>
              <w:t>420</w:t>
            </w:r>
          </w:hyperlink>
        </w:p>
        <w:p>
          <w:pPr>
            <w:pStyle w:val="Contents6"/>
            <w:tabs>
              <w:tab w:val="clear" w:pos="7609"/>
              <w:tab w:val="right" w:pos="9026" w:leader="dot"/>
            </w:tabs>
            <w:rPr/>
          </w:pPr>
          <w:hyperlink w:anchor="__RefHeading___Toc5900738_2142443653">
            <w:r>
              <w:rPr>
                <w:webHidden/>
                <w:rStyle w:val="IndexLink"/>
                <w:rtl w:val="true"/>
              </w:rPr>
              <w:t>اشارة</w:t>
            </w:r>
            <w:r>
              <w:rPr>
                <w:rStyle w:val="IndexLink"/>
                <w:rtl w:val="true"/>
              </w:rPr>
              <w:tab/>
            </w:r>
            <w:r>
              <w:rPr>
                <w:rStyle w:val="IndexLink"/>
              </w:rPr>
              <w:t>420</w:t>
            </w:r>
          </w:hyperlink>
        </w:p>
        <w:p>
          <w:pPr>
            <w:pStyle w:val="Contents6"/>
            <w:tabs>
              <w:tab w:val="clear" w:pos="7609"/>
              <w:tab w:val="right" w:pos="9026" w:leader="dot"/>
            </w:tabs>
            <w:rPr/>
          </w:pPr>
          <w:hyperlink w:anchor="__RefHeading___Toc5900740_2142443653">
            <w:r>
              <w:rPr>
                <w:webHidden/>
                <w:rStyle w:val="IndexLink"/>
                <w:rtl w:val="true"/>
              </w:rPr>
              <w:t>الطائفة الأولى</w:t>
            </w:r>
            <w:r>
              <w:rPr>
                <w:rStyle w:val="IndexLink"/>
                <w:rtl w:val="true"/>
              </w:rPr>
              <w:t xml:space="preserve">: </w:t>
            </w:r>
            <w:r>
              <w:rPr>
                <w:rStyle w:val="IndexLink"/>
                <w:rtl w:val="true"/>
              </w:rPr>
              <w:t>أخبار التخيير</w:t>
            </w:r>
            <w:r>
              <w:rPr>
                <w:rStyle w:val="IndexLink"/>
                <w:rtl w:val="true"/>
              </w:rPr>
              <w:t>.</w:t>
              <w:tab/>
            </w:r>
            <w:r>
              <w:rPr>
                <w:rStyle w:val="IndexLink"/>
              </w:rPr>
              <w:t>421</w:t>
            </w:r>
          </w:hyperlink>
        </w:p>
        <w:p>
          <w:pPr>
            <w:pStyle w:val="Contents6"/>
            <w:tabs>
              <w:tab w:val="clear" w:pos="7609"/>
              <w:tab w:val="right" w:pos="9026" w:leader="dot"/>
            </w:tabs>
            <w:rPr/>
          </w:pPr>
          <w:hyperlink w:anchor="__RefHeading___Toc5900742_2142443653">
            <w:r>
              <w:rPr>
                <w:webHidden/>
                <w:rStyle w:val="IndexLink"/>
                <w:rtl w:val="true"/>
              </w:rPr>
              <w:t>الطائفة الثانية</w:t>
            </w:r>
            <w:r>
              <w:rPr>
                <w:rStyle w:val="IndexLink"/>
                <w:rtl w:val="true"/>
              </w:rPr>
              <w:t xml:space="preserve">: </w:t>
            </w:r>
            <w:r>
              <w:rPr>
                <w:rStyle w:val="IndexLink"/>
                <w:rtl w:val="true"/>
              </w:rPr>
              <w:t>أخبار الترجيح</w:t>
            </w:r>
            <w:r>
              <w:rPr>
                <w:rStyle w:val="IndexLink"/>
                <w:rtl w:val="true"/>
              </w:rPr>
              <w:tab/>
            </w:r>
            <w:r>
              <w:rPr>
                <w:rStyle w:val="IndexLink"/>
              </w:rPr>
              <w:t>429</w:t>
            </w:r>
          </w:hyperlink>
        </w:p>
        <w:p>
          <w:pPr>
            <w:pStyle w:val="Contents6"/>
            <w:tabs>
              <w:tab w:val="clear" w:pos="7609"/>
              <w:tab w:val="right" w:pos="9026" w:leader="dot"/>
            </w:tabs>
            <w:rPr/>
          </w:pPr>
          <w:hyperlink w:anchor="__RefHeading___Toc5900744_2142443653">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5900746_2142443653">
            <w:r>
              <w:rPr>
                <w:webHidden/>
                <w:rStyle w:val="IndexLink"/>
                <w:rtl w:val="true"/>
              </w:rPr>
              <w:t>تمهيد</w:t>
            </w:r>
            <w:r>
              <w:rPr>
                <w:rStyle w:val="IndexLink"/>
                <w:rtl w:val="true"/>
              </w:rPr>
              <w:t>:</w:t>
              <w:tab/>
            </w:r>
            <w:r>
              <w:rPr>
                <w:rStyle w:val="IndexLink"/>
              </w:rPr>
              <w:t>429</w:t>
            </w:r>
          </w:hyperlink>
        </w:p>
        <w:p>
          <w:pPr>
            <w:pStyle w:val="Contents6"/>
            <w:tabs>
              <w:tab w:val="clear" w:pos="7609"/>
              <w:tab w:val="right" w:pos="9026" w:leader="dot"/>
            </w:tabs>
            <w:rPr/>
          </w:pPr>
          <w:hyperlink w:anchor="__RefHeading___Toc5900748_2142443653">
            <w:r>
              <w:rPr>
                <w:webHidden/>
                <w:rStyle w:val="IndexLink"/>
                <w:rtl w:val="true"/>
              </w:rPr>
              <w:t>اشارة</w:t>
            </w:r>
            <w:r>
              <w:rPr>
                <w:rStyle w:val="IndexLink"/>
                <w:rtl w:val="true"/>
              </w:rPr>
              <w:tab/>
            </w:r>
            <w:r>
              <w:rPr>
                <w:rStyle w:val="IndexLink"/>
              </w:rPr>
              <w:t>429</w:t>
            </w:r>
          </w:hyperlink>
        </w:p>
        <w:p>
          <w:pPr>
            <w:pStyle w:val="Contents6"/>
            <w:tabs>
              <w:tab w:val="clear" w:pos="7609"/>
              <w:tab w:val="right" w:pos="9026" w:leader="dot"/>
            </w:tabs>
            <w:rPr/>
          </w:pPr>
          <w:hyperlink w:anchor="__RefHeading___Toc5900750_2142443653">
            <w:r>
              <w:rPr>
                <w:webHidden/>
                <w:rStyle w:val="IndexLink"/>
                <w:rtl w:val="true"/>
              </w:rPr>
              <w:t>الصنف الأول</w:t>
            </w:r>
            <w:r>
              <w:rPr>
                <w:rStyle w:val="IndexLink"/>
                <w:rtl w:val="true"/>
              </w:rPr>
              <w:t xml:space="preserve">: </w:t>
            </w:r>
            <w:r>
              <w:rPr>
                <w:rStyle w:val="IndexLink"/>
                <w:rtl w:val="true"/>
              </w:rPr>
              <w:t>الترجيح بموافقة الكتاب ومخالفة العامة</w:t>
            </w:r>
            <w:r>
              <w:rPr>
                <w:rStyle w:val="IndexLink"/>
                <w:rtl w:val="true"/>
              </w:rPr>
              <w:t>.</w:t>
              <w:tab/>
            </w:r>
            <w:r>
              <w:rPr>
                <w:rStyle w:val="IndexLink"/>
              </w:rPr>
              <w:t>430</w:t>
            </w:r>
          </w:hyperlink>
        </w:p>
        <w:p>
          <w:pPr>
            <w:pStyle w:val="Contents6"/>
            <w:tabs>
              <w:tab w:val="clear" w:pos="7609"/>
              <w:tab w:val="right" w:pos="9026" w:leader="dot"/>
            </w:tabs>
            <w:rPr/>
          </w:pPr>
          <w:hyperlink w:anchor="__RefHeading___Toc5900752_2142443653">
            <w:r>
              <w:rPr>
                <w:webHidden/>
                <w:rStyle w:val="IndexLink"/>
                <w:rtl w:val="true"/>
              </w:rPr>
              <w:t>الصنف الثاني</w:t>
            </w:r>
            <w:r>
              <w:rPr>
                <w:rStyle w:val="IndexLink"/>
                <w:rtl w:val="true"/>
              </w:rPr>
              <w:t xml:space="preserve">: </w:t>
            </w:r>
            <w:r>
              <w:rPr>
                <w:rStyle w:val="IndexLink"/>
                <w:rtl w:val="true"/>
              </w:rPr>
              <w:t>أخبار الترجيح بالشهرة</w:t>
            </w:r>
            <w:r>
              <w:rPr>
                <w:rStyle w:val="IndexLink"/>
                <w:rtl w:val="true"/>
              </w:rPr>
              <w:tab/>
            </w:r>
            <w:r>
              <w:rPr>
                <w:rStyle w:val="IndexLink"/>
              </w:rPr>
              <w:t>441</w:t>
            </w:r>
          </w:hyperlink>
        </w:p>
        <w:p>
          <w:pPr>
            <w:pStyle w:val="Contents6"/>
            <w:tabs>
              <w:tab w:val="clear" w:pos="7609"/>
              <w:tab w:val="right" w:pos="9026" w:leader="dot"/>
            </w:tabs>
            <w:rPr/>
          </w:pPr>
          <w:hyperlink w:anchor="__RefHeading___Toc5900754_2142443653">
            <w:r>
              <w:rPr>
                <w:webHidden/>
                <w:rStyle w:val="IndexLink"/>
                <w:rtl w:val="true"/>
              </w:rPr>
              <w:t>الصنف الثالث</w:t>
            </w:r>
            <w:r>
              <w:rPr>
                <w:rStyle w:val="IndexLink"/>
                <w:rtl w:val="true"/>
              </w:rPr>
              <w:t xml:space="preserve">: </w:t>
            </w:r>
            <w:r>
              <w:rPr>
                <w:rStyle w:val="IndexLink"/>
                <w:rtl w:val="true"/>
              </w:rPr>
              <w:t>أخبار الترجيح بالأحدث</w:t>
            </w:r>
            <w:r>
              <w:rPr>
                <w:rStyle w:val="IndexLink"/>
                <w:rtl w:val="true"/>
              </w:rPr>
              <w:tab/>
            </w:r>
            <w:r>
              <w:rPr>
                <w:rStyle w:val="IndexLink"/>
              </w:rPr>
              <w:t>441</w:t>
            </w:r>
          </w:hyperlink>
        </w:p>
        <w:p>
          <w:pPr>
            <w:pStyle w:val="Contents6"/>
            <w:tabs>
              <w:tab w:val="clear" w:pos="7609"/>
              <w:tab w:val="right" w:pos="9026" w:leader="dot"/>
            </w:tabs>
            <w:rPr/>
          </w:pPr>
          <w:hyperlink w:anchor="__RefHeading___Toc5900756_2142443653">
            <w:r>
              <w:rPr>
                <w:webHidden/>
                <w:rStyle w:val="IndexLink"/>
                <w:rtl w:val="true"/>
              </w:rPr>
              <w:t>اشارة</w:t>
            </w:r>
            <w:r>
              <w:rPr>
                <w:rStyle w:val="IndexLink"/>
                <w:rtl w:val="true"/>
              </w:rPr>
              <w:tab/>
            </w:r>
            <w:r>
              <w:rPr>
                <w:rStyle w:val="IndexLink"/>
              </w:rPr>
              <w:t>441</w:t>
            </w:r>
          </w:hyperlink>
        </w:p>
        <w:p>
          <w:pPr>
            <w:pStyle w:val="Contents6"/>
            <w:tabs>
              <w:tab w:val="clear" w:pos="7609"/>
              <w:tab w:val="right" w:pos="9026" w:leader="dot"/>
            </w:tabs>
            <w:rPr/>
          </w:pPr>
          <w:hyperlink w:anchor="__RefHeading___Toc5900758_2142443653">
            <w:r>
              <w:rPr>
                <w:webHidden/>
                <w:rStyle w:val="IndexLink"/>
                <w:rtl w:val="true"/>
              </w:rPr>
              <w:t>ختام</w:t>
            </w:r>
            <w:r>
              <w:rPr>
                <w:rStyle w:val="IndexLink"/>
                <w:rtl w:val="true"/>
              </w:rPr>
              <w:tab/>
            </w:r>
            <w:r>
              <w:rPr>
                <w:rStyle w:val="IndexLink"/>
              </w:rPr>
              <w:t>448</w:t>
            </w:r>
          </w:hyperlink>
        </w:p>
        <w:p>
          <w:pPr>
            <w:pStyle w:val="Contents6"/>
            <w:tabs>
              <w:tab w:val="clear" w:pos="7609"/>
              <w:tab w:val="right" w:pos="9026" w:leader="dot"/>
            </w:tabs>
            <w:rPr/>
          </w:pPr>
          <w:hyperlink w:anchor="__RefHeading___Toc5900760_2142443653">
            <w:r>
              <w:rPr>
                <w:webHidden/>
                <w:rStyle w:val="IndexLink"/>
                <w:rtl w:val="true"/>
              </w:rPr>
              <w:t>الصنف الرابع</w:t>
            </w:r>
            <w:r>
              <w:rPr>
                <w:rStyle w:val="IndexLink"/>
                <w:rtl w:val="true"/>
              </w:rPr>
              <w:t xml:space="preserve">: </w:t>
            </w:r>
            <w:r>
              <w:rPr>
                <w:rStyle w:val="IndexLink"/>
                <w:rtl w:val="true"/>
              </w:rPr>
              <w:t>الترجيح بالصفات</w:t>
            </w:r>
            <w:r>
              <w:rPr>
                <w:rStyle w:val="IndexLink"/>
                <w:rtl w:val="true"/>
              </w:rPr>
              <w:tab/>
            </w:r>
            <w:r>
              <w:rPr>
                <w:rStyle w:val="IndexLink"/>
              </w:rPr>
              <w:t>449</w:t>
            </w:r>
          </w:hyperlink>
        </w:p>
        <w:p>
          <w:pPr>
            <w:pStyle w:val="Contents6"/>
            <w:tabs>
              <w:tab w:val="clear" w:pos="7609"/>
              <w:tab w:val="right" w:pos="9026" w:leader="dot"/>
            </w:tabs>
            <w:rPr/>
          </w:pPr>
          <w:hyperlink w:anchor="__RefHeading___Toc5900762_2142443653">
            <w:r>
              <w:rPr>
                <w:webHidden/>
                <w:rStyle w:val="IndexLink"/>
                <w:rtl w:val="true"/>
              </w:rPr>
              <w:t>أمور ختامية</w:t>
            </w:r>
            <w:r>
              <w:rPr>
                <w:rStyle w:val="IndexLink"/>
                <w:rtl w:val="true"/>
              </w:rPr>
              <w:tab/>
            </w:r>
            <w:r>
              <w:rPr>
                <w:rStyle w:val="IndexLink"/>
              </w:rPr>
              <w:t>465</w:t>
            </w:r>
          </w:hyperlink>
        </w:p>
        <w:p>
          <w:pPr>
            <w:pStyle w:val="Contents6"/>
            <w:tabs>
              <w:tab w:val="clear" w:pos="7609"/>
              <w:tab w:val="right" w:pos="9026" w:leader="dot"/>
            </w:tabs>
            <w:rPr/>
          </w:pPr>
          <w:hyperlink w:anchor="__RefHeading___Toc5900764_2142443653">
            <w:r>
              <w:rPr>
                <w:webHidden/>
                <w:rStyle w:val="IndexLink"/>
                <w:rtl w:val="true"/>
              </w:rPr>
              <w:t>الطائفة الثالثة</w:t>
            </w:r>
            <w:r>
              <w:rPr>
                <w:rStyle w:val="IndexLink"/>
                <w:rtl w:val="true"/>
              </w:rPr>
              <w:t xml:space="preserve">: </w:t>
            </w:r>
            <w:r>
              <w:rPr>
                <w:rStyle w:val="IndexLink"/>
                <w:rtl w:val="true"/>
              </w:rPr>
              <w:t>أخبار التوقف والإرجاء</w:t>
            </w:r>
            <w:r>
              <w:rPr>
                <w:rStyle w:val="IndexLink"/>
                <w:rtl w:val="true"/>
              </w:rPr>
              <w:tab/>
            </w:r>
            <w:r>
              <w:rPr>
                <w:rStyle w:val="IndexLink"/>
              </w:rPr>
              <w:t>471</w:t>
            </w:r>
          </w:hyperlink>
        </w:p>
        <w:p>
          <w:pPr>
            <w:pStyle w:val="Contents6"/>
            <w:tabs>
              <w:tab w:val="clear" w:pos="7609"/>
              <w:tab w:val="right" w:pos="9026" w:leader="dot"/>
            </w:tabs>
            <w:rPr/>
          </w:pPr>
          <w:hyperlink w:anchor="__RefHeading___Toc5900766_2142443653">
            <w:r>
              <w:rPr>
                <w:webHidden/>
                <w:rStyle w:val="IndexLink"/>
                <w:rtl w:val="true"/>
              </w:rPr>
              <w:t>اشارة</w:t>
            </w:r>
            <w:r>
              <w:rPr>
                <w:rStyle w:val="IndexLink"/>
                <w:rtl w:val="true"/>
              </w:rPr>
              <w:tab/>
            </w:r>
            <w:r>
              <w:rPr>
                <w:rStyle w:val="IndexLink"/>
              </w:rPr>
              <w:t>471</w:t>
            </w:r>
          </w:hyperlink>
        </w:p>
        <w:p>
          <w:pPr>
            <w:pStyle w:val="Contents6"/>
            <w:tabs>
              <w:tab w:val="clear" w:pos="7609"/>
              <w:tab w:val="right" w:pos="9026" w:leader="dot"/>
            </w:tabs>
            <w:rPr/>
          </w:pPr>
          <w:hyperlink w:anchor="__RefHeading___Toc5900768_2142443653">
            <w:r>
              <w:rPr>
                <w:webHidden/>
                <w:rStyle w:val="IndexLink"/>
                <w:rtl w:val="true"/>
              </w:rPr>
              <w:t>الصنف الأول</w:t>
            </w:r>
            <w:r>
              <w:rPr>
                <w:rStyle w:val="IndexLink"/>
                <w:rtl w:val="true"/>
              </w:rPr>
              <w:t xml:space="preserve">: </w:t>
            </w:r>
            <w:r>
              <w:rPr>
                <w:rStyle w:val="IndexLink"/>
                <w:rtl w:val="true"/>
              </w:rPr>
              <w:t>ما ورد بلسان الأمر بالردّ إلى الأئمة علیهم السلام</w:t>
            </w:r>
            <w:r>
              <w:rPr>
                <w:rStyle w:val="IndexLink"/>
                <w:rtl w:val="true"/>
              </w:rPr>
              <w:tab/>
            </w:r>
            <w:r>
              <w:rPr>
                <w:rStyle w:val="IndexLink"/>
              </w:rPr>
              <w:t>471</w:t>
            </w:r>
          </w:hyperlink>
        </w:p>
        <w:p>
          <w:pPr>
            <w:pStyle w:val="Contents6"/>
            <w:tabs>
              <w:tab w:val="clear" w:pos="7609"/>
              <w:tab w:val="right" w:pos="9026" w:leader="dot"/>
            </w:tabs>
            <w:rPr/>
          </w:pPr>
          <w:hyperlink w:anchor="__RefHeading___Toc5900770_2142443653">
            <w:r>
              <w:rPr>
                <w:webHidden/>
                <w:rStyle w:val="IndexLink"/>
                <w:rtl w:val="true"/>
              </w:rPr>
              <w:t>الصنف الثاني</w:t>
            </w:r>
            <w:r>
              <w:rPr>
                <w:rStyle w:val="IndexLink"/>
                <w:rtl w:val="true"/>
              </w:rPr>
              <w:t xml:space="preserve">: </w:t>
            </w:r>
            <w:r>
              <w:rPr>
                <w:rStyle w:val="IndexLink"/>
                <w:rtl w:val="true"/>
              </w:rPr>
              <w:t>جملة من الأخبار التي وردت بلسان الأمر بالوقوف عند الشبهة</w:t>
            </w:r>
            <w:r>
              <w:rPr>
                <w:rStyle w:val="IndexLink"/>
                <w:rtl w:val="true"/>
              </w:rPr>
              <w:tab/>
            </w:r>
            <w:r>
              <w:rPr>
                <w:rStyle w:val="IndexLink"/>
              </w:rPr>
              <w:t>473</w:t>
            </w:r>
          </w:hyperlink>
        </w:p>
        <w:p>
          <w:pPr>
            <w:pStyle w:val="Contents6"/>
            <w:tabs>
              <w:tab w:val="clear" w:pos="7609"/>
              <w:tab w:val="right" w:pos="9026" w:leader="dot"/>
            </w:tabs>
            <w:rPr/>
          </w:pPr>
          <w:hyperlink w:anchor="__RefHeading___Toc5900772_2142443653">
            <w:r>
              <w:rPr>
                <w:webHidden/>
                <w:rStyle w:val="IndexLink"/>
                <w:rtl w:val="true"/>
              </w:rPr>
              <w:t>خاتمة؛ وفيها تنبيهات</w:t>
            </w:r>
            <w:r>
              <w:rPr>
                <w:rStyle w:val="IndexLink"/>
                <w:rtl w:val="true"/>
              </w:rPr>
              <w:tab/>
            </w:r>
            <w:r>
              <w:rPr>
                <w:rStyle w:val="IndexLink"/>
              </w:rPr>
              <w:t>475</w:t>
            </w:r>
          </w:hyperlink>
        </w:p>
        <w:p>
          <w:pPr>
            <w:pStyle w:val="Contents6"/>
            <w:tabs>
              <w:tab w:val="clear" w:pos="7609"/>
              <w:tab w:val="right" w:pos="9026" w:leader="dot"/>
            </w:tabs>
            <w:rPr/>
          </w:pPr>
          <w:hyperlink w:anchor="__RefHeading___Toc5900774_2142443653">
            <w:r>
              <w:rPr>
                <w:webHidden/>
                <w:rStyle w:val="IndexLink"/>
                <w:rtl w:val="true"/>
              </w:rPr>
              <w:t>التنبيه الأول</w:t>
            </w:r>
            <w:r>
              <w:rPr>
                <w:rStyle w:val="IndexLink"/>
                <w:rtl w:val="true"/>
              </w:rPr>
              <w:t xml:space="preserve">: </w:t>
            </w:r>
            <w:r>
              <w:rPr>
                <w:rStyle w:val="IndexLink"/>
                <w:rtl w:val="true"/>
              </w:rPr>
              <w:t>التعدّي في المزايا المنصوصة</w:t>
            </w:r>
            <w:r>
              <w:rPr>
                <w:rStyle w:val="IndexLink"/>
                <w:rtl w:val="true"/>
              </w:rPr>
              <w:tab/>
            </w:r>
            <w:r>
              <w:rPr>
                <w:rStyle w:val="IndexLink"/>
              </w:rPr>
              <w:t>475</w:t>
            </w:r>
          </w:hyperlink>
        </w:p>
        <w:p>
          <w:pPr>
            <w:pStyle w:val="Contents6"/>
            <w:tabs>
              <w:tab w:val="clear" w:pos="7609"/>
              <w:tab w:val="right" w:pos="9026" w:leader="dot"/>
            </w:tabs>
            <w:rPr/>
          </w:pPr>
          <w:hyperlink w:anchor="__RefHeading___Toc5900776_2142443653">
            <w:r>
              <w:rPr>
                <w:webHidden/>
                <w:rStyle w:val="IndexLink"/>
                <w:rtl w:val="true"/>
              </w:rPr>
              <w:t>التنبيه الثاني</w:t>
            </w:r>
            <w:r>
              <w:rPr>
                <w:rStyle w:val="IndexLink"/>
                <w:rtl w:val="true"/>
              </w:rPr>
              <w:t xml:space="preserve">: </w:t>
            </w:r>
            <w:r>
              <w:rPr>
                <w:rStyle w:val="IndexLink"/>
                <w:rtl w:val="true"/>
              </w:rPr>
              <w:t>في بيان حكم المتعارضين بعد التكافؤ</w:t>
            </w:r>
            <w:r>
              <w:rPr>
                <w:rStyle w:val="IndexLink"/>
                <w:rtl w:val="true"/>
              </w:rPr>
              <w:tab/>
            </w:r>
            <w:r>
              <w:rPr>
                <w:rStyle w:val="IndexLink"/>
              </w:rPr>
              <w:t>483</w:t>
            </w:r>
          </w:hyperlink>
        </w:p>
        <w:p>
          <w:pPr>
            <w:pStyle w:val="Contents6"/>
            <w:tabs>
              <w:tab w:val="clear" w:pos="7609"/>
              <w:tab w:val="right" w:pos="9026" w:leader="dot"/>
            </w:tabs>
            <w:rPr/>
          </w:pPr>
          <w:hyperlink w:anchor="__RefHeading___Toc5900778_2142443653">
            <w:r>
              <w:rPr>
                <w:webHidden/>
                <w:rStyle w:val="IndexLink"/>
                <w:rtl w:val="true"/>
              </w:rPr>
              <w:t>التنبيه الثالث</w:t>
            </w:r>
            <w:r>
              <w:rPr>
                <w:rStyle w:val="IndexLink"/>
                <w:rtl w:val="true"/>
              </w:rPr>
              <w:t xml:space="preserve">: </w:t>
            </w:r>
            <w:r>
              <w:rPr>
                <w:rStyle w:val="IndexLink"/>
                <w:rtl w:val="true"/>
              </w:rPr>
              <w:t>في شمول أخبار العلاج لموارد الجمع العرفي</w:t>
            </w:r>
            <w:r>
              <w:rPr>
                <w:rStyle w:val="IndexLink"/>
                <w:rtl w:val="true"/>
              </w:rPr>
              <w:tab/>
            </w:r>
            <w:r>
              <w:rPr>
                <w:rStyle w:val="IndexLink"/>
              </w:rPr>
              <w:t>489</w:t>
            </w:r>
          </w:hyperlink>
        </w:p>
        <w:p>
          <w:pPr>
            <w:pStyle w:val="Contents6"/>
            <w:tabs>
              <w:tab w:val="clear" w:pos="7609"/>
              <w:tab w:val="right" w:pos="9026" w:leader="dot"/>
            </w:tabs>
            <w:rPr/>
          </w:pPr>
          <w:hyperlink w:anchor="__RefHeading___Toc5900780_2142443653">
            <w:r>
              <w:rPr>
                <w:webHidden/>
                <w:rStyle w:val="IndexLink"/>
                <w:rtl w:val="true"/>
              </w:rPr>
              <w:t>التنبيه الرابع</w:t>
            </w:r>
            <w:r>
              <w:rPr>
                <w:rStyle w:val="IndexLink"/>
                <w:rtl w:val="true"/>
              </w:rPr>
              <w:t xml:space="preserve">: </w:t>
            </w:r>
            <w:r>
              <w:rPr>
                <w:rStyle w:val="IndexLink"/>
                <w:rtl w:val="true"/>
              </w:rPr>
              <w:t>في شمول أخبار العلاج لموارد التعارض بالعموم من وجه</w:t>
            </w:r>
            <w:r>
              <w:rPr>
                <w:rStyle w:val="IndexLink"/>
                <w:rtl w:val="true"/>
              </w:rPr>
              <w:tab/>
            </w:r>
            <w:r>
              <w:rPr>
                <w:rStyle w:val="IndexLink"/>
              </w:rPr>
              <w:t>490</w:t>
            </w:r>
          </w:hyperlink>
        </w:p>
        <w:p>
          <w:pPr>
            <w:pStyle w:val="Contents6"/>
            <w:tabs>
              <w:tab w:val="clear" w:pos="7609"/>
              <w:tab w:val="right" w:pos="9026" w:leader="dot"/>
            </w:tabs>
            <w:rPr/>
          </w:pPr>
          <w:hyperlink w:anchor="__RefHeading___Toc5900782_2142443653">
            <w:r>
              <w:rPr>
                <w:webHidden/>
                <w:rStyle w:val="IndexLink"/>
                <w:rtl w:val="true"/>
              </w:rPr>
              <w:t>التنبيه الخامس</w:t>
            </w:r>
            <w:r>
              <w:rPr>
                <w:rStyle w:val="IndexLink"/>
                <w:rtl w:val="true"/>
              </w:rPr>
              <w:t xml:space="preserve">: </w:t>
            </w:r>
            <w:r>
              <w:rPr>
                <w:rStyle w:val="IndexLink"/>
                <w:rtl w:val="true"/>
              </w:rPr>
              <w:t>تقدّم الترجيح بالمرجّحات السندية على المرجّح الجهتي</w:t>
            </w:r>
            <w:r>
              <w:rPr>
                <w:rStyle w:val="IndexLink"/>
                <w:rtl w:val="true"/>
              </w:rPr>
              <w:tab/>
            </w:r>
            <w:r>
              <w:rPr>
                <w:rStyle w:val="IndexLink"/>
              </w:rPr>
              <w:t>494</w:t>
            </w:r>
          </w:hyperlink>
        </w:p>
        <w:p>
          <w:pPr>
            <w:pStyle w:val="Contents6"/>
            <w:tabs>
              <w:tab w:val="clear" w:pos="7609"/>
              <w:tab w:val="right" w:pos="9026" w:leader="dot"/>
            </w:tabs>
            <w:rPr/>
          </w:pPr>
          <w:hyperlink w:anchor="__RefHeading___Toc5900784_2142443653">
            <w:r>
              <w:rPr>
                <w:webHidden/>
                <w:rStyle w:val="IndexLink"/>
                <w:rtl w:val="true"/>
              </w:rPr>
              <w:t>التنبيه السادس</w:t>
            </w:r>
            <w:r>
              <w:rPr>
                <w:rStyle w:val="IndexLink"/>
                <w:rtl w:val="true"/>
              </w:rPr>
              <w:t xml:space="preserve">: </w:t>
            </w:r>
            <w:r>
              <w:rPr>
                <w:rStyle w:val="IndexLink"/>
                <w:rtl w:val="true"/>
              </w:rPr>
              <w:t>تعارض أخبار الطرح وأخبار العلاج</w:t>
            </w:r>
            <w:r>
              <w:rPr>
                <w:rStyle w:val="IndexLink"/>
                <w:rtl w:val="true"/>
              </w:rPr>
              <w:tab/>
            </w:r>
            <w:r>
              <w:rPr>
                <w:rStyle w:val="IndexLink"/>
              </w:rPr>
              <w:t>498</w:t>
            </w:r>
          </w:hyperlink>
        </w:p>
        <w:p>
          <w:pPr>
            <w:pStyle w:val="Contents6"/>
            <w:tabs>
              <w:tab w:val="clear" w:pos="7609"/>
              <w:tab w:val="right" w:pos="9026" w:leader="dot"/>
            </w:tabs>
            <w:rPr/>
          </w:pPr>
          <w:hyperlink w:anchor="__RefHeading___Toc5900786_2142443653">
            <w:r>
              <w:rPr>
                <w:webHidden/>
                <w:rStyle w:val="IndexLink"/>
                <w:rtl w:val="true"/>
              </w:rPr>
              <w:t>التنبيه السابع</w:t>
            </w:r>
            <w:r>
              <w:rPr>
                <w:rStyle w:val="IndexLink"/>
                <w:rtl w:val="true"/>
              </w:rPr>
              <w:t xml:space="preserve">: </w:t>
            </w:r>
            <w:r>
              <w:rPr>
                <w:rStyle w:val="IndexLink"/>
                <w:rtl w:val="true"/>
              </w:rPr>
              <w:t>في تخريج الترجيحات</w:t>
            </w:r>
            <w:r>
              <w:rPr>
                <w:rStyle w:val="IndexLink"/>
                <w:rtl w:val="true"/>
              </w:rPr>
              <w:tab/>
            </w:r>
            <w:r>
              <w:rPr>
                <w:rStyle w:val="IndexLink"/>
              </w:rPr>
              <w:t>499</w:t>
            </w:r>
          </w:hyperlink>
        </w:p>
        <w:p>
          <w:pPr>
            <w:pStyle w:val="Contents6"/>
            <w:tabs>
              <w:tab w:val="clear" w:pos="7609"/>
              <w:tab w:val="right" w:pos="9026" w:leader="dot"/>
            </w:tabs>
            <w:rPr/>
          </w:pPr>
          <w:hyperlink w:anchor="__RefHeading___Toc5900788_2142443653">
            <w:r>
              <w:rPr>
                <w:webHidden/>
                <w:rStyle w:val="IndexLink"/>
                <w:rtl w:val="true"/>
              </w:rPr>
              <w:t>أسس وقواعد علم الرجال</w:t>
            </w:r>
            <w:r>
              <w:rPr>
                <w:rStyle w:val="IndexLink"/>
                <w:rtl w:val="true"/>
              </w:rPr>
              <w:tab/>
            </w:r>
            <w:r>
              <w:rPr>
                <w:rStyle w:val="IndexLink"/>
              </w:rPr>
              <w:t>503</w:t>
            </w:r>
          </w:hyperlink>
        </w:p>
        <w:p>
          <w:pPr>
            <w:pStyle w:val="Contents2"/>
            <w:tabs>
              <w:tab w:val="clear" w:pos="8743"/>
              <w:tab w:val="right" w:pos="9026" w:leader="dot"/>
            </w:tabs>
            <w:rPr/>
          </w:pPr>
          <w:hyperlink w:anchor="__RefHeading___Toc5900790_2142443653">
            <w:r>
              <w:rPr>
                <w:webHidden/>
                <w:rStyle w:val="IndexLink"/>
                <w:rtl w:val="true"/>
              </w:rPr>
              <w:t>المصادر والمراجع</w:t>
            </w:r>
            <w:r>
              <w:rPr>
                <w:rStyle w:val="IndexLink"/>
                <w:rtl w:val="true"/>
              </w:rPr>
              <w:tab/>
            </w:r>
            <w:r>
              <w:rPr>
                <w:rStyle w:val="IndexLink"/>
              </w:rPr>
              <w:t>519</w:t>
            </w:r>
          </w:hyperlink>
        </w:p>
        <w:p>
          <w:pPr>
            <w:pStyle w:val="Contents2"/>
            <w:tabs>
              <w:tab w:val="clear" w:pos="8743"/>
              <w:tab w:val="right" w:pos="9026" w:leader="dot"/>
            </w:tabs>
            <w:rPr/>
          </w:pPr>
          <w:hyperlink w:anchor="__RefHeading___Toc5900792_2142443653">
            <w:r>
              <w:rPr>
                <w:webHidden/>
                <w:rStyle w:val="IndexLink"/>
                <w:rtl w:val="true"/>
              </w:rPr>
              <w:t>الفهرست</w:t>
            </w:r>
            <w:r>
              <w:rPr>
                <w:rStyle w:val="IndexLink"/>
                <w:rtl w:val="true"/>
              </w:rPr>
              <w:tab/>
            </w:r>
            <w:r>
              <w:rPr>
                <w:rStyle w:val="IndexLink"/>
              </w:rPr>
              <w:t>537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367_180540"/>
      <w:bookmarkStart w:id="1" w:name="pg15367_180540"/>
      <w:bookmarkEnd w:id="1"/>
    </w:p>
    <w:p>
      <w:pPr>
        <w:pStyle w:val="Heading2"/>
        <w:numPr>
          <w:ilvl w:val="1"/>
          <w:numId w:val="1"/>
        </w:numPr>
        <w:rPr/>
      </w:pPr>
      <w:bookmarkStart w:id="2" w:name="pg15367_180540"/>
      <w:bookmarkStart w:id="3" w:name="__RefHeading___Toc5900472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900474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علي الموسوي السبزواري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منشورات مكتبة السيد السبزواري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التاريخ</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الحقوق محفوظة للناشر </w:t>
      </w:r>
    </w:p>
    <w:p>
      <w:pPr>
        <w:pStyle w:val="BookText"/>
        <w:rPr/>
      </w:pPr>
      <w:r>
        <w:rPr>
          <w:rFonts w:ascii="Amiri" w:hAnsi="Amiri" w:eastAsia="Amiri" w:cs="Amiri"/>
          <w:color w:val="111111"/>
          <w:sz w:val="28"/>
          <w:sz w:val="28"/>
          <w:szCs w:val="28"/>
          <w:rtl w:val="true"/>
          <w:lang w:bidi="ar-SA"/>
        </w:rPr>
        <w:t>تَقْرِيبُ</w:t>
      </w:r>
    </w:p>
    <w:p>
      <w:pPr>
        <w:pStyle w:val="BookText"/>
        <w:rPr/>
      </w:pPr>
      <w:r>
        <w:rPr>
          <w:rFonts w:ascii="Amiri" w:hAnsi="Amiri" w:eastAsia="Amiri" w:cs="Amiri"/>
          <w:color w:val="111111"/>
          <w:sz w:val="28"/>
          <w:sz w:val="28"/>
          <w:szCs w:val="28"/>
          <w:rtl w:val="true"/>
          <w:lang w:bidi="ar-SA"/>
        </w:rPr>
        <w:t>تَهْذِيبِ الأُصُول</w:t>
      </w:r>
    </w:p>
    <w:p>
      <w:pPr>
        <w:pStyle w:val="BookText"/>
        <w:rPr/>
      </w:pPr>
      <w:r>
        <w:rPr>
          <w:rFonts w:ascii="IRNazanin" w:hAnsi="IRNazanin" w:eastAsia="IRNazanin"/>
          <w:color w:val="111111"/>
          <w:sz w:val="28"/>
          <w:sz w:val="28"/>
          <w:szCs w:val="28"/>
          <w:rtl w:val="true"/>
          <w:lang w:bidi="fa-IR"/>
        </w:rPr>
        <w:t>الجزء السابع</w:t>
      </w:r>
    </w:p>
    <w:p>
      <w:pPr>
        <w:pStyle w:val="BookText"/>
        <w:rPr/>
      </w:pPr>
      <w:r>
        <w:rPr>
          <w:rFonts w:ascii="Amiri" w:hAnsi="Amiri" w:eastAsia="Amiri" w:cs="Amiri"/>
          <w:color w:val="111111"/>
          <w:sz w:val="28"/>
          <w:sz w:val="28"/>
          <w:szCs w:val="28"/>
          <w:rtl w:val="true"/>
          <w:lang w:bidi="ar-SA"/>
        </w:rPr>
        <w:t>آية الله السيد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 الموسوي السبزواري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يَخْفى أنَّ الأُصولَ مُقدمَّةٌ وَآلةٌ لِلْتَعرُّفِ على الفِقهِ؛ وَلَيسَ هُوَ مَطلُوباً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البَحْثُ فِيهِ بِقَدَرِ الإحْتياجِ إِلَيهِ فِي ذِي المُقدِّمَة؛ لا زائِدَاً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كَيْفيَّة الإِسْتِدلالِ فِيهِ مِثلها فِي الفِقه فِي مُراعاةِ 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أَقْرَبُ إلى الأَذْهانِ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لابْتِناءِ الكِتابِ وَالسُنَّةِ اللَّذَينِ هُما أَساس الفِقْهِ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فَالأُصُولُ مِنْ شُؤُونِ الفِقْهِ؛ لا بُدَّ أَنْ يُلْحَظَ فِيهِ خُصُوصيّاته مِنْ كُلِّ جِهَةٍ</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فَقِيهُ عَصْرِهِ وَفَرِيدُ دَهْرِهِ</w:t>
      </w:r>
    </w:p>
    <w:p>
      <w:pPr>
        <w:pStyle w:val="BookText"/>
        <w:rPr/>
      </w:pPr>
      <w:r>
        <w:rPr>
          <w:rFonts w:ascii="Amiri" w:hAnsi="Amiri" w:eastAsia="Amiri" w:cs="Amiri"/>
          <w:color w:val="111111"/>
          <w:sz w:val="28"/>
          <w:sz w:val="28"/>
          <w:szCs w:val="28"/>
          <w:rtl w:val="true"/>
          <w:lang w:bidi="ar-SA"/>
        </w:rPr>
        <w:t>آيَةُ الله العُظْمى</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عَبْدُ الأَعْلى المُوسَويُّ السَّبْزَوارِيُّ قدس سره </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5367_180551"/>
      <w:bookmarkStart w:id="8" w:name="pg15367_180551"/>
      <w:bookmarkEnd w:id="8"/>
    </w:p>
    <w:p>
      <w:pPr>
        <w:pStyle w:val="Heading2"/>
        <w:numPr>
          <w:ilvl w:val="1"/>
          <w:numId w:val="1"/>
        </w:numPr>
        <w:rPr/>
      </w:pPr>
      <w:bookmarkStart w:id="9" w:name="pg15367_180551"/>
      <w:bookmarkStart w:id="10" w:name="__RefHeading___Toc5900476_2142443653"/>
      <w:bookmarkStart w:id="11" w:name="_Toc3"/>
      <w:bookmarkEnd w:id="9"/>
      <w:bookmarkEnd w:id="10"/>
      <w:r>
        <w:rPr>
          <w:rtl w:val="true"/>
        </w:rPr>
        <w:t>خاتمة في النسبة بين الأمارات والأصول ونسبة الأصول بعضها مع بعض</w:t>
      </w:r>
      <w:bookmarkEnd w:id="11"/>
    </w:p>
    <w:p>
      <w:pPr>
        <w:pStyle w:val="Heading3"/>
        <w:numPr>
          <w:ilvl w:val="2"/>
          <w:numId w:val="1"/>
        </w:numPr>
        <w:rPr/>
      </w:pPr>
      <w:bookmarkStart w:id="12" w:name="__RefHeading___Toc5900478_2142443653"/>
      <w:bookmarkStart w:id="13" w:name="_Toc4"/>
      <w:bookmarkEnd w:id="12"/>
      <w:r>
        <w:rPr>
          <w:rtl w:val="true"/>
        </w:rPr>
        <w:t>تمهيد</w:t>
      </w:r>
      <w:bookmarkEnd w:id="13"/>
    </w:p>
    <w:p>
      <w:pPr>
        <w:pStyle w:val="BookText"/>
        <w:rPr/>
      </w:pPr>
      <w:r>
        <w:rPr>
          <w:rFonts w:ascii="Amiri" w:hAnsi="Amiri" w:eastAsia="Amiri" w:cs="Amiri"/>
          <w:color w:val="111111"/>
          <w:sz w:val="28"/>
          <w:sz w:val="28"/>
          <w:szCs w:val="28"/>
          <w:rtl w:val="true"/>
          <w:lang w:bidi="ar-SA"/>
        </w:rPr>
        <w:t>لا ريب في تقدم الأمارات على الأصول العملية، كما لا إشكال في تقدّم بعض الأصول العملية على بعضها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يقع في وجه هذا التقدم والنظريات المذكورة فيه والملاكات فيها؛ إذ التقدم يكون على أنحاء خمسة وهي؛ التخصص والتخصيص والجمع العرفي والورود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ذكرت هذه الأنحاء في عدة مواضع من البحوث الأصولية إلا أنَّهم ذكروها في بحث التعارض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في المقام يقع في تقدّم الأمارات على الأصول العملية؛ ومجمل الكلام في التقدم وملاكه والنكات المذكورة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البداية نبيّن الملاكات في تقديم أحد الدليلين على الآخر،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أحد الدليلين لموضوع الآخر تكويناً وذاتياً فيخرج الفرد عن الموضوع العام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الدليلين لحكم الآخر فيكون خروج الفرد عن الموضوع العام حكماً لا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الحكم في العام يشمل الجميع فيخرج بعض الأفراد عن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نسبة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الجمع بين الدليلين بما يقتضيه الطبع السليم ويرتضيه الذوق المستقيم ولا تضبطه ضابطة كلية، بل يختلف باختلاف الموارد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رفع أحد الدليلين لموضوع الآخر حقيقة بواسطة التعبد الشرعي، فهو يشترك مع التخصص في هذه النكتة وهي الخروج الحقيقي؛ ولكنه يختلف في أنّ الخروج في التخصص ذاتي تكويني وفي الورود حقيقي تعبدي كما في نسبة الدليل الإجتهادي إلى قاعدة قبح العقاب بلا بيان العقلية، فإنَّه بقيام الدليل في المورد يرتفع موضوع القاعدة لأنَّه بيان جزماً، ولكنه من قبل الشارع وجعل منه؛ إذ لولاه لما كان بيان 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المعاني الثلاثة التي ذكرناها في الجملة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للمحقق الخراساني قدس سره في الورود معنى آخر كما يظهر من كفايته، ثم إنَّ الورود له أقسام خمسة، لأنَّ الدليل الوارد تارةً؛ يرفع موضوع الآخر بالجعل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يرفعه بفعلية مجعولة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وصوله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ورابعةً؛ بتنجزه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وخامسةً؛ بامتثاله؛ والكلام في هذه الأقسام يأتي في بحث التعارض</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والمهم في المقام هو تقسيم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الورود تارةً؛ يكون فيه رفع موضوع الآخر بلسان الإخبار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أخبر بأنَّ زيداً ليس بعالم وهذا ما يسمى بالتخصص أيضاً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بلسان الإنشاء والتعبد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تقدم الأدلة الإجتهادية التي تدلّ على الإلزام وجوباً أو حرمةً بالنسبة إلى قاعدة قبح العقاب بلا بيان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 لم تقم حجة على الإلزام فإنَّ المكلف في سعة منه والبراءة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الورود بالمعنى الأخص؛ وهذا أيضاً تارةً؛ بحسب الطبع اللغوي العام يقتضي تضييق دائرة الدليل المورود بالوارد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بالكناية على نحو الإدعاء السكاكي؛ بأنْ يجري المتكلم في كلامه على ادعاءات السكّاكي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الفاسق 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النوع قد اعتبره المحقق النائيني من الحكومة وهو اصطلاح منه ولا مشاحة في الإصطلاح كما 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النكتة هو التقدم ورفع الموضوع حقيقةً على نحو ادعاء السكّاكي في لسان الشارع في الألفاظ</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وفيها يكون أحد الدليلين ناظراً إلى الدليل الآخر نظر كشف وتفسير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الملاك والنكتة فيها القرينة بمعنى كشف المراد من أحد الدليلين وتفسيره بالدليل الآخر؛ ويسمى الكاشف الدليل الحاكم، والآخر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تقدم القرينة على ذيها ولا حاجة إلى إقامة البرهان على ذلك لأنَّه من القضايا التي قياساتها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في القرينة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الشخصية</w:t>
      </w:r>
    </w:p>
    <w:p>
      <w:pPr>
        <w:pStyle w:val="BookText"/>
        <w:rPr/>
      </w:pPr>
      <w:r>
        <w:rPr>
          <w:rFonts w:ascii="Amiri" w:hAnsi="Amiri" w:eastAsia="Amiri" w:cs="Amiri"/>
          <w:color w:val="111111"/>
          <w:sz w:val="28"/>
          <w:sz w:val="28"/>
          <w:szCs w:val="28"/>
          <w:rtl w:val="true"/>
          <w:lang w:bidi="ar-SA"/>
        </w:rPr>
        <w:t>وذلك بأنْ يعد المتكلم كلامه على التفسير والشرح؛ والحكومة على هذا النحو تكون بالأشكال التالية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الكلام بلسان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تضمن كلامه على حروف التفسير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واشتمل كلامه على هذا المعنى كما في قوله تعالى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 أُمُّ ألْکِتابِ</w:t>
      </w:r>
      <w:r>
        <w:rPr>
          <w:rFonts w:eastAsia="IRNazanin" w:cs="IRNazanin"/>
          <w:color w:val="111111"/>
          <w:sz w:val="28"/>
          <w:szCs w:val="28"/>
          <w:rtl w:val="true"/>
          <w:lang w:bidi="fa-IR"/>
        </w:rPr>
        <w:t>)</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أنَّهن المرجع في تفسير المتشابهات؛ وتسمى بالحكومة التفسيرية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الكلام بلسان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5"/>
      </w:r>
      <w:r>
        <w:rPr>
          <w:rFonts w:ascii="Amiri" w:hAnsi="Amiri" w:eastAsia="Amiri" w:cs="Amiri"/>
          <w:color w:val="111111"/>
          <w:sz w:val="28"/>
          <w:sz w:val="28"/>
          <w:szCs w:val="28"/>
          <w:rtl w:val="true"/>
          <w:lang w:bidi="ar-SA"/>
        </w:rPr>
        <w:t>، أي أنَّه منزل منزلة الصلاة فيكون ناظراً إلى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 هذه بالحكومة التنزيلية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مضمون أحد الدليلين ناظراً إلى مفاد الدليل الآخر بحسب مناسبات الحكم والموضوع المكتنفة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اصطلح عليه بعض المعاصرين بالحكومة المضمونية</w:t>
      </w:r>
      <w:r>
        <w:rPr>
          <w:rStyle w:val="FootnoteAnchor"/>
          <w:rtl w:val="true"/>
        </w:rPr>
        <w:footnoteReference w:id="6"/>
      </w:r>
      <w:r>
        <w:rPr>
          <w:rFonts w:ascii="Amiri" w:hAnsi="Amiri" w:eastAsia="Amiri" w:cs="Amiri"/>
          <w:color w:val="111111"/>
          <w:sz w:val="28"/>
          <w:sz w:val="28"/>
          <w:szCs w:val="28"/>
          <w:rtl w:val="true"/>
          <w:lang w:bidi="ar-SA"/>
        </w:rPr>
        <w:t>كما في أدلة نفي العسر والحرج ولا ضرر بالنسبة لأدلة سائر الأحكام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هذا القسم؛ هل أنَّ الدليل الحاكم ينافي ويعارض حقيقةً الدليل المحكوم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إلى الأول بعض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 تصرف في المضمون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الحاكم إمّا ينظر إلى عقد موضوع دليل محكوم لنفيه وإثباته تعبداً بإثبات الحكم على تقدير تحقق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يكون منافياً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الأمر عرفي أكثر من كونه دقياً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يرى أنَّ في الحكومة نظر الشرح والتفسير بأيِّ أسلوب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النظر لا يتأتى فيه المعارضة والمنافاة حقيقةً وإنْ كان في النظر البدوي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الإختلاف بينهم نشأ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إختلفت الحكومة عن الورود والتخصص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تتمة الكلام في التعارض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العامة النوعية</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 يكون تفسير أحد الدليلين للآخر على أساس أسلوب عرفي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تخصيص العام بالخاص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المتكلم اعتمد على ذلك من دون أنْ يجعل قرينة معدة في كلامه كما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يكشف أنَّه اعتمد على الكاشف النوعي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الأصوليين أنَّ الحكومة تبتني على القرينة الشخصية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الذي يعتمد على القرينة النوعية فهو جمع 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الظاهر أنَّه لما كان الملاك في تقديم الخاص على العام والجمع العرفي والحكومة هو أمر واحد وهو تقدم القرينة على ذي القرينة فلا تفترق من هذه الناحية؛ سواء كانت القرينة شخصية أم 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الخاص والعام يعتمد على الكشف النوعي دون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يغير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يقال من أنَّ التفسير الشخصي أقرب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الحكومة أقوى من التخصيص وسائر وجوه الجمع العرفي ومقدمة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وإنْ كان صحيحاً في الجملة لكن لا كلية فيه؛ إذ ربما يكون الكاشف </w:t>
      </w:r>
      <w:bookmarkStart w:id="14" w:name="pg15367_180558"/>
    </w:p>
    <w:p>
      <w:pPr>
        <w:pStyle w:val="BookText"/>
        <w:rPr/>
      </w:pPr>
      <w:bookmarkEnd w:id="14"/>
      <w:r>
        <w:rPr>
          <w:rFonts w:ascii="Amiri" w:hAnsi="Amiri" w:eastAsia="Amiri" w:cs="Amiri"/>
          <w:color w:val="111111"/>
          <w:sz w:val="28"/>
          <w:sz w:val="28"/>
          <w:szCs w:val="28"/>
          <w:rtl w:val="true"/>
          <w:lang w:bidi="ar-SA"/>
        </w:rPr>
        <w:t>النوعي الذي يعتمد عليه العرف في محاوراتهم أقوى وأقرب إلى المقصود؛ سواء كانت القرينة النوعية في المدلول التصوري للكلام أو المدلول التصديقي أو المدلول الإستعمالي فيما إذا حكم العرف العام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المهم في المقام معرفة الملاك والنكتة في تقديم أحد الدليلين على الآخر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هذا التقسيم مجرد اصطلاح لا ثمرة فيه 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البحث يقع في مقامين؛ الأول؛ في تقدم الأمارات على الأصول، والثاني؛ في تقدم بعض الأصول على بعضها</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5900480_2142443653"/>
      <w:bookmarkStart w:id="16" w:name="_Toc5"/>
      <w:bookmarkEnd w:id="15"/>
      <w:r>
        <w:rPr>
          <w:rtl w:val="true"/>
        </w:rPr>
        <w:t>المقام الأول</w:t>
      </w:r>
      <w:r>
        <w:rPr>
          <w:rtl w:val="true"/>
        </w:rPr>
        <w:t xml:space="preserve">: </w:t>
      </w:r>
      <w:r>
        <w:rPr>
          <w:rtl w:val="true"/>
        </w:rPr>
        <w:t>تقدم الأمارات على الأصول</w:t>
      </w:r>
      <w:bookmarkEnd w:id="16"/>
    </w:p>
    <w:p>
      <w:pPr>
        <w:pStyle w:val="Heading4"/>
        <w:numPr>
          <w:ilvl w:val="3"/>
          <w:numId w:val="1"/>
        </w:numPr>
        <w:rPr/>
      </w:pPr>
      <w:bookmarkStart w:id="17" w:name="__RefHeading___Toc5900482_2142443653"/>
      <w:bookmarkStart w:id="18" w:name="_Toc6"/>
      <w:bookmarkEnd w:id="17"/>
      <w:r>
        <w:rPr>
          <w:rtl w:val="true"/>
        </w:rPr>
        <w:t>اشارة</w:t>
      </w:r>
      <w:bookmarkEnd w:id="18"/>
    </w:p>
    <w:p>
      <w:pPr>
        <w:pStyle w:val="BookText"/>
        <w:rPr/>
      </w:pPr>
      <w:r>
        <w:rPr>
          <w:rFonts w:ascii="Amiri" w:hAnsi="Amiri" w:eastAsia="Amiri" w:cs="Amiri"/>
          <w:color w:val="111111"/>
          <w:sz w:val="28"/>
          <w:sz w:val="28"/>
          <w:szCs w:val="28"/>
          <w:rtl w:val="true"/>
          <w:lang w:bidi="ar-SA"/>
        </w:rPr>
        <w:t>المعروف أنَّ فيه ثلاثة إتجاهات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التقديم بملاك الورود، ورفع الموضوع</w:t>
      </w:r>
    </w:p>
    <w:p>
      <w:pPr>
        <w:pStyle w:val="BookText"/>
        <w:rPr/>
      </w:pPr>
      <w:r>
        <w:rPr>
          <w:rFonts w:ascii="Amiri" w:hAnsi="Amiri" w:eastAsia="Amiri" w:cs="Amiri"/>
          <w:color w:val="111111"/>
          <w:sz w:val="28"/>
          <w:sz w:val="28"/>
          <w:szCs w:val="28"/>
          <w:rtl w:val="true"/>
          <w:lang w:bidi="ar-SA"/>
        </w:rPr>
        <w:t>وقد قيل في تقريبه 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أنْ يكون على أساس الورود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على أساس الورود الإدّعائي السكّاكي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فقد قيل في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المتفاهم عرفاً من العلم المأخوذ غاية في أدلة الأصول العملية مطلق الحجة لا خصوص القطع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والأمارة حجة حقيقةً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بالعلم خصوص العلم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المراد من الحكم كالحرمة في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تَعْلَمَ أَنَّهُ حَرَامٌ</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الأعم من الحرمة الواقعية أو الثابتة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حاصل في مورد الأمارة حقيقةً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على كليهما بأنَّ حمل العلم على الأعم من الحقيقي والتعبدي فيه مؤونة زائدة مخالفة للظاهر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حمل الحكم على الأعم من الحكم الواقعي وما أدَّت إليه الأمارة خلاف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المصير إليهما من دون 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إطلاق لفظ العلم الوجداني على العلم التعبدي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الحقيقي على الحكم المماثل من باب التشابه والإصطلاح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ربط وشبه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ليس فيه خلاف الظاهر بعدما علم أنَّه مراد الشارع من الأدلة،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Style w:val="FootnoteAnchor"/>
          <w:rtl w:val="true"/>
        </w:rPr>
        <w:footnoteReference w:id="8"/>
      </w:r>
      <w:r>
        <w:rPr>
          <w:rFonts w:ascii="Amiri" w:hAnsi="Amiri" w:eastAsia="Amiri" w:cs="Amiri"/>
          <w:color w:val="111111"/>
          <w:sz w:val="28"/>
          <w:sz w:val="28"/>
          <w:szCs w:val="28"/>
          <w:rtl w:val="true"/>
          <w:lang w:bidi="ar-SA"/>
        </w:rPr>
        <w:t>فقد قيل في تقريبه أحد وجهين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له اعتبارات خاصة في باب العلم ومراده من العلم المأخوذ في الأصول العملية ما يكون علماً حسب اعتباره ونظره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الوجه هو المستفاد من كلمات المحقق النائيني قدس سره </w:t>
      </w:r>
      <w:r>
        <w:rPr>
          <w:rStyle w:val="FootnoteAnchor"/>
          <w:rtl w:val="true"/>
        </w:rPr>
        <w:footnoteReference w:id="9"/>
      </w:r>
      <w:r>
        <w:rPr>
          <w:rFonts w:ascii="Amiri" w:hAnsi="Amiri" w:eastAsia="Amiri" w:cs="Amiri"/>
          <w:color w:val="111111"/>
          <w:sz w:val="28"/>
          <w:sz w:val="28"/>
          <w:szCs w:val="28"/>
          <w:rtl w:val="true"/>
          <w:lang w:bidi="ar-SA"/>
        </w:rPr>
        <w:t>حيث ذهب إلى أنَّ هذا نوع من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اصطلاح خاص منه وإلا فإنَّه على ما عرفت من أنَّ الورود روحه ارتفاع الموضوع حقيقةً فهو ينطبق عليه لا أنْ يكون 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مجرد اعتبار غير العلم علماً من دون أنْ يكون مراده من العلم اعتباراته الخاصة لا قيمة له ولا يوجب تقدم أحد الدليلين على الآخر</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بأنَّ الشارع له اعتبارات خاصة في الحكم ومتعلق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يريد العلم بالحرمة مطلق العلم بها؛ سواء كان واقعياً أو ظاهرياً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بجعل الحكم المماثل في مورد الأمارات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العلم بالحكم علماً بهذا المعنى الحقيقي فيكون وروداً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حاجة إلى تنزيل العلم بالمؤدى منزلة العلم بالواقع على هذا التقدير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وقد ذكر السيد الصدر قدس سره </w:t>
      </w:r>
      <w:r>
        <w:rPr>
          <w:rStyle w:val="FootnoteAnchor"/>
          <w:rtl w:val="true"/>
        </w:rPr>
        <w:footnoteReference w:id="10"/>
      </w:r>
      <w:r>
        <w:rPr>
          <w:rFonts w:ascii="Amiri" w:hAnsi="Amiri" w:eastAsia="Amiri" w:cs="Amiri"/>
          <w:color w:val="111111"/>
          <w:sz w:val="28"/>
          <w:sz w:val="28"/>
          <w:szCs w:val="28"/>
          <w:rtl w:val="true"/>
          <w:lang w:bidi="ar-SA"/>
        </w:rPr>
        <w:t>من كون تقديم الأمارات على الأصول بنحو الورود توجيهاً آخر يعتبر توضيحاً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بأنَّ تمامية الورود يتوقف على فرض أمور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أنَّ إطلاق الشارع لفظ العلم يقصد به ما يراه علماً بحسب اصطلاحه واعتباره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لا دليل عليه بل لا يمكن إحتماله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أنَّ جعل الحجة في الأمارات يكون بمعنى جعل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ليس إلا من مجرد اختلاف التعبير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دليل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الفرق بين الأمارات وبين الأصول التي يمكن فيها دعوى جعل العلم واليقين كما في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الإفتراض يتحقق السؤال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افترض أنَّ دليل حجية خبر الثقة يجعله علماً وغاية للإستصحاب دون العكس؟ ولماذا لا يكون على العكس؛ فيكون التوارد من الطرفين ويتعارضان؟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وحاول الجواب عنه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الأمارة وارد في مورد الأصول العملية لأنّ أهم مدرك على حجية خبر الثقة والظهور هو 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ثابتة في مورد الأصول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أنْ يكون موضوعهما بنحو لا ينتفي بالأصول</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حجية الأصل قد أخذ في موضوعه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دليل حجية الأمارة وهو الذي ذكره جمع من الأعلام ويعتبر من أمتن الوجوه التي تمسكوا بها في تقدم الأمارة على الأصول؛ سواء كان هذا التقدم بنحو الورود أو الحكومة كما سيتضح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العمدة هو إثبات هذا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يمكن تقريبه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الأصل قد أخذ في لسانه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إرادة العلم بحسب إعتبارات الشارع الخاصة فيكون جعل العلمية للأمارة رافعاً لموضوع دليل الأصل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دليل الأمارة؛ فإنَّه لم يؤخذ في لسانه الشك وعدم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موجب لأخذ العلم بهذا المصطلح الخاص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فيتمسك بإطلاق الحجية حتى لمورد العلم الخاص الثابت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يمكن جعل الحجية للأمارة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المستحيل جعلها في مورد العلم الوجداني كما تقدم بيانه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يكون إطلاق دليل حجية الأمارة رافعاً حقيقةً لموضوع دليل حجية الأصل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وارداً عليه كما عرفت في ملاك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صحيح فيما إذا لم نقل بأنَّ عدم العلم قد أخذ قيداً في أدلة الحجية إرتكازاً أو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يعدّ من التخصيص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يضرّ بأصل المقصود؛ وهو تقدم الأمارة على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الأصل يقترن بقرينة متصلة تمنعه عن إفادة جعل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رافعاً لموضوع الأمارة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القرينة المتصلة هي أخذ عدم العلم والشك في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هذا لا يتناسب مع إرادة إلغاء الشك وجعل العلمية وإلا وقع التهافت بين الموضوع والمحمول</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يرد على هذا الوجه أنَّه ليست أدلة الأصول كلها قد أخذ فيها تلك القرينة المتصلة كما في قاعدة اليد والسوق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قد أخذت هذه القرينة المتصلة في بعض أدلة الأمارات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يكشف عن أنَّه لا يمكن إقامة الأدلة الإثباتية على تقدم الأمارات على الأصول على نحو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بعد استفادة ذلك من مجموع أدلة الأصول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ما ذكر في وجه تقديم الأمارات على الأصول من باب الورود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ليس من مجرد الفرض والتقدير في مرحلة التصور كما ادّعاه السيد الصدر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الوجوه التي أقيمت عليه 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المهم بعد ذلك كون الملاك في التقدم هو الورود أو الحكومة بعد تماميتها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سيأتي بيانه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التقدم بنحو الحكومة</w:t>
      </w:r>
    </w:p>
    <w:p>
      <w:pPr>
        <w:pStyle w:val="BookText"/>
        <w:rPr/>
      </w:pPr>
      <w:r>
        <w:rPr>
          <w:rFonts w:ascii="Amiri" w:hAnsi="Amiri" w:eastAsia="Amiri" w:cs="Amiri"/>
          <w:color w:val="111111"/>
          <w:sz w:val="28"/>
          <w:sz w:val="28"/>
          <w:szCs w:val="28"/>
          <w:rtl w:val="true"/>
          <w:lang w:bidi="ar-SA"/>
        </w:rPr>
        <w:t>وهو مِمّا لا إشكال فيه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إقامة الدليل عليه إثباتاً من جهة أنَّه لا بُدَّ أنْ يكون نظر دليل الحاكم إلى الدليل المحكوم؛ إمّا بنحو التفسير أو التنزيل أو المضمون كما تقدم بيانه في تفسير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الأصوليين إلى أنَّ الحكومة التفسيرية لا وجه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صريحاً في أدلة الأمارات يقوم بتفسير أدلة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فينحصر منشأ دعوى الحكومة بأحد القسمين الآخرين التنزيلية أو المضمونية</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 بأنَّه إذا لم تكن صراحة في أدلة الأمارات في التفسير لكن لو جمعناها مع أدلة الأصول يظهر عند العرف أنَّ اللسان لسان التفسير والشرح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المتكلم قد أعدَّ كلامه فيها على نحو التفسير وإنْ لم يرد في كلامه ما يدلُّ صريحاً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فيها هي التنزيلية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أدلة الأمارات حاكمة على الأصول العملية من باب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تنزل الأمارة منزلة العلم في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الأحكام هو ارتفاع حكم الأصل العملي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وقبل بيان الدليل عليه ينبغي ذكر الفرق بين هذا النحو من التقدم وبين التقدم بالورود؛ حيث ذكروا فروقاً كثيرة بعضها لا يخلو من إبهام وغموض في التعبير عنها عند المحقق النائيني قدس سره </w:t>
      </w:r>
      <w:r>
        <w:rPr>
          <w:rStyle w:val="FootnoteAnchor"/>
          <w:rtl w:val="true"/>
        </w:rPr>
        <w:footnoteReference w:id="12"/>
      </w:r>
      <w:r>
        <w:rPr>
          <w:rFonts w:ascii="Amiri" w:hAnsi="Amiri" w:eastAsia="Amiri" w:cs="Amiri"/>
          <w:color w:val="111111"/>
          <w:sz w:val="28"/>
          <w:sz w:val="28"/>
          <w:szCs w:val="28"/>
          <w:rtl w:val="true"/>
          <w:lang w:bidi="ar-SA"/>
        </w:rPr>
        <w:t>وتلامذته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يعبرون عن الورود بالحكومة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ثلاثة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الحكومة التنزيلية يكون مفادها أنَّ الأمارة تقوم مقام القطع المأخوذ عدمه في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النحو من التقدم يكون بحسب الحقيقة لمسألة قيام الأمارة مقام القطع الموضوعي نفس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أنه ردّ لما ذكره المحقق الخرساني قدس سره </w:t>
      </w:r>
      <w:r>
        <w:rPr>
          <w:rStyle w:val="FootnoteAnchor"/>
          <w:rtl w:val="true"/>
        </w:rPr>
        <w:footnoteReference w:id="13"/>
      </w:r>
      <w:r>
        <w:rPr>
          <w:rFonts w:ascii="Amiri" w:hAnsi="Amiri" w:eastAsia="Amiri" w:cs="Amiri"/>
          <w:color w:val="111111"/>
          <w:sz w:val="28"/>
          <w:sz w:val="28"/>
          <w:szCs w:val="28"/>
          <w:rtl w:val="true"/>
          <w:lang w:bidi="ar-SA"/>
        </w:rPr>
        <w:t>من استحالة ذلك؛ للزوم التهافت والجمع بين النظر الآلي والإستقلالي في كيفية ملاحظة الأمارة والقطع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أجيب عنه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الميزة لا تكون إذا قلنا بأنَّ التقدم بنحو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ليس فيه تنزيلاً ليحتاج إلى ملاحظة المنزل عليه أبداً</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الأثر في الورود إنَّما يتحقق بالتمسك بالدليل المورود لأنَّه من أفراده حقيقةً لتتحقق موضوعه واقعاً على حدّ سائر أفراده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الحكومة التنزيلية فإنَّ إثبات أثر المنزل عليه يتوقف على التمسك بإطلاق دليل التنزيل وشموله لذلك الأثر في مقام التنزيل لأنَّه فرداً حقيقياً من موضوع ذلك الحكم حتى يتمسك بدليله مباشرة وعليه؛ فلا بُدَّ من ترتيب أيّ أثر في مورد الحكومة وملاحظة إطلاق دليل التنزيل وتماميته ليمكن إثبات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الدليل لبياً لا لسان له حتى يثبت له الإطلاق فيه فلا يمكن إثبات الحكم المشكوك بالتنزيل؛ وهذا بخلاف الورود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كما يتم بتقريب إرادة العلم بحسب اعتبارات الشارع في موضوع الأصل؛ كذلك يتم بإرادة الحكم المتيقن الأعم بحسب اعتبارات الشارع من الواقعي والظاهري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الحكومة فإنَّها لا تتم إلا بتنزيل الأمارة منزلة العلم بالواقع لا تنزيل المؤدى منزلة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تنزيل المؤدى منزلة الواقع لا يلزم تنزيل العلم بالمؤدى منزلة الواقع إلا أنْ يقال بالتركيب؛ بأنْ نقول أنَّ القضية مركبة من جزئين؛ العلم بعنوان الحرمة التي هي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تكون تلك الحرمة 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الأول 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الثاني يثبت بالتنزيل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بعض الفروق بين الحكومة والورود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في بحث التعارض أنَّ تلك الفروق ليست بذات أهمية بعد الإتّفاق على كثير من الخصوصيات المشتركة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أنَّها لا تخلو من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المهم في المقام هو إثبات كون حكومة الأمارة على الأصل على نحو التنزيل؛ فقد استشكل عليه بعضهم بأنَّه لا دليل عليه كما تقدم مثله في دعوى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 حجية الأمارة لو سلّمت دلالتها على جعل العلمية والطريقية وأنَّ لسان تنزيل ما ليس بعلم منزلة العلم فإنَّ أدلة النهي عن العمل بالظن ولسان دليل الأصول الترخيصية لسان نفي العلمية والتنزيل ونفي الحجية والطريقية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حكومة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الدليلين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 بما يلي</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النافي من أدلة النهي عن العمل بالظن هي نفي اعتبار الظن وسلب الحجية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نفي العلمية والطريقية ملحوظاً من نفي الحجية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أدلة الأصول الترخيصية فإنَّ ظاهرها إطلاق العنان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نفي العلمية والطريقية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أدلة الأمارات إثبات الطريقية والكاشفية التي تكشف على أنَّ للشارع طرق أخرى غير العلم الوجداني تسهيلاً على العباد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بهذا الوجه تمنع من انعقاد ظهور في أدلة الأصول العملية الترخيصية في أنَّها بصدد إثبات الكاشفية لها إلا مايقال في الإستصحاب كما يأتي بيانه إنْ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 يظهر أنَّ دليل الأمارة حاكمة أو واردة على أدلة النهي عن اعتبار الظن وأدلة الأصول الترخيصية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بالقرينة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عرفت أنَّ القرينة تارةً؛ تكون خاصة يقيمها المتكلم في كلامه؛ متصلاً أو منفصلاً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تكون القرينة عامة كالبناء العقلائي وسيرة العقلاء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وأدرج فيه التخصيص والتقييد والأظهرية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لا مصير إليها إلا بعد عدم تمامية الورود والحكومة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لنا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القرينة لا تختص بالموارد المذكورة فهي تشملها والحكومة والورود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ألقينا جميع تلك الموارد على العرف يفهم أنَّ القرينية محفوظة في الجميع؛ ففي الورود؛ إنَّ الوارد يكون قرينة على إخراج الفرد عن المورد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الحكومة؛ فإنَّ القرينة في الحاكم واضحة ومجرد تسميته ذلك بالورود والحكومة لا تغير من الواقع شيئاً فلا بُدَّ أنْ نقول أنَّ الجميع تشترك في هذه الجهة وإنْ اختلفت الأفراد في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تكون الأمارة مقدمة على الأصل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تقديم الأمارة بهذا الملاك يقتضي البحث عن لحاظ الأمارة مع دليل كلّ أصل؛ فيقع الكلام كما فعله بعض الأصوليين</w:t>
      </w:r>
      <w:r>
        <w:rPr>
          <w:rStyle w:val="FootnoteAnchor"/>
          <w:rtl w:val="true"/>
        </w:rPr>
        <w:footnoteReference w:id="14"/>
      </w:r>
      <w:r>
        <w:rPr>
          <w:rFonts w:ascii="IRNazanin" w:hAnsi="IRNazanin" w:eastAsia="IRNazanin"/>
          <w:color w:val="111111"/>
          <w:sz w:val="28"/>
          <w:sz w:val="28"/>
          <w:szCs w:val="28"/>
          <w:rtl w:val="true"/>
          <w:lang w:bidi="fa-IR"/>
        </w:rPr>
        <w:t>ضمن أمور</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على أصالة البراءة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يكون باعتبار أخصية دليل الأمارة عن </w:t>
      </w:r>
    </w:p>
    <w:p>
      <w:pPr>
        <w:pStyle w:val="BookText"/>
        <w:rPr/>
      </w:pPr>
      <w:r>
        <w:rPr>
          <w:rFonts w:ascii="Amiri" w:hAnsi="Amiri" w:eastAsia="Amiri" w:cs="Amiri"/>
          <w:color w:val="111111"/>
          <w:sz w:val="28"/>
          <w:sz w:val="28"/>
          <w:szCs w:val="28"/>
          <w:rtl w:val="true"/>
          <w:lang w:bidi="ar-SA"/>
        </w:rPr>
        <w:t>البراءة بعد انتفاء كون النسبة بينهما عموماً من وجه لحجية الأمارة في مورد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تجري البراءة فيه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وجريان البراءة في مورد فقدان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بالتخصيص ليس التخصيص الحرفي بل المقصود تحقق ملاك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حجية الأمارة إذا فقد إطلاقه في الأمارة الملزمة لزم إلغاء مفادها رأساً لأنَّ ثبوت الترخيص في مورد الأمارة الترخيصية ليس بملاك الأمارة لكفاية الشك وعدم ثبوت الإلزام في التأمين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حجية الأمارة حينئذٍ اللغو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وبما أنَّ أكثر أدلة حجية الأمارة واردة في مورد الأمارة الإلزامية الذي هو مورد البراءة لولا الأمارة فتكون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الأمارة على الإلزام هو القدر المتيقن منه على أقل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في الأدلة اللفظية؛ وأمّا الأدلة اللبية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السيرة عقلائية أو المتشرعية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الواضح أنَّ المتيقن منها الأمارات الإلزامية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يظهر حال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أنْ نقول بأنَّه إنْ كان المقصود من هذا الملاك القرينة العرفية فإنَّه يندرج فيه عنوان الورود أو الحكومة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لجعله في التخصيص فقط إلا في التسمية وهو لا يليق بالعلماء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على الإستصحاب؛ فقد قيل بالأخصية أيضاً بالمعنى الذي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تخصيص دليل حجية الأمارة بموارد عدم الحالة السابقة أو تواردهما أو تساقط الإستصحاب بعلم إجمالي ونحوي أمر غير عرفي لندرته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حجية الظهور والخبر بمثابة الأخص فيقدم على دليل الإستصحاب</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الأمارة على 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بنكات أخرى غير الأخصية المتقدمة كما هي مذكورة في سائر القواعد والأصول أيضاً؛</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إنَّ من جملة أدلة حجية الظهور والخبر السيرة العقلائية التي تشمل باب النجاسة</w:t>
      </w:r>
      <w:r>
        <w:rPr>
          <w:rFonts w:eastAsia="Amiri" w:cs="Amiri" w:ascii="Amiri" w:hAnsi="Amiri"/>
          <w:color w:val="111111"/>
          <w:sz w:val="28"/>
          <w:szCs w:val="28"/>
          <w:rtl w:val="true"/>
          <w:lang w:bidi="ar-SA"/>
        </w:rPr>
        <w:t xml:space="preserve">, </w:t>
      </w:r>
      <w:bookmarkStart w:id="19" w:name="pg15367_180576"/>
    </w:p>
    <w:p>
      <w:pPr>
        <w:pStyle w:val="BookText"/>
        <w:rPr/>
      </w:pPr>
      <w:bookmarkEnd w:id="19"/>
      <w:r>
        <w:rPr>
          <w:rFonts w:ascii="Amiri" w:hAnsi="Amiri" w:eastAsia="Amiri" w:cs="Amiri"/>
          <w:color w:val="111111"/>
          <w:sz w:val="28"/>
          <w:sz w:val="28"/>
          <w:szCs w:val="28"/>
          <w:rtl w:val="true"/>
          <w:lang w:bidi="ar-SA"/>
        </w:rPr>
        <w:t>ولا يحتمل الفرق بين النجاسة وغيرها فلا موجب لرفع اليد عن هذه السيرة في باب النجاسة الا إطلاق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يصلح للردع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إدّعاء عدم احتمال الفرق بين باب النجاسة وسائر الأبواب في حجية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حجيتها في غيرها كانت حجة في باب النجاسة أيضاً، فتكون حجية الخبر الدال على النجاسة مثلا مدلولاً لأصل دليل الحجية فيكون بحكم الأخص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لو فرضنا التعارض على نحو العموم من وجه فإنَّه لا بُدَّ من تقديم دليل حجية الأمارة لكونه قطعي السند؛ إمّا لكونه قراناً أو سنة قطعية متواترة ولو إجمالاً بخلاف دليل القاعدة فتقدم الأمارة على 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يثبت حجية الأمارة في الشبهة الحكمية لأنَّه القدر المتيقن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الخبر في الشبهة الموضوعية فإنَّه قد لا يكون داخلاً في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على فرض التعارض والتساقط في مورد الإجتماع فإنَّه نرجع إلى استصحاب حكم الحجية للأمارة الثابت في أول الشريعة ولو إمضاءً وعدم الردع قبل تشريع قاعدة الطهارة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بعض هذه النكات لا تخلو من المناقشة؛ والصحيح أنْ يقال إذا كان التقديم بملاك القرينة فهو لا ينافي أنْ يكون بنحو الحكومة أو الورود؛ فالنزاع لفظي فقط</w:t>
      </w:r>
      <w:r>
        <w:rPr>
          <w:rFonts w:eastAsia="Amiri" w:cs="Amiri" w:ascii="Amiri" w:hAnsi="Amiri"/>
          <w:color w:val="111111"/>
          <w:sz w:val="28"/>
          <w:szCs w:val="28"/>
          <w:rtl w:val="true"/>
          <w:lang w:bidi="ar-SA"/>
        </w:rPr>
        <w:t>.</w:t>
      </w:r>
    </w:p>
    <w:p>
      <w:pPr>
        <w:pStyle w:val="Heading4"/>
        <w:numPr>
          <w:ilvl w:val="3"/>
          <w:numId w:val="1"/>
        </w:numPr>
        <w:rPr/>
      </w:pPr>
      <w:bookmarkStart w:id="20" w:name="__RefHeading___Toc5900484_2142443653"/>
      <w:bookmarkStart w:id="21" w:name="_Toc7"/>
      <w:bookmarkEnd w:id="20"/>
      <w:r>
        <w:rPr>
          <w:rtl w:val="true"/>
        </w:rPr>
        <w:t>أمور ختامية</w:t>
      </w:r>
      <w:bookmarkEnd w:id="21"/>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المشهور إلى أنَّ الأمارة تقدم على الأصل حتى إذا كان مرافقاً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ترفع موضوع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إنَّما يتم بناءً على الورود؛ حيث يكون رفع الموضوع فيكون من موارد الفرق بينه وبين غيره من الملاك كما تقدم بيانه إجمالاً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بعضهم على ذلك بأنَّ التنافي بين الدليليين لا المدلولين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ورود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عرفت أنَّ ملاك القرينة يشمل جميع تلك العناوين وهو يعتمد على التنافي بين الدليلين أو </w:t>
      </w:r>
    </w:p>
    <w:p>
      <w:pPr>
        <w:pStyle w:val="BookText"/>
        <w:rPr/>
      </w:pPr>
      <w:r>
        <w:rPr>
          <w:rFonts w:ascii="Amiri" w:hAnsi="Amiri" w:eastAsia="Amiri" w:cs="Amiri"/>
          <w:color w:val="111111"/>
          <w:sz w:val="28"/>
          <w:sz w:val="28"/>
          <w:szCs w:val="28"/>
          <w:rtl w:val="true"/>
          <w:lang w:bidi="ar-SA"/>
        </w:rPr>
        <w:t>المدلولين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الأمارة تتقدم على الأصل مطلقاً؛ موافقاً كان أو مخالفاً مع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العلماء جرت سيرتهم على التمسك بالأصل في مورد الموافقة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يرجع إلى عدم ترتب مخالفة عليه في هذه الصورة فيجعلون الأصل مؤيداً لمدلول الأمارة لا دليلاً مستقلاً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تبرير ذلك بما ذكره السيد الصدر قدس سره </w:t>
      </w:r>
      <w:r>
        <w:rPr>
          <w:rStyle w:val="FootnoteAnchor"/>
          <w:rtl w:val="true"/>
        </w:rPr>
        <w:footnoteReference w:id="15"/>
      </w:r>
      <w:r>
        <w:rPr>
          <w:rFonts w:ascii="Amiri" w:hAnsi="Amiri" w:eastAsia="Amiri" w:cs="Amiri"/>
          <w:color w:val="111111"/>
          <w:sz w:val="28"/>
          <w:sz w:val="28"/>
          <w:szCs w:val="28"/>
          <w:rtl w:val="true"/>
          <w:lang w:bidi="ar-SA"/>
        </w:rPr>
        <w:t>وغيره فإنَّه غير تام مع أنَّه من التطويل الذي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الصدر قدس سره أنَّ من أقسام الحكومة الحكومة المضمونية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عرفها بأنْ يكون نظر دليل آخر بحسب مناسبات الحكم والموضوع المكتنفة 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يمكن القول بأنَّه بعد ورود دليل الأمارة في مورد الإلزام فإنَّ المستفاد من ذلك أنَّ الشارع لو لم يجعل الحجية للأمارة في هذا المورد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يفترض عدم الإلزام وثبوت التأمين وإلا لم تكن حاجة إلى جعلها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دليل حجية الأمارة الإلزامية فرضت مضمون الأصل الترخيصي في المرتبة السابقة لتخصصه أو تحدده فتكون حاكمة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ذلك من لزوم ما لا يلزم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يكفي في افتراض التأمين الرجوع إلى البراءة العقلية أو الشرعية من دون حاجة إلى افتراض ثبوت مضمون الأصل الترخيصي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حكومة مضمونية بهذا المعنى ولا مناص من الرجوع إلى ما ذكرناه من أنَّ التقدم إنَّما يكون بملاك القرينة وكون دليل الأمارة قرينة على نوع من التصرف في دليل الأصل؛ سواء كان على نحو الورود أو الحكومة أو الأخصية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القسم من الحكومة المضمونية إنْ اعتبره العرف من القرينة صحَّ وإلا فهو مجرد الفرض والتقدير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الآثار المترتبة على كلِّ واحد من هذه الأمور فهي ليست بذات أهمية بعد الإتّفاق على كثير منها بأيِّ عنوان كان</w:t>
      </w:r>
      <w:r>
        <w:rPr>
          <w:rFonts w:eastAsia="Amiri" w:cs="Amiri" w:ascii="Amiri" w:hAnsi="Amiri"/>
          <w:color w:val="111111"/>
          <w:sz w:val="28"/>
          <w:szCs w:val="28"/>
          <w:rtl w:val="true"/>
          <w:lang w:bidi="ar-SA"/>
        </w:rPr>
        <w:t xml:space="preserve">. </w:t>
      </w:r>
      <w:bookmarkStart w:id="22" w:name="pg15367_180580"/>
    </w:p>
    <w:p>
      <w:pPr>
        <w:pStyle w:val="BookText"/>
        <w:rPr/>
      </w:pPr>
      <w:bookmarkEnd w:id="22"/>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بعض الأصوليين أنَّ تقدم الأمارة على الأصول العملية إنَّما يكون بملاك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حكم العقل العملي في باب الإطاعة والعصيان؛ سواء بالبراءة أم بالإشتغال إنَّما يكون معلقاً على عدم ورود شيء من المولى لأنَّه حريص على ملاكاته الواقعية والإلزامية أو الترخيصية ويهتم بإبراز ذلك بأيّ أسلوب كان ولو لم يكن بلسان الجعل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ويلحق بالأصول العملية الأصول الشرعية؛ التي هي في مرتبة الأصل العملي لتلك الحجج التي أخذ فيها عدم الحجة على الخلاف في موضوعه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شهادة العدلين أو مطلق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وادّعى أنَّ ذلك هو المستفاد من رواية مسعدة بن صدقة 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ويلاحظ على ذلك بأنَّ ما ذُكر يشهد على صحة ما ذكرناه من كون التقديم للأمارة على الأصول مطلقاً؛ عقلية أو شرعية إنَّما هو بملاحظة القرينية وإنْ أطلق عليها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ما يتعلق بالمقام الأول؛ وهو تقديم الأمارة على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على الإجمال أنَّ ما ذكره الأصوليون لا يخلو عن تشويش واضطراب وخلط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في بحوث التعارض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23" w:name="__RefHeading___Toc5900486_2142443653"/>
      <w:bookmarkStart w:id="24" w:name="_Toc8"/>
      <w:bookmarkEnd w:id="23"/>
      <w:r>
        <w:rPr>
          <w:rtl w:val="true"/>
        </w:rPr>
        <w:t>المقام الثاني</w:t>
      </w:r>
      <w:r>
        <w:rPr>
          <w:rtl w:val="true"/>
        </w:rPr>
        <w:t xml:space="preserve">: </w:t>
      </w:r>
      <w:r>
        <w:rPr>
          <w:rtl w:val="true"/>
        </w:rPr>
        <w:t>تقديم الأصول بعضها على بعض</w:t>
      </w:r>
      <w:bookmarkEnd w:id="24"/>
    </w:p>
    <w:p>
      <w:pPr>
        <w:pStyle w:val="Heading3"/>
        <w:numPr>
          <w:ilvl w:val="2"/>
          <w:numId w:val="1"/>
        </w:numPr>
        <w:rPr/>
      </w:pPr>
      <w:bookmarkStart w:id="25" w:name="__RefHeading___Toc5900488_2142443653"/>
      <w:bookmarkStart w:id="26" w:name="_Toc9"/>
      <w:bookmarkEnd w:id="25"/>
      <w:r>
        <w:rPr>
          <w:rtl w:val="true"/>
        </w:rPr>
        <w:t>تمهيد</w:t>
      </w:r>
      <w:bookmarkEnd w:id="26"/>
    </w:p>
    <w:p>
      <w:pPr>
        <w:pStyle w:val="Heading4"/>
        <w:numPr>
          <w:ilvl w:val="3"/>
          <w:numId w:val="1"/>
        </w:numPr>
        <w:rPr/>
      </w:pPr>
      <w:bookmarkStart w:id="27" w:name="__RefHeading___Toc5900490_2142443653"/>
      <w:bookmarkStart w:id="28" w:name="_Toc10"/>
      <w:bookmarkEnd w:id="27"/>
      <w:r>
        <w:rPr>
          <w:rtl w:val="true"/>
        </w:rPr>
        <w:t>اشارة</w:t>
      </w:r>
      <w:bookmarkEnd w:id="28"/>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الأصل العملي تارةً؛ يكون أصلا سببياً أو يكون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أصلاً محرزاً أو لا يكون كذلك، والتعارض بين الأصلين إمّا أنْ يكون بين الأصلين المتوافقين أو يكون بين المتنافيين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والمتنافيان إمّا أنْ يكون التنافي بينهما بالذات في مرحلة الجعل وإمّا يكون </w:t>
      </w:r>
      <w:bookmarkStart w:id="29" w:name="pg15367_180582"/>
    </w:p>
    <w:p>
      <w:pPr>
        <w:pStyle w:val="BookText"/>
        <w:rPr/>
      </w:pPr>
      <w:bookmarkEnd w:id="29"/>
      <w:r>
        <w:rPr>
          <w:rFonts w:ascii="Amiri" w:hAnsi="Amiri" w:eastAsia="Amiri" w:cs="Amiri"/>
          <w:color w:val="111111"/>
          <w:sz w:val="28"/>
          <w:sz w:val="28"/>
          <w:szCs w:val="28"/>
          <w:rtl w:val="true"/>
          <w:lang w:bidi="ar-SA"/>
        </w:rPr>
        <w:t>التنافي بالعرض في مرحلة الجعل لا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إجمالاً بكذب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التنافي بينهما في مرحلة الإمتثال والتزاحم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استصحب وجوب الصلاة ووجوب الإزالة في وقت لا قدرة للمكلف على الجمع بينهما؛ والكلام في ذلك يكون في موارد أربعة</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5900492_2142443653"/>
      <w:bookmarkStart w:id="31" w:name="_Toc11"/>
      <w:bookmarkEnd w:id="30"/>
      <w:r>
        <w:rPr>
          <w:rtl w:val="true"/>
        </w:rPr>
        <w:t>المورد الأول</w:t>
      </w:r>
      <w:r>
        <w:rPr>
          <w:rtl w:val="true"/>
        </w:rPr>
        <w:t xml:space="preserve">: </w:t>
      </w:r>
      <w:r>
        <w:rPr>
          <w:rtl w:val="true"/>
        </w:rPr>
        <w:t>في الأصلين المتوافقين أو المتنافيين ذاتاً</w:t>
      </w:r>
      <w:bookmarkEnd w:id="31"/>
    </w:p>
    <w:p>
      <w:pPr>
        <w:pStyle w:val="BookText"/>
        <w:rPr/>
      </w:pPr>
      <w:r>
        <w:rPr>
          <w:rFonts w:ascii="Amiri" w:hAnsi="Amiri" w:eastAsia="Amiri" w:cs="Amiri"/>
          <w:color w:val="111111"/>
          <w:sz w:val="28"/>
          <w:sz w:val="28"/>
          <w:szCs w:val="28"/>
          <w:rtl w:val="true"/>
          <w:lang w:bidi="ar-SA"/>
        </w:rPr>
        <w:t xml:space="preserve">ذكر المحقق النائيني قدس سره </w:t>
      </w:r>
      <w:r>
        <w:rPr>
          <w:rStyle w:val="FootnoteAnchor"/>
          <w:rtl w:val="true"/>
        </w:rPr>
        <w:footnoteReference w:id="17"/>
      </w:r>
      <w:r>
        <w:rPr>
          <w:rFonts w:ascii="IRNazanin" w:hAnsi="IRNazanin" w:eastAsia="IRNazanin"/>
          <w:color w:val="111111"/>
          <w:sz w:val="28"/>
          <w:sz w:val="28"/>
          <w:szCs w:val="28"/>
          <w:rtl w:val="true"/>
          <w:lang w:bidi="fa-IR"/>
        </w:rPr>
        <w:t>ومن تبعه</w:t>
      </w:r>
      <w:r>
        <w:rPr>
          <w:rStyle w:val="FootnoteAnchor"/>
          <w:rtl w:val="true"/>
        </w:rPr>
        <w:footnoteReference w:id="18"/>
      </w:r>
      <w:r>
        <w:rPr>
          <w:rFonts w:ascii="Amiri" w:hAnsi="Amiri" w:eastAsia="Amiri" w:cs="Amiri"/>
          <w:color w:val="111111"/>
          <w:sz w:val="28"/>
          <w:sz w:val="28"/>
          <w:szCs w:val="28"/>
          <w:rtl w:val="true"/>
          <w:lang w:bidi="ar-SA"/>
        </w:rPr>
        <w:t>أنَّ أحد الأصلين يكون حاكماً على الآخر بشرطين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أحد الأصلين محرزاً؛ بأنْ يكون لسان دليله إلغاء الشك المأخوذ في موضوع 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الأمر في استصحاب الطهارة أو النجاسة بالنسبة إلى أصالة الطهارة أو الحل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في مثل ذلك يكون الأصل المحرز حاكماً على غير المحرز لأنَّه يرفع موضوعه تعبداً؛ وهو معنى الحكومة على بعض التفاسير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سبباً والآخر مسبباً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جارياً في موضوعه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الأصل الجاري في السبب على الأصل الجاري في المسبب بالحكومة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الأصل المسببي محرزاً يلغي الشك في السببي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أصالة الطهارة في الماء المغسول به الثوب النجس أو استصحابها مقدماً على استصحاب النجاسة في الثوب بعد الغسل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الجاري في السبب يلزمنا التعبد بحكمه وهو السبب فيلغى الشك المأخوذ في موضوع الأصل المسببي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 بوجوه</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في تقديم الأصل المحرز في الأصلين المتوافقين على غير المحرز منهما من الأصل المحرز يلغي موضوع الأصل غير المحرز فيكون حاكماً عليه غير تام </w:t>
      </w:r>
    </w:p>
    <w:p>
      <w:pPr>
        <w:pStyle w:val="BookText"/>
        <w:rPr/>
      </w:pPr>
      <w:r>
        <w:rPr>
          <w:rFonts w:ascii="Amiri" w:hAnsi="Amiri" w:eastAsia="Amiri" w:cs="Amiri"/>
          <w:color w:val="111111"/>
          <w:sz w:val="28"/>
          <w:sz w:val="28"/>
          <w:szCs w:val="28"/>
          <w:rtl w:val="true"/>
          <w:lang w:bidi="ar-SA"/>
        </w:rPr>
        <w:t>كبرى وصغرى؛ أمّا الكبرى؛ فلما قيل من أنَّ مبنى الحكومة لم يكن تاماً في حد نفسه لأنَّ الغاية منها هو العلم بالخلاف لا مطلق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منتفٍ في الأصلين المتوافقين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تقدم أنَّ ملاك الحكومة وأخويها هو القرينة عل التصرف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يتحقق هذا في المقولتين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الصغرى؛ فإنَّ تقديم أحد المتوافقين على الآخر على هذا المبنى فيه محاذير لا يمكن الإلتزام بها؛</w:t>
      </w:r>
    </w:p>
    <w:p>
      <w:pPr>
        <w:pStyle w:val="BookText"/>
        <w:rPr/>
      </w:pPr>
      <w:r>
        <w:rPr>
          <w:rFonts w:ascii="Amiri" w:hAnsi="Amiri" w:eastAsia="Amiri" w:cs="Amiri"/>
          <w:color w:val="111111"/>
          <w:sz w:val="28"/>
          <w:sz w:val="28"/>
          <w:szCs w:val="28"/>
          <w:rtl w:val="true"/>
          <w:lang w:bidi="ar-SA"/>
        </w:rPr>
        <w:t>منها؛ إنَّ تقديم استصحاب الطهارة على قاعدة الطهارة يستلزم اختصاص القاعدة بفرض نادر كموارد توارد الحالتين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في غير ذلك يجري إمّا استصحاب الطهارة أو استصحاب النجاسة فلا تجري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يضر إذا كان المبنى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ليس بصحيح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إنَّه يلزم تقديم استصحاب الحلّ والترخيص على البراءة وأصل الحلّ الظاهريين كما هو مفاد دليلهما الدال على الإمتنان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يبقى لدليل البراءة مورد إلا محل توارد الحالتين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أوردناه على سابقه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إنَّ تقديم الأصل السببي على المسببي في المتوافقين خلاف مورد أدلة الإستصحاب ورواياته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أجرت الإستصحاب المسببي في الطهارة من الحدث أو الخبث رغم وجود الإستصحاب السببي في المورد وهو استصحاب عدم النوم أو عدم إصابة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بنفسه دليل على بطلان مبنى الحكومة في الأصلين المتوافقين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الأصل المسببي في صحيحتي زرارة لعله من أجل أنَّه أقرب إلى ذهن السائل وأوضح إلى فهمه وألصق بالمراد من ذكر الأصل السببي والمسببي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استفادة بطلان تقديم الأصل السببي على المسببي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تقديم الأصل السببي؛ وعلى ذلك جرت عادة الفقهاء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الموافق للعرف ومرتكزات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الكلام في وجه تخريجهم لذلك؛</w:t>
      </w:r>
    </w:p>
    <w:p>
      <w:pPr>
        <w:pStyle w:val="BookText"/>
        <w:rPr/>
      </w:pPr>
      <w:r>
        <w:rPr>
          <w:rFonts w:ascii="Amiri" w:hAnsi="Amiri" w:eastAsia="Amiri" w:cs="Amiri"/>
          <w:color w:val="111111"/>
          <w:sz w:val="28"/>
          <w:sz w:val="28"/>
          <w:szCs w:val="28"/>
          <w:rtl w:val="true"/>
          <w:lang w:bidi="ar-SA"/>
        </w:rPr>
        <w:t>فقيل أنَّه من باب الحكومة؛ وقد اختاره المحقق النائيني قدس سره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الأصل السببي يلغي الشك في مورد الأصل المسببي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الأمر على إطلاقه مشكل إلا إذا كان الأصل السببي محرزاً يوجب إلغاء الشك كما عرفت في مثال تقديم أصالة الطهارة في الماء المغسول به الثوب النجس على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التقديم إنَّما يكون بملاك أنَّ أصالة الطهارة في الماء تنقّح موضوع الدليل الدال على كبرى المطهرية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موضوعها الغسل بماء وأنْ يكون طاهراً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محرز بالوجدان والثاني نحرزه بأصالة الطهارة؛ فيتحقق موضوع دليل</w:t>
      </w:r>
    </w:p>
    <w:p>
      <w:pPr>
        <w:pStyle w:val="BookText"/>
        <w:rPr/>
      </w:pPr>
      <w:r>
        <w:rPr>
          <w:rFonts w:ascii="Amiri" w:hAnsi="Amiri" w:eastAsia="Amiri" w:cs="Amiri"/>
          <w:color w:val="111111"/>
          <w:sz w:val="28"/>
          <w:sz w:val="28"/>
          <w:szCs w:val="28"/>
          <w:rtl w:val="true"/>
          <w:lang w:bidi="ar-SA"/>
        </w:rPr>
        <w:t>المطهرية فيتمسك به لإثبات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من الأمارة يكون حاكماً على استصحاب النجاسة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ذكر تثبت الطهارة الواقعية؛ وهو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ثبوت الآثار والأحكام في باب الحكومة لا بُدَّ فيه من الرجوع إلى دليل الحاكم لا دليل المحكوم كما عرفت سابقاً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حكومة الأصول والأمارات المنقحة لموضوع حكم شرعي على دليل ذلك الحكم ظاهرية لا تثبت حكماً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بدليل المطهرية في المقام بل المثبت لطهارة الثوب المغسول نفس أصالة الطهارة فتكون الطهارة 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منافية مع النجاسة الظاهرية التي يثبتها الإستصحاب</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الملاك هو القرينة اللغوية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أصالة الطهارة في الماء قرينة لغوية على جعل ذات الطهارة في الماء دون آثارها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الآثار فهي مترتبة في كلِّ مورد تجري فيه </w:t>
      </w:r>
      <w:bookmarkStart w:id="32" w:name="pg15367_180589"/>
    </w:p>
    <w:p>
      <w:pPr>
        <w:pStyle w:val="BookText"/>
        <w:rPr/>
      </w:pPr>
      <w:bookmarkEnd w:id="32"/>
      <w:r>
        <w:rPr>
          <w:rFonts w:ascii="Amiri" w:hAnsi="Amiri" w:eastAsia="Amiri" w:cs="Amiri"/>
          <w:color w:val="111111"/>
          <w:sz w:val="28"/>
          <w:sz w:val="28"/>
          <w:szCs w:val="28"/>
          <w:rtl w:val="true"/>
          <w:lang w:bidi="ar-SA"/>
        </w:rPr>
        <w:t>قاعدة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هذه الآثار طهارة الثوب المغسول بذلك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آثار وطهارة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الطهارة حاكماً بملاك النظر على استصحاب النجاسة في الثوب دون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دليل أصالة الطهارة ناظر إلى الآثار الواقعية المترتبة على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يكون هذا الأصل ملغى إذا فرض انتفاء تلك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حاكمة على دليل الآثار الواقعية حكومة ظاهرية وليست هي ناظرة إلى الأحكام والآثار الظاهرية والتعبدية المترتبة على المسبب لتكون حاكمة على استصحاب الجاري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ذلك من الفرضيات التي تدور في أذهان الأصوليين وهي بعيدة عن الفهم العرفي للأخبار والأدلة التي تبتني على الذوق العرفي السليم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كون دليل قرينة في التصرف في دليل الحكومة بأيِّ أسلوب يمكن استناده إلى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دليل الأصل السببي إذا لوحظ مع دليل الأصل المسببي يظهر بوضوح أنَّ الأول يرفع موضوع الثاني فيتقدم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أذهان العرف تبتني على السذاجة والبساطة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يرى أنَّ الأصل الجاري في السبب يوجب طهارة الثوب المغسول به الثوب فيكون رافعاً لنجاسة الثوب وناقضاً لها في مرحلة الثبوت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في الإثبات؛ فإنَّ العرف يحكم بأنَّ دليل طهارة الماء إثباتاً مقدمٌ على استصحاب النجاسة وناقضاً لإثبات النجاسة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أنَّ جميع ما ذكر في المقام إنَّما هو خلاف الفهم العرفي وهو من التطويل الذي لا طائل تحته</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5900494_2142443653"/>
      <w:bookmarkStart w:id="34" w:name="_Toc12"/>
      <w:bookmarkEnd w:id="33"/>
      <w:r>
        <w:rPr>
          <w:rtl w:val="true"/>
        </w:rPr>
        <w:t>المورد الثاني</w:t>
      </w:r>
      <w:r>
        <w:rPr>
          <w:rtl w:val="true"/>
        </w:rPr>
        <w:t xml:space="preserve">: </w:t>
      </w:r>
      <w:r>
        <w:rPr>
          <w:rtl w:val="true"/>
        </w:rPr>
        <w:t>ما يتعلق بالأصلين العرضيين المتنافيين</w:t>
      </w:r>
      <w:bookmarkEnd w:id="34"/>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إختار المحقق النائيني قدس سره حكومة الأصل الذي يلغي الشك في الآخر كالإستصحاب وأصالة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أحدهما كذلك أو كانا كلاهما معاً يلغيان الشك؛ فإنَّ الأصلين يتعارضان ويتساقطان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بعدم الحكومة والورود بملاك إلغاء الشك وجعل الطريقية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تقديم الإستصحاب على البراءة وقاعدة الطهارة يكون لنكتةٍ تقدم تفصيل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التقديم، وما ذكر من العناوين كلها يكون بملاك القرينية العرفية؛ فهي وإنْ كانت بتقدم الأصل على غيره ولكن لم تنطبق عليه أحد العناوين التي ذكروها ويأتي ما يتعلق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المحقق العراقي قدس سره </w:t>
      </w:r>
      <w:r>
        <w:rPr>
          <w:rStyle w:val="FootnoteAnchor"/>
          <w:rtl w:val="true"/>
        </w:rPr>
        <w:footnoteReference w:id="19"/>
      </w:r>
      <w:r>
        <w:rPr>
          <w:rFonts w:ascii="Amiri" w:hAnsi="Amiri" w:eastAsia="Amiri" w:cs="Amiri"/>
          <w:color w:val="111111"/>
          <w:sz w:val="28"/>
          <w:sz w:val="28"/>
          <w:szCs w:val="28"/>
          <w:rtl w:val="true"/>
          <w:lang w:bidi="ar-SA"/>
        </w:rPr>
        <w:t>في المقام وجهاً آخراً في تقديم الإستصحاب؛ وحاصله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مفاد دليل الإستصحاب هو الأمر بالجري العملي على طبق آثار اليقين والنهي عن نقض آثاره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يكون مفاده تنزيل الشك منزلة اليقين في الجري العملي وهو على إطلاقه يشمل الأثر العملي لليقين الطريقي للجري نحو الواقع المنكشف به والأثر العملي لليقين المقتضي لترك العمل بالأصول الملغاة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الإستصحاب ناظراً إلى كل تلك الآثار الواقعية الطريقية والظاهرية الموضوعية فيكون حاكماً على أدلتها حكومة مضمونية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لو تم ذلك واستظهرنا من أدلة الإستصحاب التعبد ببقاء اليقين ولو بلحاظ الجري العملي ولكنه يختص بالنسبة إلى الجري العملي الذي يقتضيه اليقين الطريقي لا اليقين الموضوعي فإنَّ أثر القطع الموضوعي ليس جرياً عملياً لليقين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ذكره بعض المحققين</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السيد الصدر قدس سره </w:t>
      </w:r>
      <w:r>
        <w:rPr>
          <w:rStyle w:val="FootnoteAnchor"/>
          <w:rtl w:val="true"/>
        </w:rPr>
        <w:footnoteReference w:id="20"/>
      </w:r>
      <w:r>
        <w:rPr>
          <w:rFonts w:ascii="Amiri" w:hAnsi="Amiri" w:eastAsia="Amiri" w:cs="Amiri"/>
          <w:color w:val="111111"/>
          <w:sz w:val="28"/>
          <w:sz w:val="28"/>
          <w:szCs w:val="28"/>
          <w:rtl w:val="true"/>
          <w:lang w:bidi="ar-SA"/>
        </w:rPr>
        <w:t xml:space="preserve">إلى التفصيل حيث ذكر أنَّ الأصلين العرضيين المتنافيين إذا كانا ثابتين بدليل واحد كالإستصحاب في مورد توارد الحالتين بناءً على جريانهما يحصل </w:t>
      </w:r>
    </w:p>
    <w:p>
      <w:pPr>
        <w:pStyle w:val="BookText"/>
        <w:rPr/>
      </w:pPr>
      <w:r>
        <w:rPr>
          <w:rFonts w:ascii="Amiri" w:hAnsi="Amiri" w:eastAsia="Amiri" w:cs="Amiri"/>
          <w:color w:val="111111"/>
          <w:sz w:val="28"/>
          <w:sz w:val="28"/>
          <w:szCs w:val="28"/>
          <w:rtl w:val="true"/>
          <w:lang w:bidi="ar-SA"/>
        </w:rPr>
        <w:t>التعارض في دليل الحجية فلا يشمل شيئاً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كانا بدليلين فإنْ وجدت نكتة تقتضي الأخصية وما بحكمها بالنسبة إلى الآخر قدم عليه، وإلا تعارضا وتساقطا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تتقدم قاعدة اليد وقاعدة الفراغ والتجاوز على الإستصحاب المخالف لها في مواردها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يكون التقديم بنكته الأخصية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دليلها كالنص في تخصيص حكم الإستصحاب لورود جملة منها في مورد الإستصحاب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الإستصحاب مع البراءة الشرعية فإنْ كان في الشبهات الموضوعية فإنَّ الإستصحاب الموضوعي مقدم على البراءة لكونه سبباً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الشبهات الحكمية فإنَّ الإستصحاب يتقدم على دليل البراءة العقلية بمقتضىالورود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البراءة الشرعية يتقدم دليل الإستصحاب على دليل البراءة بالأظهرية لأنَّه كالصريح في العموم والتأكيد بأنَّه لا يُنقض اليقين بالشك أبداً؛ بخلاف إطلاق دليل البراءة، والخاص أو الأظهر مقدم على العام أو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ذكره المحققون في وجه تقديم الإستصحاب على غيره من الأصول العملية المتنافية إنْ رجع إلى ملاك القرينة العرفية فهو الصحيح وإنْ اختلفوا في التعبير كالحكومة والورود أو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الإشكال فيما ذكروه واضح ولاوجه لإطالة الكلام بعد أنْ كان الموضوع مِمّا يجب الرجوع فيه إلى العرف في تعيين خصوصيات القرينة كما ذكرنا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نقول في الموردين السابقين</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المورد الأول؛ فإنَّ تقديم الإستصحاب على سائر الأصول العملية يبنى على فهم العرف من أدلة الإستصحاب أنَّه بمنزلة الدليل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قد أخذ في الإستصحاب الحالة السابقة فاعتبره العرف من إسراء الدليل السابق إلى حالة الشك في مدلوله ومفاده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الدليل علماً أو أمارة على قسمين؛ حقيقي وتنزيلي؛ والإستصحاب من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w:t>
      </w:r>
    </w:p>
    <w:p>
      <w:pPr>
        <w:pStyle w:val="BookText"/>
        <w:rPr/>
      </w:pPr>
      <w:r>
        <w:rPr>
          <w:rFonts w:ascii="Amiri" w:hAnsi="Amiri" w:eastAsia="Amiri" w:cs="Amiri"/>
          <w:color w:val="111111"/>
          <w:sz w:val="28"/>
          <w:sz w:val="28"/>
          <w:szCs w:val="28"/>
          <w:rtl w:val="true"/>
          <w:lang w:bidi="ar-SA"/>
        </w:rPr>
        <w:t>حكم يترتب على الدليل الحقيقي يكون للتنزيل أيضاً إلا إذا كانت قرينة معتبرة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أنَّ الدليل الحقيقي مقدم على الأصول مطلقاً كذلك يكون الدليل التنزيلي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يكون من الدليل الحقيقي وارداً على الأصول يكون التنزيلي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ما يكون حاكماً في الحقيقي فكذلك في التنزيلي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الإجتهادية مطلقاً؛ سواء كانت حقيقية أو كانت تنزيلية تتقدم على الأصول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والإستصحاب من القسم الثاني فيكون مقدماً على سائر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والعرف لا يتردد في تقديمه عليها بل لا يلتفتون مع لحاظ الحالة السابقة إلى أصل آخر من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بالنسبة إلى الأثر الأول وهو تقديم الإستصحاب على سائر الأصول؛ وقد ذكرنا في طيّ كلامنا السابق أنَّه لو بني على تقديم الأصول على الإستصحاب فإنَّه يلزم أنْ يكون اعتباره 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يلزم أنْ يكون من التخصيص بلا مخصص على وجه دائر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ذكرناه يظهر وجه الضعف في كثير من كلمات الأعلام مع أنَّه من التطويل الذي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المورد الثاني؛ وهو تعارض الإستصحابين فإنَّه على أقسام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أحدهما سبباً شرعياً للشك في الآخر كالشك في الكرية الذي يكون سبباً للشك في طهارة المتنجس المغسول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تقديم الأصل الجاري في السبب على الجاري في المسبب؛ إستصحاباً كان أو غيره لما عرفت من أنَّ ذلك مِمّا تقتضيه المرتكزات العرفية في المحاورات الدائرة بينهم لأنَّهم يرون أنَّ بجريان الأصل في السبب يزول الشك في المسببشرعاً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خروجه عن تحت عموم دليل الأصل بالتخصيص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خروجه يكون بلا مخصص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وحينئذٍ لا وجه للنزاع في أنَّ هذا من باب الورود أو الحكومة أو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لكلِّ واحد منها وجه وقائل به، ولا ثمرة عملية أو علمية في تحقيق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بعض الكلام فيه بعد معرفة الملاك في التقديم وكونه أمراً إرتكازياً عرفياً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فرق في ذلك بين توافق الأصلين المتعارضين في المؤدى أو تخالفهما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كلِّ واحد منها مسبباً عن الشك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مجرد الفرض الوهمي ولا تحقق له في الخارج؛ لا في الشرعيات ولا في غيرها؛ لاستلزامه الدور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بينهما سببية ومسببية أصلاً ولكن يلزم من جريان الأصل فيها مخالفة 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كالإنائين الطاهرين اللذين علم بحدوث نجاسة أحدهما؛ فإنَّه يلزم من جريان الأصل فيها المخالفة العملية فلا يجري من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يجري الأصل في أحدهما المردد لعدم تحقق الفرد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جريانه في أحدهما المعين ترجيح بلا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مناص من سقوط الأصلين بالتعارض فيتبخر العلم الإجمالي بالإجتناب عن الإنائين كالعلم التفصيلي بنجاستها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سببية في البين أصلاً ولا يلزم المخالفة العملية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يكون جريانهما مستلزماً المخالفة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مخالفاً لما هو المعلوم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علم تفصيلاً بنجاسة الإنائين ثم علم بطهارة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يلزم من استصحاب نجاستهما المخالفة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يكون مخالفاً لما هو المعلوم في البين فلا يجري من هذه الجهة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في البين سببية أصلاً ولا مخالفة عملية ولا مخالفة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دلَّ الدليل من الخارج على عدم جريانهما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هناك ماء طاهر ينقص عن مقدار الكر بقدر خاص وقد تمم ذلك القدر بماء نجس في أحد اطرافه؛ فإنَّه لا مانع من إجراء إستصحاب طهارة الماء الأول ونجاسة الماء المتمم ويترتب الأثر على كلٍّ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الطرف الذي ألقي فيه النجس نجساً بخلاف باقي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الإجماع قام على أنَّ الماء الواحد في المحل الواحد لا يختلف حكمه من حيث الطهارة والنجاسة لكن يمكن أنْ يقال بأنَّ نجاسة المتمم سبب لنجاسة الماء فيجري الإستصحاب في السبب ويلغي الشك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حينئذ موضوع لجريان الأصل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ويدخل هذا القسم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السيد الوالد قدس سره </w:t>
      </w:r>
      <w:r>
        <w:rPr>
          <w:rStyle w:val="FootnoteAnchor"/>
          <w:rtl w:val="true"/>
        </w:rPr>
        <w:footnoteReference w:id="21"/>
      </w:r>
      <w:r>
        <w:rPr>
          <w:rFonts w:ascii="Amiri" w:hAnsi="Amiri" w:eastAsia="Amiri" w:cs="Amiri"/>
          <w:color w:val="111111"/>
          <w:sz w:val="28"/>
          <w:sz w:val="28"/>
          <w:szCs w:val="28"/>
          <w:rtl w:val="true"/>
          <w:lang w:bidi="ar-SA"/>
        </w:rPr>
        <w:t>إستشكل في ذلك فقال بأنَّ منشأ حدوث السببية الإجماع المدَّعى على أنَّ الماء الواحد في المحل الواحد لا يختلف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ويصحُّ لنا القول بأنَّ السببية قد حدثت ويحكم بها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بعد ذلك أنْ يكون منشأها الإجماع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فالمثال المزبور يمكن إدراجه في 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مثال آخر لهذا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يكن شيءٌ مِمّا سبق في البين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كمن توضأ بمائع مردد بين الماء والبول غفلةً منه ثم التفت إليه؛ فإنَّه يجري استصحاب طهارة مواضع وضوئه كما يجري استصحاب بقاء حدثه بناءً على صحة التفكيك في لوازم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يكون هذا القسم من القسم الرابع الذي يستلزم من جريانهما مخالفة علمية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مِمّا ذكرناه أنَّ مقتضى الأصل في جميع أقسام تعارض الإستصحاب هو التساقط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الأخذ بأحدهما ترجيح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 لا تخيير في البين؛ لعدم وجود دليل على التخيير إلا إذا أمكن الجمع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خلاف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دليل أو قرينة على ترجيح أحدهما كما عرفت مفصلاً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وربما احتمل بعضهم أنَّه في جميع الأقسام المزبورة يجب الأخذ بالراجح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 فالتخيير</w:t>
      </w:r>
      <w:r>
        <w:rPr>
          <w:rFonts w:eastAsia="Amiri" w:cs="Amiri" w:ascii="Amiri" w:hAnsi="Amiri"/>
          <w:color w:val="111111"/>
          <w:sz w:val="28"/>
          <w:szCs w:val="28"/>
          <w:rtl w:val="true"/>
          <w:lang w:bidi="ar-SA"/>
        </w:rPr>
        <w:t xml:space="preserve">. </w:t>
      </w:r>
      <w:bookmarkStart w:id="35" w:name="pg15367_180602"/>
    </w:p>
    <w:p>
      <w:pPr>
        <w:pStyle w:val="BookText"/>
        <w:rPr/>
      </w:pPr>
      <w:bookmarkEnd w:id="35"/>
      <w:r>
        <w:rPr>
          <w:rFonts w:ascii="Amiri" w:hAnsi="Amiri" w:eastAsia="Amiri" w:cs="Amiri"/>
          <w:color w:val="111111"/>
          <w:sz w:val="28"/>
          <w:sz w:val="28"/>
          <w:szCs w:val="28"/>
          <w:rtl w:val="true"/>
          <w:lang w:bidi="ar-SA"/>
        </w:rPr>
        <w:t>وأورد عليه السيد الوالد قدس سره بأنَّ الترجيح إنْ كان بالأمارة المعتبرة فمع وجودها لا تصل النوبة إلى الأصل حتى يتحقق التعارض كما تقدم من أنَّه لا وجه لجريان الأصل مع وجود الأمارة المعتبرة؛ موافقة كانت أو 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الترجيح بأمارة غير معتبرة فقد تقدم أنَّ الظنون غير المعتبرة لا تصلح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الترجيح بالأصل؛ فإنَّه لا يصلح للترجيح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دليل على حصوله بالأصل فهو كالظنون غير 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بأس بأنْ يكون الأصل مرجعاً بعد سقوط المتعارضين عن الإعتبار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الترجيح قد يكون بنكتة القرينية مثل الأخصية والأظهرية وغيرهما مِمّا تقدم ذكره ولو كانت في أمارة أو أصل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الموردين مِمّا سبق ذكرهما؛ ومن جميع ذلك يظهر الوجه في المورد الآتي</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5900496_2142443653"/>
      <w:bookmarkStart w:id="37" w:name="_Toc13"/>
      <w:bookmarkEnd w:id="36"/>
      <w:r>
        <w:rPr>
          <w:rtl w:val="true"/>
        </w:rPr>
        <w:t>المورد الثالث</w:t>
      </w:r>
      <w:r>
        <w:rPr>
          <w:rtl w:val="true"/>
        </w:rPr>
        <w:t xml:space="preserve">: </w:t>
      </w:r>
      <w:r>
        <w:rPr>
          <w:rtl w:val="true"/>
        </w:rPr>
        <w:t>التعارض بالعرض بين الأصول العملية</w:t>
      </w:r>
      <w:bookmarkEnd w:id="37"/>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القسم الثالث من الأقسام المتقدمة الذي يكون التنافي فيه عرضياً قد حصل من ناحية العلم الإجمالي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 أنَّه إذا كان علماً إجمالياً بالتكليف فإنَّه يوجب التعارض بين الأصول والتساقط لأنَّه بجريانهما يستلزم الترخيص في المخالفة العملية ولا يجري الأصل في بعضها لأنَّه ترجيح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الفرد المردد لعدم وجود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تخيير في البين لعدم الدليل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ذلك لا نزاع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الكلام فيما ذكره المحقق الأنصاري قدس سره </w:t>
      </w:r>
      <w:r>
        <w:rPr>
          <w:rStyle w:val="FootnoteAnchor"/>
          <w:rtl w:val="true"/>
        </w:rPr>
        <w:footnoteReference w:id="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يحلل تارةً عدم جريان الأصل في الطرفين بلزوم المخالفة العملية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علَّله بمحذور إثباتي؛ بأنَّه يستلزم مناقضة صدر دليل الإستصحاب مع ذيله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عليه بوجوه نذكر منها ما عن بعضٍ</w:t>
      </w:r>
      <w:r>
        <w:rPr>
          <w:rStyle w:val="FootnoteAnchor"/>
          <w:rtl w:val="true"/>
        </w:rPr>
        <w:footnoteReference w:id="23"/>
      </w:r>
      <w:r>
        <w:rPr>
          <w:rFonts w:ascii="Amiri" w:hAnsi="Amiri" w:eastAsia="Amiri" w:cs="Amiri"/>
          <w:color w:val="111111"/>
          <w:sz w:val="28"/>
          <w:sz w:val="28"/>
          <w:szCs w:val="28"/>
          <w:rtl w:val="true"/>
          <w:lang w:bidi="ar-SA"/>
        </w:rPr>
        <w:t>من أنَّه إذا كانت الأصول في أطراف العلم الإجمالي لا تستلزم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كان العلم الإجمالي علماً بالترخيص والطهارة وجرى استصحاب النجاسة في الأطراف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القسم الرابع مِمّا تقدم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قد يقال بالتعارض فيما بينهما إذا كانت محرزة كالإستصحاب؛ فإنَّه لا يلزم محذور الترخيص في المخالفة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هذا الزعم ما ذكره المحقق الأنصاري قدس سره في المحذور الإثباتي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صدر دليل الإستصحاب يدلُّ على النهي عن نقض اليقين بالشك مطلقاً وهذه سالبة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ذيله؛ فإنَّه يدلُّ على لزوم نقضه بيقين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كنّا مع الصدر نحكم بأنَّ اليقين بالنجاسة في كلِّ طرف لا ينقض بالشك فيهما وهي سالبة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الذيل يدلُّ على انه إذا كان يقين اخر لزم نقض اليقين الأول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موجبة جزئية تناقض تلك السالبة الكلية فيتعين حينئذ جعل اليقين بالطهارة إجمالاً ناقضاً لأحد اليقينين في الطرفين فيقع التعارض بين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إنَّه إذا كان أحد أدلة الإستصحاب يستلزم ذلك، ولكن بقية الروايات لا تكون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لم يرد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تَنْقُضِ الْيَقِينَ أَبَداً بِالشَّكِّ وإِنَّمَا تَنْقُضُهُ بِيَقِينٍ آخَر</w:t>
      </w:r>
      <w:r>
        <w:rPr>
          <w:rFonts w:eastAsia="Amiri" w:cs="Amiri" w:ascii="Amiri" w:hAnsi="Amiri"/>
          <w:color w:val="111111"/>
          <w:sz w:val="28"/>
          <w:szCs w:val="28"/>
          <w:rtl w:val="true"/>
          <w:lang w:bidi="ar-SA"/>
        </w:rPr>
        <w:t>)</w:t>
      </w:r>
      <w:r>
        <w:rPr>
          <w:rStyle w:val="FootnoteAnchor"/>
          <w:rtl w:val="true"/>
        </w:rPr>
        <w:footnoteReference w:id="24"/>
      </w:r>
      <w:r>
        <w:rPr>
          <w:rFonts w:ascii="Amiri" w:hAnsi="Amiri" w:eastAsia="Amiri" w:cs="Amiri"/>
          <w:color w:val="111111"/>
          <w:sz w:val="28"/>
          <w:sz w:val="28"/>
          <w:szCs w:val="28"/>
          <w:rtl w:val="true"/>
          <w:lang w:bidi="ar-SA"/>
        </w:rPr>
        <w:t>في جميع روايات الإستصحاب فتسلم عن هذا الإشكال فلا إجمال فيها</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عدم الإجمال في ذلك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من اليقين الناقض هو اليقين التفصيلي كاليقين المنقوض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ذكره السيد الوالد قدس سره </w:t>
      </w:r>
      <w:r>
        <w:rPr>
          <w:rStyle w:val="FootnoteAnchor"/>
          <w:rtl w:val="true"/>
        </w:rPr>
        <w:footnoteReference w:id="25"/>
      </w:r>
      <w:r>
        <w:rPr>
          <w:rFonts w:ascii="Amiri" w:hAnsi="Amiri" w:eastAsia="Amiri" w:cs="Amiri"/>
          <w:color w:val="111111"/>
          <w:sz w:val="28"/>
          <w:sz w:val="28"/>
          <w:szCs w:val="28"/>
          <w:rtl w:val="true"/>
          <w:lang w:bidi="ar-SA"/>
        </w:rPr>
        <w:t>من أنَّ عدم جريان الإستصحاب في المثال المذكور يستلزم منه المخالفة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بمناقضة الصدر والذيل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المحقق النائيني قدس سره </w:t>
      </w:r>
      <w:r>
        <w:rPr>
          <w:rStyle w:val="FootnoteAnchor"/>
          <w:rtl w:val="true"/>
        </w:rPr>
        <w:footnoteReference w:id="26"/>
      </w:r>
      <w:r>
        <w:rPr>
          <w:rFonts w:ascii="Amiri" w:hAnsi="Amiri" w:eastAsia="Amiri" w:cs="Amiri"/>
          <w:color w:val="111111"/>
          <w:sz w:val="28"/>
          <w:sz w:val="28"/>
          <w:szCs w:val="28"/>
          <w:rtl w:val="true"/>
          <w:lang w:bidi="ar-SA"/>
        </w:rPr>
        <w:t>على مبناه في الأصول التنزيلية المحرزة من أنَّ المجعول فيها الطريقية والعلمية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معنى جعلها هو تتميم الكشف الناقص الثابت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جعل الإستصحابين غير معقول لأنَّه يستحيلالكشف الذاتي حتى الناقص لهما معاً بأنْ يفيد كلاهما الظن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مع العمل الإجمالي بانتقاض أحدهما لا يمكن حصول الكشف والظن 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المبنى وما بني عليه؛ لإمكان حصول الظن في كلِّ طرف وعدم حصول المناقضة بين الظن في الأطراف مع العلم الإجمالي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قدس سره </w:t>
      </w:r>
      <w:r>
        <w:rPr>
          <w:rStyle w:val="FootnoteAnchor"/>
          <w:rtl w:val="true"/>
        </w:rPr>
        <w:footnoteReference w:id="27"/>
      </w:r>
      <w:r>
        <w:rPr>
          <w:rFonts w:ascii="Amiri" w:hAnsi="Amiri" w:eastAsia="Amiri" w:cs="Amiri"/>
          <w:color w:val="111111"/>
          <w:sz w:val="28"/>
          <w:sz w:val="28"/>
          <w:szCs w:val="28"/>
          <w:rtl w:val="true"/>
          <w:lang w:bidi="ar-SA"/>
        </w:rPr>
        <w:t>أيضاً من جعل العلمية والطريقية بشرط احتمال المطابقة للواقع وعدم القطع بالكذب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يعقل جعل ما يقطع بكذبه طريقاً وحاكياً عن الواقع؛ سواء كان القطع بالكذب تفصيلياً أو إجمالاً في أحد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هذا الشرط الزائد عمّا هو اللازم عقلاً من انحفاظ الحكم الظاهري المأخوذ في دليل الحجية ظاهراً عند الشك في الواقع</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احتمال المطابقة في كِلا الكشفين؛ التفصيلي والإجمالي عرضاً بمعنى مطابقة المجموع فلا دليل على اشتراطه ولزومه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 ذلك في مباحث الإحتياط فراجع</w:t>
      </w:r>
      <w:r>
        <w:rPr>
          <w:rFonts w:eastAsia="Amiri" w:cs="Amiri" w:ascii="Amiri" w:hAnsi="Amiri"/>
          <w:color w:val="111111"/>
          <w:sz w:val="28"/>
          <w:szCs w:val="28"/>
          <w:rtl w:val="true"/>
          <w:lang w:bidi="ar-SA"/>
        </w:rPr>
        <w:t xml:space="preserve">. </w:t>
      </w:r>
      <w:bookmarkStart w:id="38" w:name="pg15367_180608"/>
    </w:p>
    <w:p>
      <w:pPr>
        <w:pStyle w:val="Heading4"/>
        <w:numPr>
          <w:ilvl w:val="3"/>
          <w:numId w:val="1"/>
        </w:numPr>
        <w:rPr/>
      </w:pPr>
      <w:bookmarkStart w:id="39" w:name="__RefHeading___Toc5900498_2142443653"/>
      <w:bookmarkStart w:id="40" w:name="_Toc14"/>
      <w:bookmarkEnd w:id="38"/>
      <w:bookmarkEnd w:id="39"/>
      <w:r>
        <w:rPr>
          <w:rtl w:val="true"/>
        </w:rPr>
        <w:t>المورد الرابع</w:t>
      </w:r>
      <w:r>
        <w:rPr>
          <w:rtl w:val="true"/>
        </w:rPr>
        <w:t xml:space="preserve">: </w:t>
      </w:r>
      <w:r>
        <w:rPr>
          <w:rtl w:val="true"/>
        </w:rPr>
        <w:t>التعارض بين الأصلين في مرحلة الإمتثال</w:t>
      </w:r>
      <w:bookmarkEnd w:id="40"/>
    </w:p>
    <w:p>
      <w:pPr>
        <w:pStyle w:val="BookText"/>
        <w:rPr/>
      </w:pPr>
      <w:r>
        <w:rPr>
          <w:rFonts w:ascii="Amiri" w:hAnsi="Amiri" w:eastAsia="Amiri" w:cs="Amiri"/>
          <w:color w:val="111111"/>
          <w:sz w:val="28"/>
          <w:sz w:val="28"/>
          <w:szCs w:val="28"/>
          <w:rtl w:val="true"/>
          <w:lang w:bidi="ar-SA"/>
        </w:rPr>
        <w:t>وهو ما إذا وقع التزاحم بين الأصلين في مرحلة الإمتثال من دون أنْ يكون بينهما تنافٍ في أصل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استصحب وجوب الصلاة ووجوب الإزالة مع عدم القدرة على الجمع بينهما؛ فإنَّه قد يقال بحصول التنافي بين الأصلين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الظاهر من الإستصحاب هو المجعول الفعلي فيحصل التنافي بين المجعولين الفعليين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يجري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الآخر فيعلم بانتفائه؛ إمّا لانتهاء أمده أو لارتفاع موضوعه بالإشتغال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المحقق النائيني قدس سره إلى أنَّه لا تعارض بين الإستصحابين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يسري التنافي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باب التزاحم لا تسري المنافاة إلى الحكمين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يقال في الحكمين الواقعيين يجري في الحكمين الظاهريين؛ فإنَّ الموضوع فيهما هو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التزاحم يكون بدلاً لا جمعاً فيكون صرف القدرة في كلِّ واحد منهما رافعاً لموضوع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كِلا الرأيين يرجعان إلى شيء واحد؛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بُدَّ في مورد التزاحم صرف القدرة إلى أحدهما لفرض امتناع الجمع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صرف المكلف قدرته إلى أحدهما لا يبقى موضوع للآخر حتى يجري فيه الإستصحاب؛ بلا فرق في ذلك بين القول بأنَّ المنجز عقلاً فعلية المجعول لا الجعل أو القول بأنَّ مصبّ الإستصحاب هو المجعول الفعلي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تنافي بين الأصلين فتدبر</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نختم الكلام في بحث الإستصحاب</w:t>
      </w:r>
      <w:r>
        <w:rPr>
          <w:rFonts w:eastAsia="Amiri" w:cs="Amiri" w:ascii="Amiri" w:hAnsi="Amiri"/>
          <w:color w:val="111111"/>
          <w:sz w:val="28"/>
          <w:szCs w:val="28"/>
          <w:rtl w:val="true"/>
          <w:lang w:bidi="ar-SA"/>
        </w:rPr>
        <w:t xml:space="preserve">. </w:t>
      </w:r>
      <w:bookmarkStart w:id="41" w:name="pg15367_180610"/>
    </w:p>
    <w:p>
      <w:pPr>
        <w:pStyle w:val="Heading4"/>
        <w:numPr>
          <w:ilvl w:val="3"/>
          <w:numId w:val="1"/>
        </w:numPr>
        <w:rPr/>
      </w:pPr>
      <w:bookmarkStart w:id="42" w:name="__RefHeading___Toc5900500_2142443653"/>
      <w:bookmarkStart w:id="43" w:name="_Toc15"/>
      <w:bookmarkEnd w:id="41"/>
      <w:bookmarkEnd w:id="42"/>
      <w:r>
        <w:rPr>
          <w:rtl w:val="true"/>
        </w:rPr>
        <w:t>قواعد فقهية</w:t>
      </w:r>
      <w:bookmarkEnd w:id="43"/>
    </w:p>
    <w:p>
      <w:pPr>
        <w:pStyle w:val="BookText"/>
        <w:rPr/>
      </w:pPr>
      <w:r>
        <w:rPr>
          <w:rFonts w:ascii="Amiri" w:hAnsi="Amiri" w:eastAsia="Amiri" w:cs="Amiri"/>
          <w:color w:val="111111"/>
          <w:sz w:val="28"/>
          <w:sz w:val="28"/>
          <w:szCs w:val="28"/>
          <w:rtl w:val="true"/>
          <w:lang w:bidi="ar-SA"/>
        </w:rPr>
        <w:t xml:space="preserve">إعتاد الأصوليون تبعاً للشيخ الأنصاري قدس سره </w:t>
      </w:r>
      <w:r>
        <w:rPr>
          <w:rStyle w:val="FootnoteAnchor"/>
          <w:rtl w:val="true"/>
        </w:rPr>
        <w:footnoteReference w:id="28"/>
      </w:r>
      <w:r>
        <w:rPr>
          <w:rFonts w:ascii="Amiri" w:hAnsi="Amiri" w:eastAsia="Amiri" w:cs="Amiri"/>
          <w:color w:val="111111"/>
          <w:sz w:val="28"/>
          <w:sz w:val="28"/>
          <w:szCs w:val="28"/>
          <w:rtl w:val="true"/>
          <w:lang w:bidi="ar-SA"/>
        </w:rPr>
        <w:t>ذكر بعض القواعد في خاتمة بحث الإستصحاب المتقدمة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السيد الوالد قدس سره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نقتفي أثرهم في ذكر بعض القواعد التي تتقدم على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ذلك ينبغي التنبيه على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العلماء في الفقه والأصول إصطلاحات ثلاثة؛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والقاعدة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 مواضع متعددة الفرق بين القاعدة الفقهية والمسألة الأصولية وبيَّنا أنَّ الفرق بينهما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هي ما وقعت كبرى قياس الإستنباط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لو انظمَّ إليها صغراها أنتجت حكماً كلياً فرعياً إلهياً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القاعدة الفقهية؛ فهي بنفسها حكم فرعي تنطبق على مواردها الجزئية الكثيرة في أبواب متفرقة بخلاف نتيجة المسألة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أيضاً كبرى كلية لو انظمَّ إليها صغراها أنتجت حكماً جزئياً</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الأصولية لا تكون قابلة للإلقاء على المقلد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تطبيقها على صغرياتها من وظائف المجتهد؛ بخلاف القاعدة الفقهية الفرعية؛ فإنَّ المقلد يحقّ له تطبيقها على صغرياتها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تطبيق المجتهد لا أثر له إلا من باب حجية قوله لكونه من أهل الخبرة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تتم الأمور الشرعية للمكلف فينفذ إقرار كلّ فرد من بيعه وشرائه وهبته وصلحه وعاريته وإجارته وتزويجه وطلاقه وسائر عقوده وإيقاعاته ومعاملاته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فيكون حال المجتهد والمقلد في مقام تطبيق القاعدة الفقهية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المجتهد بعد أنْ يستنبطها من أدلتها يفتي بمضمونها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التطبيق يعمّ جميع الأفراد؛ بما فيهم المجتهدون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يقع في تفحص الموضوع وتعيينه في بعض الموارد غموض لا يمكن للعامي رفعه فيرجع إلى الفقيه والمجتهد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حصل الشك في ملكية الصبي ونفوذ إقراره ووصيته فيرجع العامي إلى الفقيه في معرفة كون الصبي مالكاً؛ فإذا أفتى المجتهد بملكيته فإنَّ العامي بعد أنْ يأخذ الحكم بمالكيته ويطبقه على صغرياته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فينفذ إقرار المالك ووصيته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 الفرق بين المسألة الأصولية والقاعدة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الفرق بين القاعدة الفقهية والمسألة الفقهية؛ فقد قيل بأنَّ القاعدة الفقهية موضوعها أوسع من موضوع المسألة الفقهية؛ بأنْ تكون مسائل متعددة فقهية مندرجة تحت تلك القاعدة الفقهية المنطبقة على جميع تلك المسائل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مثلاً إذا ثبت قاعدة الضرر فإنَّه يندرج تحتها مسائل كثيرة فقهية في أبواب مختلفة من مسائل العبادات والمعاملات وتنطبق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يشتبه في بعض الموارد فتطلق القاعدة على المسألة وبالعكس؛ ولا ضير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تختلف القواعد الفقهية في سعة دائرة انطباقها على المسائل في أبواب الفقه وضيقها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فمثلاً بعضها تختص بالعبادات وبعضها تجري في المعاملات وبعضها تعمّ الجميع كقاعدة الصحة؛ فإنَّها تجري في أبواب العبادات كما تجري في أبواب 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خلاف فيه</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القاعدة الفقهية عبارة عن الحكم الفرعي المتعلق بالإنسان من حيث الحكم المجعول شرعاً ويكون تحتها مسائل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بينها وبين المسائل الفقهية بالعموم </w:t>
      </w:r>
    </w:p>
    <w:p>
      <w:pPr>
        <w:pStyle w:val="BookText"/>
        <w:rPr/>
      </w:pPr>
      <w:r>
        <w:rPr>
          <w:rFonts w:ascii="Amiri" w:hAnsi="Amiri" w:eastAsia="Amiri" w:cs="Amiri"/>
          <w:color w:val="111111"/>
          <w:sz w:val="28"/>
          <w:sz w:val="28"/>
          <w:szCs w:val="28"/>
          <w:rtl w:val="true"/>
          <w:lang w:bidi="ar-SA"/>
        </w:rPr>
        <w:t>والخصوص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يتساويان فيطلق إحداهما على الأخرى ولا مشاحة في الإصطلاح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تكون نسبة القاعدة إلى المسائل الداخلة تحتها نسبة الكلي إلى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الفرق بين المسائل الأصولية والقاعدة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والمسألة الفقهية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وراجع ما ذكرناه في مدخل الأصول العملية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ذكرناه ينحلّ الخلاف بين العلماء في كثير من القواعد الفقهية في أنَّها من المسائل الأصولية أو من القواعد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البحث السابق أنَّ الأمارات تتقدم على الأصول؛ سواء كان التقدم على نحو الحكومة أم الورود أم التخصيص؛ لما عرفت من أنَّ ما يعتذر به المكلف من الأمارات والأصول ليست في عرض واحد ومرتبة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بينهما اختلاف في الرتبة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لا خلاف فيه</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الجهة قالوا بتقديم الأمارات مطلقاً على الأصول؛ موضوعية كانت أو 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تقدم الأصول الموضوعية على الأصول الحكمية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تصل النوبة إلى كلِّ لاحق مع وجود السابق 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ذلك مِمّا جرت عليه السيرة في المحاورات والإحتجاجات الدائرة بين العقلاء كما عرفت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الإشارة إلى أنَّ ذلك أَولى مِمّا استدلّ به الأصوليون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يخلو من بحث ونقاش؛ فقد استدلوا عليه باستقرار إطلاق دليل اعتبار الأمارة في مورد الشك مطلقاً؛ سواء كان هناك أصل أم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دليل اعتبار الأصل فإنَّ شموله لمورد وجود الأمارة مشكوك بل معلوم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لبطل اعتبار الأمارات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ما من أمارة إلا في موردها أصل من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 دليل اعتبار الأصل على دليل اعتبار الأمارة 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التقدم متوقف على اعتبار الأصل مع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واعتباره معها متوقف على تخصيص دليل الأمارة بدليل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التخصيص متوقف على اعتبار الأصل مع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واعتباره معها متوقف على تخصيص دليل الأمارة بدليل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التخصيص متوقف على اعتبار الأصل مع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لولاه لكان من التخصيص بغير مخصص؛ وهذا هو الدور الواضح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إنَّه وإنْ كان صحيحاً ولكنه من تبعيد المسافة كما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بعد كون تقديم الأمارة على الأصل من الواضحات عند أهل المحاورة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الإستدلال عليه بمثل ذلك الذي لا يخلو من غموض فراجع ما ذكرناه سابقاً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أنَّه بعدما عرفت من اختلاف الرتب بين الأمارات والأصول كذلك يكون بين الأصول بعضها مع بعض؛ فإنَّ الإستصحاب يتقدم على جميع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الإستصحاب عند الأصوليين ليس أصلاً محضاً بل هو برزخ بينه وبين الأمارة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الجهة الأولى تقدمت الأمارات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الجهة الثانية يتقدم على جميع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ادُّعي الإتّفاق على هذا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فيما سبق الوجه في ذلك أيضاً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التقدم الذي ذكرناه في الأمارات والأصول في غير مورد التزاحم إنَّما يكون لأحد أمور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إدّعى السيد الوالد قدس سره أنَّها مرتكزة في أذهان أهل المحاورة إجمالاً وإنْ لم يلتفت إليها تفصيلاً؛ وهي خمسة كما تقدمت الإشارة إليها في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الحكومة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التخصص</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موارد التزاحم فإنَّ التقدم إنَّما يكون بمناط الأقوائية في الملاك على ما تقدم تفصيله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اختلفوا في وجه تقديم الأمارة على الأصول؛</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بملاك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بملاك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الأصول مجعولة في ظرف الحيرة المحضة والشك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منتفيان مع وجود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لا ثمرة عملية في البين؛ سواء كان التقدم من أجل الورود أو الحكومة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للإطناب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بعض الكلام فيما تقدم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التخصيص عبارة عن الخروج الحكمي عن دليل العام مع كونه من أفراده موضوعاً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والتخصّص عبارة عن الخروج الموضوعي تكويناً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والورود عبارة عن الخروج الموضوعي بعناية التعبد أو بناء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والحكومة عبارة عن كون دليل الحاكم مفسراً وشارحاً لدليل المحكوم؛ توسعة أو تضيقاً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هما معا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يفرق بين التخصيص والحكومة بأنَّ الثاني من شؤون المعنى أولاً وبالذات بخلاف التخصيص؛ فإنَّه من شؤون الألفاظ في المحاورات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والجمع العرفي عبارة عن الجمع بين الدليلين بما يقتضيه الطبع السليم ويرتضيه الذوق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تضبطه ضابطة كلية بل يختلف باختلاف الموارد</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يقع البحث في بعض القواعد الفقهية التي تتقدم على الإستصحاب فيها</w:t>
      </w:r>
      <w:r>
        <w:rPr>
          <w:rFonts w:eastAsia="Amiri" w:cs="Amiri" w:ascii="Amiri" w:hAnsi="Amiri"/>
          <w:color w:val="111111"/>
          <w:sz w:val="28"/>
          <w:szCs w:val="28"/>
          <w:rtl w:val="true"/>
          <w:lang w:bidi="ar-SA"/>
        </w:rPr>
        <w:t xml:space="preserve">. </w:t>
      </w:r>
      <w:bookmarkStart w:id="44" w:name="pg15367_180620"/>
    </w:p>
    <w:p>
      <w:pPr>
        <w:pStyle w:val="Heading3"/>
        <w:numPr>
          <w:ilvl w:val="2"/>
          <w:numId w:val="1"/>
        </w:numPr>
        <w:rPr/>
      </w:pPr>
      <w:bookmarkStart w:id="45" w:name="__RefHeading___Toc5900502_2142443653"/>
      <w:bookmarkStart w:id="46" w:name="_Toc16"/>
      <w:bookmarkEnd w:id="44"/>
      <w:bookmarkEnd w:id="45"/>
      <w:r>
        <w:rPr>
          <w:rtl w:val="true"/>
        </w:rPr>
        <w:t>قاعدة التجاوز والفراغ</w:t>
      </w:r>
      <w:bookmarkEnd w:id="46"/>
    </w:p>
    <w:p>
      <w:pPr>
        <w:pStyle w:val="Heading4"/>
        <w:numPr>
          <w:ilvl w:val="3"/>
          <w:numId w:val="1"/>
        </w:numPr>
        <w:rPr/>
      </w:pPr>
      <w:bookmarkStart w:id="47" w:name="__RefHeading___Toc5900504_2142443653"/>
      <w:bookmarkStart w:id="48" w:name="_Toc17"/>
      <w:bookmarkEnd w:id="47"/>
      <w:r>
        <w:rPr>
          <w:rtl w:val="true"/>
        </w:rPr>
        <w:t>اشارة</w:t>
      </w:r>
      <w:bookmarkEnd w:id="48"/>
    </w:p>
    <w:p>
      <w:pPr>
        <w:pStyle w:val="BookText"/>
        <w:rPr/>
      </w:pPr>
      <w:r>
        <w:rPr>
          <w:rFonts w:ascii="Amiri" w:hAnsi="Amiri" w:eastAsia="Amiri" w:cs="Amiri"/>
          <w:color w:val="111111"/>
          <w:sz w:val="28"/>
          <w:sz w:val="28"/>
          <w:szCs w:val="28"/>
          <w:rtl w:val="true"/>
          <w:lang w:bidi="ar-SA"/>
        </w:rPr>
        <w:t>والكلام فيها يقع ضمن مباحث</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900506_2142443653"/>
      <w:bookmarkStart w:id="50" w:name="_Toc18"/>
      <w:bookmarkEnd w:id="49"/>
      <w:r>
        <w:rPr>
          <w:rtl w:val="true"/>
        </w:rPr>
        <w:t>المبحث الأول</w:t>
      </w:r>
      <w:r>
        <w:rPr>
          <w:rtl w:val="true"/>
        </w:rPr>
        <w:t xml:space="preserve">: </w:t>
      </w:r>
      <w:r>
        <w:rPr>
          <w:rtl w:val="true"/>
        </w:rPr>
        <w:t>في كون القاعدة من المسائل الأصولية أو القواعد الفقهية</w:t>
      </w:r>
      <w:r>
        <w:rPr>
          <w:rtl w:val="true"/>
        </w:rPr>
        <w:t>.</w:t>
      </w:r>
      <w:bookmarkEnd w:id="50"/>
    </w:p>
    <w:p>
      <w:pPr>
        <w:pStyle w:val="BookText"/>
        <w:rPr/>
      </w:pPr>
      <w:r>
        <w:rPr>
          <w:rFonts w:ascii="Amiri" w:hAnsi="Amiri" w:eastAsia="Amiri" w:cs="Amiri"/>
          <w:color w:val="111111"/>
          <w:sz w:val="28"/>
          <w:sz w:val="28"/>
          <w:szCs w:val="28"/>
          <w:rtl w:val="true"/>
          <w:lang w:bidi="ar-SA"/>
        </w:rPr>
        <w:t>قد عرفت أنَّ الأصول تارةً؛ تكون تنزيلية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لا تكون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والأخير لا مصير إليه في المقام بلا ريب ولا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فالإحتمال يدور بين كونها من الأصول التنزيلية وبين كونها قاعدة 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وتقدم آنفاً أنَّ الميزان في معرفة المسألة الأصولية والتمييز بينها وبين القاعدة الفقهية من وجهين؛ كِلاهما متوفر في هذه القاعدة؛</w:t>
      </w:r>
    </w:p>
    <w:p>
      <w:pPr>
        <w:pStyle w:val="BookText"/>
        <w:rPr/>
      </w:pPr>
      <w:r>
        <w:rPr>
          <w:rFonts w:ascii="Amiri" w:hAnsi="Amiri" w:eastAsia="Amiri" w:cs="Amiri"/>
          <w:color w:val="111111"/>
          <w:sz w:val="28"/>
          <w:sz w:val="28"/>
          <w:szCs w:val="28"/>
          <w:rtl w:val="true"/>
          <w:lang w:bidi="ar-SA"/>
        </w:rPr>
        <w:t>أمّا الوجه الأول؛ فهي حكم كلي فرعي حصلت من نتيجة المسألة الأصولية كحجية الخبر الواحد وحجية الظواهر وغيرها بعد ضم صغراها إليها وهي عدم الاعتناء بالشك إذا كان بعد الفراغ من العمل أو التجاوز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انضم إلى ذلك صغراه انتج حكماً جزئياً وهو عدم اعتناء المكلف الخاص بشكه في عمله بعد الفراغ والتجاوز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الثاني؛ فلأنَّ المكلف يحق له الرجوع إلى هذه القاعدة وتطبيقها على عمله الذي يشك فيه فلا يعتني بشكّه بعد الفراغ أو بعد التجاوز عن المحل ولا حاجة للرجوع إلى المجتهد؛ فلا اشكال في كونها من القواعد الفقهية وليست من المسائل الأصولية</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5900508_2142443653"/>
      <w:bookmarkStart w:id="52" w:name="_Toc19"/>
      <w:bookmarkEnd w:id="51"/>
      <w:r>
        <w:rPr>
          <w:rtl w:val="true"/>
        </w:rPr>
        <w:t>المبحث الثاني</w:t>
      </w:r>
      <w:r>
        <w:rPr>
          <w:rtl w:val="true"/>
        </w:rPr>
        <w:t xml:space="preserve">: </w:t>
      </w:r>
      <w:r>
        <w:rPr>
          <w:rtl w:val="true"/>
        </w:rPr>
        <w:t>في كون هذه القاعدة من الأمارات الحاكمة على الأصول مطلقاً</w:t>
      </w:r>
      <w:bookmarkEnd w:id="52"/>
    </w:p>
    <w:p>
      <w:pPr>
        <w:pStyle w:val="BookText"/>
        <w:rPr/>
      </w:pPr>
      <w:r>
        <w:rPr>
          <w:rFonts w:ascii="Amiri" w:hAnsi="Amiri" w:eastAsia="Amiri" w:cs="Amiri"/>
          <w:color w:val="111111"/>
          <w:sz w:val="28"/>
          <w:sz w:val="28"/>
          <w:szCs w:val="28"/>
          <w:rtl w:val="true"/>
          <w:lang w:bidi="ar-SA"/>
        </w:rPr>
        <w:t>ومنها الإستصحاب كما اختاره 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في المباحث السابقة من أنَّ أمارية كلّ أمارة إنَّما تتحقق فيما إذا كان فيها جهة كشف 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الشارع لم يلغِ هذه الجهة بل اعتنى بها واعتبرها كشفاً تاماً وإنْ لم </w:t>
      </w:r>
    </w:p>
    <w:p>
      <w:pPr>
        <w:pStyle w:val="BookText"/>
        <w:rPr/>
      </w:pPr>
      <w:r>
        <w:rPr>
          <w:rFonts w:ascii="Amiri" w:hAnsi="Amiri" w:eastAsia="Amiri" w:cs="Amiri"/>
          <w:color w:val="111111"/>
          <w:sz w:val="28"/>
          <w:sz w:val="28"/>
          <w:szCs w:val="28"/>
          <w:rtl w:val="true"/>
          <w:lang w:bidi="ar-SA"/>
        </w:rPr>
        <w:t>يكن كذلك تكويناً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القطع؛ ولذلك يكون احتمال الخلاف فيها موجوداً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الملاك موجود في هذه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فيها كشف وطريقية لوجود العمل التام الصحيح بعد الفراغ في مورد قاعدته أو وجود الجزء المشكوك بعد تجاوز محله في مورد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جملة من الأخبار الواردة فيها كالتعليل الوارد في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ظاهر في الأمارية بلحاظ الكشف عن وجود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ويترتب على القول بكونها من الأمارات اعتبار مثبتاتها فيترتب عليها لوازمها العقلية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إذا شك في وقوع الصلاة مع الطهارة بعد الفراغ وحكمنا بمقتضى هذه القاعدة صحة الصلاة واقترانها مع الطهارة؛ كان لازمها عقلاً ثبوت الطهارة حتى بالنسبة إلى الأعمال اللاحقة فيجوز الشروع في صلاة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أنَّ هذه القاعدة من الأصول العملية تثبت وظائف مقررة للشاك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بالأخبار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ألسنتها مختلفة؛ ففي بعض تلك الأخبار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31"/>
      </w:r>
      <w:r>
        <w:rPr>
          <w:rFonts w:ascii="Amiri" w:hAnsi="Amiri" w:eastAsia="Amiri" w:cs="Amiri"/>
          <w:color w:val="111111"/>
          <w:sz w:val="28"/>
          <w:sz w:val="28"/>
          <w:szCs w:val="28"/>
          <w:rtl w:val="true"/>
          <w:lang w:bidi="ar-SA"/>
        </w:rPr>
        <w:t>وفي بعضها الحكم بأنَّه 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فَشَكُّكَ لَيْسَ بِشَيْ‌ءٍ</w:t>
      </w:r>
      <w:r>
        <w:rPr>
          <w:rFonts w:eastAsia="Amiri" w:cs="Amiri" w:ascii="Amiri" w:hAnsi="Amiri"/>
          <w:color w:val="111111"/>
          <w:sz w:val="28"/>
          <w:szCs w:val="28"/>
          <w:rtl w:val="true"/>
          <w:lang w:bidi="ar-SA"/>
        </w:rPr>
        <w:t>)</w:t>
      </w:r>
      <w:r>
        <w:rPr>
          <w:rStyle w:val="FootnoteAnchor"/>
          <w:rtl w:val="true"/>
        </w:rPr>
        <w:footnoteReference w:id="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هذه العبارات على اختلافها أنَّها تدلُّ على الجري العملي ولا يمكن إثبات الأمارية بها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حجية هذه القاعدة إنْ كانت بحسب الأخبار وكونها من القواعد التعبدية فلا بُدَّ من الرجوع إلى الأخبار واستفادة أحد الأمرين من الأمارية والأصل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ألسنة الأخبار فيها مختلفة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قلنا بأنَّ هذه القاعدة من القواعد العقلائية وحجيتها من باب بناء العقلاء على صحة المركب الذي يصدر منهم إذا شكوا في إتيانه كاملاً بعد 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شكوا في إتيان جزء بعد التجاوز عن المحل والشارع كشف عنها كما هو كذلك في جملة من القواعد الفقيهة كما هو الحق الذي ينبغي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العمل المركب الذي يصدر من كل عاقل فإنَّ إرادته تتعلق بإيجاد تمام أجزائه وشروطه وجميع خصوصياته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عمل يصدر منه مطابق لهذه الإرادة الجامعة وبعيد جداً أنْ يأتي بعمل خلاف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فالإخلال الحاصل في العمل؛ إمّا أنْ يكون عمدياً بأنْ تتعلق إرادته بترك العمل عمداً وهو خلف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إرادته تتعلق بإتيان بعض الأجزاء أو الشرائط وإتيان بعض الموانع وهذا أيضاً خلف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وإمّا أنْ يكون الترك لبعض الأجزاء أو الشرائط أو إتيان بعض الموانع عن غفلة أو نسيان بعدما تعلقت إرادته بإتيان العمل المركب جامعاً لجميع ما يعتبر فيه وجوداً وعمداً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وبما أنَّ الغفلة والنسيان حالتان عارضتان على الإنسان وهي على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ظاهر حال كلّ من يشتغل بالعمل الإلتفات إلى خصوصياته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والخروج عن ذلك خلاف الطبع الأولي؛ فانعقد بناء العقلاء على أصالة عدم الغفلة والنسيان عند الشك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يصح القول بأنَّ هذه القاعدة من صغريات أصالة عدم السهو والخطأ والغفلة والبقاء على الإرادة الإجمالية الإرتكازية الكامنة في النفس عند إرادة إتيان العمل المتدرج في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الأخبار تقريراً لذلك فلا يستفاد التعبدية المحضة منها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وعليه؛ فمِّا ورد في بعض أخبار هذه القاعدة كقول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حِينَ يَتَوَضَّأُ أَذْكَرُ مِنْهُ حِينَ يَشُكُّ</w:t>
      </w:r>
      <w:r>
        <w:rPr>
          <w:rFonts w:eastAsia="IRNazanin" w:cs="IRNazanin"/>
          <w:color w:val="111111"/>
          <w:sz w:val="28"/>
          <w:szCs w:val="28"/>
          <w:rtl w:val="true"/>
          <w:lang w:bidi="fa-IR"/>
        </w:rPr>
        <w:t>)</w:t>
      </w:r>
      <w:r>
        <w:rPr>
          <w:rStyle w:val="FootnoteAnchor"/>
          <w:rtl w:val="true"/>
        </w:rPr>
        <w:footnoteReference w:id="33"/>
      </w:r>
      <w:r>
        <w:rPr>
          <w:rFonts w:ascii="Amiri" w:hAnsi="Amiri" w:eastAsia="Amiri" w:cs="Amiri"/>
          <w:color w:val="111111"/>
          <w:sz w:val="28"/>
          <w:sz w:val="28"/>
          <w:szCs w:val="28"/>
          <w:rtl w:val="true"/>
          <w:lang w:bidi="ar-SA"/>
        </w:rPr>
        <w:t>إنَّما هو إرشاد إلى هذا المرتكز العقلائي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يستفاد منه التعبدية</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المحضة كما ذكره بعضهم</w:t>
      </w:r>
      <w:r>
        <w:rPr>
          <w:rFonts w:eastAsia="Amiri" w:cs="Amiri" w:ascii="Amiri" w:hAnsi="Amiri"/>
          <w:color w:val="111111"/>
          <w:sz w:val="28"/>
          <w:szCs w:val="28"/>
          <w:rtl w:val="true"/>
          <w:lang w:bidi="ar-SA"/>
        </w:rPr>
        <w:t xml:space="preserve">. </w:t>
      </w:r>
      <w:bookmarkStart w:id="53" w:name="pg15367_180626"/>
    </w:p>
    <w:p>
      <w:pPr>
        <w:pStyle w:val="BookText"/>
        <w:rPr/>
      </w:pPr>
      <w:bookmarkEnd w:id="53"/>
      <w:r>
        <w:rPr>
          <w:rFonts w:ascii="Amiri" w:hAnsi="Amiri" w:eastAsia="Amiri" w:cs="Amiri"/>
          <w:color w:val="111111"/>
          <w:sz w:val="28"/>
          <w:sz w:val="28"/>
          <w:szCs w:val="28"/>
          <w:rtl w:val="true"/>
          <w:lang w:bidi="ar-SA"/>
        </w:rPr>
        <w:t>لكن هذا المعنى المستفاد من بناء العقلاء هو بنفسه كاشف عن تمامية العمل وعدم الإخلال فيه والأخبار على اختلاف ألسنتها ترشد إلى هذا الكشف أيضاً؛ سواء كان لسانها الجري العملي أو لسانها الكشف عن وجود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الجري العملي إنَّما هو على طريق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ثمرة عليه علمية تترتب على هذا البحث من كون القاعدة أمارة أو من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إشكال في تقديم هذه القاعدة على الأصول التنزيلية كالإستصحاب فضلاً عن غير التنزيلية التي هي مقدمة عليها على كلِّ حال، سواء قلنا بأنَّها أصلاً عملياً أم 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كونها من الأصول التنزيلية فإنَّه لا بُدَّ من تقديمها على الإستصحاب وإلا استلزم لغوية جعلها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ترتيب اللوازم عليها؛ إذا قلنا بأنَّها أمارة فقد سبق الكلام في أنَّه لا كلية لمقولة حجية الأمارة في مثبتاتها وعدم حجية الأصل في مثبتاته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دليل عليها ولا أصل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يدور اعتبار المثبتات مدار الدلالات العرفية المعتبرة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وجودها تكون المثبتات 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فمع عدمها أو الشك فيها فلا اعتبار في المثبتات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هذه الدلالة العرفية موجودة في الإخباريات والحكايات لقيام السيرة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لما ذكره المحقق الخرساني قدس سره </w:t>
      </w:r>
      <w:r>
        <w:rPr>
          <w:rStyle w:val="FootnoteAnchor"/>
          <w:rtl w:val="true"/>
        </w:rPr>
        <w:footnoteReference w:id="34"/>
      </w:r>
      <w:r>
        <w:rPr>
          <w:rFonts w:ascii="Amiri" w:hAnsi="Amiri" w:eastAsia="Amiri" w:cs="Amiri"/>
          <w:color w:val="111111"/>
          <w:sz w:val="28"/>
          <w:sz w:val="28"/>
          <w:szCs w:val="28"/>
          <w:rtl w:val="true"/>
          <w:lang w:bidi="ar-SA"/>
        </w:rPr>
        <w:t>من أنَّ الإخبار عن الملزوم إخبار عن لازمه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يرجعان إلى الدلالات العرفية فلا وجه للإشكال عليهما وتقدم تفصيل الكلام فيه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5900510_2142443653"/>
      <w:bookmarkStart w:id="55" w:name="_Toc20"/>
      <w:bookmarkEnd w:id="54"/>
      <w:r>
        <w:rPr>
          <w:rtl w:val="true"/>
        </w:rPr>
        <w:t>المبحث الثالث</w:t>
      </w:r>
      <w:r>
        <w:rPr>
          <w:rtl w:val="true"/>
        </w:rPr>
        <w:t xml:space="preserve">: </w:t>
      </w:r>
      <w:r>
        <w:rPr>
          <w:rtl w:val="true"/>
        </w:rPr>
        <w:t>في أنَّهما قاعدتان أو قاعدة واحدة</w:t>
      </w:r>
      <w:r>
        <w:rPr>
          <w:rtl w:val="true"/>
        </w:rPr>
        <w:t>.</w:t>
      </w:r>
      <w:bookmarkEnd w:id="55"/>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ريب في أنَّ قاعدة الفراغ لها من العموم بحيث تجري في جميع أبواب الفقه من العبادات كالصلاة والطهارات والحج وغيرها، والمعاملات بالمعنى الأخص كالعقود والإيقاعات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والمعاملات بالمعنى الأعم كالتطهير ونحوه؛ فهي من هذه الجهة مثل أصالة الصحة في فعل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التجاوز فقد اختلفوا في عمومها فذهب الشيخ الأنصاري قدس سره </w:t>
      </w:r>
      <w:r>
        <w:rPr>
          <w:rStyle w:val="FootnoteAnchor"/>
          <w:rtl w:val="true"/>
        </w:rPr>
        <w:footnoteReference w:id="35"/>
      </w:r>
      <w:r>
        <w:rPr>
          <w:rFonts w:ascii="Amiri" w:hAnsi="Amiri" w:eastAsia="Amiri" w:cs="Amiri"/>
          <w:color w:val="111111"/>
          <w:sz w:val="28"/>
          <w:sz w:val="28"/>
          <w:szCs w:val="28"/>
          <w:rtl w:val="true"/>
          <w:lang w:bidi="ar-SA"/>
        </w:rPr>
        <w:t>إلى العموم فتجري في جميع أبواب الفقه، ولكن خرج عن هذا العموم الوضوء بالنص الصريح الدالّ على الإعتناء بالشك في الأثناء، وألحق به التيمم والغسل بالإجماع أو المناط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المحققالنائيني قدس سره </w:t>
      </w:r>
      <w:r>
        <w:rPr>
          <w:rStyle w:val="FootnoteAnchor"/>
          <w:rtl w:val="true"/>
        </w:rPr>
        <w:footnoteReference w:id="36"/>
      </w:r>
      <w:r>
        <w:rPr>
          <w:rFonts w:ascii="Amiri" w:hAnsi="Amiri" w:eastAsia="Amiri" w:cs="Amiri"/>
          <w:color w:val="111111"/>
          <w:sz w:val="28"/>
          <w:sz w:val="28"/>
          <w:szCs w:val="28"/>
          <w:rtl w:val="true"/>
          <w:lang w:bidi="ar-SA"/>
        </w:rPr>
        <w:t>إلى انها تختص بباب الصلاة، وقد خرجت الطهارات الثلاث بالتخصص فقط لا بالتخصيص، ولم يستشكل أحد في عدم جريان قاعدة التجاوز في الطهارات الثلاث إما تخصيصاً أو تخصصاً واعتبروا أنّ ذلك يرجع إلى كونها قاعدة واحدة أو قاعدتان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استدل على اختلافهما وأنهما قاعدتان بأمور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المجعول في كل منهما مغاير للمجعول في الآخر؛ فإنّ التعبد في قاعدة التجاوز إنَّما يكون بأصل وجود المشكوك بنحو مفاد كان التامة، بينما في مورد قاعدة الفراغ يكون الوجود مفروغاً عنه بالتعبد بصحة الموجود وتماميته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بنحو مفاد كان الناقصة فلا يمكن الجمع بينهما في دليل واحد لأنّ التعبد في قاعدة الفراغ قد تعلق بصحة المشكوك بعد كونه مفروض الوجود، وفي قاعدة التجاوز إنّ التعبد تعلّق بأصل وجوده بعد فرض عدمه، وفرض الوجود وفرض العدم متنافيان لا يمكن الجمع بينهما في دليل واحد، فتكون الكبرى المجعولة من قبل الشارع في قاعدة الفراغ غير الكبرى المجعولة في قاعدة التجاوز، ولا يمكن جمعهما في استعمال واحد إلا بناءً على جواز استعمال اللفظ في أكثر من معنى، وهو 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وردّه المحقق الأنصاري قدس سره من أنّ المشكوك في كلا الموردين هو الوجود بمفاد كان التامة؛ غايته أنه في قاعدة التجاوز هو وجود الجزء، وفي قاعدة الفراغ هو وجود المجموع المركب فترجع قاعدة الفراغ إلى مفاد كان التامة بالقول بأنها ترجع إلى التعبد بوجود الصحيح لا التعبد بصحة الموجود حتى يكون مفاد كان الناقصة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قد جعل الصحة قيداً للموضوع لا للمحمول، فيكون المحمول هو الوجود المطلق، فيكون مفاد كان التامة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ونقول عند الشك في صحة العمل الذي فرغ عنه العمل الصحيح وجد فتكون الكبرى المجعولة معنىً واحد في القاعدتين وهي التعبد بوجود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التجاوز الوارد في الأخبار في قاعدة الفراغ ذات الشيء ونفسه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قاعدة التجاوز محله، ولا 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فإرجاع قاعدة الفراغ إلى الشك في وجود المركب من حيث المجموع وأنّ التعبّد فيها بوجود العمل الصحيح الجامع للشرائط خلاف ظاهر دليلها، فإنّ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فَأَمْضِهِ ولَا إِعَادَةَ عَلَيْكَ فِيهِ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ظاهر في كونأصل العمل مفروغاً عنه، وأنّ التعبد قد تعلق بصحته بخلاف دليل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واردة في أنّ ظاهر الشك في أصل وجود الشيء</w:t>
      </w:r>
    </w:p>
    <w:p>
      <w:pPr>
        <w:pStyle w:val="BookText"/>
        <w:rPr/>
      </w:pPr>
      <w:r>
        <w:rPr>
          <w:rFonts w:ascii="Amiri" w:hAnsi="Amiri" w:eastAsia="Amiri" w:cs="Amiri"/>
          <w:color w:val="111111"/>
          <w:sz w:val="28"/>
          <w:sz w:val="28"/>
          <w:szCs w:val="28"/>
          <w:rtl w:val="true"/>
          <w:lang w:bidi="ar-SA"/>
        </w:rPr>
        <w:t>وأنّ التعبّد قد تعلق بأصل وجوده وتحققه، وإرجاع الأول إلى الثاني بعيد جداً</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التعبّد بوجود الصحيح لا يثبت صحة الموجود إلا بناءً على القول بالأصل المثبت لأنّ الأثر مترتب على صحة الموجود لا على الوجود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قد يقال بأنه يكفي في سقوط الأمر وتحقق الإمتثال بالتعبد بوجود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إن تمّ فإنما يتمّ في العبادات لأنّ الأثر يترتب فيها على التعبد بوجود طبيعي العمل المأمور به في 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 غرضه في العبادات هو تحصيل المؤمّن من العقاب فراراً من الإشتغال اليقيني وهو يحصل بذلك، وأما في المعاملات فلا يتمّ ذلك لأنّ الأثر في المعاملات لا يترتب على وجود طبيعي المعاملة خارجاً، بل هو مترتب على صحة المعاملة الشخصية الموجودة في الخارج بعد الفراغ عن كونها موجودة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هذه القاعدة من الأمارات وقلنا بحجيتها في مثبتاتها لا يبقى وجه لهذا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متعلق الشك في قاعدة التجاوز هو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قاعدة الفراغ هو الكل، ولاجامع بين الجزء والكل في عالم اللحاظ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لحاظ الجزء شيئاً بحيال ذاته لا يكون إلا في الرتبة السابقة على 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الأجزاء والكل نسبة العلية والمعلولية فيكون للأجزاء تقدم على الكل في الرتبة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شيئية الأجزاء مندكّة في شيئية الكل؛ ففي مرتبة لحاظ الكل شيئاً لا يمكن لحاظ الجزء شيئاً، إذ لا شيئية له في تلك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لحاظ شيئية الجزء وشيئية الكل في مرتبة واحدة؛ وفي مرتبة لحاظ شيئية الجزء لا كلَّ في البين حتى يلاحظ له شيئية، وفي مرتبة لحاظ شيئية الكل لا شيئية للجزء لأنَّها مندكة في شيئية الكل، فالجمع بينهما في لحاظ واحد غير ممكن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أجيب عن الإيرادات الثلاثة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فإنَّه وإن ذكر بعضهم بأنه متين جداً باعتبار كونه خلاف ظاهر الدليل فيها، ولكن يمكن الجواب عنه بأنّ التجاوز عن الشيء كما يصدق بالتجاوز عن نفسه والمضي </w:t>
      </w:r>
    </w:p>
    <w:p>
      <w:pPr>
        <w:pStyle w:val="BookText"/>
        <w:rPr/>
      </w:pPr>
      <w:r>
        <w:rPr>
          <w:rFonts w:ascii="Amiri" w:hAnsi="Amiri" w:eastAsia="Amiri" w:cs="Amiri"/>
          <w:color w:val="111111"/>
          <w:sz w:val="28"/>
          <w:sz w:val="28"/>
          <w:szCs w:val="28"/>
          <w:rtl w:val="true"/>
          <w:lang w:bidi="ar-SA"/>
        </w:rPr>
        <w:t>عنه كذلك يصدق بالتجاوز عن محله الذي عيّنه له الشارع للإطلاق الوارد في الأخبار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أورد عليه المحقق النائيني قدس سره </w:t>
      </w:r>
      <w:r>
        <w:rPr>
          <w:rStyle w:val="FootnoteAnchor"/>
          <w:rtl w:val="true"/>
        </w:rPr>
        <w:footnoteReference w:id="39"/>
      </w:r>
      <w:r>
        <w:rPr>
          <w:rFonts w:ascii="Amiri" w:hAnsi="Amiri" w:eastAsia="Amiri" w:cs="Amiri"/>
          <w:color w:val="111111"/>
          <w:sz w:val="28"/>
          <w:sz w:val="28"/>
          <w:szCs w:val="28"/>
          <w:rtl w:val="true"/>
          <w:lang w:bidi="ar-SA"/>
        </w:rPr>
        <w:t>بأنّ متعلق التجاوز في قاعدة الفراغ أيضاً محل الجزء المشكوك وجوده لأنّ الشك في صحة العمل المركب بعد الفراغ عنهمسبب أيضاً عن وجود ذلك الجزء المشكوك الموجود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هذا الشك المسببي إنَّما يكون بعد التجاوز عن محل ذلك الجزء المشكوك الوجود</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مضافاً إلى أنه يستلزم الإستخدام في ضمير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فإنّ المراد من الشيء نفس المركب، ومن الضمير 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الجزء المشكوك في وجوده، وهو معنى الإستخدام، وهو خلاف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إنه بناءً على هذا الكلام يلزم رجوع قاعدة الفراغ إلى قاعدة التجاوز، بل إنكار قاعدة الفراغ بالمرة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والصحيح في الجواب عن هذا الإيراد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إطلاق قول أبي جعفر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شَكَكْتَ فِيهِ مِمَّا قَدْ مَضَى فَامْضِهِ كَمَا هُوَ</w:t>
      </w:r>
      <w:r>
        <w:rPr>
          <w:rFonts w:eastAsia="IRNazanin" w:cs="IRNazanin"/>
          <w:color w:val="111111"/>
          <w:sz w:val="28"/>
          <w:szCs w:val="28"/>
          <w:rtl w:val="true"/>
          <w:lang w:bidi="fa-IR"/>
        </w:rPr>
        <w:t>)</w:t>
      </w:r>
      <w:r>
        <w:rPr>
          <w:rStyle w:val="FootnoteAnchor"/>
          <w:rtl w:val="true"/>
        </w:rPr>
        <w:footnoteReference w:id="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وإطلاق قول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فَأَمْضِهِ ولَا إِعَادَةَ عَلَيْكَ فِيهِ</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يشمل كلتا القاعدتين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43"/>
      </w:r>
      <w:r>
        <w:rPr>
          <w:rFonts w:ascii="Amiri" w:hAnsi="Amiri" w:eastAsia="Amiri" w:cs="Amiri"/>
          <w:color w:val="111111"/>
          <w:sz w:val="28"/>
          <w:sz w:val="28"/>
          <w:szCs w:val="28"/>
          <w:rtl w:val="true"/>
          <w:lang w:bidi="ar-SA"/>
        </w:rPr>
        <w:t>إنَّما هو لبيان جريان القاعدة في أثناء العمل كجريانها بعد الفراغ، فلا يستفاد التعددية كما لا يستفاد التعبدية المحضة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 فيرد عليه بأنه ليس مراد الشيخ قدس سره من مفاد قاعدة الفراغ الذي هو التعبد بتحقق العمل الصحيح وجود طبيعي العمل خارجاً من أيّ فاعل؛ فإنَّه بناءً على هذا لا ينفع جريانها في العبادات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وجود طبيعي العمل المأمور به خارجاً ولو من غير المكلف لا يوجب أمنه من العقاب ولا فراغ ذمته، بل المراد وجود العمل الصحيح من شخص المكلف الشاكّ بلا فرق بين المعاملات والعبادات، فتجري في الأول كما تجري في الثاني</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الثالث؛ فيرد عليه بأنّ عالم اللحاظ وسيع جداً يصحّ اجتماع اللحاظ التبعي والإستقلالي فيه، بل في استعمال واحد وهو شائع في المحاورات، والأمر عادي عند الناس فإنّ كل متكلم تجتمع عنده اللحاظات في كلامه فإنّ أجزاء الكلام ملحوظة تبعاً وتمامها ملحوظ استقلالاً، وعلى فرض التنزّل فإنّ ما لا يمكن الجمع بينهما في لحاظ واحد هو الجزء بعنوان أنه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 بعنوان أنه كل، لا الجزء والكل بعنوان أنهما موجودان وشيئان كسائر الأشياء؛ فالجزء والكل شيء بعناية واحدة وهي أنهما موجودان، فالذي لا يمكن هو لحاظ الكل والجزء بعنوانهما الخاص في لحاظ واحد واستعمال واحد من لفظ واحد دون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المحقق النائيني قدس سره من الإيراد على كلام المحقق الأنصاري قدس سره غير تام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استدل به على تغاير القاعدتين ما ذكره المحقق النائيني قدس سره </w:t>
      </w:r>
      <w:r>
        <w:rPr>
          <w:rStyle w:val="FootnoteAnchor"/>
          <w:rtl w:val="true"/>
        </w:rPr>
        <w:footnoteReference w:id="44"/>
      </w:r>
      <w:r>
        <w:rPr>
          <w:rFonts w:ascii="Amiri" w:hAnsi="Amiri" w:eastAsia="Amiri" w:cs="Amiri"/>
          <w:color w:val="111111"/>
          <w:sz w:val="28"/>
          <w:sz w:val="28"/>
          <w:szCs w:val="28"/>
          <w:rtl w:val="true"/>
          <w:lang w:bidi="ar-SA"/>
        </w:rPr>
        <w:t>وغيره من انه لو كانت القاعدتان قاعدة واحدة استلزم لحاظ الجزء بلحاظ استقلالي وبلحاظ تبعي في دليل واحد وهو 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التعبد في قاعدة الفراغ إنَّما هو بتحقق المركب من حيث المجموع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قاعدة التجاوز بتحقق الجزء بما هو جزء فيلزم من الجمع بينهما بدليل واحد اجتماع اللحاظين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ما ذكرناه آنفاً من إمكان ذلك أن مقتضى الإطلاق هو الشك بعد التجاوز عنه سواء كان جزءً أو كلاً فلم تلحظ خصوصية المركب ولا خصوصية الجزء بما هو، فإنَّ كل ذلك ملغىً؛ لا سيما بعدما ذكرناه مكرراً من أن المراد من الإطلاق رفض القيود لا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موضوع الحكم المطلق هو الكلي الملغى عنه جميع الخصوصيات ففي المقام فإنّ موضوع الحكم ما شك فيه بعد التجاوز عنه؛ سواء كان كلاً أم جزءاً فلا يلزم الجمع بين اللحاظين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يورد على ذلك بأنَّ معنى التجاوز في قاعدة الفراغ حقيقي لا يحتاج إلى عناية لأنه الشك في الصحة بعد الفراغ عن العمل المركب، ولكن في مورد قاعدة التجاوز مجازي يحتاج إلى عناية لأن المشكوك فيها أصل وجود الجزء أو الشرط وهذه العناية؛ أما في الإسناد بأن يكون التجاوز مسنداً حقيقة إلى محل الجزء أو الشرط وأسند مسامحة إلى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اللفظ والإضمار والتقدير وكلاهما خلاف الأصل والقاعدة فالجمع بين إرادة المعنى الحقيقي والمجازي معاً في استعمال واحد غير صحيح فلا بُدَّ أن يكونا قاعدتين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الجواب عنه مِمّا تقدم وأما الجواب عنه بإمكان إرجاع الشك في صحة المركب إلى الشك في وجود الجزء أو الشرط وهو الذي يهتم به المكلف الذي يحصل به الإمتثال فيكون</w:t>
      </w:r>
    </w:p>
    <w:p>
      <w:pPr>
        <w:pStyle w:val="BookText"/>
        <w:rPr/>
      </w:pPr>
      <w:r>
        <w:rPr>
          <w:rFonts w:ascii="Amiri" w:hAnsi="Amiri" w:eastAsia="Amiri" w:cs="Amiri"/>
          <w:color w:val="111111"/>
          <w:sz w:val="28"/>
          <w:sz w:val="28"/>
          <w:szCs w:val="28"/>
          <w:rtl w:val="true"/>
          <w:lang w:bidi="ar-SA"/>
        </w:rPr>
        <w:t>التجاوز باعتبار محله فيكون إطلاقه بعناية في الجميع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فإنَّه قد عرفت الإشكال فيه بأنه يستلزم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الشك في شيء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أنه يستلزم إنكار قاعدة الفراغ رأساً</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أيضاً من أنه لو كانتا قاعدتين لا يلزم محذور، وإن كانتا قاعدة واحدة لزم التضاد في دليل قاعدة الفراغ فإن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فَأَمْضِهِ ولَا إِعَادَةَ عَلَيْكَ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بمنطوقه </w:t>
      </w:r>
    </w:p>
    <w:p>
      <w:pPr>
        <w:pStyle w:val="BookText"/>
        <w:rPr/>
      </w:pPr>
      <w:r>
        <w:rPr>
          <w:rFonts w:ascii="Amiri" w:hAnsi="Amiri" w:eastAsia="Amiri" w:cs="Amiri"/>
          <w:color w:val="111111"/>
          <w:sz w:val="28"/>
          <w:sz w:val="28"/>
          <w:szCs w:val="28"/>
          <w:rtl w:val="true"/>
          <w:lang w:bidi="ar-SA"/>
        </w:rPr>
        <w:t>يدل على عدم الإعتناء بالشك إذا كان بعد الفراغ، وبمفهومه يدل على الإعتناء به إذا كان قبل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فالشك في إتيان الجزء بعد التجاوز في الأثناء يكون مورداً للمفهوم فإنَّه بناءً على كونهما قاعدتين يكون دليل التجاوز وارداً في مورد المفهوم فيقدم عليه بالحكومة أو التخصيص فلا تدافع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كانتا قاعدة واحدة فالشك في الجزء أو الشرط في الأثناء يكون داخلاً تحت المنطوق والمفهوم باعتبارين؛ فمن حيث شمول الرواية للمركب يكون الشك في الجزء قبل المضيّ فلا بُدَّ من الإعتناء به بمقتضى المفهوم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حيث شمولها للشك في الجزء بعد تجاوز محله فلا بُدَّ من عدم الإعتناء به، فيلزم التدافع فلا بُدَّ أن تكونا قاعدتين دفعاً للمحذور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خلاف من أحد في تغاير موردهما واختصاص قاعدة الفراغ بما بعد العمل والتجاوز بالأثناء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تجري قاعدة الفراغ في الأثناء حتى يلزم التدافع والتناقض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ذلك لا يوجب تعددها بعد إمكان إدراجهما تحت عنوان كلي كما تقدم بيانه، وذلك لما عرفت من أنّ الدليل له من الإطلاق ما يشمل الشك في الشيء سواء كان جزءً أم كلاً، والمجموع المركب ومرجع الشك فيه هو الشك في وجود العمل الصحيح التام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حكم الشارع بإلغاء الشك والتعبد الشرعي بالصحة فلا يبقى مجال حينئذٍ للتهافت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استدلوا على تعدد القاعدتين بأمور أخرى مردودة، وقد عرفت عدم تمامية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ما ذكروه تطويل لا طائل تحته، فإنَّه لا ثمرة عملية بل ولا علمية معتدٌ بها من كونهما قاعدتين أو قاعدة واحدة إلا ما قيل من أنه مع الوحدة لا بُدَّ أن تجري قاعدة الفراغ في الأثناء في كل مورد تجري فيه قاعدة التجاوز، وأن تجري قاعدة التجاوز في الوضوء مع أنه لا قائل بذلك</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الوحدة أيضاً يكون لكل منهما خصوصية لدليل دلّ عليها بالخصوص، وذلك لا ينافي وحدة أصل الكبرى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والحاصل؛ إنه بناءً على كون القاعدتين من أفراد أصالة عدم السهو والغفلة والخطأ؛ فلا إشكال في وحدتهما كما لا يخفى، وكذا بناءً على كونهما من التعبديات المحضة لأنّ إطلاق قول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مَضَى مِنْ صَلَاتِكَ وطَهُورِكَ فَذَكَرْتَهُ تَذَكُّراً فَأَمْضِهِ ولَا إِعَادَةَ عَلَيْكَ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ورد لبيان جريان القاعدة في أثناء العمل أيضاً كجريانها بعد الفراغ، وليس في مقام تشريع قاعدتين مختلفتين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اشتراط الدخول في الغير في قاعدة التجاوز ففيه بحث يأتي الكلام فيه إنْ شاء الله تعالى</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أنه لا وجه لإرجاع الفراغ إلى قاعدة التجاوز، أو بالعكس فإنّ فيه من التكلّف 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إنّ المحقق النائيني قدس سره ذكر وجهاً آخر لإرجاع القاعدتين إلى قاعدة الفراغ بدعوى؛ أنّ المجعول هو التعبد بعدم الإعتناء بالشك إذا كان بعد الفراغ والتجاوز في المركب، ثم في خصوص باب الصلاة اعتبر الشارع الجزء بمنزلة الكل وجعل التجاوز عن محله بمنزلة التجاوز عنالمركب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فبالتعبد أوجد صغرى تعبدية لقاعدة الفراغ التي هي الشك بعد العمل المركب، ويمكن الإستدلال عليه بقوله علیه السلام في خبر ابن أبي يعفور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تشتمل على الأصل وهو عدم الإعتناء بالشك بعد الفراغ عن العمل المركب والعكس وهو الإعتناء به إذا كان قبل التجاوز عنه إلا أنّ صحيحة زرارة وغيرها تصرّح بعدم الإعتناء بالشك في أجزاء الصلاة في الأثناء بعد التجاوز عن محل الأجزاء، كما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w:t>
      </w:r>
    </w:p>
    <w:p>
      <w:pPr>
        <w:pStyle w:val="BookText"/>
        <w:rPr/>
      </w:pPr>
      <w:r>
        <w:rPr>
          <w:rFonts w:ascii="Amiri" w:hAnsi="Amiri" w:eastAsia="Amiri" w:cs="Amiri"/>
          <w:color w:val="111111"/>
          <w:sz w:val="28"/>
          <w:sz w:val="28"/>
          <w:szCs w:val="28"/>
          <w:rtl w:val="true"/>
          <w:lang w:bidi="ar-SA"/>
        </w:rPr>
        <w:t>اللَّهِ علیه السلام رَجُلٌ شَكَّ فِي الْأَذَانِ وقَدْ دَخَلَ فِي الْإِقَامَةِ؟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التَّكْبِيرِ وقَدْ قَرَأَ؟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الْقِرَاءَةِ وقَدْ رَكَعَ؟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فِي الرُّكُوعِ وقَدْ سَجَدَ؟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عَلَى صَلَاتِهِ؛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45"/>
      </w:r>
      <w:r>
        <w:rPr>
          <w:rFonts w:ascii="IRNazanin" w:hAnsi="IRNazanin" w:eastAsia="IRNazanin"/>
          <w:color w:val="111111"/>
          <w:sz w:val="28"/>
          <w:sz w:val="28"/>
          <w:szCs w:val="28"/>
          <w:rtl w:val="true"/>
          <w:lang w:bidi="fa-IR"/>
        </w:rPr>
        <w:t>فإنَّه علیه السلام جعل التجاوز عن محل الجزء كالتجاوز عن المجموع المركب في غير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يستفاد أنّ قاعدة التجاوز مرجعها إلى قاعدة الفراغ</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الملاك والكبرى في القاعدتين هو التجاوز، والمضيّ بعد الشك في الشيء سواء كان جزءاً أم مجموع المركب من هذه الناحية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عليه تجري قاعدة الفراغ في مورد جريان قاعدة التجاوز، وبالعكس وإن اختص الشك في أثناء العمل باسم قاعدة التجاوز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مجال لما ذكره السيد الخوئي قدس سره </w:t>
      </w:r>
      <w:r>
        <w:rPr>
          <w:rStyle w:val="FootnoteAnchor"/>
          <w:rtl w:val="true"/>
        </w:rPr>
        <w:footnoteReference w:id="46"/>
      </w:r>
      <w:r>
        <w:rPr>
          <w:rFonts w:ascii="Amiri" w:hAnsi="Amiri" w:eastAsia="Amiri" w:cs="Amiri"/>
          <w:color w:val="111111"/>
          <w:sz w:val="28"/>
          <w:sz w:val="28"/>
          <w:szCs w:val="28"/>
          <w:rtl w:val="true"/>
          <w:lang w:bidi="ar-SA"/>
        </w:rPr>
        <w:t>في الرد على المحقق النائيني قدس سره من جعل الملاك في قاعدة الفراغ وقاعدة التجاوز واحد وهو الشك في الصحة سواء كانت صحة مجموع</w:t>
      </w:r>
    </w:p>
    <w:p>
      <w:pPr>
        <w:pStyle w:val="BookText"/>
        <w:rPr/>
      </w:pPr>
      <w:r>
        <w:rPr>
          <w:rFonts w:ascii="Amiri" w:hAnsi="Amiri" w:eastAsia="Amiri" w:cs="Amiri"/>
          <w:color w:val="111111"/>
          <w:sz w:val="28"/>
          <w:sz w:val="28"/>
          <w:szCs w:val="28"/>
          <w:rtl w:val="true"/>
          <w:lang w:bidi="ar-SA"/>
        </w:rPr>
        <w:t>العمل بعد 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صحة الجزء بعد التجاوز عن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عنه مِمّا سبق فلا مانع ثبوتاً وإثباتاً من إرجاع القاعدتين إلى قاعدة واحدة</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وسيأتي مزيد توضيح عند ذكر الأخبار الواردة في المقام</w:t>
      </w:r>
      <w:r>
        <w:rPr>
          <w:rFonts w:eastAsia="Amiri" w:cs="Amiri" w:ascii="Amiri" w:hAnsi="Amiri"/>
          <w:color w:val="111111"/>
          <w:sz w:val="28"/>
          <w:szCs w:val="28"/>
          <w:rtl w:val="true"/>
          <w:lang w:bidi="ar-SA"/>
        </w:rPr>
        <w:t xml:space="preserve">. </w:t>
      </w:r>
      <w:bookmarkStart w:id="56" w:name="pg15367_180646"/>
    </w:p>
    <w:p>
      <w:pPr>
        <w:pStyle w:val="Heading4"/>
        <w:numPr>
          <w:ilvl w:val="3"/>
          <w:numId w:val="1"/>
        </w:numPr>
        <w:rPr/>
      </w:pPr>
      <w:bookmarkStart w:id="57" w:name="__RefHeading___Toc5900512_2142443653"/>
      <w:bookmarkStart w:id="58" w:name="_Toc21"/>
      <w:bookmarkEnd w:id="56"/>
      <w:bookmarkEnd w:id="57"/>
      <w:r>
        <w:rPr>
          <w:rtl w:val="true"/>
        </w:rPr>
        <w:t>المبحث الرابع</w:t>
      </w:r>
      <w:r>
        <w:rPr>
          <w:rtl w:val="true"/>
        </w:rPr>
        <w:t xml:space="preserve">: </w:t>
      </w:r>
      <w:r>
        <w:rPr>
          <w:rtl w:val="true"/>
        </w:rPr>
        <w:t>في ذكر الأخبار الواردة في الباب</w:t>
      </w:r>
      <w:bookmarkEnd w:id="58"/>
    </w:p>
    <w:p>
      <w:pPr>
        <w:pStyle w:val="BookText"/>
        <w:rPr/>
      </w:pPr>
      <w:r>
        <w:rPr>
          <w:rFonts w:ascii="Amiri" w:hAnsi="Amiri" w:eastAsia="Amiri" w:cs="Amiri"/>
          <w:color w:val="111111"/>
          <w:sz w:val="28"/>
          <w:sz w:val="28"/>
          <w:szCs w:val="28"/>
          <w:rtl w:val="true"/>
          <w:lang w:bidi="ar-SA"/>
        </w:rPr>
        <w:t>وهي كثيرة نذكر منها ما يلي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بسنده عن أبي يعفور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الشك في أثناء العمل، وقد ذكرنا سابقاً أنه لبيان جريان القاعدة في أثناء العمل، واصطلح عليه بقاعدة التجاوز فلا يستفاد منه التخصيص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أيضاً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وقَدْ دَخَلَ فِي الْإِقَامَةِ؟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والْإِقَامَةِ وقَدْ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التَّكْبِيرِ وقَدْ قَرَأَ؟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الْقِرَاءَةِ وقَدْ رَكَع؟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 فِي الرُّكُوعِ وقَدْ سَجَدَ؟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عَلَى صَلَاتِهِ؛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صدر الحديث يدل على كبرى كلية في الشك في الجزء والدخول في غيره، ولكن ذيله له من الإطلاق ما يشمل المضي عن العمل أيضاً فيكون الشك في الأثناء والشك بعد الفراغ من العمل على حدٍّ سواء، فهو في مقام بيان كبرى كلية تنطبق على كلا الموردين ولها من العموم ما يشمل الصلاة وغيرها إلا ما ذكره المحقق النائيني قدس سره من اختصاصه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بباب الصلاة، فتخرج سائر المركبات عن عمومها إما تخصصاً وإما تخصيصاً بلا فرق في ذلك بين الطهارات الثلاث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بأنه بناء على هذا </w:t>
      </w:r>
    </w:p>
    <w:p>
      <w:pPr>
        <w:pStyle w:val="BookText"/>
        <w:rPr/>
      </w:pPr>
      <w:r>
        <w:rPr>
          <w:rFonts w:ascii="IRNazanin" w:hAnsi="IRNazanin" w:eastAsia="IRNazanin"/>
          <w:color w:val="111111"/>
          <w:sz w:val="28"/>
          <w:sz w:val="28"/>
          <w:szCs w:val="28"/>
          <w:rtl w:val="true"/>
          <w:lang w:bidi="fa-IR"/>
        </w:rPr>
        <w:t xml:space="preserve">الكلام يلزم إنكار قاعدة التجاوز والإلتزام بجريان قاعدة الفراغ في خصوص أجزاء الصلاة دون سائر المركبات العبادية، وبالأحرى إنه التزم بأنّ هناك قاعدة واحدة وهي قاعدة الفراغ ولكنها لا تجري إلا في أجزاء الصلاة بواسطة التنزيل، وهو بعيد جداً عن سياق الحديث، بل يأباه الذوق السليم الذي يحكم بأنّ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الشك في شيء لم تجزه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من الإطلاق والعموم ما يشمل الصلاة وأجزائها وغيرها من العبادات من المركبات التي لأجزائها محل شرعي، فهو يبين أنّ المناط هو التجاوز عن المحل الشرعي، فلا وجه لتخصيصه بخصوص أجزاء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عدم جريانها في الطهارات الثلاث يكون لجهة أخرى كما سيأتي بيانه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ابْنِ بُكَيْرٍ 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له من الإطلاق ما يشمل الجزء والكل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بَعْدَمَا سَجَدَ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السُّجُودِ بَعْدَمَا قَامَ فَلْيَمْضِ؛ كُلُّ شَيْ‌ءٍ شَكَّ فِيهِ مِمَّا قَدْ جَاوَزَهُ ودَخَلَ فِي غَيْرِهِ فَلْيَمْضِ عَلَيْهِ</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وإنْ كان مختصاً بالتجاوز في أثناء العمل ولكن يصحّ أنْ يقال بأن ما ورد في الحديث تطبيق لتلك الكبرى الكلية التي دلّ عليها ما تقدم من الأخبار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أَشُكُّ وأَنَا سَاجِدٌ؛ فَلَا أَدْرِي رَكَعْتُ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رَكَعْتَ؛ امْضِهْ</w:t>
      </w:r>
      <w:r>
        <w:rPr>
          <w:rFonts w:eastAsia="Amiri" w:cs="Amiri" w:ascii="Amiri" w:hAnsi="Amiri"/>
          <w:color w:val="111111"/>
          <w:sz w:val="28"/>
          <w:szCs w:val="28"/>
          <w:rtl w:val="true"/>
          <w:lang w:bidi="ar-SA"/>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كسابقه في ذكره لبعض المصاديق، فلا يدل على الإختصاص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Style w:val="FootnoteAnchor"/>
          <w:rtl w:val="true"/>
        </w:rPr>
        <w:footnoteReference w:id="50"/>
      </w:r>
      <w:r>
        <w:rPr>
          <w:rFonts w:ascii="Amiri" w:hAnsi="Amiri" w:eastAsia="Amiri" w:cs="Amiri"/>
          <w:color w:val="111111"/>
          <w:sz w:val="28"/>
          <w:sz w:val="28"/>
          <w:szCs w:val="28"/>
          <w:rtl w:val="true"/>
          <w:lang w:bidi="ar-SA"/>
        </w:rPr>
        <w:t>الرَّجُلُ يَشُكُّ بَعْدَمَا يَتَوَضَّأُ؟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حِينَ يَتَوَضَّأُ أَذْكَرُ مِنْهُ حِينَ يَشُكُّ</w:t>
      </w:r>
      <w:r>
        <w:rPr>
          <w:rFonts w:eastAsia="Amiri" w:cs="Amiri" w:ascii="Amiri" w:hAnsi="Amiri"/>
          <w:color w:val="111111"/>
          <w:sz w:val="28"/>
          <w:szCs w:val="28"/>
          <w:rtl w:val="true"/>
          <w:lang w:bidi="ar-SA"/>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يدل على عدم جريان قاعدة التجاوز في الوضوء وإن جرت فيه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جملة من الأخبار، وهناك روايات أخرى لا تخلو عن نقاش في استفادة الكبرى الكلية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فيما ذكرناه غنىً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الأخبار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القاعدتين شرعاً بلا ريب ولا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وإن كانت ظاهرة في التعبدية، ولكن قد عرفت أنهما لو كانتا من صغريات أصالة عدم السهو والغفلة والخطأ فلا يمكن استفادة التعبدية المحضة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إستفادة الكبرى الكلية منها مع تطبيقها على بعض الصغريات في الصلاة وأجزائها؛ فإنّ لكلمة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الموثقتين معنى عام يشمل الجزء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الخروج والتجاوز لهما من الإطلاق ما يشملهما فيكون للتجاوز مصداقان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التجاوز عن محله الذي عيّن له الشارع، وبهذا الإعتبار يقال لها قاعدة التجاوز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والآخر؛ التجاوز عن نفسه بالفراغ عنه</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وبهذا الإعتبار يشمل قاعدة الفراغ، والجامع بينهما هو عنوان المضي والتجاوز الوارد في الروايات المتقدمة من دون أن يلزم محذور في البين</w:t>
      </w:r>
      <w:r>
        <w:rPr>
          <w:rFonts w:eastAsia="Amiri" w:cs="Amiri" w:ascii="Amiri" w:hAnsi="Amiri"/>
          <w:color w:val="111111"/>
          <w:sz w:val="28"/>
          <w:szCs w:val="28"/>
          <w:rtl w:val="true"/>
          <w:lang w:bidi="ar-SA"/>
        </w:rPr>
        <w:t xml:space="preserve">. </w:t>
      </w:r>
      <w:bookmarkStart w:id="59" w:name="pg15367_180651"/>
    </w:p>
    <w:p>
      <w:pPr>
        <w:pStyle w:val="BookText"/>
        <w:rPr/>
      </w:pPr>
      <w:bookmarkEnd w:id="59"/>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مفهوم الحصر في موثقة ابن أبي يعفور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التجاوز عن شيء، فعدم الشكّ يعني إلغاء الشارع له والتعبد بعدمه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حال الحديث حال سائر الأخبار الواردة من استفادة كبرى كلية؛ وهي عدم الإعتناء بالشك في كل شيء إذا تجاوز عنه سواء كان ذلك الشيء أحد أجزاء المركب أو نفسه، فلا فرق في حكم الشارع بعدم الإعتناء بالشك بعد التجاوز عن المشكوك والخروج عنه والدخول في غيره بأن يكون الخروج عن مجموع المركب وبين الخروج عن جزء من أجزاءه والدخول في غيره، وإن كان المراد من الخروج عن الجزء باعتبار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الأخبار لها من الظهور الذي يدركه كل من له ذوق مستقيم وطبع سليم في أنها تدل على قاعدة واحدة، وأنّ الكبرى التي بيّنتها الأخبار تنطبق على كلتا القاعدتين، فالأمر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بعضهم من أنّ دلالتها على كونهما قاعدتين لا شك فيه؛ لا وجه له، كما هو واضح مِمّا قدمناه</w:t>
      </w:r>
      <w:r>
        <w:rPr>
          <w:rFonts w:eastAsia="Amiri" w:cs="Amiri" w:ascii="Amiri" w:hAnsi="Amiri"/>
          <w:color w:val="111111"/>
          <w:sz w:val="28"/>
          <w:szCs w:val="28"/>
          <w:rtl w:val="true"/>
          <w:lang w:bidi="ar-SA"/>
        </w:rPr>
        <w:t>.</w:t>
      </w:r>
    </w:p>
    <w:p>
      <w:pPr>
        <w:pStyle w:val="Heading4"/>
        <w:numPr>
          <w:ilvl w:val="3"/>
          <w:numId w:val="1"/>
        </w:numPr>
        <w:rPr/>
      </w:pPr>
      <w:bookmarkStart w:id="60" w:name="__RefHeading___Toc5900514_2142443653"/>
      <w:bookmarkStart w:id="61" w:name="_Toc22"/>
      <w:bookmarkEnd w:id="60"/>
      <w:r>
        <w:rPr>
          <w:rtl w:val="true"/>
        </w:rPr>
        <w:t>المبحث الخامس</w:t>
      </w:r>
      <w:r>
        <w:rPr>
          <w:rtl w:val="true"/>
        </w:rPr>
        <w:t xml:space="preserve">: </w:t>
      </w:r>
      <w:r>
        <w:rPr>
          <w:rtl w:val="true"/>
        </w:rPr>
        <w:t>في معنى التجاوز والفراغ</w:t>
      </w:r>
      <w:bookmarkEnd w:id="61"/>
    </w:p>
    <w:p>
      <w:pPr>
        <w:pStyle w:val="BookText"/>
        <w:rPr/>
      </w:pPr>
      <w:r>
        <w:rPr>
          <w:rFonts w:ascii="Amiri" w:hAnsi="Amiri" w:eastAsia="Amiri" w:cs="Amiri"/>
          <w:color w:val="111111"/>
          <w:sz w:val="28"/>
          <w:sz w:val="28"/>
          <w:szCs w:val="28"/>
          <w:rtl w:val="true"/>
          <w:lang w:bidi="ar-SA"/>
        </w:rPr>
        <w:t>بعدما ظهر أنهما قاعدة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فالتجاوز المعتبر في قاعدة التجاوز الوارد في الروايات والفراغ المعتبر في قاعدة الفراغ يرجعان إلى معنى واحد وهو التجاوز عن المشكوك والدخول في غيره إلا أنّ لهذا المفهوم مصداقين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التجاوز عن نفس الشيء، بمعنى إتمام وجوده والمضي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مورد قاعدة الفراغ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مورد قاعدة التجاوز</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منهما جعل الشارع موضوع حكمه هو التعبد بعدم الإعتناء بالشك في هذين العنوانين اللذين كلاهما مصداقان حقيقيان لمفهوم التجاوز عن الشيء، ولم يستلزم من </w:t>
      </w:r>
    </w:p>
    <w:p>
      <w:pPr>
        <w:pStyle w:val="BookText"/>
        <w:rPr/>
      </w:pPr>
      <w:r>
        <w:rPr>
          <w:rFonts w:ascii="Amiri" w:hAnsi="Amiri" w:eastAsia="Amiri" w:cs="Amiri"/>
          <w:color w:val="111111"/>
          <w:sz w:val="28"/>
          <w:sz w:val="28"/>
          <w:szCs w:val="28"/>
          <w:rtl w:val="true"/>
          <w:lang w:bidi="ar-SA"/>
        </w:rPr>
        <w:t>هذا الإطلاق أي تجوّز وإضمار كما ذكره بعضهم مِمّا نبهنا عليه سابقاً، لأنّ التجاوز عن المحل الذي عيّنه الشارع لشيء يكون تجاوزاً عن ذلك الشيء حقيقة بأنّ كل عمل مركب شرعي ذي أجزاء؛ فإنّ أي جزء من أجزائه التدريجية في الوجود قد جعل الشارع لإيجاد أجزائها ترتيباً يكون كل جزء له محل شرعي لا يجوز تقديمه عليه ولا تأخيره عنه،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الفراغ في مورد قاعدة الفراغ على أنحاء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الواقعي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الإحرازي بوجه معتبر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الفراغ العرفي البنائي؛ بمعنى صدق عنوان الفراغ عن العمل ومضيّ المركب عرفاً، وهو يتحقق بما إذا كان المكلف يرى نفسه فارغاً فإذا رأى المصلي نفسه فارغاً عن الصلاة بعدما كان بانياً عليه بحسب حاله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الفراغ الحقيقي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من مجرد الإحتمال، لأنَّه يستلزم منه منافاته لتحقق الشك إذ لا يجتمعان حقيقة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فإنّ إرادته تحتاج إلى دليل وهو مفقود، مع أنه خلاف التسهيل والامتنان الذي تبتني عليه مثل هذه القواعد الإمتنانية، فيتعين الأخير</w:t>
      </w:r>
      <w:r>
        <w:rPr>
          <w:rStyle w:val="FootnoteAnchor"/>
          <w:rtl w:val="true"/>
        </w:rPr>
        <w:footnoteReference w:id="52"/>
      </w:r>
      <w:r>
        <w:rPr>
          <w:rFonts w:ascii="Amiri" w:hAnsi="Amiri" w:eastAsia="Amiri" w:cs="Amiri"/>
          <w:color w:val="111111"/>
          <w:sz w:val="28"/>
          <w:sz w:val="28"/>
          <w:szCs w:val="28"/>
          <w:rtl w:val="true"/>
          <w:lang w:bidi="ar-SA"/>
        </w:rPr>
        <w:t>الذي هو الموافق لسهولة الشريعة، ويوافق الفهم العرفي أيضاً فيشمل كل مورد يكون العامل بانياً بحسب حاله على الفراغ عنه وشك في صحته؛ فلا بُدَّ أن تجري هذه القاعدة في حقّه وإن كان منشأ الشك في إتيان الجزء الأخير من العمل المركب، ويقابله ما إذا كان بانياً على أنه في أثناء العمل فتجري قاعدة التجاوز حينئذٍ، ولا تجري قاعدة الفراغ لعدم تحقق شرطها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كان المكلف </w:t>
      </w:r>
    </w:p>
    <w:p>
      <w:pPr>
        <w:pStyle w:val="BookText"/>
        <w:rPr/>
      </w:pPr>
      <w:r>
        <w:rPr>
          <w:rFonts w:ascii="Amiri" w:hAnsi="Amiri" w:eastAsia="Amiri" w:cs="Amiri"/>
          <w:color w:val="111111"/>
          <w:sz w:val="28"/>
          <w:sz w:val="28"/>
          <w:szCs w:val="28"/>
          <w:rtl w:val="true"/>
          <w:lang w:bidi="ar-SA"/>
        </w:rPr>
        <w:t>عالماً بحاله من البناء على الفراغ أو البناء على أنه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شك في أنه بانٍ على الفراغ ولم يعلم بحاله فلا يمكن الرجوع لدليل قاعدة الفراغ لأنَّه من التمسك بالدليل في الموضوع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المرجع أصالة عدم الفراغ عن العمل فيكون في أثناء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التجاوز؛ فإنّ المراد منه المضي عن محل الجزء المشكوك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مع الشك فيه لا يعقل 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والمحل الذي يعتبر في مورد قاعدة التجاوز على أنحاء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الشرعي؛ وهو يتحقق في العمل المركب التدريجي الذي جعل الشارع لإيجاد أجزائه ترتيباً، فيكون لكل جزء محل شرعي لا يجوز تقديمه عليه ولا تأخيره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العادي؛ وهو الذي يحصل به الترتيب بحسب العادة، كما إذا كانت عادته على الوضوء بعد كل حدث أصغر أو الغسل بعد كل حدث أكبر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المحل الحقيقي؛ والذي يصدق عليه تكويناً وبفقده ينتفي المركب كما في المركبات التكوينية الخارجية من أجزاء حقيقية، ولا ريب في عدم اعتبار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ريب في صدق التجاوز والمضيّ في المورد الأول لما عرفت من أنّ جميع أجزاء المركبات التدريجية في الوجود التي جعل الشارع لإيجادها ترتيباً خاصاً، فكل جزء له محل شرعي لا يجوز تقديمه عليه ولا تأخيره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المضيّ والتجاوز في هذا القسم حقيقياً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التجاوز والمضي من المحل العادي للجزء فقد وقع الكلام في أنّ التجاوز عن المحل العادي للشيء يكون تجاوزاً عن الشيء حقيقةً كالتجاوز عن المحل الشرعي أو لا؛ فإن صدق عليه التجاوز حقيقةً كما يصدق على المحل الشرعيحقيقةً فتنطبق عليه الكبرى الواردة فيما تقدم من الروايات؛ مثل قول الإمام الصادق علیه السلام في صحيح زرارة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يصدق عليه التجاوز حقيقةً فلا تدخل تحت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عليه ثمرات فقهية مهمة مثل ما إذا كان </w:t>
      </w:r>
    </w:p>
    <w:p>
      <w:pPr>
        <w:pStyle w:val="BookText"/>
        <w:rPr/>
      </w:pPr>
      <w:r>
        <w:rPr>
          <w:rFonts w:ascii="Amiri" w:hAnsi="Amiri" w:eastAsia="Amiri" w:cs="Amiri"/>
          <w:color w:val="111111"/>
          <w:sz w:val="28"/>
          <w:sz w:val="28"/>
          <w:szCs w:val="28"/>
          <w:rtl w:val="true"/>
          <w:lang w:bidi="ar-SA"/>
        </w:rPr>
        <w:t>من عادته الوضوء عقيب الحدث الأصغر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الغسل عقيب الحدث الأكبر؛ فلو شك في وقت من الأوقات أنه توضأ عقيب الحدث الأصغر، أو اغتسل عقيب الحدث الأكبر؛ فعلى التعميم لا بُدَّ من القول بالطهارة في الموردين، وإلا فلا بُدَّ من الوضوء والغسل لاستصحاب الحدث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صدق التجاوز عن المحل الشرعي يكون صدقاً حقيقياً بلا تجوّز ولا إضمار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لا وجه لإلحاق المحل العادي بالمحل الشرعي لأنَّه لم يرد في أخبار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التجاوز عن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يقع البحث في أنّ لفظ المحل له عموم يشمل المحل العادي أو لا، بل الموجود فيها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المضي عن الشيء والتجاوز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 ذلك، وهي لا تصدق على المحل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بُدَّ من تقدير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دلالة الإقتضاء صوناً للكلام عن اللغوية، كما قالوا بتقدير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ألْقَريَةَ</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يكون لفظ المحل المقدر أعم من المحل الشرعي والعادي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ملزم لهذا التقدير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عرفت من كون صدق التجاوز بالمعنى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التجاوز عن المحل الشرعي من دون حاجة إلى التقدير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فرض القول به وبكناياته بقبول دلالة الإقتضاء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غير عادم النظير كما ذكرنا في الآية الشريفة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تطبيق الإمام الصادق علیه السلام الكبرى التي ذكرها في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الشك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وأمثالها على الشك في وجود الأجزاء بعد التجاوز عن محلها الشرعي كما في صحيح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شَكَّ فِي الْأَذَانِ وقَدْ دَخَلَ فِي الْإِقَامَةِ؟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شَكَّ فِي الْأَذَانِ والْإِقَامَةِ وقَدْ </w:t>
      </w:r>
    </w:p>
    <w:p>
      <w:pPr>
        <w:pStyle w:val="BookText"/>
        <w:rPr/>
      </w:pPr>
      <w:r>
        <w:rPr>
          <w:rFonts w:ascii="Amiri" w:hAnsi="Amiri" w:eastAsia="Amiri" w:cs="Amiri"/>
          <w:color w:val="111111"/>
          <w:sz w:val="28"/>
          <w:sz w:val="28"/>
          <w:szCs w:val="28"/>
          <w:rtl w:val="true"/>
          <w:lang w:bidi="ar-SA"/>
        </w:rPr>
        <w:t>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سؤال السائل في الأجزاء بعد تجاوز المحل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الإمام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عن كبرى كلية بقوله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زُرَارَةُ؛ إِذَا خَرَجْتَ مِنْ شَيْ‌ءٍ ثُمَّ دَخَلْتَ فِي غَيْرِهِ فَشَكُّكَ لَيْسَ بِشَيْ‌ء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المنصرف من جميع ما ورد في هذه الرواية هو المحل الشرعي والخروج عنه، والتجاوز والمضي عنه، وهو القدر المتيقن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ولكن يمكن توجيه الشمول بأحد وجهين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من القواعد الإمتنانية، ومقتضى سهولة الشريعة وسماحتها هو القول بالشمول للمحل العادي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تنزيل المحل العادي منزلة المحل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والإدعاء بأنه مطلوب للشارع أيضاً لا سيما إذا كانت تلك العادة مِمّا ندب إليها الشارع كما في المثال المتقدم في الوضوء والغسل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التنزيل أولى مِمّا ذكره المحقق النائيني قدس سره </w:t>
      </w:r>
      <w:r>
        <w:rPr>
          <w:rStyle w:val="FootnoteAnchor"/>
          <w:rtl w:val="true"/>
        </w:rPr>
        <w:footnoteReference w:id="54"/>
      </w:r>
      <w:r>
        <w:rPr>
          <w:rFonts w:ascii="Amiri" w:hAnsi="Amiri" w:eastAsia="Amiri" w:cs="Amiri"/>
          <w:color w:val="111111"/>
          <w:sz w:val="28"/>
          <w:sz w:val="28"/>
          <w:szCs w:val="28"/>
          <w:rtl w:val="true"/>
          <w:lang w:bidi="ar-SA"/>
        </w:rPr>
        <w:t>في المقام؛ حيث استدل على الإختصاص بالمحل الشرعي بأنه هو الذي عيّن له الشارع كما في المركبات المترتبة الأجزاء فيتنزل منزلة التجاوز عن نفس الشيء والإدّعاء بأنه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مثل هذا التنزيل والإدّعاء من طرف الشارع لا يكون إلا بالنسبة إلى المحل الشرعي الذي عيّن له، وأما المحل العادي فهو أجنبي عن تنزيله، ولكنه بعيد لما عرفت من أنّ التجاوز عن الشيء كما أنه يتحقق بإيجاد الشيء والفراغ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يتحقق حقيقة، لا ادّعاءً بالتجاوز عن المحل الذي عيّن الشارع له في المركبات التدريجية</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على التعميم بأنَّه بناء عليه يستلزم تأسيس فقه جديد، وهو بنفسه محذور ولو لم يكن محذور آخر في البين ولكن لا يخفى أنه ليس لهذه المقولة ضابطة كلية وإن استدل بها في موارد كثيرة في الفقه</w:t>
      </w:r>
      <w:r>
        <w:rPr>
          <w:rFonts w:eastAsia="Amiri" w:cs="Amiri" w:ascii="Amiri" w:hAnsi="Amiri"/>
          <w:color w:val="111111"/>
          <w:sz w:val="28"/>
          <w:szCs w:val="28"/>
          <w:rtl w:val="true"/>
          <w:lang w:bidi="ar-SA"/>
        </w:rPr>
        <w:t xml:space="preserve">. </w:t>
      </w:r>
      <w:bookmarkStart w:id="62" w:name="pg15367_180661"/>
    </w:p>
    <w:p>
      <w:pPr>
        <w:pStyle w:val="BookText"/>
        <w:rPr/>
      </w:pPr>
      <w:bookmarkEnd w:id="62"/>
      <w:r>
        <w:rPr>
          <w:rFonts w:ascii="Amiri" w:hAnsi="Amiri" w:eastAsia="Amiri" w:cs="Amiri"/>
          <w:color w:val="111111"/>
          <w:sz w:val="28"/>
          <w:sz w:val="28"/>
          <w:szCs w:val="28"/>
          <w:rtl w:val="true"/>
          <w:lang w:bidi="ar-SA"/>
        </w:rPr>
        <w:t>فالحق أن يقال بأنّ الشمول للمحل العادي وإن كان موافقاً للإمتنانية والتسهيل والإدّعاء ولكن القول به مخالف لمشهور القائلين بالإختصاص بالمحل الشرعي، فالإحتياط يقتضي عدم الإلحاق</w:t>
      </w:r>
      <w:r>
        <w:rPr>
          <w:rFonts w:eastAsia="Amiri" w:cs="Amiri" w:ascii="Amiri" w:hAnsi="Amiri"/>
          <w:color w:val="111111"/>
          <w:sz w:val="28"/>
          <w:szCs w:val="28"/>
          <w:rtl w:val="true"/>
          <w:lang w:bidi="ar-SA"/>
        </w:rPr>
        <w:t>.</w:t>
      </w:r>
    </w:p>
    <w:p>
      <w:pPr>
        <w:pStyle w:val="Heading4"/>
        <w:numPr>
          <w:ilvl w:val="3"/>
          <w:numId w:val="1"/>
        </w:numPr>
        <w:rPr/>
      </w:pPr>
      <w:bookmarkStart w:id="63" w:name="__RefHeading___Toc5900516_2142443653"/>
      <w:bookmarkStart w:id="64" w:name="_Toc23"/>
      <w:bookmarkEnd w:id="63"/>
      <w:r>
        <w:rPr>
          <w:rtl w:val="true"/>
        </w:rPr>
        <w:t>المبحث السادس</w:t>
      </w:r>
      <w:r>
        <w:rPr>
          <w:rtl w:val="true"/>
        </w:rPr>
        <w:t xml:space="preserve">: </w:t>
      </w:r>
      <w:r>
        <w:rPr>
          <w:rtl w:val="true"/>
        </w:rPr>
        <w:t>في اعتبار الدخول في الغير</w:t>
      </w:r>
      <w:bookmarkEnd w:id="64"/>
    </w:p>
    <w:p>
      <w:pPr>
        <w:pStyle w:val="Heading5"/>
        <w:numPr>
          <w:ilvl w:val="4"/>
          <w:numId w:val="1"/>
        </w:numPr>
        <w:rPr/>
      </w:pPr>
      <w:bookmarkStart w:id="65" w:name="__RefHeading___Toc5900518_2142443653"/>
      <w:bookmarkStart w:id="66" w:name="_Toc24"/>
      <w:bookmarkEnd w:id="65"/>
      <w:r>
        <w:rPr>
          <w:rtl w:val="true"/>
        </w:rPr>
        <w:t>اشارة</w:t>
      </w:r>
      <w:bookmarkEnd w:id="66"/>
    </w:p>
    <w:p>
      <w:pPr>
        <w:pStyle w:val="BookText"/>
        <w:rPr/>
      </w:pPr>
      <w:r>
        <w:rPr>
          <w:rFonts w:ascii="Amiri" w:hAnsi="Amiri" w:eastAsia="Amiri" w:cs="Amiri"/>
          <w:color w:val="111111"/>
          <w:sz w:val="28"/>
          <w:sz w:val="28"/>
          <w:szCs w:val="28"/>
          <w:rtl w:val="true"/>
          <w:lang w:bidi="ar-SA"/>
        </w:rPr>
        <w:t>والكلام فيه يقع من جهات</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5900520_2142443653"/>
      <w:bookmarkStart w:id="68" w:name="_Toc25"/>
      <w:bookmarkEnd w:id="67"/>
      <w:r>
        <w:rPr>
          <w:rtl w:val="true"/>
        </w:rPr>
        <w:t>الجهة الأولى</w:t>
      </w:r>
      <w:r>
        <w:rPr>
          <w:rtl w:val="true"/>
        </w:rPr>
        <w:t xml:space="preserve">: </w:t>
      </w:r>
      <w:r>
        <w:rPr>
          <w:rtl w:val="true"/>
        </w:rPr>
        <w:t>في اعتبار الدخول في الغير في قاعدة الفراغ</w:t>
      </w:r>
      <w:bookmarkEnd w:id="68"/>
    </w:p>
    <w:p>
      <w:pPr>
        <w:pStyle w:val="BookText"/>
        <w:rPr/>
      </w:pPr>
      <w:r>
        <w:rPr>
          <w:rFonts w:ascii="Amiri" w:hAnsi="Amiri" w:eastAsia="Amiri" w:cs="Amiri"/>
          <w:color w:val="111111"/>
          <w:sz w:val="28"/>
          <w:sz w:val="28"/>
          <w:szCs w:val="28"/>
          <w:rtl w:val="true"/>
          <w:lang w:bidi="ar-SA"/>
        </w:rPr>
        <w:t xml:space="preserve">والحق؛ عدم اعتباره فيها لأنّ المناط في جريان هذه القاعدة هو الفراغ عن العمل والمضيّ عنه، وهو يتحقق بالصدق العرفي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بيَّناه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يصدق على المضيّ البنائي عن العمل بأن يرى المكلف نفسه بانياً على الإنتهاء من العمل من دون حاجة إلى الدخول في الغير، وهو مقتضى الأصل والإطلاقات وظهور التسالم</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وتفصيل الكلام فيه تارةً؛ يكون من حيث التماس الإطلاق ليعمّ مورد الشك في الصحة قبل الدخول في الغير، فيكون البحث من حيث وجود المقتضي لعدم اعتبار الدخول في 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من حيث المانع بعد ثبوت المقتضي وهو الإطلاق، فهل يكون في البين دليل يوجب تقييد العموم وتخصيص الإطلاق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الأولى</w:t>
      </w:r>
      <w:r>
        <w:rPr>
          <w:rStyle w:val="FootnoteAnchor"/>
          <w:rtl w:val="true"/>
        </w:rPr>
        <w:footnoteReference w:id="55"/>
      </w:r>
      <w:r>
        <w:rPr>
          <w:rFonts w:ascii="Amiri" w:hAnsi="Amiri" w:eastAsia="Amiri" w:cs="Amiri"/>
          <w:color w:val="111111"/>
          <w:sz w:val="28"/>
          <w:sz w:val="28"/>
          <w:szCs w:val="28"/>
          <w:rtl w:val="true"/>
          <w:lang w:bidi="ar-SA"/>
        </w:rPr>
        <w:t>فإنّ بعض الأخبار الواردة في المقام لها من العموم أو الإطلاق مِمّا يدل على عدم اعتبار الدخول في الغير في قاعدة الفراغ كما هو ظاهرموثقة ابْنِ بُكَيْرٍ عَنْ مُحَمَّدِ بْنِ مُسْلِمٍ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شَكَكْتَ فِيهِ مِمَّا قَدْ مَضَى فَامْضِهِ كَمَا 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عمومها يدل على عدم الإعتبار، وهكذا إطلاق قول الإمام الصادق علیه السلام في موثقة عَبْدِ اللَّهِ بْنِ أَبِي يَعْفُورٍ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الشَّكُّ إِذَا كُنْتَ فِي شَيْ‌ءٍ لَمْ تَجُزْه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الثانية</w:t>
      </w:r>
      <w:r>
        <w:rPr>
          <w:rStyle w:val="FootnoteAnchor"/>
          <w:rtl w:val="true"/>
        </w:rPr>
        <w:footnoteReference w:id="56"/>
      </w:r>
      <w:r>
        <w:rPr>
          <w:rFonts w:ascii="Amiri" w:hAnsi="Amiri" w:eastAsia="Amiri" w:cs="Amiri"/>
          <w:color w:val="111111"/>
          <w:sz w:val="28"/>
          <w:sz w:val="28"/>
          <w:szCs w:val="28"/>
          <w:rtl w:val="true"/>
          <w:lang w:bidi="ar-SA"/>
        </w:rPr>
        <w:t>فتكون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إنّ المطلق ينصرف إلى أفراده الشائعة؛ ولا يعمّ الأفراد النادرة والأفراد الشائعة للشك فيما مضى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مواضع متعددة أنه لا يصحّ تخصيص المطلق بالفرد النادر، بل هو مستهجن؛ إذ بناءً عليه لا يبقى مورد للتمسك بالإطلاق إلا نادراً مع أنه لم يستشكل أحد في التمسك بإطلاق الأخبار في جميع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وجود القدر المتيقن في البين؛ فإنّ المتيقن من الشك فيما مضى ما إذا كان بعد الدخول في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أنّ وجود القدر المتيقن لا يمنع من التمسك بالإطلاق؛ إنه على فرض التسليم لا يمنع من التمسك بالعموم في الرواية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ذكره المحقق النائيني قدس سره </w:t>
      </w:r>
      <w:r>
        <w:rPr>
          <w:rStyle w:val="FootnoteAnchor"/>
          <w:rtl w:val="true"/>
        </w:rPr>
        <w:footnoteReference w:id="57"/>
      </w:r>
      <w:r>
        <w:rPr>
          <w:rFonts w:ascii="Amiri" w:hAnsi="Amiri" w:eastAsia="Amiri" w:cs="Amiri"/>
          <w:color w:val="111111"/>
          <w:sz w:val="28"/>
          <w:sz w:val="28"/>
          <w:szCs w:val="28"/>
          <w:rtl w:val="true"/>
          <w:lang w:bidi="ar-SA"/>
        </w:rPr>
        <w:t>من أنّ التمسك بالإطلاق إنَّما يكون في الماهية التي يكون صدقها على جميع أفرادها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كالماء الصادق على ماء الفرات ودجلة والبحر والحوض وغيرها بنحو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الماهية التشكيكية فلا يصحّ فيها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كعنوان الحيوان فإنَّه لغةً وإن كان يصدق على الإنسان أيضاً إلا أنه منصرف عنه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لو أطلق على أحد استنكر ذلك، ففي مثله لا يمكن لأحد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لم يتمسك أحد بإطلاق موثقة ابن أبي بكير الواردة في لباس المصلي للحكم بفساد الصلاة في شيء من أجزاء الإنسان كشعره ولعابه مثلاً</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المقام؛ إنّ المضيّ عن المشكوك ماهية تشكيكية يكون في صدقه على ما قبل الدخول في الغير خفاء فلا يمكن الأخذ بإطلاقه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التشكيك في الماهية على النحو الذي ذكره في سائر العلوم صحيح، وأما في مقام الألفاظ فإنّ التشكيك المعتبر فيها هو الظهور والأظهرية بأن يكون صدق الماهية على جميع أفرادها ظاهراً إلا أنّ صدقها على بعضها أظهر من صدقها عل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مثله لا مانع من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بلأكثر المطلقات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لو كان الصدق على فرد خفياً كصدق الحيوان على الإنسان حيث لا يراه العرف فرداً لتلك الطبيعة، وفي مثل هذا يتمّ ما أفاده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النوع يختلف باختلاف المجتمعات والأعصار والعادات؛ فمثلاً كلمة الدابة تطلق في العصر الحاضر على الحيوانات ذوات الأربع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بحسب اللغة تطلق على كل ما يدبّ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ورد في بعض الأخبار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أَخْرَجْنَا لَهُمْ دَابَّةً مِنَ الْأَرْضِ</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أنه الإمام المنتظر عج الله تعالی فرجه الشریف ، فمن استنكر ذلك إنَّما لأجل الإطلاق المتعارف في عصرنا، بينما التفسير يرجع إلى المعنى اللغوي الذي كان متعارفاً في عصر نزول القرآن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إنه لا إشكال في وجود المقتضي لعدم اعتبار الدخول في الغير في قاعدة الفراغ، فهو تامّ من هذه الجهة وهو الإطلاق في إحدى الروايتين، والعموم في الأخرى؛ نعم؛ مثل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شَيْ‌ءٍ ثُمَّ دَخَلْتَ فِي غَيْرِهِ فَشَكُّكَ لَيْسَ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علیه السلام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قُمْتَ مِنَ الْوُضُوءِ وفَرَغْتَ فَقَدْ صِرْتَ فِي حَالٍ أُخْرَى؛ فِي صَلَاةٍ أَوْ غَيْرِ صَلَاةٍ؛ فَشَكَكْتَ فِي بَعْضِ مَا سَمَّى اللَّهُ مِمَّا أَوْجَبَ اللَّهُ تَعَالَى عَلَيْكَ فِيهِ وُضُوءاً فَلَا شَيْ‌ءَ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فإنها تدل على اعتبار الدخول في الغير، وبها يقيد إطلاق أو عموم ما دلَّ على عدم اعتبار الدخول في الغير في 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الرواية الأخيرة إنَّما هو لتوضيح الفراغ وبيان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ريب في أنّ من اللوازم التكوينية للفراغ عن الشيء هو الصيرورة في حال أخرى غير ما كان مشغولاً به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علیه السلام ليس في مقام بيان القيد الشرعي في مورد قاعدة الفراغ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كانت الرواية لبيان هذه الجهة التي هي من اللوازم التكوينية للفراغ عن الشيء فهو مسلّم عند الجميع، وأما إذا كانت في مقام بيان التعبّد الشرعي فهي قاصرة عن إثباته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موثقة عَبْدِ اللَّهِ بْنِ أَبِي يَعْفُورٍ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كان مرجع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هو المشكوك، أي دخلت في غير المشكوك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هو مفاد قاعدة التجاوز، فهي لا تجري في الوضوء الذي هو مورد الرواية فينتفي الظهور فيها كما هو واضح، إذ لا وجه لثبوت الظهور في مورد وانتفاءه في مورد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المرجع هو الوضوء، أي غير الوضوء من سائر الحالات فهو وإن كان مفاد قاعدة الفراغولكن يجري فيه الكلام الذي تقدم آنفاً من أنه في مقام بيان اللازم التكويني للفراغ، وعلى فرض عدم الترجيح لأحد الإحتمالين تكون مجملة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كذلك في معتبرة اسماعيل بن جابر؛ فإنها وردت في قاعدة التجاوز فإذا اعتبرنا الدخول في الغير فيها فإنَّه لا يوجب اعتباره في قاعدة الفراغ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الأخبار المزبورة مرددة بين ما تبيّن الأمر التكويني فيكون ذكره توضيحياً لا احترازياً فلا تستفاد التعبدية منها، وبين ما هو تعبدي ولكنه مختص بقاعدة التجاوز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الشرط فيها محقِّق للتجاوز فيكون توضيحاً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كل حال لا تكون هذه </w:t>
      </w:r>
      <w:bookmarkStart w:id="69" w:name="pg15367_180669"/>
    </w:p>
    <w:p>
      <w:pPr>
        <w:pStyle w:val="BookText"/>
        <w:rPr/>
      </w:pPr>
      <w:bookmarkEnd w:id="69"/>
      <w:r>
        <w:rPr>
          <w:rFonts w:ascii="Amiri" w:hAnsi="Amiri" w:eastAsia="Amiri" w:cs="Amiri"/>
          <w:color w:val="111111"/>
          <w:sz w:val="28"/>
          <w:sz w:val="28"/>
          <w:szCs w:val="28"/>
          <w:rtl w:val="true"/>
          <w:lang w:bidi="ar-SA"/>
        </w:rPr>
        <w:t>الأخبار مقيدة لإطلاق دليل الشك في الصحة الذي هو مورد جريان الفراغ، فيكون المناط فيها هو صدق الفراغ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فالمقتضي لعدم اعتبار الدخول في الغير فيها موجود، والمانع عنه مفقود فيتحقق المضيّ في قاعدة الفراغ قبل الدخول في الغير، وقد ذكرنا أنّ الفراغ عبارة عن الإنتهاء من العمل حقيقة ولو كان بنائياً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ذيل موثقة ابن أبي يعفور قرينة على عدم اعتبار الدخول في الغير كما عرفت، ومما ذكرنا يظهر حال صحيحة زرارة أيضاً؛ فقد ورد الشك في من غسل يديه وهو على وضوءه؛ أي أنه مشغول به، حيث أمر علیه السلام بالإعتناء بشكّه، ثم بيّن علیه السلام أنه إذا فرغ من وضوءه ودخل في الصلاة أو غيرها ثم شكّ فلا يعتني بشكه، وهو لبيان اللازم التكويني للفراغ من الشيء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فلو كان القيد احترازياً لزم إهمال الإمام علیه السلام لبعض صور الشك؛ وهي ما إذا كان الشك بعد الفراغ وقبل الدخول في الغير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كله بما يرتبط باعتبار الدخول في الغير من قاعدة الفراغ</w:t>
      </w:r>
      <w:r>
        <w:rPr>
          <w:rFonts w:eastAsia="IRNazanin" w:cs="IRNazanin"/>
          <w:color w:val="111111"/>
          <w:sz w:val="28"/>
          <w:szCs w:val="28"/>
          <w:rtl w:val="true"/>
          <w:lang w:bidi="fa-IR"/>
        </w:rPr>
        <w:t>.</w:t>
      </w:r>
    </w:p>
    <w:p>
      <w:pPr>
        <w:pStyle w:val="Heading5"/>
        <w:numPr>
          <w:ilvl w:val="4"/>
          <w:numId w:val="1"/>
        </w:numPr>
        <w:rPr/>
      </w:pPr>
      <w:bookmarkStart w:id="70" w:name="__RefHeading___Toc5900522_2142443653"/>
      <w:bookmarkStart w:id="71" w:name="_Toc26"/>
      <w:bookmarkEnd w:id="70"/>
      <w:r>
        <w:rPr>
          <w:rtl w:val="true"/>
        </w:rPr>
        <w:t>الجهة الثانية</w:t>
      </w:r>
      <w:r>
        <w:rPr>
          <w:rtl w:val="true"/>
        </w:rPr>
        <w:t xml:space="preserve">: </w:t>
      </w:r>
      <w:r>
        <w:rPr>
          <w:rtl w:val="true"/>
        </w:rPr>
        <w:t>في اعتبار الدخول في الغير في قاعدة التجاوز</w:t>
      </w:r>
      <w:r>
        <w:rPr>
          <w:rtl w:val="true"/>
        </w:rPr>
        <w:t>.</w:t>
      </w:r>
      <w:bookmarkEnd w:id="71"/>
    </w:p>
    <w:p>
      <w:pPr>
        <w:pStyle w:val="BookText"/>
        <w:rPr/>
      </w:pPr>
      <w:r>
        <w:rPr>
          <w:rFonts w:ascii="Amiri" w:hAnsi="Amiri" w:eastAsia="Amiri" w:cs="Amiri"/>
          <w:color w:val="111111"/>
          <w:sz w:val="28"/>
          <w:sz w:val="28"/>
          <w:szCs w:val="28"/>
          <w:rtl w:val="true"/>
          <w:lang w:bidi="ar-SA"/>
        </w:rPr>
        <w:t>لا ريب في اعتبار الدخول فيها كما هو صريح الصحيحة والموثقة المتقدمتين، وقد عرفت مفصلاً أنّ المناط في التجاوز هو التجاوز عن المحلّ المشكوك لا نفسه لأنَّه مع الشك فيه لا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أنّ اعتباره على التعبدية المحضة، أو أنه محقِّق لعنوان التجاوز والمضيّ الواردين في الأخبار كما عرفت</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المراد من الغير</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أما الأمر الأول؛ فإن قلنا بأنّ قاعدة التجاوز من صغريات أصالة عدم الغفلة والسهو والخطأ وأصالة البقاء على الإرادة الإجمالية الإرتكازية، فلا وجه لتعبدية الدخول في الغير فإنّ في الأمور التدريجية تكون إرادة الدخول في الجزء اللاحقكاشفة عن تحقق الجزء السابق عليه بفضل أصالة عدم السهو المعتبرة عند العقلاء، فلا تعبدية في البين، بل إنّ أقصى ما يستفاد من الأخبار أن الدخول في الغير محقق لعناوين التجاوز والمضيّ، بل الفراغ أيضاً، إلا أن يقال بالتعبدية من دلالة الدليل عليه ولو لم يتوقف على تحقق أحد هذه العناوين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يقع الكلام في أنّ الدخول في الغير له موضوعية خاصة، أو يكون طريقاً وكاشفاً عن مضيّ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هو الأخير كما هو مقتضى المرتكزات في كفاية إرادة الدخول في الغير ليكشف عن تجاوز المحل والرجوع إلى العرف في ما يصدر منهم من الأعمال التدريجية، فيثبت ما ذكرناه؛ فإنّ الإنسان إما أن يكون مريداً وبانياً على إتيان الجزء اللاحق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بانياً على العدم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متردداً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والمتعارف عند الناس أنهم لا يعتنون بالشك في إتيان الجزء السابق في الحالة الأولى، والأخبار وردت على طبق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الحالتان الآخريان فانهم يعتنون بالشك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نفس الإرادة الإجمالية للدخول في الغير غير ملتفت إليها تفصيلاً بحسب الغالب فيكون طريق إحرازها تحقق الدخول في الغير خارجاً، ومن هذه الجهة اعتبرت الروايات الدخول في الغير لا لموضوعية خاصة فيه</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أنّ مجرد إرادة الدخول يكون كاشفاً عن تحقق المراد السابق وهو يوافق الإرتكاز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مع عدم إحراز الموضوعية المحضة في اعتبار الدخول في الغير فإنَّه يكفي في عدم الجزم به منضماً إلى ما مرّ ذكره من اكتفاء العرف بعدم الإعتناء بالشك </w:t>
      </w:r>
      <w:bookmarkStart w:id="72" w:name="pg15367_180673"/>
    </w:p>
    <w:p>
      <w:pPr>
        <w:pStyle w:val="BookText"/>
        <w:rPr/>
      </w:pPr>
      <w:bookmarkEnd w:id="72"/>
      <w:r>
        <w:rPr>
          <w:rFonts w:ascii="Amiri" w:hAnsi="Amiri" w:eastAsia="Amiri" w:cs="Amiri"/>
          <w:color w:val="111111"/>
          <w:sz w:val="28"/>
          <w:sz w:val="28"/>
          <w:szCs w:val="28"/>
          <w:rtl w:val="true"/>
          <w:lang w:bidi="ar-SA"/>
        </w:rPr>
        <w:t>السابق عند تحقق إرادة الدخول في الغير ولو لم يدخل فيه بعد التجاوز عن محل الجزء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يبقى في الأدلة ظهور لإثبات الموضوعية الخاصة، كما لا يمكن إثبات التعبدية المحضة منها وأنّ المراد منه هو المضيّ الحقيقي</w:t>
      </w:r>
      <w:r>
        <w:rPr>
          <w:rFonts w:eastAsia="Amiri" w:cs="Amiri" w:ascii="Amiri" w:hAnsi="Amiri"/>
          <w:color w:val="111111"/>
          <w:sz w:val="28"/>
          <w:szCs w:val="28"/>
          <w:rtl w:val="true"/>
          <w:lang w:bidi="ar-SA"/>
        </w:rPr>
        <w:t>.</w:t>
      </w:r>
    </w:p>
    <w:p>
      <w:pPr>
        <w:pStyle w:val="Heading5"/>
        <w:numPr>
          <w:ilvl w:val="4"/>
          <w:numId w:val="1"/>
        </w:numPr>
        <w:rPr/>
      </w:pPr>
      <w:bookmarkStart w:id="73" w:name="__RefHeading___Toc5900524_2142443653"/>
      <w:bookmarkStart w:id="74" w:name="_Toc27"/>
      <w:bookmarkEnd w:id="73"/>
      <w:r>
        <w:rPr>
          <w:rtl w:val="true"/>
        </w:rPr>
        <w:t>الجهة الثالثة</w:t>
      </w:r>
      <w:r>
        <w:rPr>
          <w:rtl w:val="true"/>
        </w:rPr>
        <w:t xml:space="preserve">: </w:t>
      </w:r>
      <w:r>
        <w:rPr>
          <w:rtl w:val="true"/>
        </w:rPr>
        <w:t>في المراد من الغير</w:t>
      </w:r>
      <w:r>
        <w:rPr>
          <w:rtl w:val="true"/>
        </w:rPr>
        <w:t>.</w:t>
      </w:r>
      <w:bookmarkEnd w:id="74"/>
    </w:p>
    <w:p>
      <w:pPr>
        <w:pStyle w:val="BookText"/>
        <w:rPr/>
      </w:pPr>
      <w:r>
        <w:rPr>
          <w:rFonts w:ascii="Amiri" w:hAnsi="Amiri" w:eastAsia="Amiri" w:cs="Amiri"/>
          <w:color w:val="111111"/>
          <w:sz w:val="28"/>
          <w:sz w:val="28"/>
          <w:szCs w:val="28"/>
          <w:rtl w:val="true"/>
          <w:lang w:bidi="ar-SA"/>
        </w:rPr>
        <w:t>وفيها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الفرق بين قاعدة التجاوز وقاعدة الفراغ في أنّ الأخيرة تجري في صحة العمل بعد تحققه من دون اعتبار الدخول في الغير، والأولى إنَّما تجري في أثناء العمل عند الشك في تحقق جزء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وذكرنا أنه يعتبر في جريانه الدخول في الغير على التفصيل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وقع الكلام في المراد من الغير وما يعتبر فيه مِمّا يصدق عليه عنوان التجاوز وقد عرفت أنه بناء على ما سلكناه لا وجه لكثير من الفروع التي ذكرها الفقهاء في هذه الجهة مِمّا سيأتي بيانه،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قاعدة الفراغ فلا يشترط شيء في جريانها سوى المضي والتجاوز عن نفس العمل المعبّر عنه بالفراغ، وقد عرفت أنّ المراد منه هو الفراغ العرفي البنائي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الجزء الأخير فقد اختلفوا في جريان قاعدة الفراغ أو التجاوز فيه، وتفصيل الكلام في الجزء الأخير</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يعتبر فيه الموالاة؛ كالتسليم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يعتبر فيه الموالاة؛ كالغسل إذا شك في غسل الجانب الأيسر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Style w:val="FootnoteAnchor"/>
          <w:rtl w:val="true"/>
        </w:rPr>
        <w:footnoteReference w:id="60"/>
      </w:r>
      <w:r>
        <w:rPr>
          <w:rFonts w:ascii="Amiri" w:hAnsi="Amiri" w:eastAsia="Amiri" w:cs="Amiri"/>
          <w:color w:val="111111"/>
          <w:sz w:val="28"/>
          <w:sz w:val="28"/>
          <w:szCs w:val="28"/>
          <w:rtl w:val="true"/>
          <w:lang w:bidi="ar-SA"/>
        </w:rPr>
        <w:t>فالصور فيه متعددة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التسليم – مثلاً – قبل الدخول في عمل أصلاً، كما لو اعتقد أنه سلّم ثم شكّ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فيه بعد الدخول في التعقيب ونحوه مِمّا هو مترتب عليه شرعاً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فيه بعد الدخول في أعمال غير مترتبة عليه؛ مباحة كانت كالكتابة، أو مستحبة كقضاء حوائج الإخوان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فيه بعد الإتيان بالمنافي، ونحن في غنى عن ذلك بعد ما عرفنا الملاك، فيكون تفصيل الكلام فيها من التطويل الذي لا طائل تحته؛ إذ بناءً على ما تقدم إن رأى المصلّي نفسه فارغاً في قاعدة الفراغ عادة وتحققت منه إرادة الدخول في الغير مما يكون كاشفاً عن تحقق المضيّ والتجاوز عن الجزء السابق في قاعدة التجاوز، فكلتا القاعدتين تجريان في جميع الصور المتقدمة من دون حاجة إلى الدخول في الغير، أما بناءً على ما ذهب إليه الفقهاء من اعتبار الدخول في الغير في قاعدة التجاوز، وأنّ له موضوعية خاصة فقد أطالوا البحث فيه بما لا يستحق التطويل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الأولى؛ فقد قيل إنه لا بُدَّ من الإتيان بالتسليم لعدم صدق المضيّ ولا التجاوز عنه لاحتمال كونه في الصلاة وعدم فوات محل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المضي والتجاوز يصدقان عرفاً عند إرادة الدخول في الغير كما تقدم بيانه، ولعلّ من أجل ذلك ذهب المحقق النائيني قدس سره </w:t>
      </w:r>
      <w:r>
        <w:rPr>
          <w:rStyle w:val="FootnoteAnchor"/>
          <w:rtl w:val="true"/>
        </w:rPr>
        <w:footnoteReference w:id="61"/>
      </w:r>
      <w:r>
        <w:rPr>
          <w:rFonts w:ascii="Amiri" w:hAnsi="Amiri" w:eastAsia="Amiri" w:cs="Amiri"/>
          <w:color w:val="111111"/>
          <w:sz w:val="28"/>
          <w:sz w:val="28"/>
          <w:szCs w:val="28"/>
          <w:rtl w:val="true"/>
          <w:lang w:bidi="ar-SA"/>
        </w:rPr>
        <w:t>إلى صدق كلا العنوانين؛ أما المضيّ فلأنَّه يصدق عند مضي معظم الأجزاء، والمفروض تحققه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التجاوز فالإكتفاء في صدقه الدخول في مطلق الغير ولو لم يكن مترتباً، وهو متحقق أيضاً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إنَّه قدس سره لو تمسك بما ذكرناه من الصدق العرفي عند إرادة الدخول في الغير الكاشفة عن مضي المحل وتحققه لكان أولى مِمّا ذكره فإنّ الإشكال فيه واضح لأنّ المضيّ </w:t>
      </w:r>
    </w:p>
    <w:p>
      <w:pPr>
        <w:pStyle w:val="BookText"/>
        <w:rPr/>
      </w:pPr>
      <w:r>
        <w:rPr>
          <w:rFonts w:ascii="Amiri" w:hAnsi="Amiri" w:eastAsia="Amiri" w:cs="Amiri"/>
          <w:color w:val="111111"/>
          <w:sz w:val="28"/>
          <w:sz w:val="28"/>
          <w:szCs w:val="28"/>
          <w:rtl w:val="true"/>
          <w:lang w:bidi="ar-SA"/>
        </w:rPr>
        <w:t>عن المركب لا يصدق إلا بمضيّ جميع أجزاءه لا معظمالأجزاء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قوله بالإكتفاء بصدق الدخول في مطلق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المعبّر عنه بالتجاوز الإعتقادي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الصحيح إذا كان المراد منه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والإشكال عليه بأنّ ظاهر المضيّ هو الحقيقي سواء كان المضيّ صحيحاً أو فاسداً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يستفاد العموم من نفس الأدلة حيث أطلق فيها المضيّ مع فرض الشك في الصحة واحتمال الفساد؛ مردودٌ؛ بأنّ المضيّ والتجاوز الواردين في الأخبار ليس المراد منها الحقيقي بل العرفي بالمعنى الذي ذكرناه وهما يصدقان في المقام، فيمكن الرجوع إلى قاعدة الفراغ فضلاً عن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الصورة الثانية؛ فقد ذهب المحقق النائيني قدس سره </w:t>
      </w:r>
      <w:r>
        <w:rPr>
          <w:rStyle w:val="FootnoteAnchor"/>
          <w:rtl w:val="true"/>
        </w:rPr>
        <w:footnoteReference w:id="62"/>
      </w:r>
      <w:r>
        <w:rPr>
          <w:rFonts w:ascii="Amiri" w:hAnsi="Amiri" w:eastAsia="Amiri" w:cs="Amiri"/>
          <w:color w:val="111111"/>
          <w:sz w:val="28"/>
          <w:sz w:val="28"/>
          <w:szCs w:val="28"/>
          <w:rtl w:val="true"/>
          <w:lang w:bidi="ar-SA"/>
        </w:rPr>
        <w:t>إلى صدق التجاوز عن التسليم، حيث ذكر أنّ الفقيه يشرف على القطع بأنّ لواحق الصلاة بمنزلة أجزاءها لما ورد في مقدمات الصلاة من الأذان والإقامة، وأنّ الشك في الأذان بعد الدخول في الإقامة لا يعتنى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عليه بأنّ التعقيب ليس مثل الأذان والإقامة، وأنه من القياس لأنّ صدق التجاوز عن الشيء بالدخول في غيره إنَّما يكون فيما إذا اعتبر تقدمه عليه ولو إستحباباً كما في الأذان والإقامة فيصدق التجاوز عن الأذان بعد الشروع في الإقامة كما ورد في 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والتسليم ليس كذلك؛ فإنَّه لم يعتبر فيه التقدم على التعقيب كتسبيحة الزهراء علیها السلام وإنْ اعتبر</w:t>
      </w:r>
    </w:p>
    <w:p>
      <w:pPr>
        <w:pStyle w:val="BookText"/>
        <w:rPr/>
      </w:pPr>
      <w:r>
        <w:rPr>
          <w:rFonts w:ascii="Amiri" w:hAnsi="Amiri" w:eastAsia="Amiri" w:cs="Amiri"/>
          <w:color w:val="111111"/>
          <w:sz w:val="28"/>
          <w:sz w:val="28"/>
          <w:szCs w:val="28"/>
          <w:rtl w:val="true"/>
          <w:lang w:bidi="ar-SA"/>
        </w:rPr>
        <w:t>فيها التأخّر إستحباباً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حاجة إلى ذلك بناءً على ما ذكرناه 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التسليم والتعقيب مثل الأذان والإقامة؛ فإنّ الدليل كما هو المستفاد مِمّا دل على استحباب التعقيب بعد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ذلك لفظ التعيقب بعد الصلاة؛ فإنَّه يثبت التقدّم والتأخّر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المحقق </w:t>
      </w:r>
    </w:p>
    <w:p>
      <w:pPr>
        <w:pStyle w:val="BookText"/>
        <w:rPr/>
      </w:pPr>
      <w:r>
        <w:rPr>
          <w:rFonts w:ascii="Amiri" w:hAnsi="Amiri" w:eastAsia="Amiri" w:cs="Amiri"/>
          <w:color w:val="111111"/>
          <w:sz w:val="28"/>
          <w:sz w:val="28"/>
          <w:szCs w:val="28"/>
          <w:rtl w:val="true"/>
          <w:lang w:bidi="ar-SA"/>
        </w:rPr>
        <w:t>النائيني قدس سره من أنّ الفقيه يشرف على القطع صحيحٌ لا ريب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حكم الصورة الثالثة؛ من صدق التجاوز على كل حال سواء قلنا بمقالة القوم أم بناءً على ما ذكرناه من معنى التجاوز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الصورة الرابعة؛ فلا إشكال في صدق التجاوز في المنافي مطلقاً؛ السهوي والعمدي في الصحة التامة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يختلفان في أنّ الشك بعد المنافي السهوي يوجب البطلان لو لم تجَرِ قاعدة الفراغ بخلاف المنافي العمدي فإنّ الصلاة صحيحة ولو لم تجرِ قاعدة الفراغ؛ والخلاف في لزوم الإتيان بالتسليم وسجدتي السهو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الشك في التسليم بعد التجاوز، والمضيّ منه إرادة الإنتهاء، والبناء عليه يوجب الرجوع إلى قاعدة الفراغ كما يصدق التجاوز عنمحل الجزء بإرداة الدخول في شيء بعد الصلاة؛ كان مستحباً أم لم يكن، بل يصدق ولو لم يدخل في شيء، وكذلك يصدقان إذا أتى بالمنافي سهواً أو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التسليم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الوضوء؛ فإذا شك في الجزء الأخير فيه فمقتضى القاعدة صدق التجاوز فيما إذا دخل في الصلاة كانت الرطوبة موجودة على الأعضاء أو لم تكن فتجري قاعدة الفراغ، ويدلّ عليه النص المتقدم أنه حين الوضوء لا بُدَّ من الإعتناء بالشك، وعدم الإعتناء به إذا قعد عن الوضوء، وإطلاقه يشمل الشك في الجزء الأخير فيتطابق النص مع القاعدة</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ثانياً</w:t>
      </w:r>
      <w:r>
        <w:rPr>
          <w:rStyle w:val="FootnoteAnchor"/>
          <w:rtl w:val="true"/>
        </w:rPr>
        <w:footnoteReference w:id="63"/>
      </w:r>
      <w:r>
        <w:rPr>
          <w:rFonts w:ascii="Amiri" w:hAnsi="Amiri" w:eastAsia="Amiri" w:cs="Amiri"/>
          <w:color w:val="111111"/>
          <w:sz w:val="28"/>
          <w:sz w:val="28"/>
          <w:szCs w:val="28"/>
          <w:rtl w:val="true"/>
          <w:lang w:bidi="ar-SA"/>
        </w:rPr>
        <w:t xml:space="preserve">فلا بُدَّ من الإعتناء بالشك في الإتيان بالجزء الأخير مطلقاً حتى إذا كان الشك بعد الدخول في الصلاة؛ لعدم اعتبار المولاة فيه، فلا يصدق عليه المضيّ والتجاوز فلا تجري قاعدة التجاوز لعدم صدقه على المشكوك فيه؛ لا عن نفس وجوده لأنّ المفروض أنه مشكوك الوجود، ولا عن محله الشرعي لأنّ المفروض عدم اعتبار المولاة فيه، ففي أي </w:t>
      </w:r>
    </w:p>
    <w:p>
      <w:pPr>
        <w:pStyle w:val="BookText"/>
        <w:rPr/>
      </w:pPr>
      <w:r>
        <w:rPr>
          <w:rFonts w:ascii="Amiri" w:hAnsi="Amiri" w:eastAsia="Amiri" w:cs="Amiri"/>
          <w:color w:val="111111"/>
          <w:sz w:val="28"/>
          <w:sz w:val="28"/>
          <w:szCs w:val="28"/>
          <w:rtl w:val="true"/>
          <w:lang w:bidi="ar-SA"/>
        </w:rPr>
        <w:t>وقت يأتي به يكون في محله إلا أن يلحق المحل العادي بالمحل الشرعي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بالنسبة إلى قاعدة الفراغ؛ فإن صدق الفراغ عرفاً فلا إشكال، وإلا ففيه إشكال، ويدل على ذلك أيضاً حديث اللمعة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شك في صحة الغسل بعد الإنتهاء منه تجري قاعدة الفراغ بلا منازع سواء دخل في الصلاة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الجزء الأخير،</w:t>
      </w:r>
    </w:p>
    <w:p>
      <w:pPr>
        <w:pStyle w:val="BookText"/>
        <w:rPr/>
      </w:pPr>
      <w:r>
        <w:rPr>
          <w:rFonts w:ascii="Amiri" w:hAnsi="Amiri" w:eastAsia="Amiri" w:cs="Amiri"/>
          <w:color w:val="111111"/>
          <w:sz w:val="28"/>
          <w:sz w:val="28"/>
          <w:szCs w:val="28"/>
          <w:rtl w:val="true"/>
          <w:lang w:bidi="ar-SA"/>
        </w:rPr>
        <w:t>أما باقي الأجزاء فالكلام فيها كالكلام في الجزء الأخير في أنه لا يعتبر في جريان قاعدة التجاوز فيها الدخول في الغير كما عرفت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اعتبار الموضوعية في الدخول في الغير فقد وقع الخلاف في أنّ المراد به الأجزاء المستقلة، أو الأعم منها ومن أجزاء الأجزاء، أو الأعم منها ومن 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فالإحتمالات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إختصاص الغير بالأجزاء المذكورة في الروايات فقط كرواية زرارة ورواية إسماعيل ابن جابر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الإحتمال مبني على اختصاص قاعدة التجاوز بالصلاة، وعليه فلا تشمل السورة إذا شك في الحمد بعد دخوله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تشمل التشهد إذا شك في السجود وبعد دخوله فيه؛ إذ لم يردا في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جمود بلا مبرر، لا سيما أنّ ذيل حديث زرارة في مقام بيان الكبرى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 شموله لكل جزء من أجزاء الصلاة المستقلة المذكورة في الكتب الفقهية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الإحتمال يشمل السورة والتشهد، ولكن لا يشمل مقدمات الأجزاء ولا أجزاء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رجح هذا الإحتمال المحقق النائيني قدس سره </w:t>
      </w:r>
      <w:r>
        <w:rPr>
          <w:rStyle w:val="FootnoteAnchor"/>
          <w:rtl w:val="true"/>
        </w:rPr>
        <w:footnoteReference w:id="64"/>
      </w:r>
      <w:r>
        <w:rPr>
          <w:rFonts w:ascii="Amiri" w:hAnsi="Amiri" w:eastAsia="Amiri" w:cs="Amiri"/>
          <w:color w:val="111111"/>
          <w:sz w:val="28"/>
          <w:sz w:val="28"/>
          <w:szCs w:val="28"/>
          <w:rtl w:val="true"/>
          <w:lang w:bidi="ar-SA"/>
        </w:rPr>
        <w:t>لأنَّه يقول بأنّ إطلاق الشيء على الأجزاء إنَّما يكون بالعناية وإلادعاء وألا يكون الجزء شيئاًفي عرض شيئية الكل، وحيث إنّ هذا الإدعاء غير شرعي فيقتصر على الأجزاء المستقلة ولا يشمل أجزاء الأجزاء ومقدماتها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مفصلاً وسيأتي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وثالثها؛ التعميم لكل ما يصدق عليه مفهوم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لهذا الإحتمال عموم لفظ الغير الذي يقال بأنه متوغل في الإبهام من كل جهة، وظهور جملة من النصوص الواردة في المقام على التعميم، 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ذكرناه في الإحتمال السابق من اختصاص الغير بالأجزاء المستقلة، لما ورد في صحيحة زرارة من الإقامة والركوع والسجود فلا يشمل غيرها، وبها يخصص عموم ذيلها حيث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إِذَا خَرَجْتَ مِنْ شَيْ‌ءٍ ثُمَّ دَخَلْتَ فِي غَيْرِهِ فَشَكُّكَ لَيْسَ بِشَيْ‌ءٍ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علیه السلام في مقام إعطاء الضابطة الكلية التي تجري في جميع الموارد، وتخصيصها بخصوص مورد السؤال خلاف المحاورات العرفية، وقد تقدم ما يتعلق بهذه الجهة فراجع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صحيح إِسْمَاعِيلَ بْنِ جَابِرٍ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شَكَّ فِي الرُّكُوعِ بَعْدَمَا سَجَدَ فَلْيَمْضِ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شَكَّ فِي السُّجُودِ بَعْدَ مَا قَامَ فَلْيَمْضِ؛ كُلُّ شَيْ‌ءٍ شَكَّ فِيهِ مِمَّا قَدْ جَاوَزَهُ ودَخَلَ فِي غَيْرِهِ فَلْيَمْضِ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في صحيح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الجواب في مقام إعطاء الكبرى الكلية، فلا وجه لتخصيصها بما ورد في هذا الصدد فيكون ما ذكرمن باب المثال لا الخصوصية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علیه السلام أيضاً في الصحيح المزبور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شَكَّ فِي السُّجُودِ بَعْدَ مَا قَامَ فَلْيَمْضِ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لو كان الدخول في مطلق الغير كافياً لم يكن وجه لذكر القيام لتحققه في النهوض له قبل القيام</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للقيام عن السجود مراتب يصدق بعضها على أول مرتبة النهوض من السجود فيصحّ التمسك بإطلاق القيام عليه</w:t>
      </w:r>
      <w:r>
        <w:rPr>
          <w:rFonts w:eastAsia="Amiri" w:cs="Amiri" w:ascii="Amiri" w:hAnsi="Amiri"/>
          <w:color w:val="111111"/>
          <w:sz w:val="28"/>
          <w:szCs w:val="28"/>
          <w:rtl w:val="true"/>
          <w:lang w:bidi="ar-SA"/>
        </w:rPr>
        <w:t xml:space="preserve">. </w:t>
      </w:r>
      <w:bookmarkStart w:id="75" w:name="pg15367_180685"/>
    </w:p>
    <w:p>
      <w:pPr>
        <w:pStyle w:val="BookText"/>
        <w:rPr/>
      </w:pPr>
      <w:bookmarkEnd w:id="75"/>
      <w:r>
        <w:rPr>
          <w:rFonts w:ascii="Amiri" w:hAnsi="Amiri" w:eastAsia="Amiri" w:cs="Amiri"/>
          <w:color w:val="111111"/>
          <w:sz w:val="28"/>
          <w:sz w:val="28"/>
          <w:szCs w:val="28"/>
          <w:rtl w:val="true"/>
          <w:lang w:bidi="ar-SA"/>
        </w:rPr>
        <w:t>والحق؛ هو القول بالتعميم؛ فإنّ لفظ الغير في الروايات له من العموم ما يشمل جميع الأجزاء المستقلة وأجزاء أجزاءها ومقدماتها، ويشهد للعموم بل يدل عليه صحيح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رَجُلٌ أَهْوَى إِلَى السُّجُودِ فَلَمْ يَدْرِأَ رَكَعَ أَمْ لَمْ يَرْكَعْ قَالَ قَدْ رَكَعَ </w:t>
      </w:r>
      <w:r>
        <w:rPr>
          <w:rFonts w:eastAsia="Amiri" w:cs="Amiri" w:ascii="Amiri" w:hAnsi="Amiri"/>
          <w:color w:val="111111"/>
          <w:sz w:val="28"/>
          <w:szCs w:val="28"/>
          <w:rtl w:val="true"/>
          <w:lang w:bidi="ar-SA"/>
        </w:rPr>
        <w:t xml:space="preserve">) </w:t>
      </w:r>
      <w:r>
        <w:rPr>
          <w:rStyle w:val="FootnoteAnchor"/>
          <w:rtl w:val="true"/>
        </w:rPr>
        <w:footnoteReference w:id="65"/>
      </w:r>
      <w:r>
        <w:rPr>
          <w:rFonts w:ascii="Amiri" w:hAnsi="Amiri" w:eastAsia="Amiri" w:cs="Amiri"/>
          <w:color w:val="111111"/>
          <w:sz w:val="28"/>
          <w:sz w:val="28"/>
          <w:szCs w:val="28"/>
          <w:rtl w:val="true"/>
          <w:lang w:bidi="ar-SA"/>
        </w:rPr>
        <w:t>فإنَّه نص في كفاية الدخول في مقدمة الجزء أيضاً، وبناءً على ذلك فإنَّه لا فرق في الأجزاء بين كونها واجبة أو مندوبة، وهو الموافق لسهولة الشريعة المقدسة، وبها ندفع الشك الذي هو أقوى وساوس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استدل به للإحتمال الثاني فهو غير صحيح؛ لأنّ الشيء يطلق على الأجزاء والكل على حدٍّ سواء حقيقة بدون عناية وتنزّل، وقد استعمل في الجامع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وإنّ الكلام في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يأتي فيه دعوى الإدعاء والتنزيل فيشمل كل الأجزاء وأجزاء الأجزاء ومقدمات الأجزاء مطلقاً سواء كان اعتباره من باب تحقق التجاوز والمضيّ أم كان من جهة دلالة الأخبار تعبداً، ولا اختصاص له بالصلاة كما ذكره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وجه عدم جريان قاعدة التجاوز في الطهارات الثلاث، ويأتي الكلام فيه إنْ شاء الله تعالى</w:t>
      </w:r>
      <w:r>
        <w:rPr>
          <w:rFonts w:eastAsia="Amiri" w:cs="Amiri" w:ascii="Amiri" w:hAnsi="Amiri"/>
          <w:color w:val="111111"/>
          <w:sz w:val="28"/>
          <w:szCs w:val="28"/>
          <w:rtl w:val="true"/>
          <w:lang w:bidi="ar-SA"/>
        </w:rPr>
        <w:t>.</w:t>
      </w:r>
    </w:p>
    <w:p>
      <w:pPr>
        <w:pStyle w:val="Heading5"/>
        <w:numPr>
          <w:ilvl w:val="4"/>
          <w:numId w:val="1"/>
        </w:numPr>
        <w:rPr/>
      </w:pPr>
      <w:bookmarkStart w:id="76" w:name="__RefHeading___Toc5900526_2142443653"/>
      <w:bookmarkStart w:id="77" w:name="_Toc28"/>
      <w:bookmarkEnd w:id="76"/>
      <w:r>
        <w:rPr>
          <w:rtl w:val="true"/>
        </w:rPr>
        <w:t>المبحث السابع</w:t>
      </w:r>
      <w:r>
        <w:rPr>
          <w:rtl w:val="true"/>
        </w:rPr>
        <w:t xml:space="preserve">: </w:t>
      </w:r>
      <w:r>
        <w:rPr>
          <w:rtl w:val="true"/>
        </w:rPr>
        <w:t>في السكوت بعد الفراغ أو في الأثناء</w:t>
      </w:r>
      <w:bookmarkEnd w:id="77"/>
    </w:p>
    <w:p>
      <w:pPr>
        <w:pStyle w:val="BookText"/>
        <w:rPr/>
      </w:pPr>
      <w:r>
        <w:rPr>
          <w:rFonts w:ascii="Amiri" w:hAnsi="Amiri" w:eastAsia="Amiri" w:cs="Amiri"/>
          <w:color w:val="111111"/>
          <w:sz w:val="28"/>
          <w:sz w:val="28"/>
          <w:szCs w:val="28"/>
          <w:rtl w:val="true"/>
          <w:lang w:bidi="ar-SA"/>
        </w:rPr>
        <w:t>إختلفوا في السكوت بعد الفراغ أو في الأثناء؛ فقيل بعدم اعتباره إلا أن يصدق عليه أحد العنوانين؛ إما الفراغ أو التجاوز</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ذكرناه من أنّ المناط في قاعدة الفراغ ما إذا رأى المكلف نفسه فارغاً عن العمل الذي كُلّف به وكان بناؤه على إتمامه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التجاوز فإنّ المعتبر فيه إرادة الدخول في الغير بما يكون كاشفاً عن تحقق المضيّ والتجاوز عن الجزء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فإنّ السكوت المنسوب إلى إرادة المكلف يصدق عليه الفراغ بعد العمل والتجاوز من دون حاجة إلى اعتبار الدخول في الغير، وعليه؛ يكون السكوت الطويل القاطع للهيئة الإتصالية يوجب صدق عنوان الفراغ في قاعدة الفراغ وكذلك في قاعدة التجاوز؛ إلا أن يستشكل فيه بأنه قد يكون ماحياً للهيئة الإتصالية فتبطل الصلاة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مذكور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يمكن أن يقال هنا؛ أنّ الشروط على أقسام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العقلي لتحقق عنوان المأمور به، كقصد الظهرية أو العصرية في صلاة الظهر والعصر ونحوها، فإنّ عنوان كل واحد منهما لا يتحقق إلا بهذا القصد لأنَّها أمور قصدية لا انطباقية قهرية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الشرعي لصحة المأمور به وتحققه، كالإستقبال والستر والطهارة وغير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الشرط الشرعي للجزء، كالجهر والإخفات بناءً على كونهما شرطاً للقراءة لا للصلاة في حال القراءة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الشرط الشرعي للصلاة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شرطاً لها في حال الإشتغال بها كالإستقرار، وإما أن يكون شرطاً لها مطلقاً ولو في حال السكونات المتخللة كالستر والإستقبال والطهارة الحدثية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كل واحد منهما؛ إما أن يكون له محل شرعي كالطهارة الحدثية فإنها شرط شرعي للصلاة ولها محل شرعي أيضاً، وهو أن يكون قبل الصلاة كما هو 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 إِلَى الصَّلَاةِ</w:t>
      </w:r>
      <w:r>
        <w:rPr>
          <w:rFonts w:eastAsia="Amiri" w:cs="Amiri" w:ascii="Amiri" w:hAnsi="Amiri"/>
          <w:color w:val="111111"/>
          <w:sz w:val="28"/>
          <w:szCs w:val="28"/>
          <w:rtl w:val="true"/>
          <w:lang w:bidi="ar-SA"/>
        </w:rPr>
        <w:t>)</w:t>
      </w:r>
      <w:r>
        <w:rPr>
          <w:rStyle w:val="FootnoteAnchor"/>
          <w:rtl w:val="true"/>
        </w:rPr>
        <w:footnoteReference w:id="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لا يكون للشرط الشرعي محل شرعي كالستر والإستقبال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إشكال في جريان قاعدة الفراغ في الشك في الشرط بجميع أقسامه نصّاً وإجماعاً إلا ما يقال من عدم جريانها فيما إذا كان الشك في الشرط العقلي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قاعدة التجاوز فقد وقع الخلاف في جريانها في الشك في الشرط؛ فذكر السيد الوالد قدس سره </w:t>
      </w:r>
      <w:r>
        <w:rPr>
          <w:rStyle w:val="FootnoteAnchor"/>
          <w:rtl w:val="true"/>
        </w:rPr>
        <w:footnoteReference w:id="67"/>
      </w:r>
      <w:r>
        <w:rPr>
          <w:rFonts w:ascii="Amiri" w:hAnsi="Amiri" w:eastAsia="Amiri" w:cs="Amiri"/>
          <w:color w:val="111111"/>
          <w:sz w:val="28"/>
          <w:sz w:val="28"/>
          <w:szCs w:val="28"/>
          <w:rtl w:val="true"/>
          <w:lang w:bidi="ar-SA"/>
        </w:rPr>
        <w:t>أنه إذا كان للشرط محلاً شرعياً مخصوصاً كالطهارة فتجري القاعدة فيه لأصالة عدم الغفلة والسهو وإطلاق الأدلة، وأما إذا لم يكن له محل مخصوص شرعاً كالستر والإستقبال فعن جمعٍ عدم جريانها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الأمثلة المذكورة في الأخبار الواردة في المقام جميعها من الأجزاء فلا تشمل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باب المثال لا الخصوصية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لمثل هذا الشرط محل مخصوص حتى يصدق عليه التجاوز عن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تجاوزه يكون باعتبار محل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يكفي في صدق التجاوز بالنسبة إلى الشرط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قاعدة التجاوز ما كان مورداً للإرادة التبعية كالاجزاء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الشروط فإنّ الإرادة تتعلق بها استقلالاً لا تبعاً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أيضاً مِمّا تتعلق بها الإرادة التبعية بالنسبة إلى المشروط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بعض الشروط يكون من مورد الإرادة الإستقلالية أيضاً كصلاة الظهر بالنسبة إلى 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دخل لهذه الجهة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وتفصيل ما ذكره السيد الوالد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الأقسام المتقدمة هو أن يقال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القسم الأول؛ أي الشرط العقلي لتحقق المأمور به كقصد الظهرية والعصرية والمغربية والعشائية والصبحية يكون من أجل تحقق هذه العناوين؛ أي صلاة الظهر والعصر </w:t>
      </w:r>
    </w:p>
    <w:p>
      <w:pPr>
        <w:pStyle w:val="BookText"/>
        <w:rPr/>
      </w:pPr>
      <w:r>
        <w:rPr>
          <w:rFonts w:ascii="Amiri" w:hAnsi="Amiri" w:eastAsia="Amiri" w:cs="Amiri"/>
          <w:color w:val="111111"/>
          <w:sz w:val="28"/>
          <w:sz w:val="28"/>
          <w:szCs w:val="28"/>
          <w:rtl w:val="true"/>
          <w:lang w:bidi="ar-SA"/>
        </w:rPr>
        <w:t>والمغرب والعشاء والصبح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بعدم جريان قاعدة التجاوز، بل قاعدة الفراغ أيضاً فيها كما إذا كان الشك في تحقق نية الظهرية أو العصريةونحوها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تعنون الصلاة بهذه العناوين من الآثار العقلية التكوينية لواقع قصدها، فالتعبد بوجود نية الظهر مثلاً لا يترتب عليه هذا الأثر فيكون هذا التعبد لغواً، فلا تجري قاعدة التجاوز كما لا تجري قاعدة الفراغ بالنسبة إليها أيضاً بعد الفراغ عن العمل لأنّ مجرى قاعدة الفراغ هو الشك في صحة العمل وفساده بعد إحراز عنوانه، وأما إذا لم يحرز عنوانه كما إذا شك في أنّ الذي صدر منه هل هو صلاة أو كان رياضة مثلاً فإنّ قاعدة الفراغ لا تثبت كونه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مناقشته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لما يقال من الشروط العقلية بالمعنى الذي ذكرناه آنفاً لا يتعلق بها التعبد أصلاً لاستلزامه اللغوية؛ فإنَّه يكفي في المقام ترتيب الأثر عليه وهو الرجوع إلى قاعدة الفراغ أو التجاوز في رفع الشك والحكم بصحة العمل، وقد ذكرنا ذلك مراراً في بحوثنا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المراد من النية قصد العنوان المقوم للمعنون فهو خارج عن مفروض الكلام؛ فإنّ المكلف في أثناء العمل أذكر كما ورد في الصحيح، فلا يصدر منه فعل ذو أجزاء وشروط من دون حصول القصد للعنوان المقوّم عادةً إلا أن يكون ذاهلاً عن نفسه بالكلية وهو نادر جداً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 النية قصد القربة؛ فإن قلنا بأنه شرط شرعي ولو بمتمّم الجعل فلا إشكال في جريان قاعدة الفراغ فيه عند الشك في صحته من جهة احتمال وقوع الخلل فيما اعتبره الشارع فيه من ترك جزء أو شرط أو وجود 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تجري قاعدة التجاوز لأنَّه شرط شرعي شك في تحققه بعد التجاوز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والإشكال عليه بأنه ليس لهذا الشرط محلاً شرعياً يتحقق التجاوز عنه؛ فقد عرفت الجواب عنه آنفاً فإنّ التجاوز عنه إنَّما يكون باعتبار محل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قلنا بأنّ قصد القربة ما يعتبره العقل في مقام الإمتثال فالإشكال الذي ذكرناه آنفاً في قصد العنوان يجري فيه فلا تجري قاعدة الفراغ لأنّ الشك فيه يكون شكاً في الإمتثال، لأنَّه أمر عقلي فلا يتعلق به التعبد الشرعي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بأنه يتعلق به الجعل الشرعي أيضاً، كما أنّ قاعدة التجاوز لا تجري لأنَّه ليس لهذا الشرط بهذا المعنى محل شرعي؛ فإنّ العقل يحكم بلزوم هذا القصد من أول الشروع في العمل إلى إتمامه، ولم يكن الشارع قد جعل محلاً لهذه النية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عنه أيضاً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فالصحيح؛ جريان القاعدتين في الشك في تحقق قصد القربة إلا أن يحكم العرف بأنّ الشك فيه يرجع إلى الشك في الإمتثال، وحينئذٍ يكون الحكم جريان قاعدة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ما يتعلق بالقسم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القسم الثاني؛ أي ما كان شرطاً شرعياً للمركب المأمور به كالإستقبال والستر والطهارة للصلاة مثلاً، فلا إشكال في جريان قاعدة الفراغ مطلقاً سواء كان شرطاً له محل شرعي أو لا، وسواء كان شرطاً في حال الإشتغال بالأجزاء أم كان شرطاً مطلقاً حتى في حال السكونات بلا إشكال من أحد لأنَّه شك في صحة العمل بعد الفراغ منه من جهة عقد شرطه، وأما جريان قاعدة التجاوز في الأثناء كالطهارة الحدثية وصلاة الظهر لصلاة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وصلاة المغرب لصلاة العشاء؛ فإنّ محل الطهارة الحدثية قبل الصلاة بمقتضى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قُمْتُمْ إِلَى الصَّلَاةِ فَاغْسِلُوا وُجُوهَكُمْ وَأَيْدِيَكُمْ إِلَى الْمَرَافِقِ وَامْسَحُوا بِرُءُوسِكُمْ وَأَرْجُلَكُمْ إِلَى الْكَعْبَيْنِ ۚ وَإِنْ كُنْتُمْ جُنُبًا فَاطَّهَّرُوا ۚ وَإِنْ كُنْتُمْ مَرْضَىٰ أَوْ عَلَىٰ سَفَرٍ أَوْ جَاءَ أَحَدٌ مِنْكُمْ مِنَ الْغَائِطِ أَوْ لَامَسْتُمُ النِّسَاءَ فَلَمْ تَجِدُوا مَاءً فَتَيَمَّمُوا صَعِيدًا طَيِّبًا فَامْسَحُوا </w:t>
      </w:r>
    </w:p>
    <w:p>
      <w:pPr>
        <w:pStyle w:val="BookText"/>
        <w:rPr/>
      </w:pPr>
      <w:r>
        <w:rPr>
          <w:rFonts w:ascii="Amiri" w:hAnsi="Amiri" w:eastAsia="Amiri" w:cs="Amiri"/>
          <w:color w:val="111111"/>
          <w:sz w:val="28"/>
          <w:sz w:val="28"/>
          <w:szCs w:val="28"/>
          <w:rtl w:val="true"/>
          <w:lang w:bidi="ar-SA"/>
        </w:rPr>
        <w:t>بِوُجُوهِكُمْ وَأَيْدِيكُمْ مِنْهُ ۚ مَا يُرِيدُ اللَّهُ لِيَجْعَلَ عَلَيْكُمْ مِنْ حَرَجٍ وَلَٰكِنْ يُرِيدُ لِيُطَهِّرَكُمْ وَلِيُتِمَّ نِعْمَتَهُ عَلَيْكُمْ لَعَلَّكُمْ تَشْكُرُونَ</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أنّ محل صلاة الظهر والمغرب قبل العصر والعشاء كما يدل عليه قول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زَالَتِ الشَّمْسُ فَقَدْ دَخَلَ وَقْتُ الصَّلَاتَيْنِ؛ إِلَّا أَنَّ هَذِهِ قَبْلَ هَذِه</w:t>
      </w:r>
      <w:r>
        <w:rPr>
          <w:rFonts w:eastAsia="Amiri" w:cs="Amiri" w:ascii="Amiri" w:hAnsi="Amiri"/>
          <w:color w:val="111111"/>
          <w:sz w:val="28"/>
          <w:szCs w:val="28"/>
          <w:rtl w:val="true"/>
          <w:lang w:bidi="ar-SA"/>
        </w:rPr>
        <w:t>)</w:t>
      </w:r>
      <w:r>
        <w:rPr>
          <w:rStyle w:val="FootnoteAnchor"/>
          <w:rtl w:val="true"/>
        </w:rPr>
        <w:footnoteReference w:id="69"/>
      </w:r>
      <w:r>
        <w:rPr>
          <w:rFonts w:ascii="Amiri" w:hAnsi="Amiri" w:eastAsia="Amiri" w:cs="Amiri"/>
          <w:color w:val="111111"/>
          <w:sz w:val="28"/>
          <w:sz w:val="28"/>
          <w:szCs w:val="28"/>
          <w:rtl w:val="true"/>
          <w:lang w:bidi="ar-SA"/>
        </w:rPr>
        <w:t>فالظاهر جريان قاعدة التجاوز فيه، وذلك لعدم الفرق بين الجزء المشكوك والشرط المشكوك الوجود؛ لأنّ المناط فيهما واحد وهو كون صحة العمل متوقفة على وجود الجزء أو الشرط المشكوك وجودهما بعد التجاوز والمضيّ عن محلهما المقرر لهما شرعاً، فلا تفاوت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يشكل على جريانها في الشرط بأنّ التجاوز الذي هو موضوع القاعدة لم يتحقق بالنسبة إلى الأجزاء الباقية التي لم يأتِ بها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أثر لجريان قاعدة التجاوز في الأثناء حيث تثبت صحة العمل من ناحية احتمال فقْدِ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إذا صحّ الجزء الذي شك فيه فيصحّ العمل بمجموعه، إلا أنّ الكلام وقع في ترتيب الآثار على هذه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تجري وتثبت وجود الشرط مطلقاً حتى بالنسبة إلى شروط أخرى، فلا تجب الطهارة حتى بالنسبة إلى صلاة أخرى غير التي هي بيده ما لم يتحقق ناقض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مثال الظهر والمغرب إذا شك فيهما في أثناء العصر والعشاء فيثبت وجودهما مطلقاً بقاعدة التجاوز فلا يجب الإتيان بهما حتى بعد الفراغ عن العصر والعشاء</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بانه إنَّما يثبت بها تلك الشروط من حيث شرطيتها لتلك المذكورات التي شك فيها فلا بُدَّ من تحصيل الطهارة للصلوات الأخرى واتيان الظهر والمغرب بعد الإتيان بالعصر والعشاء واتمامهما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تثبت الشرط بالنسبة إلى الأجزاء الماضية فقط، وأما بالنسبة إلى الأجزاء الباقية مِمّا لم يأتِ بها بعد فيجب تحصيل الشرط إن كان ممكناً، وإلا فالعمل يبطل إذا كان مركباً أو إرتباطياً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ذلك يرجع إلى النزاع الذي ذكرناه في بداية البحث؛ وهو أنّ هذه القاعدة هل هي من الأصل أو كونها أمارة؛ فإن قلنا بأنها أمارة فيثبت وجود الشرط بناءً على أنّ الأمارة حجة في مثبتاتها ولوازمها فتترتب عليه جميع آثار وجود الشرط واقعاً، فلا يجب عليه تحصيل الطهارة للصلوات التي أتى بها، ولا يجب الإتيان بصلاة الظهر والمغرب بعد إتمام العصر والعشاء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بأنها أصل تنزيلي فيكون مفادها ترتيب آثار وجود الشرط من حيث كونه شرطاً لهذا العمل الذي بيده، وشك في وجود الشرط في أثناءه فيجب معاملة وجود صلاة الظهر مثلاً من حيث شرطيته لصحة صلاة العصر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لا يترتب ذلك على كونها أمارةً أو أصلاً تنزيلياً، بل لا بُدَّ من الرجوع إلى أخبار المقام واستفادة أحد الإحتمالين أو الإحتمالات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ويصحّ القول بأنّ المستفاد من مجموعها هو الإحتمال الأول وإن كان الإحتياط يقتضي الأخذ بالإحتمال الثالث؛ فإن أمكن تحصيل الشرط في الأثناء من دون أن يلزم مانع في البين فتجري القاعدة بالنسبة إلى الأجزاء السابقة فتصحّ كما تصحّ الأجزاء اللاحقة لتحقق الشرط فيها، وإن لم يكن إلا بتخلل مانع فالإحتياط يقتضي إتمامه ثم إعادته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 للشرط محلاً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تجري قاعدة التجاوز في الشك في الشرط في الاثناء إذا لم يكن له محلاً شرعياً لأصالة عدم السهو والغفلة والإطلاق، والإشكالُ بعدم صدق المضيّ والتجاوز فيما إذا لم يكن له محل شرعي مردودٌ بما تقدم بيانه</w:t>
      </w:r>
      <w:r>
        <w:rPr>
          <w:rFonts w:eastAsia="Amiri" w:cs="Amiri" w:ascii="Amiri" w:hAnsi="Amiri"/>
          <w:color w:val="111111"/>
          <w:sz w:val="28"/>
          <w:szCs w:val="28"/>
          <w:rtl w:val="true"/>
          <w:lang w:bidi="ar-SA"/>
        </w:rPr>
        <w:t xml:space="preserve">. </w:t>
      </w:r>
      <w:bookmarkStart w:id="78" w:name="pg15367_180700"/>
    </w:p>
    <w:p>
      <w:pPr>
        <w:pStyle w:val="BookText"/>
        <w:rPr/>
      </w:pPr>
      <w:bookmarkEnd w:id="78"/>
      <w:r>
        <w:rPr>
          <w:rFonts w:ascii="Amiri" w:hAnsi="Amiri" w:eastAsia="Amiri" w:cs="Amiri"/>
          <w:color w:val="111111"/>
          <w:sz w:val="28"/>
          <w:sz w:val="28"/>
          <w:szCs w:val="28"/>
          <w:rtl w:val="true"/>
          <w:lang w:bidi="ar-SA"/>
        </w:rPr>
        <w:t>وفي القسم الثالث؛ وهو الشرط الشرعي للجزء، وما ذكرناه في القسم السابق يجري في هذا القسم أيضاً فتجري قاعدة الفراغ إذا كان الشك بعد العمل في صحته وفساده كما تجري قاعدة التجاوز في أثناء العمل عند الشك في وجوده لأصالة عدم السهو والغفلة وإطلاق الأدلة كما تقدم بيانه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عليه بأنّ الشرط حيث لا وجود له استقلالاً، فلا يصدق عليه أنه قد تجاوز عنه، بخلاف نفس المشروط فإنَّه لا إشكال في جريان قاعدة التجاوز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تقدم من أنَّه موجود قطعاً، فإنّ للشرط وجوداً ولو بوجود مشروطه، فلا فرق بين الشرط العقلي والشرط الشرعي بالنسبة إلى الجزء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يجري في الشرط العقلي للجزء كالموالاة بين حروف الكلمة؛ فتجري قاعدة التجاوز بلا إشكال لأنّ مرجع الشك في مثل هذا الشرط إلى الشك في وجود الجزء، أي الكلمة بعد التجاوز عن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 الشك في الشرط العقلي مستلزم للشك في المشروط، أي الجزء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صحة ما ذهب إليه السيد الوالد قدس سره من جريان القاعدتين في الشك في الشرط مطلقاً سواء كان شرطاً لمجموع العمل أم كان شرطاًللأجزاء؛ شرعياً كان أم عقلياً فتجري القاعدة لوجود المقتضي وفقْد المانع، فلا إشكال</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5900528_2142443653"/>
      <w:bookmarkStart w:id="80" w:name="_Toc29"/>
      <w:bookmarkEnd w:id="79"/>
      <w:r>
        <w:rPr>
          <w:rtl w:val="true"/>
        </w:rPr>
        <w:t>المبحث الثامن</w:t>
      </w:r>
      <w:r>
        <w:rPr>
          <w:rtl w:val="true"/>
        </w:rPr>
        <w:t xml:space="preserve">: </w:t>
      </w:r>
      <w:r>
        <w:rPr>
          <w:rtl w:val="true"/>
        </w:rPr>
        <w:t>في جريان قاعدة التجاوز في الوضوء، بل في الطهارات الثلاث</w:t>
      </w:r>
      <w:r>
        <w:rPr>
          <w:rtl w:val="true"/>
        </w:rPr>
        <w:t>.</w:t>
      </w:r>
      <w:bookmarkEnd w:id="80"/>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المشهور عدم جريانها في الوضوء، ويدل عليه مضافاً إلى الإجماع الصريح النصُّ الصريح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في صحيحة زُرَارَةَ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كُنْتَ قَاعِداً عَلَى وُضُوءٍ ولَمْ تَدْرِ؛ أَ غَسَلْتَ ذِرَاعَكَ أَمْ لَا فَأَعِدْ عَلَيْهَا وعَلَى جَمِيعِ مَا شَكَكْتَ فِيهِ أَنَّكَ لَمْ تَغْسِلْهُ أَوْ تَمْسَحْهُ مِمَّا سَمَّى اللَّهُ مَا دُمْتَ فِي حَالِ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قُمْتَ مِنَ الْوُضُوءِ وفَرَغْتَ فَقَدْ صِرْتَ فِي حَالٍ أُخْرَى؛ فِي صَلَاةٍ أَوْ غَيْرِ صَلَاةٍ؛ فَشَكَكْتَ فِي بَعْضِ مَا سَمَّى اللَّهُ مِمَّا أَوْجَبَ اللَّهُ تَعَالَى عَلَيْكَ </w:t>
      </w:r>
    </w:p>
    <w:p>
      <w:pPr>
        <w:pStyle w:val="BookText"/>
        <w:rPr/>
      </w:pPr>
      <w:r>
        <w:rPr>
          <w:rFonts w:ascii="Amiri" w:hAnsi="Amiri" w:eastAsia="Amiri" w:cs="Amiri"/>
          <w:color w:val="111111"/>
          <w:sz w:val="28"/>
          <w:sz w:val="28"/>
          <w:szCs w:val="28"/>
          <w:rtl w:val="true"/>
          <w:lang w:bidi="ar-SA"/>
        </w:rPr>
        <w:t>فِيهِ وُضُوءاً فَلَا شَيْ‌ءَ عَلَيْكَ</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فإنها صريحة في التفصيل بين قاعدة التجاوز فلا تجري في أثناء الوضوء وبين قاعدة الفراغ وجريانها بعد الفراغ منه فلا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ألحقوا الغسل والتيمم بالوضوء أيضاً وحكموا بعدم جريان قاعدة التجاوز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في المقام 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ذهب إليه المحقق النائيني قدس سره من اختصاص دليل قاعدة التجاوز بالصلاة فقط، وبناءً على ذلك فلا حاجة إلى التماس الوجه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فساد هذا الرأي؛ فإنّ أخبار المقام لها من الإطلاق والشمول ما يشمل الصلاة وغيرها لا سيما الصحيحة والموثقة فإنهما في مقام بيان كبرى كلية وقاعدة عامة، قد طبقها علیه السلام على مورد السؤال، وقد تقدم بيانه مفصلاً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الأنصاري قدس سره </w:t>
      </w:r>
      <w:r>
        <w:rPr>
          <w:rStyle w:val="FootnoteAnchor"/>
          <w:rtl w:val="true"/>
        </w:rPr>
        <w:footnoteReference w:id="71"/>
      </w:r>
      <w:r>
        <w:rPr>
          <w:rFonts w:ascii="Amiri" w:hAnsi="Amiri" w:eastAsia="Amiri" w:cs="Amiri"/>
          <w:color w:val="111111"/>
          <w:sz w:val="28"/>
          <w:sz w:val="28"/>
          <w:szCs w:val="28"/>
          <w:rtl w:val="true"/>
          <w:lang w:bidi="ar-SA"/>
        </w:rPr>
        <w:t>في وجه عدم جريان قاعدة التجاوز في الوضوء من أنه وإن كان مركباً من الغسلات والمسحات إلا أنّ الشارع اعتبرها أمراً واحداً سماها الطهارة، وهي أمر بسيط لا يعقل فيه الشك في الأجزاء والتجاوز عنها، وهو متحقق في التيمم والغسل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بما يلي</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مراده قدس سره أنّ المأمور به في الوضوء هو تحصيل ذلك الأمر البسيط المتحصل من الغسلات والمسحات فهو منافٍ لظاهر الآية المباركة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فَاغْسِلُوا وُجُوهَكُمْ وَأَيْدِيَكُمْ إِلَى الْمَرَافِقِ وَامْسَحُوا بِرُءُوسِكُمْ وَأَرْجُلَكُمْ إِلَى الْكَعْبَيْنِ</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 كما أنَّه منافٍ لظاهر الرواية التي تدل على حمل الأثر؛ وهو الطهور أو النور على نفس الأفعال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مناف لظاهر قوله علیه السلام في معتبرة ابن أبي يعفور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شَكَكْتَ فِي شَيْ‌ءٍ مِنَ الْوُضُوءِ وقَدْ دَخَلْتَ فِي غَيْرِهِ فَلَيْسَ شَكُّكَ بِشَيْ‌ءٍ إِنَّمَا الشَّكُّ إِذَا كُنْتَ فِي شَيْ‌ءٍ لَمْ تَجُزْهُ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المراد من قوله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شيء من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أجزاء الوضوء، وهو يدل على أنّ الشارع فرض للوضوء أجزاءً، فهو ليس أمراً بسيطاً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لاحظنا الأثر المترتب في الوضوء فهو لا ينحصر به، لأنّ كثيراً من العبادات المركبة من الأجزاء لها وحدة وبساطة في الأثر، ومع ذلك فإنّ لها أجزاء، ويطلق عليها الشيء الوارد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كلما شككت في شيء ودخلت في غيره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والوضوء كذلك؛ فإنّ له أجزاءَ متميزة يطلق على كل واحد منها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كان الأثر المترتب عليها واحداً بسيطاً كما أشار إليه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عَلَى الْوُضُوءِ الْوُضُوءِ نُورٌ عَلَى نُورٍ</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مع أنّ هذه الأجزاء الخارجية تكون مقدمة شرعية لذلك الأمر البسيط، وتكون مأموراً بها شرعاً ولو بالأمر المقدّمي، فلا بُدَّ أن تجري قاعدة التجاوز ولو كان المأمور به بالأمر المقدّمي</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عدم تمامية الوجهين في إلحاق التيمم والغسل بالوضوء فلا بأس بجريان قاعدة التجاوز فيهما، فإذا شك في الجزء السابق في التيمم أو الغسل بعد التجاوز والمضيّ فتجري قاعدة التجاوز، ويمكن التمسك للعموم بإطلاق أدلة قاعدة التجاوز وعموم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الواردة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ذهب إليه جمعٌ من الفقهاء، إلا أن يدّعى الإجماع على </w:t>
      </w:r>
      <w:bookmarkStart w:id="81" w:name="pg15367_180706"/>
    </w:p>
    <w:p>
      <w:pPr>
        <w:pStyle w:val="BookText"/>
        <w:rPr/>
      </w:pPr>
      <w:bookmarkEnd w:id="81"/>
      <w:r>
        <w:rPr>
          <w:rFonts w:ascii="Amiri" w:hAnsi="Amiri" w:eastAsia="Amiri" w:cs="Amiri"/>
          <w:color w:val="111111"/>
          <w:sz w:val="28"/>
          <w:sz w:val="28"/>
          <w:szCs w:val="28"/>
          <w:rtl w:val="true"/>
          <w:lang w:bidi="ar-SA"/>
        </w:rPr>
        <w:t>الإلحاق وهو موهون، أو يقال بإمكان إلحاق التيمم بالوضوء بمقتضى البدلية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استفادة التعميم بالبدلية موضع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الأحوط ما ذهب إليه المشهور من عدم جريان قاعدة التجاوز في الطهارات الثلاثة؛ لما يظهر من النقاش فيما ذكروه ردّاً على المحقق الأنصاري قدس سره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فروع تتعلق بهذا البحث مذكورة في الفقه فراجع</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5900530_2142443653"/>
      <w:bookmarkStart w:id="83" w:name="_Toc30"/>
      <w:bookmarkEnd w:id="82"/>
      <w:r>
        <w:rPr>
          <w:rtl w:val="true"/>
        </w:rPr>
        <w:t>المبحث التاسع</w:t>
      </w:r>
      <w:r>
        <w:rPr>
          <w:rtl w:val="true"/>
        </w:rPr>
        <w:t xml:space="preserve">: </w:t>
      </w:r>
      <w:r>
        <w:rPr>
          <w:rtl w:val="true"/>
        </w:rPr>
        <w:t>إعتبار إحراز أصل التكليف في الجملة في جريان القاعدتين</w:t>
      </w:r>
      <w:bookmarkEnd w:id="83"/>
    </w:p>
    <w:p>
      <w:pPr>
        <w:pStyle w:val="BookText"/>
        <w:rPr/>
      </w:pPr>
      <w:r>
        <w:rPr>
          <w:rFonts w:ascii="Amiri" w:hAnsi="Amiri" w:eastAsia="Amiri" w:cs="Amiri"/>
          <w:color w:val="111111"/>
          <w:sz w:val="28"/>
          <w:sz w:val="28"/>
          <w:szCs w:val="28"/>
          <w:rtl w:val="true"/>
          <w:lang w:bidi="ar-SA"/>
        </w:rPr>
        <w:t>إنه مع وجود الشك من جهة السهو والنسيان والغفلة يكون الكلام في هذا الشرط في أمرين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 جريان قاعدتي الفراغ والتجاوز أن يكون المكلف قد أحرز جميع أجزاء المركب المأمور به وشرائطه وموانعه إما وجداناً أو تعبداً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أحرز التكليف المتعلق بالفعل المركب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الشك إنَّما يكون من جهة انطباقه على ما هو المأمور به بسبب السهو والنسيان والغفلة، ويكون هناك عمل يشك في انطباقه على المأمور به، وهذا هو محور الكلام في هاتين القاعدتين، وأما إذا كان الشك في صحة العمل من ناحية احتمال اعتبار شيء في العمل جزءاً أو شرطاً، أو احتمال اعتبار عدمه ليكون مانعاً فلا ربط له بالقاعدتين، فلا بُدَّ من الرجوع إلى الأدلة الأخرى من الأمارات والأصول العملية عند فقدها كما عرفت مفصلاً في مباحث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ودليل هذا الشرط هو أنّ هاتين القاعدتين من القواعد أو الأصول التي يعتمد عليها في مقام الإمتثال وإسقاط التكليف، لا أن تكونا في مقام إثبات التكليف، وهذا واضح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إنه لا يعتبر الإلتفات التفصيلي إلى العمل حين الإتيان به، بل يكفي التوجه الإجمالي الإرتكازي للأصل والإطلاق، ولعل هذا هو المراد بالأذكرية الواردة في بعض الأخبار المتقدمة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بعد إحراز العمل من ناحية عروض الدهشة أو الإضطراب أو احتمال تعمد الترك أو لأجل الجهل بالحكم أو الموضوع أو من أجل احتمال قصور أو تقصير في الإجتهاد أو التقليد أو نحو ذلك، فلا تجري هاتين القاعدتين في هذه الموارد فلا بُدَّ من الرجوع إلى القواعد والأصول الأخرى، ولا توجد ضابطة كلية بل تختلف باختلاف الموارد والأشخاص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والصور المتصورة في ذلك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مع التفات المكلف حين العمل إلى الأجزاء أو الشرائط والموانع في صحة العمل وفساده من جهة طروّ الشك والسهو والغفلة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إنه إذا كان حصول الشك في أثناء العمل يكون مجرى قاعدة التجاوز، وإن كان الشك قد حصل بعد الفراغ عن العمل يكون مجرى قاعدة الفراغ على التفصيل المتقدم؛ وهذه الصورة هي القدر المتيقن من صور جريان هاتين القاعدتين بعد توفر شروطهما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 الصورة السابقة ولكن الشك من جهة احتمال أن يكون الترك للجزء أو الشرط عن عمد واختيار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والمعروف عدم جريان القاعدتين في هذه الصورة لعدم شمول أدلتهما لها، فإذا كان المدرك هو بناء العقلاء فإنَّه يشك في شموله لمثل هذا المورد لما عرفت من أنّ بنائهم على ذلك من جهة أصالة عدم الغفلة والسهو والنسيان كما تقدم بيانه؛ ولا مورد لجريان هذا الأصل مع احتمال العمد والإختيار، وإن كان المدرك هو الأخبار فقد عرفت أنه ليس مفادها الحكم التعبدي الصرف بل باعتبار أنّ المكلف إذا أراد الدخول في عمل مركب من أجزاء وشرائط يكون بناؤه أن يأتي به على طبق ما يريده الشارع، وقد ألغى الشارع احتمال الغفلة والشك والسهو في هذاالمورد ولكنه لم يلغِِ الشك مع احتمال العمد والإختيار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حِينَ يَتَوَضَّأُ أَذْكَرُ مِنْهُ حِينَ يَشُكُّ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فإنَّه يدل على أنّ </w:t>
      </w:r>
    </w:p>
    <w:p>
      <w:pPr>
        <w:pStyle w:val="BookText"/>
        <w:rPr/>
      </w:pPr>
      <w:r>
        <w:rPr>
          <w:rFonts w:ascii="Amiri" w:hAnsi="Amiri" w:eastAsia="Amiri" w:cs="Amiri"/>
          <w:color w:val="111111"/>
          <w:sz w:val="28"/>
          <w:sz w:val="28"/>
          <w:szCs w:val="28"/>
          <w:rtl w:val="true"/>
          <w:lang w:bidi="ar-SA"/>
        </w:rPr>
        <w:t>منشأ الترك هو الغفلة والسهو والنسيان لا العمد لأنّ الترك مع الغفلة والسهو والنسيان ينافي كونه أذكر، بخلاف الترك العمدي فإنَّه لا ينافي كونه أذكر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أجل ذلك قال الفقهاء من شرط جريان قاعدة التجاوز والفراغ أن لا يكون احتمال الترك عن عمد؛ لأنَّه ليس لأخبار المقام إطلاق يشمل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الترك من جهة الجهل وعدم المعرفة بتمام أجزاء المركب وشرائطه وموانعه حال الإشتغال بالعمل سواء كان جهله من ناحية الشبهة الحكمية أو الموضوعية؛ فالأول كما إذا لم يعلم بأنّ السورة واجبة في الصلاة وأنها جزء منها، والثاني مثل ما إذا علم بأنَّ الإستقبال شرط في الصلاة ولكن لا يعلم بأنَّ هذه الجهة التي صلى إليها قبلة أم لا وبعد حصول الشك يعلم بصورة العمل الذي صدر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واحتمال أنَّ الجهة التي صلى إليها قبلة من باب الإتّفاق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تجري القاعدة في هذه الصورة أيضاً لأنّ مطابقة العمل للواقع لو كانت فهي من باب الإحتمال والإتفاق فلا تشملها الأخبار وبناء العقلاء كما تقدم بيانه في الصورة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حكم ما إذا كان الجهل من جهة احتمال قصور أو تقصير في الإجتهاد أو التقليد فإنّ الحكم في الجميع واحد</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شكّ بعد العمل أو التجاوز ولكن كان هذا الشك قبل الدخول في العمل؛ كما إذا شك قبل الصلاة في الطهارة الحدثية وكان مسبوقاً بالطهارة فدخل في الصلاة مع استصحاب الطهارة فلا محالة أنه يكون شاكاً في صحة الصلاة التي دخل فيها، لأنّ الطهارة شرط واقعي في الصلاة؛ فالشك فيها ملازم مع الشك في صحة الصلاة وقد صحّ دخوله فيها بالإستصحاب، وبعد الصلاة انقلب الإستصحاب إلى الشك الساري لزوال اليقين السابق في الظرف الذي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الإستصحاب حتى يحكم بوجود الشرط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هل يمكن في هذه الصورة تصحيح العمل بقاعدة الفراغ؟</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قد يقال بجريانها فيها لأنّ المناط هو الدخول في الصلاة مع توفر شرطها ولو كان حاصلاً في قيام أمارة كالبينة أو أصل كالإستصحاب، وهذا المقدار يكفي في جريان قاعدة الفراغ بعد العمل الذي شك في صحته بتخلف الأصل أو البينة بظهور فسقها حين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عدم جريان قاعدة الفراغ في هذه الصورة لما عرفت من أنّ مورد جريان القاعدتين هو الشك في صحة العمل من جهة وجود الخلل في المأتي به الحاصل غفلة أو سهواً أو نسياناً، والمقام ليس كذلك؛ إذ المفروض عدم حصول الغفلة والسهو والنسيان عن جزء أو شرط، بل المكلف أخلّ في الصلاةباستصحاب زائل أو بينة تبيّن فسقها حال الشهادة فيكون الدخول بتخيّل الإستصحاب أو البينة، لا البينة الواقعية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السابقة مع الفرق بأنّ المكلف لا يجوز له الدخول في الصلاة في هذه الصورة، بخلاف السابقة التي كان دخوله فيها جائزاً بالإستصحاب أو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الصورة يشك المكلف في كونه محدثاً قبل الصلاة ولم يكن له استصحاب الطهارة ليعتمد عليه، فلا يجوز له الدخول في الصلاة للزوم إحراز الطهارة؛ فلو غفل وصلى فلا ريب في أنه بعد الصلاة يشك في صحة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تارة يحتمل أنه توضأ بعد الشك في الحدث، وأخرى لا يحتمل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الحالة الأولى؛ فالمعروف جريان القاعدتين في مثل هذه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حال الشك في الحدث لم يكن بأعظم من القطع بالحدث فدخل في الصلاة غفلة وبعد الصلاة إحتمل أنه توضأ، فإنهم قالوا بجريان القاعدتين في مثل ذلك؛ ففي مورد الشك يكون بطريق أولى</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الحالة الثانية؛ فإنَّه إذا لم يحتمل الوضوء بعد العلم بالحدث فالظاهر عدم جريان القاعدتين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 من أنّ قاعدة الفراغ والتجاوز مفادها إلغاء احتمال ترك جزء أو شرط غفلة أو سهواً أو نسياناً</w:t>
      </w:r>
      <w:r>
        <w:rPr>
          <w:rFonts w:eastAsia="Amiri" w:cs="Amiri" w:ascii="Amiri" w:hAnsi="Amiri"/>
          <w:color w:val="111111"/>
          <w:sz w:val="28"/>
          <w:szCs w:val="28"/>
          <w:rtl w:val="true"/>
          <w:lang w:bidi="ar-SA"/>
        </w:rPr>
        <w:t xml:space="preserve">. </w:t>
      </w:r>
      <w:bookmarkStart w:id="84" w:name="pg15367_180714"/>
    </w:p>
    <w:p>
      <w:pPr>
        <w:pStyle w:val="BookText"/>
        <w:rPr/>
      </w:pPr>
      <w:bookmarkEnd w:id="84"/>
      <w:r>
        <w:rPr>
          <w:rFonts w:ascii="Amiri" w:hAnsi="Amiri" w:eastAsia="Amiri" w:cs="Amiri"/>
          <w:color w:val="111111"/>
          <w:sz w:val="28"/>
          <w:sz w:val="28"/>
          <w:szCs w:val="28"/>
          <w:rtl w:val="true"/>
          <w:lang w:bidi="ar-SA"/>
        </w:rPr>
        <w:t>وفي المقام دخل في الصلاة غفلة عن كونه شاكاً في الحدث وإلا فلا يجوز له الدخول في الصلاة، فمع الدخول غفلة لا يمكن رفعها بقاعدة التجاوز والفراغ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صور أخرى مذكورة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 أنّ جريان القاعدتين في الأثناء وبعد العمل منوط بما إذا كان الشك منحصراً في انطباق المأتي به مع المأمور به نتيجة الغفلة والسهو والنسيان، ولم يكن هذا الشك مسبوقاً بالشك في صحة العمل المأمور به قبل أن يشرع فيه لإحتمال فقْد شرط أو جزء أو وجود مانع، وإلا فلا تجري القاعدة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لا تجريان فيما إذا كان منشأ الشك هو احتمال تعمد الترك أو الجهل تقصيراً أو قصوراً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حدوث الدهشة والإضطراب، وإلا فإنه لا بُدَّ من الرجوع إلى الأمارات والأصول التي لا تضبطها ضابطة كلية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الفقيه والمكلف التنّبه التام في مراعاة الضابطة في جريان القاعدتين</w:t>
      </w:r>
      <w:r>
        <w:rPr>
          <w:rFonts w:eastAsia="Amiri" w:cs="Amiri" w:ascii="Amiri" w:hAnsi="Amiri"/>
          <w:color w:val="111111"/>
          <w:sz w:val="28"/>
          <w:szCs w:val="28"/>
          <w:rtl w:val="true"/>
          <w:lang w:bidi="ar-SA"/>
        </w:rPr>
        <w:t>.</w:t>
      </w:r>
    </w:p>
    <w:p>
      <w:pPr>
        <w:pStyle w:val="Heading4"/>
        <w:numPr>
          <w:ilvl w:val="3"/>
          <w:numId w:val="1"/>
        </w:numPr>
        <w:rPr/>
      </w:pPr>
      <w:bookmarkStart w:id="85" w:name="__RefHeading___Toc5900532_2142443653"/>
      <w:bookmarkStart w:id="86" w:name="_Toc31"/>
      <w:bookmarkEnd w:id="85"/>
      <w:r>
        <w:rPr>
          <w:rtl w:val="true"/>
        </w:rPr>
        <w:t>المبحث العاشر</w:t>
      </w:r>
      <w:r>
        <w:rPr>
          <w:rtl w:val="true"/>
        </w:rPr>
        <w:t xml:space="preserve">: </w:t>
      </w:r>
      <w:r>
        <w:rPr>
          <w:rtl w:val="true"/>
        </w:rPr>
        <w:t>في أنّ المضي وعدم الإعتناء بالشك في القاعدتين على نحو العزيمة</w:t>
      </w:r>
      <w:bookmarkEnd w:id="86"/>
    </w:p>
    <w:p>
      <w:pPr>
        <w:pStyle w:val="BookText"/>
        <w:rPr/>
      </w:pPr>
      <w:r>
        <w:rPr>
          <w:rFonts w:ascii="Amiri" w:hAnsi="Amiri" w:eastAsia="Amiri" w:cs="Amiri"/>
          <w:color w:val="111111"/>
          <w:sz w:val="28"/>
          <w:sz w:val="28"/>
          <w:szCs w:val="28"/>
          <w:rtl w:val="true"/>
          <w:lang w:bidi="ar-SA"/>
        </w:rPr>
        <w:t>بمعنى أنه لا يجوز الإعتناء بالشك، ويحرم إتيان المشكوك ثانياً، أو أنه على نحو الرخصة؛ بمعنى إنه بالخيار يجوز له أن يمضي ولا يعتني بالشك، كما يجوز له أن يأتي بالمشكوك بعنوان الإحتياط ورجاء درك الواقع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السيد الوالد قدس سره </w:t>
      </w:r>
      <w:r>
        <w:rPr>
          <w:rStyle w:val="FootnoteAnchor"/>
          <w:rtl w:val="true"/>
        </w:rPr>
        <w:footnoteReference w:id="74"/>
      </w:r>
      <w:r>
        <w:rPr>
          <w:rFonts w:ascii="Amiri" w:hAnsi="Amiri" w:eastAsia="Amiri" w:cs="Amiri"/>
          <w:color w:val="111111"/>
          <w:sz w:val="28"/>
          <w:sz w:val="28"/>
          <w:szCs w:val="28"/>
          <w:rtl w:val="true"/>
          <w:lang w:bidi="ar-SA"/>
        </w:rPr>
        <w:t>إن الظاهر من الأدلة هو الثاني وإن البناء على الواقع في موردهما ترخيصي لا أن يكون عزيمة فيجوز الرجوع والإتيان ما لم يلزم محذور في البين من زيادة ركن ونحوه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ذهب المحقق النائيني قدس سره </w:t>
      </w:r>
      <w:r>
        <w:rPr>
          <w:rStyle w:val="FootnoteAnchor"/>
          <w:rtl w:val="true"/>
        </w:rPr>
        <w:footnoteReference w:id="75"/>
      </w:r>
      <w:r>
        <w:rPr>
          <w:rFonts w:ascii="Amiri" w:hAnsi="Amiri" w:eastAsia="Amiri" w:cs="Amiri"/>
          <w:color w:val="111111"/>
          <w:sz w:val="28"/>
          <w:sz w:val="28"/>
          <w:szCs w:val="28"/>
          <w:rtl w:val="true"/>
          <w:lang w:bidi="ar-SA"/>
        </w:rPr>
        <w:t xml:space="preserve">إلى أنّ الظاهر من حكم الشارع في مورد قاعدة التجاوز بالمضي على نحو العزيمة، لأنَّه بعد أن حكم الشارع بوجوب المضي وإلغاء الشك </w:t>
      </w:r>
    </w:p>
    <w:p>
      <w:pPr>
        <w:pStyle w:val="BookText"/>
        <w:rPr/>
      </w:pPr>
      <w:r>
        <w:rPr>
          <w:rFonts w:ascii="Amiri" w:hAnsi="Amiri" w:eastAsia="Amiri" w:cs="Amiri"/>
          <w:color w:val="111111"/>
          <w:sz w:val="28"/>
          <w:sz w:val="28"/>
          <w:szCs w:val="28"/>
          <w:rtl w:val="true"/>
          <w:lang w:bidi="ar-SA"/>
        </w:rPr>
        <w:t>وعدم الإعتناء به لا يجوز إتيان الجزء أو الشرط المشكوك فيه ولو رجاءً لأنَّه لا موضوع له مع الحكم بوجوده فيكون الإتيان به من الزيادة العمدية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الإحتياط وإتيان المحتمل الآخر غير ما قامت عليه الحجة لا ينافي مثل الأمارات فضلاً عن الأصول؛ لأنّ معنى حجية الأمارة أو الأصل هو لزوم الإتيان بمؤداها لا عدم الإتيان بالمحتمل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الإحتياط وجوباً أو جوازاً هو احتمال التكليف، وفي المقام إنّ احتمال عدم وجود المشكوك وجداني لا يرتفع بقاعدة التجاوز وإن حكم الشارع بالمضيّ وعدم الإعتناء بالشك امتناناً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لقول المحقق المزبور مع الحكم بوجود المشكوك والأمر بالبناء عليه وأنه لا موضوع للإحتياط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قدس سره من إنه يلزم من الإحتياط الزيادة العمدية موهون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أخص من المدعى؛ لأنَّه بناء على ما هو عليه الحق من عدم اختصاص قاعدة التجاوز بالصلاة، وأنّ الزيادة العمدية مبطلة في خصوص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الإحتياط بإعادة الصلاة لا بإعادة الجزء فقط حتى لا يلزم الزيادة العمدية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المراد من الزيادة العمدية هو احتمال الزيادة فهذا الإحتمال موجود في الشك في المحل أيضاً، وأما التجاوز عن المحل فقد ذكرنا أنه لا يرفع الإحتمال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ما ذهب إليه السيد الوالد قدس سره وغيره من أنَّ عدم الإعتناء بالشك في مورد القاعدتين على نحو الرخصة لا العزيمة كما هو الشأن في سائر الحجج الشرعية من الأمارات والأصول، ولا يوجد محذور في الإحتياط برجاء درك الواقع في موردها</w:t>
      </w:r>
      <w:r>
        <w:rPr>
          <w:rFonts w:eastAsia="Amiri" w:cs="Amiri" w:ascii="Amiri" w:hAnsi="Amiri"/>
          <w:color w:val="111111"/>
          <w:sz w:val="28"/>
          <w:szCs w:val="28"/>
          <w:rtl w:val="true"/>
          <w:lang w:bidi="ar-SA"/>
        </w:rPr>
        <w:t xml:space="preserve">. </w:t>
      </w:r>
      <w:bookmarkStart w:id="87" w:name="pg15367_180718"/>
    </w:p>
    <w:p>
      <w:pPr>
        <w:pStyle w:val="Heading4"/>
        <w:numPr>
          <w:ilvl w:val="3"/>
          <w:numId w:val="1"/>
        </w:numPr>
        <w:rPr/>
      </w:pPr>
      <w:bookmarkStart w:id="88" w:name="__RefHeading___Toc5900534_2142443653"/>
      <w:bookmarkStart w:id="89" w:name="_Toc32"/>
      <w:bookmarkEnd w:id="87"/>
      <w:bookmarkEnd w:id="88"/>
      <w:r>
        <w:rPr>
          <w:rtl w:val="true"/>
        </w:rPr>
        <w:t>المبحث الحادي عشر</w:t>
      </w:r>
      <w:r>
        <w:rPr>
          <w:rtl w:val="true"/>
        </w:rPr>
        <w:t xml:space="preserve">: </w:t>
      </w:r>
      <w:r>
        <w:rPr>
          <w:rtl w:val="true"/>
        </w:rPr>
        <w:t>في البناء على كونهما من صغريات أصالة عدم السهو والغفلة والنسيان</w:t>
      </w:r>
      <w:bookmarkEnd w:id="89"/>
    </w:p>
    <w:p>
      <w:pPr>
        <w:pStyle w:val="BookText"/>
        <w:rPr/>
      </w:pPr>
      <w:r>
        <w:rPr>
          <w:rFonts w:ascii="Amiri" w:hAnsi="Amiri" w:eastAsia="Amiri" w:cs="Amiri"/>
          <w:color w:val="111111"/>
          <w:sz w:val="28"/>
          <w:sz w:val="28"/>
          <w:szCs w:val="28"/>
          <w:rtl w:val="true"/>
          <w:lang w:bidi="ar-SA"/>
        </w:rPr>
        <w:t>فالقاعدتان لا تختصان بمورد خاص، بل تجريان في جميع العبادات والمعاملات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التعبد فيهما فقد ذهب المحقق النائيني قدس سره إلى اختصاص قاعدة التجاوز بالصلاة فلا تجري في غيرها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خلاف ظاهر الأخبار التي هي في مقام بيان الكبرى الكلية، والصلاة من صغريات تطبيقات تلك الضابطة والكبرى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قاعدة الفراغ فلم يقل أحد باختصاصها بالصلاة فهي تجري في جميع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فقد ذكر السيد الوالد قدس سره </w:t>
      </w:r>
      <w:r>
        <w:rPr>
          <w:rStyle w:val="FootnoteAnchor"/>
          <w:rtl w:val="true"/>
        </w:rPr>
        <w:footnoteReference w:id="76"/>
      </w:r>
      <w:r>
        <w:rPr>
          <w:rFonts w:ascii="Amiri" w:hAnsi="Amiri" w:eastAsia="Amiri" w:cs="Amiri"/>
          <w:color w:val="111111"/>
          <w:sz w:val="28"/>
          <w:sz w:val="28"/>
          <w:szCs w:val="28"/>
          <w:rtl w:val="true"/>
          <w:lang w:bidi="ar-SA"/>
        </w:rPr>
        <w:t>إلى أنَّه بناءً على التعبد فيهما فالتعميم بحيث</w:t>
      </w:r>
    </w:p>
    <w:p>
      <w:pPr>
        <w:pStyle w:val="BookText"/>
        <w:rPr/>
      </w:pPr>
      <w:r>
        <w:rPr>
          <w:rFonts w:ascii="Amiri" w:hAnsi="Amiri" w:eastAsia="Amiri" w:cs="Amiri"/>
          <w:color w:val="111111"/>
          <w:sz w:val="28"/>
          <w:sz w:val="28"/>
          <w:szCs w:val="28"/>
          <w:rtl w:val="true"/>
          <w:lang w:bidi="ar-SA"/>
        </w:rPr>
        <w:t>تشملان جميع العبادات والمعاملات مبني على عدم كون المورد مخصصاً، وهو وإن كان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مفصلاً ولكن حيث أنّ الحكم مخالف لقاعدة الإشتغال فالإقتصار على المورد لعله يكون هو الأحوط، بل يمكن القول بأنه حتى بناءً على كونهما من صغريات أصالة عدم السهو والنسيان يشكل التعميم أيضاً لو لم يكن إجماع عليه في البين؛ لأنّ مدرك اعتبارهذا الأصل إنَّما هو السيرة والشك في تعميمها وهو يكفي في عدم التمسك بها للعموم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بالتعميم بناءً على كلا الرأيين؛ أي التعبد، وكونهما من صغريات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الأخبار لها من الظهور في التعميم مِمّا لا يخفى، وكذا الأصل فإنّ بناء العقلاء تامّ في ذلك ولا شك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قدس سره مبني على الإحتياط الإستحبابي</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ما يتعلق بقاعدتي التجاوز والفراغ، ولا ريب في تقديمهما على الإستصحاب سواءً كان على نحو الحكومة أو غيرها</w:t>
      </w:r>
      <w:r>
        <w:rPr>
          <w:rFonts w:eastAsia="Amiri" w:cs="Amiri" w:ascii="Amiri" w:hAnsi="Amiri"/>
          <w:color w:val="111111"/>
          <w:sz w:val="28"/>
          <w:szCs w:val="28"/>
          <w:rtl w:val="true"/>
          <w:lang w:bidi="ar-SA"/>
        </w:rPr>
        <w:t xml:space="preserve">. </w:t>
      </w:r>
      <w:bookmarkStart w:id="90" w:name="pg15367_180720"/>
    </w:p>
    <w:p>
      <w:pPr>
        <w:pStyle w:val="Heading3"/>
        <w:numPr>
          <w:ilvl w:val="2"/>
          <w:numId w:val="1"/>
        </w:numPr>
        <w:rPr/>
      </w:pPr>
      <w:bookmarkStart w:id="91" w:name="__RefHeading___Toc5900536_2142443653"/>
      <w:bookmarkStart w:id="92" w:name="_Toc33"/>
      <w:bookmarkEnd w:id="90"/>
      <w:bookmarkEnd w:id="91"/>
      <w:r>
        <w:rPr>
          <w:rtl w:val="true"/>
        </w:rPr>
        <w:t>قاعدة أصالة الصحة</w:t>
      </w:r>
      <w:bookmarkEnd w:id="92"/>
    </w:p>
    <w:p>
      <w:pPr>
        <w:pStyle w:val="Heading4"/>
        <w:numPr>
          <w:ilvl w:val="3"/>
          <w:numId w:val="1"/>
        </w:numPr>
        <w:rPr/>
      </w:pPr>
      <w:bookmarkStart w:id="93" w:name="__RefHeading___Toc5900538_2142443653"/>
      <w:bookmarkStart w:id="94" w:name="_Toc34"/>
      <w:bookmarkEnd w:id="93"/>
      <w:r>
        <w:rPr>
          <w:rtl w:val="true"/>
        </w:rPr>
        <w:t>اشارة</w:t>
      </w:r>
      <w:bookmarkEnd w:id="94"/>
    </w:p>
    <w:p>
      <w:pPr>
        <w:pStyle w:val="BookText"/>
        <w:rPr/>
      </w:pPr>
      <w:r>
        <w:rPr>
          <w:rFonts w:ascii="Amiri" w:hAnsi="Amiri" w:eastAsia="Amiri" w:cs="Amiri"/>
          <w:color w:val="111111"/>
          <w:sz w:val="28"/>
          <w:sz w:val="28"/>
          <w:szCs w:val="28"/>
          <w:rtl w:val="true"/>
          <w:lang w:bidi="ar-SA"/>
        </w:rPr>
        <w:t>والكلام فيها من جهات</w:t>
      </w:r>
      <w:r>
        <w:rPr>
          <w:rFonts w:eastAsia="Amiri" w:cs="Amiri" w:ascii="Amiri" w:hAnsi="Amiri"/>
          <w:color w:val="111111"/>
          <w:sz w:val="28"/>
          <w:szCs w:val="28"/>
          <w:rtl w:val="true"/>
          <w:lang w:bidi="ar-SA"/>
        </w:rPr>
        <w:t>:</w:t>
      </w:r>
    </w:p>
    <w:p>
      <w:pPr>
        <w:pStyle w:val="Heading4"/>
        <w:numPr>
          <w:ilvl w:val="3"/>
          <w:numId w:val="1"/>
        </w:numPr>
        <w:rPr/>
      </w:pPr>
      <w:bookmarkStart w:id="95" w:name="__RefHeading___Toc5900540_2142443653"/>
      <w:bookmarkStart w:id="96" w:name="_Toc35"/>
      <w:bookmarkEnd w:id="95"/>
      <w:r>
        <w:rPr>
          <w:rtl w:val="true"/>
        </w:rPr>
        <w:t>الجهة الأولى</w:t>
      </w:r>
      <w:r>
        <w:rPr>
          <w:rtl w:val="true"/>
        </w:rPr>
        <w:t xml:space="preserve">: </w:t>
      </w:r>
      <w:r>
        <w:rPr>
          <w:rtl w:val="true"/>
        </w:rPr>
        <w:t>في بيان الدليل عليها</w:t>
      </w:r>
      <w:r>
        <w:rPr>
          <w:rtl w:val="true"/>
        </w:rPr>
        <w:t>.</w:t>
      </w:r>
      <w:bookmarkEnd w:id="96"/>
    </w:p>
    <w:p>
      <w:pPr>
        <w:pStyle w:val="BookText"/>
        <w:rPr/>
      </w:pPr>
      <w:r>
        <w:rPr>
          <w:rFonts w:ascii="Amiri" w:hAnsi="Amiri" w:eastAsia="Amiri" w:cs="Amiri"/>
          <w:color w:val="111111"/>
          <w:sz w:val="28"/>
          <w:sz w:val="28"/>
          <w:szCs w:val="28"/>
          <w:rtl w:val="true"/>
          <w:lang w:bidi="ar-SA"/>
        </w:rPr>
        <w:t>لا ريب في أنها من القواعد المعتبرة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اعتبارها 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الكريم؛ فهي جملة من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تكون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اللَّهُ بِكُمُ الْيُسْرَ وَلَا يُرِيدُ بِكُمُ الْعُسْ</w:t>
      </w:r>
      <w:r>
        <w:rPr>
          <w:rFonts w:eastAsia="Amiri" w:cs="Amiri" w:ascii="Amiri" w:hAnsi="Amiri"/>
          <w:color w:val="111111"/>
          <w:sz w:val="28"/>
          <w:szCs w:val="28"/>
          <w:rtl w:val="true"/>
          <w:lang w:bidi="ar-SA"/>
        </w:rPr>
        <w:t>)</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جَعَلَ عَلَيْكُمْ فِي الدِّينِ مِنْ حَرَجٍ</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بَعْضَ الظَّنِّ إِثْمٌ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 ما تكون خاصة ببعض العناوين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الواردة في مقام التسهيل والتيسير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مجموعها أنّ التكاليف الفردية والإجتماعية الدائرة بين الناس مبنية على التيسير والتسهيل مهما أمكن إليها من سبيل، ومن اليسر والسهولة حمل فعل المؤمن على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يستشكل على 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الطائفة الأولى؛ فإنها تختص بالمؤمنين</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يمكن الجواب عنه بأنه على فرض الإختصاص لا يضرّ بالمقصود، مع أنها إذا كانت </w:t>
      </w:r>
    </w:p>
    <w:p>
      <w:pPr>
        <w:pStyle w:val="BookText"/>
        <w:rPr/>
      </w:pPr>
      <w:r>
        <w:rPr>
          <w:rFonts w:ascii="Amiri" w:hAnsi="Amiri" w:eastAsia="Amiri" w:cs="Amiri"/>
          <w:color w:val="111111"/>
          <w:sz w:val="28"/>
          <w:sz w:val="28"/>
          <w:szCs w:val="28"/>
          <w:rtl w:val="true"/>
          <w:lang w:bidi="ar-SA"/>
        </w:rPr>
        <w:t>في مقام الإمتنان والتسهيل والتيسير فلا تختص بالمؤمنين، فتشمل المسلمين أيضاً كما سيأتي مزيد توضيح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الطائفة الثانية؛ فقيل إنها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بالعقود بالمعنى الشامل للإيقاع كما هو مقتضى المدلول اللغوي بهذه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أنه إذا تمّ في العقود فإنه يتمّ في غيرها لعدم القول بالفصل كما ستعرف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فيها متوجه إلى الملّاك دون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اختصاصها بالملاك ومن يلحق بهم كالوكيل ونحوه ممن يقوم بإجراء العقود من المسلمين لا يضرّ بالإستدلال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التمسك بها في موارد الشك يكون من التمسك بالعام في الشبهة المصداقية لورود مخصصات كثيرة عليها، ويحتمل كون الصادر من هذه المخصصات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القاعدة تجري في موارد إحراز الموضوع في الجملة كما سيأتي بيانه، فلا إشكال في التمسك بالآيات لاعتبار قاعدة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فهي أخبار مستفيضة واردة في أبواب متفرقة وبألسنة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أَمِيرُ الْمُؤْمِنِينَ علیه السلام فِي كَلَامٍ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ضَعْ أَمْرَ أَخِيكَ عَلَى أَحْسَنِهِ حَتَّى يَأْتِيَكَ مَا يَغْلِبُكَ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تَظُنَّنَّ بِكَلِمَةٍ خَرَجَتْ مِنْ أَخِيكَ سُوءاً وأَنْتَ تَجِدُ لَهَا فِي الْخَيْرِ مَحْمِلًا</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وقريب من هذا المضمون أخبار كثيرة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يَجُزْ هَذَا لَمْ يَقُمْ لِلْمُسْلِمِينَ سُوقٌ</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فإنَّه لو لم تجر أصالة الصحة في فعل الغير لاستلزم اختلال النظام، وهو أشد من ترك العمل بأمارية اليد كما هو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تامّ ولكنه لا عمومية له ليشمل حتى مثل غسل الثوب فإنَّه لو لم تجر فيه أصالة الصحة لا يستلزم الهرج والمرج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لهذا الإشكال؛ إذ لا مانع من إجراء قاعدة الصحة فيه، فإنَّه وإن لم يستلزم الهرج والمرج ولكنه يستلزم العسر والحرج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فالمتفق عليه هو إجراؤها عند الشك في فساد عمل أو قبحه، ولذا يعتمد على هذا الأصل في موارد النزاع في الصحة والفساد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وأشكل عليه بأنّ تحصيل الإجماع في كل مورد بخصوصه مشكل، مع أنه لا يكون تعبدياً كاشفاً عن رأي المعصوم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يكفي حصول الإجماع على أصل اعتبار هذه القاعدة وإن كان في بعض الموارد يحتاج إلى تحقيق وإطباق العلماء على اعتبارها من دون خلاف منهم، وهو أصدق شاهد على كونه إجماعاً تعبدياً فلو لم يكن مثل هذا الإجماع كذلك لما بقي للإجماع مورد يعتمد عليه إلا نادراً</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العقل؛ وهو بناء العقلاء على إجراء أصالة الصحة في فعل الغير وعدم تبادرهم إلى الحكم بالفساد عند الشك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إنهم لا يعتنون بالشك مطلقاً، ومن بادر إلى الحكم بالفساد يستنكر منه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وقيام هذه السيرة عند العقلاء والمتدينين مِمّا لا يمكن إنكارها، وهي قائمة حتى زمان المعصومين علیهم السلام في جميع أفعالهم من العبادات والمعاملات، ومطلق الأحكام ممضاة شرعاً؛ إذ لم يرد ردع منهم علیهم السلام عنها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ويمكن الإستدلال عليها أيضاً بأصالة عدم السهو والنسيان لأنّ إتيان الفاسد خلاف ما يقتضيه طبع الإنسان فتكون الصحة مقتضى الطبع في كل شيء مطلقاً إلا مع الحجة على الخلاف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 مكرراً أنّ الأصول النظامية العقلائية لا تحتاج إلى التقرير، بل يكفي في اعتبارها عدم ثبوت الردع</w:t>
      </w:r>
      <w:r>
        <w:rPr>
          <w:rFonts w:eastAsia="IRNazanin" w:cs="IRNazanin"/>
          <w:color w:val="111111"/>
          <w:sz w:val="28"/>
          <w:szCs w:val="28"/>
          <w:rtl w:val="true"/>
          <w:lang w:bidi="fa-IR"/>
        </w:rPr>
        <w:t xml:space="preserve">. </w:t>
      </w:r>
      <w:bookmarkStart w:id="97" w:name="pg15367_180727"/>
    </w:p>
    <w:p>
      <w:pPr>
        <w:pStyle w:val="BookText"/>
        <w:rPr/>
      </w:pPr>
      <w:bookmarkEnd w:id="97"/>
      <w:r>
        <w:rPr>
          <w:rFonts w:ascii="Amiri" w:hAnsi="Amiri" w:eastAsia="Amiri" w:cs="Amiri"/>
          <w:color w:val="111111"/>
          <w:sz w:val="28"/>
          <w:sz w:val="28"/>
          <w:szCs w:val="28"/>
          <w:rtl w:val="true"/>
          <w:lang w:bidi="ar-SA"/>
        </w:rPr>
        <w:t>ومن هنا يظهر أنه لا وجه لإبداء المناقشة على الآيات والروايات، مع أن أي واحدة منها تكفي للتقرير واستكشاف عدم ثبوت الردع خصوصاً في الشريعة التي بنيت على التسهيل في الأمور الفردية والإجتماعية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إشكال في اعتبار هذه القاعدة مطلقاً، بل هو من المسلمات التي لا خلاف فيها أصلاً بعد كونها من المرتكزات في الأذهان، كما أنه لا إشكال في حكومتها على الإستصحاب</w:t>
      </w:r>
      <w:r>
        <w:rPr>
          <w:rFonts w:eastAsia="Amiri" w:cs="Amiri" w:ascii="Amiri" w:hAnsi="Amiri"/>
          <w:color w:val="111111"/>
          <w:sz w:val="28"/>
          <w:szCs w:val="28"/>
          <w:rtl w:val="true"/>
          <w:lang w:bidi="ar-SA"/>
        </w:rPr>
        <w:t>.</w:t>
      </w:r>
    </w:p>
    <w:p>
      <w:pPr>
        <w:pStyle w:val="Heading4"/>
        <w:numPr>
          <w:ilvl w:val="3"/>
          <w:numId w:val="1"/>
        </w:numPr>
        <w:rPr/>
      </w:pPr>
      <w:bookmarkStart w:id="98" w:name="__RefHeading___Toc5900542_2142443653"/>
      <w:bookmarkStart w:id="99" w:name="_Toc36"/>
      <w:bookmarkEnd w:id="98"/>
      <w:r>
        <w:rPr>
          <w:rtl w:val="true"/>
        </w:rPr>
        <w:t>الجهة الثانية</w:t>
      </w:r>
      <w:r>
        <w:rPr>
          <w:rtl w:val="true"/>
        </w:rPr>
        <w:t xml:space="preserve">: </w:t>
      </w:r>
      <w:r>
        <w:rPr>
          <w:rtl w:val="true"/>
        </w:rPr>
        <w:t>لا وجه للبحث في أنها أمارة أو قاعدة أو أصل</w:t>
      </w:r>
      <w:bookmarkEnd w:id="99"/>
    </w:p>
    <w:p>
      <w:pPr>
        <w:pStyle w:val="BookText"/>
        <w:rPr/>
      </w:pPr>
      <w:r>
        <w:rPr>
          <w:rFonts w:ascii="Amiri" w:hAnsi="Amiri" w:eastAsia="Amiri" w:cs="Amiri"/>
          <w:color w:val="111111"/>
          <w:sz w:val="28"/>
          <w:sz w:val="28"/>
          <w:szCs w:val="28"/>
          <w:rtl w:val="true"/>
          <w:lang w:bidi="ar-SA"/>
        </w:rPr>
        <w:t>لما عرفت من أنه لا ريب في تقديم أصالة الصحة على الأصول؛ ومنها الإستصحاب؛ حكميةً كانت أم موضوعية مِمّا تدل على الفساد ما لم يكن دليل على الخلاف لانّ تقديمها على أصالة الصحة يلزم لغويتها وبطلان تشريعها مطلقاً، وهو واضح البطلان، إلا ما يقال من أن الثمرة تظهر فيما لو قلنا بأنها أمارة؛ فإنَّه يلزم ثبوت جميع الآثار المترتبة على الفعل الذي تجري فيه أصالة الصحة إذا كان صحيحاً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تلك الآثار شرعية أم من اللوازم العقلية التي لها آثار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إذا قلنا بأنها من الأصل العملي سواء كانت من الأصول المحرزة أم لا فإنَّه لا يثبت بها إلا الآثار الشرعية التي تكون لذلك الفعل بلا واسطة أمر عقلي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ذلك لا يختص بأصالة الصحة، بل إنها تجري في كل أصل وأمارة، وهذا هو المراد من قولهم بأنّ مثبتات الأمارات حجة دون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إنهم قالوا في الثمرة المترتبة على القول بأنها أصل بتقدم الأمارات المعتبرة عليها</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مكرراً أنه لا كلية لتلك المقولة من اعتبار مثبتات الأمارات مطلقاً دون الأصول؛ فإنّ اعتبار مثبتات كل واحد منهما لا بُدَّ فيه من الرجوع إلى القرائن التي يستفاد منها ذلك، كما إنه لا دليل على كلية تقدّم الأمارات على الأصول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فإنَّه لا ريب في تقدّم أصالة الصحة على الأصول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كونها من الأصول المحرزة فإنَّه لا بُدَّ من الرجوع إلى الدليل الذي يعتمد عليه في اعتبار هذا الأصل؛ فإن كان مدركه الإجماع فإنّ القدر المتيقن من معقده هو ترتيب الآثار الشرعية للفعل بلا واسطة الأمر العقلي، وإن كان بناء العقلاء الذي أمضاه الشارع فإنَّه يدل على كونه أمارة، فتكون حجة في مثبتاتها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أنيقال بإنّ بناء العقلاء الذي أمضاه الشارع من غير تتميم الكشف لا يمكن إثبات اللوازم العقلية به، فيكون أصلاً عملياً وعليه فلا يثبت بأصالة الصحة ما يلازم الفعل الصحيح عقلاً، بل يترتب على ذلك الفعل الآثار الشرعية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فرّع الشيخ الأنصاري قدس سره </w:t>
      </w:r>
      <w:r>
        <w:rPr>
          <w:rStyle w:val="FootnoteAnchor"/>
          <w:rtl w:val="true"/>
        </w:rPr>
        <w:footnoteReference w:id="84"/>
      </w:r>
      <w:r>
        <w:rPr>
          <w:rFonts w:ascii="Amiri" w:hAnsi="Amiri" w:eastAsia="Amiri" w:cs="Amiri"/>
          <w:color w:val="111111"/>
          <w:sz w:val="28"/>
          <w:sz w:val="28"/>
          <w:szCs w:val="28"/>
          <w:rtl w:val="true"/>
          <w:lang w:bidi="ar-SA"/>
        </w:rPr>
        <w:t>عليه بإنه لو شكّ في الشراء الصادر من الغير إما مما لا يُملك كالخمر والخنزير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بعين من أعيان ماله فإنَّه لا يحكم بخروج تلك العين من تركته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يحكم بصحة الشراء وعدم انتقال شيء من تركته إلى البائع لأصالة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المستفاد من كلامه قدس سره صحة المعاملة بأصالة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لازم الصحة عقلاً أن يكون الثمن عيناً من أعيان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الشيء الذي لا يملك كالخمر والخنزير لأنّ ما لا يملك ليس قابلاً للنقل والإنتقال شرعاً</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تردد الثمن بين ما لا يملك وبين عين من أعيان أمواله إذا انضم إلى صحة المعاملة يكون لازمها عقلاً هو أن يكون الثمن مملوكاً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كونه غير مملوك ينافي الصحة وهو من اللوازم العقلية للصحة لا من الآثار الشرعية، فلا يمكن إثبات هذا اللازم العقلي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يحكم بصحة المعاملة بأصالة الصحة وينتقل المبيع إلى ورثة المشتري ولكن لا ينتقل شيء من تركته إلى البائع لاحتمال أن يكون الثمن ما لا يملك، وعلى هذا يحتمل بطلان المعاملة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إجراء أصالة الصحة نحكم بالصحة ولا ينافيها </w:t>
      </w:r>
    </w:p>
    <w:p>
      <w:pPr>
        <w:pStyle w:val="BookText"/>
        <w:rPr/>
      </w:pPr>
      <w:r>
        <w:rPr>
          <w:rFonts w:ascii="Amiri" w:hAnsi="Amiri" w:eastAsia="Amiri" w:cs="Amiri"/>
          <w:color w:val="111111"/>
          <w:sz w:val="28"/>
          <w:sz w:val="28"/>
          <w:szCs w:val="28"/>
          <w:rtl w:val="true"/>
          <w:lang w:bidi="ar-SA"/>
        </w:rPr>
        <w:t>احتمال البطلان فإنّ مورد جريان أصالة الصحة دائماً هو مع احتمال 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لا يجوز للورثة التصرف في المبيع ومجموع التركة إذا كان طرف الترديد في الثمن المسمى عيناً معيناً وذلك من جهة العلم الإجمالي؛ إما بعدم دخول المبيع في ملك مورّثهم لو كان الثمن المسمى ما لا يملك، وإما بخروج تلك العين الشخصية أو مقدار ما يساوي المبيع من التركة من ملك مورّثهم فيجب الإحتياط بمقتضى هذا العلم الإجمالي كما أشار إليه المحقق الهمداني قدس سره </w:t>
      </w:r>
      <w:r>
        <w:rPr>
          <w:rStyle w:val="FootnoteAnchor"/>
          <w:rtl w:val="true"/>
        </w:rPr>
        <w:footnoteReference w:id="85"/>
      </w:r>
      <w:r>
        <w:rPr>
          <w:rFonts w:ascii="Amiri" w:hAnsi="Amiri" w:eastAsia="Amiri" w:cs="Amiri"/>
          <w:color w:val="111111"/>
          <w:sz w:val="28"/>
          <w:sz w:val="28"/>
          <w:szCs w:val="28"/>
          <w:rtl w:val="true"/>
          <w:lang w:bidi="ar-SA"/>
        </w:rPr>
        <w:t>في حاشيته على الرسائل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استشكل على ذلك المحقق النائيني قدس سره </w:t>
      </w:r>
      <w:r>
        <w:rPr>
          <w:rStyle w:val="FootnoteAnchor"/>
          <w:rtl w:val="true"/>
        </w:rPr>
        <w:footnoteReference w:id="86"/>
      </w:r>
      <w:r>
        <w:rPr>
          <w:rFonts w:ascii="Amiri" w:hAnsi="Amiri" w:eastAsia="Amiri" w:cs="Amiri"/>
          <w:color w:val="111111"/>
          <w:sz w:val="28"/>
          <w:sz w:val="28"/>
          <w:szCs w:val="28"/>
          <w:rtl w:val="true"/>
          <w:lang w:bidi="ar-SA"/>
        </w:rPr>
        <w:t>بأنَّ القول بصحة الشراء مع عدم انتقال شيء من تركته إلى البايع متنافيان، فحينئذٍ يعلم إجمالاً بكذب أحد الأصلين؛ إما أصالة الصحة، وإما أصالة عدم الإنتقال فيتساقطان بالتعارض، فيحكم ببطلان هذا الشراء للشك في قابلية الثمن للنقل والإنتقال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 عليه بإنّ ذلك صحيح بالنسبة إلى الصحة الواقعية وانتقال المبيع واقعاً إلى المشتري وعدم انتقال شيء من تركته إلى البائع واقعاً فإنهما متنافيان، ولكنه ليس كذلك بالنسبة إلى الصحة الظاهرية وعدم الإنتقال ظاهراً إذ من الممكن عدمالصحة واقعاً، ولكن الشارع حكم بالصحة ظاهراً في الشك كما أنّ الأمر كذلك في صورة العكس، أي يحكم الشارع ظاهراً بعدم انتقال شيء من تركته إلى البائع وحكمه بصحة المعاملة واقعاً فإنَّه لا تنافي بين الظاهرين فيهما</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أصالة الصحة إنَّما اعتبرها الشارع لتصحيح الأفعال والأقوال عند احتمال بطلانها وفسادها فإذا استلزم من إجرائها التنافي بين الأدلة والأصول فلا </w:t>
      </w:r>
      <w:bookmarkStart w:id="100" w:name="pg15367_180733"/>
    </w:p>
    <w:p>
      <w:pPr>
        <w:pStyle w:val="BookText"/>
        <w:rPr/>
      </w:pPr>
      <w:bookmarkEnd w:id="100"/>
      <w:r>
        <w:rPr>
          <w:rFonts w:ascii="Amiri" w:hAnsi="Amiri" w:eastAsia="Amiri" w:cs="Amiri"/>
          <w:color w:val="111111"/>
          <w:sz w:val="28"/>
          <w:sz w:val="28"/>
          <w:szCs w:val="28"/>
          <w:rtl w:val="true"/>
          <w:lang w:bidi="ar-SA"/>
        </w:rPr>
        <w:t>مجرى لها، فلا بُدَّ حينئذٍ من الرجوع إلى القواعد الأخرى، وفي المقام إنّ أصالة عدم انتقال المبيع عند الشك في كون الثمن مِمّا يملك أو لا يملك يقتضي الحكم بالبطلان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ذهب إليه المحقق النائيني قدس سره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الصحة أقرب إلى الأمارة من كونها أصلاً محرزاً كما هو المستفاد من ظواهر الأدلة التي استدل بها على حجيتها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الثمرات التي ذكروها في المقام وغيرها فقد عرفت أنه لا كلية فيها، والمتبع هو الدليل وحصول الإطمئنان المعتبر فيها، ويمكن القول بأنّ أدلة أصالة الصحة تشمل الآثار الشرعية والعادية والعقلية المترتبة عليها لأنَّها من الأصول العقلائية ومن صغريات أصالة عدم السهو والنسيان والغفلة إلا إذا ثبت الردع عن الشمول لبعض الآثار الشرعية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الأعلام فرّقوا بين أصالة الصحة وقاعدة الفراغ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قاعدة الفراغ إنَّما تجري في فعل الفاعل نفسه، وأصالة الصحة تجري في فعل الغير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مجرى القاعدة بعد الفراغ من العمل عند الشك في صحته وفساده، وإن قلنا بأنها تتحد مع قاعدة التجاوز أيضاً في أثناء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أصالة الصحة فإنها تجري في أثناء العمل وبعد الفراغ عنه على حدٍّ سواء للسيرة وإطلاق الأدلة؛ فإذا شككنا في أثناء صلاة فرد أنه قد أتى بجزء أو شرط معين فلا بُدَّ من حمل فعله على الصحة</w:t>
      </w:r>
      <w:r>
        <w:rPr>
          <w:rFonts w:eastAsia="Amiri" w:cs="Amiri" w:ascii="Amiri" w:hAnsi="Amiri"/>
          <w:color w:val="111111"/>
          <w:sz w:val="28"/>
          <w:szCs w:val="28"/>
          <w:rtl w:val="true"/>
          <w:lang w:bidi="ar-SA"/>
        </w:rPr>
        <w:t>.</w:t>
      </w:r>
    </w:p>
    <w:p>
      <w:pPr>
        <w:pStyle w:val="Heading4"/>
        <w:numPr>
          <w:ilvl w:val="3"/>
          <w:numId w:val="1"/>
        </w:numPr>
        <w:rPr/>
      </w:pPr>
      <w:bookmarkStart w:id="101" w:name="__RefHeading___Toc5900544_2142443653"/>
      <w:bookmarkStart w:id="102" w:name="_Toc37"/>
      <w:bookmarkEnd w:id="101"/>
      <w:r>
        <w:rPr>
          <w:rtl w:val="true"/>
        </w:rPr>
        <w:t>الجهة الثالثة</w:t>
      </w:r>
      <w:r>
        <w:rPr>
          <w:rtl w:val="true"/>
        </w:rPr>
        <w:t xml:space="preserve">: </w:t>
      </w:r>
      <w:r>
        <w:rPr>
          <w:rtl w:val="true"/>
        </w:rPr>
        <w:t>في المراد من الصحة</w:t>
      </w:r>
      <w:bookmarkEnd w:id="102"/>
    </w:p>
    <w:p>
      <w:pPr>
        <w:pStyle w:val="BookText"/>
        <w:rPr/>
      </w:pPr>
      <w:r>
        <w:rPr>
          <w:rFonts w:ascii="Amiri" w:hAnsi="Amiri" w:eastAsia="Amiri" w:cs="Amiri"/>
          <w:color w:val="111111"/>
          <w:sz w:val="28"/>
          <w:sz w:val="28"/>
          <w:szCs w:val="28"/>
          <w:rtl w:val="true"/>
          <w:lang w:bidi="ar-SA"/>
        </w:rPr>
        <w:t>وقد ذكروا لها معانٍ باعتبارات مختلفة</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يراد من الصحة الحسن، ويقابله القبح؛ فإذا شك فيما صدر من الغير كان حسناً أو قبيحاً فإنَّه يحمل على الحسن بمقتضى أصالة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يراد بها المؤثر ويقابلها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والأدلة التي تقدم ذكرها تشمل المعنيين على حدٍّ سواء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أصالة الصحة بالمعنى الأول لا تستلزم صحته بالمعنى الثاني دائماً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استشكل بعضهم بأنّ الأدلة التي تدل على حجية أصالة الصحة بالمعنى الأول موضوعُها فعل المؤمن دون غيره، وقد عرفت الجواب عنه فيما سبق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له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الصحة الواقعية؛ وهي الصحة باعتقاد الفاعل، والصحة باعتقاد الحامل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عندهم أنّ المراد بالصحة في أصالة الصحة هي الصحة الواقعية، واستدل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المعاني الواقعية هي المنساقة في المحاورات مطلقاً ما لم يدل دليل على الخلاف، وهو مفقود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الصحة الإعتقادية والظاهرية طريق إلى الواقع، ولا موضوعية فيها بوجه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أصالة الصحة من الأصول النظامية كأصالة الإباحة في الأشياء وأصالة احترام النفس والعرض والمال وغيرها؛ تكون متعلقاتها واقعيات ما لم يدل دليل على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ترتب الأثر على صحة العمل بنظر الفاعل ما لم يكن صحيحاً بنظر الحامل، والسيرة جارية على ترتيب الحامل آثار الصحة على فعل الغير؛ فإذا فرضنا أنّ الفاعل يرى جواز تغسيل الميت ارتماساً فإنّ إجراء الصحة في تغسيله لا يوجب سقوطه على الحامل</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الظاهر من الأدلة كسيرة العقلاء والإجماع وغيرهما هو الصحة الواقعية، وإلا فلو كانت الصحة باعتقاد الفاعل لما كان للصحة أثر عند العقلاء بل الناس جميعاً، فيكون شأن الشك في الفعل الصادر من الغير شأن الشك في صحة العمل بعد الفراغ عنه، فإنّ مفاد قاعدة الفراغ حمل الفعل الصادر عن الفاعل نفسه على الصحة الواقعية، وكذلك يكون الأمر في فعل الغير فإنّ الصحة في جميع تلك الموارد هي الصحة الواقعية، فلا إشكال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في موارد حمل الفعل على الصحة صوراً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الصحة عند الفاعل والحامل واحدة إجتهاداً أو تقليداً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مختلفة عندهما وفيها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الصحة في نظر الفاعل تمام الموضوع في الصحة عند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جريان أصالة الصحة في جميع تلك الصور؛ فإنّ السيرة قائمة على إجرائها ولا محذور في ذلك من عقل أو نقل وهو الذي تقضيه سهولة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قد يقال أنّ في صورة اختلاف الصحة بين الحامل والفاعل،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يتحد حكم المسألة بحسب نظر الحامل والفاعل بأن كان أحدهما مقلداً للآخر، أو مقلدين لشخص آخر فإنَّه لا إشكال في جريان أصالة الصحة، بل يكون هذا المورد هو المتيقن من موارد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يختلف الحكم بالتباين بحسب نظريهما بأن يرى الحامل شرطاً ويراه الفاعل مانعاً؛ كما إذا كان الفاعل مسافراً إلى أربعة فراسخ ويريد الرجوع ليومه فيرى كونه موجباً لقصر الصلاة، والحامل لا يراه موجباً له فإنّ الركعتين بنظر الفاعل تكون مانعاً وبنظر الحامل شرطاً، وفي هذه الحالة يمكن القول بعدم جريانأصالة الصحة؛ فإنّ حمل فعل الغير على الوجه الحسن المشروع ينافي حمله على ما يراه فاسداً ولو كان هو الصحيح بنظر الحامل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لنا القول بأن السيرة تشمل هذه الحالة أيضاً؛ إذ المناط هو الصحة مطلقاً وهي تتحقق بإجراء أصالة الصحة</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وثالثة؛ أن لا يكون الإختلاف بالتباين؛ بأن يراه الحامل شرطاً، ولا يراه الفاعل شرطاً ولا مانعاً كالسورة 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والمعروف جريان أصالة الصحة كما ذكره الشيخ الأنصاري </w:t>
      </w:r>
      <w:bookmarkStart w:id="103" w:name="pg15367_180739"/>
    </w:p>
    <w:p>
      <w:pPr>
        <w:pStyle w:val="BookText"/>
        <w:rPr/>
      </w:pPr>
      <w:bookmarkEnd w:id="103"/>
      <w:r>
        <w:rPr>
          <w:rFonts w:ascii="IRNazanin" w:hAnsi="IRNazanin" w:eastAsia="IRNazanin"/>
          <w:color w:val="111111"/>
          <w:sz w:val="28"/>
          <w:sz w:val="28"/>
          <w:szCs w:val="28"/>
          <w:rtl w:val="true"/>
          <w:lang w:bidi="fa-IR"/>
        </w:rPr>
        <w:t xml:space="preserve">قدس سره </w:t>
      </w:r>
      <w:r>
        <w:rPr>
          <w:rStyle w:val="FootnoteAnchor"/>
          <w:rtl w:val="true"/>
        </w:rPr>
        <w:footnoteReference w:id="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من المحتمل أن ّالفاعل قد أتى بذلك الشرط وإن لم يره شرطاً من باب أفضل الأفراد، فيمكن حمل فعله على الوجه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قائمة على ذلك وإن استشكل بعضهم في إثبات قيام السيرة، ولكنه ليس بشيء، ولا فرق في ذلك بين أن يكون المتروك شرطاً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 الفقهاء إلى الفرق بينهما فإنَّه إذا كان ما يراه الحامل شرطاً ولم يكن من الأركان كالتسبيحات الأربع فإنّ الإخلال بها لا يوجب الإعادة، وبين ما إذا كان كذلك كالسورة؛ فإنَّ المأموم مكلف بالقراءة والإمام يتحملها عنه، فإذا فرض أنه لم يقرأها لأنَّه لا يراها واجبةً لم تسقط عن الماموم، فلا يجوز له الإقتداء به إلا بعد ركوع الإمام وسقوط 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الحق عدم الفرق بينهما</w:t>
      </w:r>
      <w:r>
        <w:rPr>
          <w:rFonts w:eastAsia="Amiri" w:cs="Amiri" w:ascii="Amiri" w:hAnsi="Amiri"/>
          <w:color w:val="111111"/>
          <w:sz w:val="28"/>
          <w:szCs w:val="28"/>
          <w:rtl w:val="true"/>
          <w:lang w:bidi="ar-SA"/>
        </w:rPr>
        <w:t>.</w:t>
      </w:r>
    </w:p>
    <w:p>
      <w:pPr>
        <w:pStyle w:val="Heading4"/>
        <w:numPr>
          <w:ilvl w:val="3"/>
          <w:numId w:val="1"/>
        </w:numPr>
        <w:rPr/>
      </w:pPr>
      <w:bookmarkStart w:id="104" w:name="__RefHeading___Toc5900546_2142443653"/>
      <w:bookmarkStart w:id="105" w:name="_Toc38"/>
      <w:bookmarkEnd w:id="104"/>
      <w:r>
        <w:rPr>
          <w:rtl w:val="true"/>
        </w:rPr>
        <w:t>الجهة الرابعة</w:t>
      </w:r>
      <w:r>
        <w:rPr>
          <w:rtl w:val="true"/>
        </w:rPr>
        <w:t xml:space="preserve">: </w:t>
      </w:r>
      <w:r>
        <w:rPr>
          <w:rtl w:val="true"/>
        </w:rPr>
        <w:t>يشترط في جريان أصالة الصحة إحراز عنوان العمل</w:t>
      </w:r>
      <w:bookmarkEnd w:id="105"/>
    </w:p>
    <w:p>
      <w:pPr>
        <w:pStyle w:val="BookText"/>
        <w:rPr/>
      </w:pPr>
      <w:r>
        <w:rPr>
          <w:rFonts w:ascii="Amiri" w:hAnsi="Amiri" w:eastAsia="Amiri" w:cs="Amiri"/>
          <w:color w:val="111111"/>
          <w:sz w:val="28"/>
          <w:sz w:val="28"/>
          <w:szCs w:val="28"/>
          <w:rtl w:val="true"/>
          <w:lang w:bidi="ar-SA"/>
        </w:rPr>
        <w:t>وذلك بأن يعلم بأنّ الصادر منه بيع أو إجارة أو هبة أو غير ذلك، وإلا فلا مورد لجريانها وإن علم بأنّ الصادر منه عمل ما ولكن لا يعلم عنوانه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يشترط فيه أنّ يكون الصادر منه عن قصد واختيار وإلا فلا مجرى 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على كلا الشرطين بسيرة العقلاء وبنائهم؛ فإنها تجري في العمل الصادر منه عن قصد بعنوان معين، ثم احتمل فقْد جزء أو شرط أو وجود مانع فإنهم لا يعتنون بذلك الإحتمال ويبنون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كان الشك في أنه قصد الفعل أم لا، أو قصد الفعل المعين فإنَّه يشك في شمول بنائهم لذلك، فيكون قصد العنوان بمنزلة الموضوع لهذا الأصل، ولا وجه لجريانه مع الشك في موضوعه ولكن يمكن القول بأنّ ذلك وإن كان صحيحاً بالنسبة إلى الشرط الأول إلا أنه لا يتم بالنسبة إلى الشرط الثاني فإنّ نفس جريان قاعدة الصحة في العمل يدل عرفاً على تحقق القصد والإختيار أيضاً، ولا يبتني ذلك على </w:t>
      </w:r>
    </w:p>
    <w:p>
      <w:pPr>
        <w:pStyle w:val="BookText"/>
        <w:rPr/>
      </w:pPr>
      <w:r>
        <w:rPr>
          <w:rFonts w:ascii="Amiri" w:hAnsi="Amiri" w:eastAsia="Amiri" w:cs="Amiri"/>
          <w:color w:val="111111"/>
          <w:sz w:val="28"/>
          <w:sz w:val="28"/>
          <w:szCs w:val="28"/>
          <w:rtl w:val="true"/>
          <w:lang w:bidi="ar-SA"/>
        </w:rPr>
        <w:t>اعتبار مثبتاتها حتى يقال بعدم الحجية فيها لأنّ القصد سواء كان شرطاً للعمل أم جزءً منه يكون كسائر أجزاء العمل وشروطه، فكما تجري القاعدة في ما إذا شك في تحققها تجري عند الشك في تحقق القصد والإختيار أيضاً لا سيما بعدما عرفت من أنها من صغرياتأصالة عدم الغفلة، وهي جارية في الشك في القصد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تامٌّ في أصل صدور العمل، وشكٌّ في كونه عن قصد أو صدر عن غير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إذا كان العمل مِمّا لا يتقوم بعنوان معيّن كالتطهير من الخبث فإنَّه لا حاجة إلى قصد العنوان، بل لا حاجة إلى القصد أصلاً؛ فإنّ أصالة الصحة تنفي أيَّ احتمالٍ للفساد، ولكن لو كان الفعل متقوماً بقصد عنوان معين كما لو شك في صلاة الظهر أو العصر مثلاً في أنه قصد الظهرية أو العصرية وكذلك في غيرهما من الصلوات، وكل فعل معنون بعنوان قصدي بحيث لا يتحقق إلا بذلك العنوان فإنَّه لا يجري الأصل المزبور إلا بعد إحراز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يعتبر في جريان هذا الأصل وجود الشيء؛ فإذا حدث الشك في الشيء الواقع في أنّ ما أتى به هل هو صحيح؛ أي تامّ من حيث الأجزاء والشروط وعدم الموانع ويترتب عليه الأثر المطلوب منه، أو لا فإنّ هذا الأصل يجري ويحكم عليه بالصحة، وأما قبل وجوده فلا معنى لأن يقال بأنّ ما يريد أن يأتي به صحيح وتام يترتب عليه الأثر</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فلو شك في الفعل الصادر من شخص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بعده أم في أثنائه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هو صحيح أو لا، فإنّ هذا الأصل يجري ويحكم عليه بصحة ما أتى به جزءً أو كلاً، ولكنه لا يجري قبل إتيان الغير له، وليس بناء العقلاء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شك بعد إتيان عمرته التمتعية في صحتها فإنَّه تجري أصالة الصحة بالنسبة إليها، ولكنها لا تجري بالنسبة إلى الحج الذي لم يأتِ به بعد،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فروع أخرى مذكورة في محلها فراجع</w:t>
      </w:r>
      <w:r>
        <w:rPr>
          <w:rFonts w:eastAsia="Amiri" w:cs="Amiri" w:ascii="Amiri" w:hAnsi="Amiri"/>
          <w:color w:val="111111"/>
          <w:sz w:val="28"/>
          <w:szCs w:val="28"/>
          <w:rtl w:val="true"/>
          <w:lang w:bidi="ar-SA"/>
        </w:rPr>
        <w:t xml:space="preserve">. </w:t>
      </w:r>
      <w:bookmarkStart w:id="106" w:name="pg15367_180743"/>
    </w:p>
    <w:p>
      <w:pPr>
        <w:pStyle w:val="Heading4"/>
        <w:numPr>
          <w:ilvl w:val="3"/>
          <w:numId w:val="1"/>
        </w:numPr>
        <w:rPr/>
      </w:pPr>
      <w:bookmarkStart w:id="107" w:name="__RefHeading___Toc5900548_2142443653"/>
      <w:bookmarkStart w:id="108" w:name="_Toc39"/>
      <w:bookmarkEnd w:id="106"/>
      <w:bookmarkEnd w:id="107"/>
      <w:r>
        <w:rPr>
          <w:rtl w:val="true"/>
        </w:rPr>
        <w:t>الجهة الخامسة</w:t>
      </w:r>
      <w:r>
        <w:rPr>
          <w:rtl w:val="true"/>
        </w:rPr>
        <w:t xml:space="preserve">: </w:t>
      </w:r>
      <w:r>
        <w:rPr>
          <w:rtl w:val="true"/>
        </w:rPr>
        <w:t>لا فرق في مجرى هذه القاعدة بين كونها من العبادات أو غيرها مطلقاً</w:t>
      </w:r>
      <w:r>
        <w:rPr>
          <w:rtl w:val="true"/>
        </w:rPr>
        <w:t>.</w:t>
      </w:r>
      <w:bookmarkEnd w:id="108"/>
    </w:p>
    <w:p>
      <w:pPr>
        <w:pStyle w:val="BookText"/>
        <w:rPr/>
      </w:pPr>
      <w:r>
        <w:rPr>
          <w:rFonts w:ascii="Amiri" w:hAnsi="Amiri" w:eastAsia="Amiri" w:cs="Amiri"/>
          <w:color w:val="111111"/>
          <w:sz w:val="28"/>
          <w:sz w:val="28"/>
          <w:szCs w:val="28"/>
          <w:rtl w:val="true"/>
          <w:lang w:bidi="ar-SA"/>
        </w:rPr>
        <w:t>ونعني بذلك في العقود والإيقاعات؛ لشمول الأدلة للجميع، بل عن بعضٍ دعوى إجماع آخر على جريانها في غير العبادات غير الإجماع على أصل اعتبارها، بل الظاهر أنّ مورد استدلالهم بأنه لو لم تجرِ لاختل النظام وتعطلت أسواق الأنام إنَّما هو في غير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هذا الأصل في المعاملات الأعم من العقود والإيقاعات مقدّم على أصالة الفساد التي هي عبارة عن أصالة عدم النقل والإنتقال فيها، وإنما الكلام في أنّ جريان أصالة الصحة في صحتها مطلقاً أو أنّ هناك تفصيل؛ فإنّ هنا احتمالات ثلاثة، وقد قال بكل واحد منها 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في صحتها مطلقاً سواء كان الشك من جهة وقوع خلل في شروط العقد أم في شروط المتعاقدين أم في شروط العوضين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بعموم الدليل وإطلاق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الشك في أصل الصدور والوجود بمفاد كان التامة فإنَّه لا مجرى له حينئذٍ لأنّ مجراه هو الشك في صحة الموجود لا الشك في أصل التحقق والوجود كما هو المتفاهم من الأدلة اللفظية ومقتضى السيرة العقلائية كما تقدم آنفاً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في مورد الشك في شرائط نفس العقد فقط دون شرائط المتعاقدين أو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الجريان فيما سوى الشروط العرفية للمتعاقدين أو العوضين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بين الإحتمالات؛ أنه بناءً على الإحتمال الأول تكون أصالة الصحة متقدمة على كل أصل يقتضي فساد العقد سواء كان منشأ الفساد الشك في شروط العقد أم شروط المتعاقدين أم شروط العوضين</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الإحتمال الثاني تكون حاكمة على الأصل الذي يقتضي الفساد الجاري في شروط العقد نفسه دون ما يقتضي الفساد الجاري في شروط المتعاقدين أو شروط العوضين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وبناءً على الإحتمال الثالث تكون حاكمة على كل أصل يقتضي الفساد إلا إذا كان الأصل الذي يقتضي الفساد في الشروط العرفية للعوضين أو المتعاقدين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تفصيل ذلك؛ إنّ العمل الواقع خارجاً من عقد أو إيقاع أو غير ذلك إذا أحرز قابلية الفاعل لصدور الفعل عنه وقابلية المورد لوقوع الفعل عليه شرعاً وعقلاً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المراد بقول الفقهاء الصحة التأهلية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شك في صحته الفعلية من بقية الجهات؛ كاحتمال فقدانه لشرط أو نحوه مِمّا اعتبر فيه فإنَّه لا إشكال في جريان أصالة الصحة، بل هذا هو القدر المتيقن من مورد جريانها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يكون الشك فيه من جهة الشك في قابلية الفاعل لصدور الفعل عنه أو قابلية المورد لوقوعه عليه، وقد وقع الخلاف في هذا القسم، وفيه قد تكون القابلية المشكوكة مِمّا اعتبرها العقلاء في الفاعل كالشك في صحة البيع الصادر من أحد لاحتمال كونه غير مميز فإنَّ عقد الصبي غير المميز ليس بصحيح عند العقلاء وفي قابلية المورد، كما إذا شك في صحة بيع لاحتمال أن لا يكون المبيع مالاً؛ كالخنفساء بناءً على اعتبار المالية فيه عقلاً، وهو مورد الخلاف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تكون القابلية مِمّا اعتبرها الشارع فقط في الفاعل كما إذا شك في صحة عقد لاحتمال عدم كون العاقد بالغاً لاعتبار البلوغ في المتعاقدين شرعاً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يحتلم</w:t>
      </w:r>
      <w:r>
        <w:rPr>
          <w:rFonts w:eastAsia="IRNazanin" w:cs="IRNazanin"/>
          <w:color w:val="111111"/>
          <w:sz w:val="28"/>
          <w:szCs w:val="28"/>
          <w:rtl w:val="true"/>
          <w:lang w:bidi="fa-IR"/>
        </w:rPr>
        <w:t>)</w:t>
      </w:r>
      <w:r>
        <w:rPr>
          <w:rStyle w:val="FootnoteAnchor"/>
          <w:rtl w:val="true"/>
        </w:rPr>
        <w:footnoteReference w:id="88"/>
      </w:r>
      <w:r>
        <w:rPr>
          <w:rFonts w:ascii="Amiri" w:hAnsi="Amiri" w:eastAsia="Amiri" w:cs="Amiri"/>
          <w:color w:val="111111"/>
          <w:sz w:val="28"/>
          <w:sz w:val="28"/>
          <w:szCs w:val="28"/>
          <w:rtl w:val="true"/>
          <w:lang w:bidi="ar-SA"/>
        </w:rPr>
        <w:t>، وليس معتبراً عند العقلاء، أو في المورد كما إذا شككنا في صحة البيع لاحتمال كون المبيع خمراً أو خنزيراً، فإنّ كل واحد منهما وإن كان مالاً عرفاً ولكن الشارع منع من بيعها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ذهب المحقق الثاني</w:t>
      </w:r>
      <w:r>
        <w:rPr>
          <w:rStyle w:val="FootnoteAnchor"/>
          <w:rtl w:val="true"/>
        </w:rPr>
        <w:footnoteReference w:id="89"/>
      </w:r>
      <w:r>
        <w:rPr>
          <w:rFonts w:ascii="Amiri" w:hAnsi="Amiri" w:eastAsia="Amiri" w:cs="Amiri"/>
          <w:color w:val="111111"/>
          <w:sz w:val="28"/>
          <w:sz w:val="28"/>
          <w:szCs w:val="28"/>
          <w:rtl w:val="true"/>
          <w:lang w:bidi="ar-SA"/>
        </w:rPr>
        <w:t>والعلامة</w:t>
      </w:r>
      <w:r>
        <w:rPr>
          <w:rStyle w:val="FootnoteAnchor"/>
          <w:rtl w:val="true"/>
        </w:rPr>
        <w:footnoteReference w:id="90"/>
      </w:r>
      <w:r>
        <w:rPr>
          <w:rFonts w:ascii="Amiri" w:hAnsi="Amiri" w:eastAsia="Amiri" w:cs="Amiri"/>
          <w:color w:val="111111"/>
          <w:sz w:val="28"/>
          <w:sz w:val="28"/>
          <w:szCs w:val="28"/>
          <w:rtl w:val="true"/>
          <w:lang w:bidi="ar-SA"/>
        </w:rPr>
        <w:t xml:space="preserve">إلى اختصاص أصالة الصحة بما إذا كانت الصحة </w:t>
      </w:r>
    </w:p>
    <w:p>
      <w:pPr>
        <w:pStyle w:val="BookText"/>
        <w:rPr/>
      </w:pPr>
      <w:r>
        <w:rPr>
          <w:rFonts w:ascii="Amiri" w:hAnsi="Amiri" w:eastAsia="Amiri" w:cs="Amiri"/>
          <w:color w:val="111111"/>
          <w:sz w:val="28"/>
          <w:sz w:val="28"/>
          <w:szCs w:val="28"/>
          <w:rtl w:val="true"/>
          <w:lang w:bidi="ar-SA"/>
        </w:rPr>
        <w:t>التأهلية محرزة، وكان الشك في الصحة الفعلية، وأنها لا تجري فيما إذا كان الشك في الأركان؛ أعني القابلية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الشيخ الأعظم</w:t>
      </w:r>
      <w:r>
        <w:rPr>
          <w:rStyle w:val="FootnoteAnchor"/>
          <w:rtl w:val="true"/>
        </w:rPr>
        <w:footnoteReference w:id="91"/>
      </w:r>
      <w:r>
        <w:rPr>
          <w:rFonts w:ascii="Amiri" w:hAnsi="Amiri" w:eastAsia="Amiri" w:cs="Amiri"/>
          <w:color w:val="111111"/>
          <w:sz w:val="28"/>
          <w:sz w:val="28"/>
          <w:szCs w:val="28"/>
          <w:rtl w:val="true"/>
          <w:lang w:bidi="ar-SA"/>
        </w:rPr>
        <w:t>إلى جريانها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يستدل لما ذهب إليه العلمان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إلى بناء العقلاء وسيرتهم فإننا نرى بالوجدان أنّ أحداً إذا باع مالاً لم يكن تحت يده أو احتملنا كونه مالكاً أو وكيلاً أو أجنبياً فإنَّه ليس لبناء العقلاء حمل فعله على الصحة والحكم بكونه مالكاً للبيع وترتيب آثار الصحة على بيعه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طلق أحد زوجة غيره واحتملنا كونه وكيلاً عن الزوج أو أجنبياً فليس بناء العقلاء على بينونة الزوجة عن زوجها بمجرد ذلك عملاً لحمل فعل المطلِّق على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حيث الشك في قابلية الفاعل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وهكذا إذا كان الشك في قابلية المورد، كما إذا شككنا في صحة من يصلي على الميت لاحتمال أن لا يكون المصلى عليه ميتاً فإنّ سيرة العقلاء لم تثبت على الإكتفاء بصلاته، ولو شككنا في ثبوت السيرة وعدمها، كان مجرد الشك كافياً في عدم جريان أصالة الصحة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 الدليل وإطلاق التعليل ثابت لا يصحّ إنكاره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السيرة قائمة على كفاية مجرد تحقق الإلتزام في الخارج بعد معرفة عنوانه من عقد أو إيقاع، فلو تحقق بيع في الخارج وشككنا في كونه من البيع الصحيح عند العقلاء لاحتمال فقْد قابلية الفاعل فيه أو فقْد قابلية المورد فإنَّه أصالة الصحة تجري ويبنى على 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والسيرة قائمة على ذلك، وقد ذكرنا أنّ مجراها هو الشك في صحة الموجود، لا الشك في أصل التحقق والوجود، والمقام من الأول دون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فإنّ الشيخ الأنصاري قدس سره ذهب إلى أنّ العقلاء من المتدينين وغيرهم يدخلون السوق ويشترون الأموال من أهل السوق مع أنهم يحتملون انتقالها إليهم من الصبي أو السارق أو الغاصب، كما إنهم يبنون على مالكيتهم لما في أيديهم إذا احتملوا أنهم شروها من الصبي أو السارق ومن ليس أهلاً للمعاملة حتى عند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وجه للإشكال عليه بأنّ الموارد المذكورة إنَّما تكون من جهة اليد لما في يد غيره أو في يد نفسه فإنّ اليد أمارة الملك مطلقاً؛ فهي خارجة عن محل الكلام لأنّ مورد البحث إنَّما هو الإعتماد على مجرد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 كلام الشيخ قدس سره هو الشك في صحة نقل وانتقال ما في السوق من جهة الشك في صحة معاملاتهم لفقْد شرط من شروطها؛ إما قابلية الفعل أوقابلية المورد، وليس الشك في مالكيتهم لما في أيديهم حتى يقال بأنّ اليد أمارة الملك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مراد الشيخ قدس سره وما ذكره المستشكل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من الإيراد على استدلال الشيخ لعله يرجع إلى أنّ فقْد جزء أو شرط يرجع إلى الشك في أصل الوجود، لأنّ الكل ينعدم بانعدام جزءه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شرعياً كان أم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المشروط ينتفي بانتفاء شرطه كذلك، فلا مجرى لأصالة الصحة</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المناط في أصل التحقق المعتبر في جريان أصالة الصحة هو التحقق العرفي على الإجمال والخروج من العدم إلى الوجود في الجملة، لا التحقق من كل حيثية وجهة بجميع القيود والشرائط المعتبرة فيه، وإلا فلا يبقى مورد لجريان أصالة الصحة فيكون المقام نظير التمسك بالعمومات والإطلاقات في المعاملات لنفي القيود المشكوكة، فإنَّه كما يكفي فيها مجرد التحقق العرفي في الجملة لئلا يكون التمسك بها في الشبهة المصداقية، فكذا المقام اللهم إلا أن يستلزم الشك في الشرط </w:t>
      </w:r>
    </w:p>
    <w:p>
      <w:pPr>
        <w:pStyle w:val="BookText"/>
        <w:rPr/>
      </w:pPr>
      <w:r>
        <w:rPr>
          <w:rFonts w:ascii="Amiri" w:hAnsi="Amiri" w:eastAsia="Amiri" w:cs="Amiri"/>
          <w:color w:val="111111"/>
          <w:sz w:val="28"/>
          <w:sz w:val="28"/>
          <w:szCs w:val="28"/>
          <w:rtl w:val="true"/>
          <w:lang w:bidi="ar-SA"/>
        </w:rPr>
        <w:t>والجزء الشك في أصل الوجود العرفي فإنَّه لا وجه لجريان قاعدة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ولعل نظر المحقق الثاني قدس سره إلى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ما ذكره الشيخ الأنصاري قدس سره من جريان أصالة الصحة مطلقاً في المعاملات –العقود والإيقاعات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 منشأ الشك من جهة نفس العقد أم كان من جهة قابلية الفاعل أم كان من جهة قابلية المورد؛ لإطلاق الأدلة وعموم التعليل والسيرة الجارية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قدس سره ذكر أننا لو فرضنا التنزّل عما ذكرنا وقلنا بعدم جريان أصالة الصحة فيما إذا كان الشك من جهة قابلية الفاعل أو من جهة قابلية المورد فلا بُدَّ من إحراز ذلك في جريانها فإنه يصحّ في الإيقاعات والعقود إذا كان الشك في قابلية كلا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كما إذا أحرزت القابلية في أحد الطرفين دون الآخر فتجري أصالة الصحة في فعله، وتترتب عليه آثار العقد الصحيح التام من حصول الملكية والنقل والإنتقال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قلنا بجريان أصالة الصحة من جهة الشك في الصحة وإنها تجري مطلقاً؛ سواء كان من الطرفين أو من طرف وحد لأنّ مرجع الشك في صحة الموجود لا في أصل التحقق والوجود إذ لم تجر أصالة الصحة لأنَّه من الشك في أصل تحقق الجزء أو الشرط، فلا مجرى لها في كلا الموردين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يتبين حكم العقود التي تتوقف صحتها على تحقق أمرين؛ أحدهما أصل العقد، والآخر تحقق الأذن من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اختلف الفقهاء فيها وهي 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 عقد الفضولي، وبيع العين المرهونة إذا اختلف المالك والعاقد في الأذن وعدمه</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قالوا بجريان أصالة الصحة في نفس العقد ويحكم بصحته بحدّ نفسه، ولا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أحد الجزئين وأما الجزء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إجازة المالك المشكوك وجودها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أمرٌ آخر لا يرتبط بأصالة الصحة ولا يثبت بها وإن جرى في أحد جزئَي المركب كما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 إنّ أصالة الصحة إنَّما تثبت الصحة التأهلية، وأما الصحة الفعلية المتوقفة على إجازة المالك فلا يمكن إثباتها بأصالة الصحة فلا يمكن ترتيب النقل والإنتقال إلا بعد إحراز رضا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عقد الرهن؛ فإنَّه إذا باع الراهن ماله المرهون مع الشك في إذن المرتهن فإنَّ موضوع الأثر فيه مركب من العقد الصادر من المالك الراهن، وإذن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الصحة في الأول لا تثبت إذن المرتهن أو إجازته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معنى لإجراء أصالة الصحة في نفس العقد الصادر من الفضولي أو الراهن فإنَّه محرز بالوجدان، ولا وجه لجريان أصالة الصحة في ما علم بتحققه وعدم الخلل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جريان أصالة الصحة في نفس العقد من حيث هو إنَّما يثبت الصحة التأهلية بمعنى قابلية العقد لأن يكون جزءَ السبب، ويلحقه الإذن والرضا ممن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المقدار من الأثر كافٍ في جريان أصالة الصحة، ولا يكون مجراها دائماً عند الشك في الصحة الفعلية حتى يقال بأنّ المقام ليس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بيع الصرف والسلم والهبة ونحوها مِمّا اعتبر فيه القبض، فإنّ النقل والإنتقال فيها مركب من أمرين؛ تحقق العقد الصحيح بالقبض، والإقباض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يترتب على أصالة الصحة في الأول تحقق القبض وهو الجزء الآخر وترتب الأثر من النقل والانتقال على المجموع فإنَّه لا بُدَّ من إحرازه ليترتب عليه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بيع الوقف عند الشك في عروض المجوّز</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إطلاق الأدلة اللفظية والسيرة هو ترتيب جميع آثار الصحة مطلقاً؛ فإنّ كل أثر يترتب على الصحيح الواقعي يترتب على المشكوك الصحة، فلو شك </w:t>
      </w:r>
    </w:p>
    <w:p>
      <w:pPr>
        <w:pStyle w:val="BookText"/>
        <w:rPr/>
      </w:pPr>
      <w:r>
        <w:rPr>
          <w:rFonts w:ascii="Amiri" w:hAnsi="Amiri" w:eastAsia="Amiri" w:cs="Amiri"/>
          <w:color w:val="111111"/>
          <w:sz w:val="28"/>
          <w:sz w:val="28"/>
          <w:szCs w:val="28"/>
          <w:rtl w:val="true"/>
          <w:lang w:bidi="ar-SA"/>
        </w:rPr>
        <w:t>في صحة بيع الصرف من جهة الشك في تحقق القبض في المجلس، أو في بيع الوقف من جهة عروض المجوّز، أو بيع الفضولي من جهة لحوق الإجازة، وفي عمل النائب من جهة الشك في فراغ ذمة المنوب عنه؛ فإنّ الكل من مجاري هذه القاعدة، وبجريانها تترتب آثار الصحة حتى بالنسبة إلى ذمة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شك غير المتعاملين في صحة العقد وفساده، أو اعترف أحدهما بالصحة والآخر بالفساد إجمالاً من دون الإعتراف بمنشأ الفساد بالخصوص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وأماإذا اعترف أحدهما بالصحة وصرّح الآخر بعدم الرضا حين العقد، أو إذا علم بصدور البيع عن المالك الراهن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برجوع المرتهن عن إذنه ولكن شك في المتقدم منهما؛ فلو كان الرجوع بعد البيع فلا أثر له، فالبيع صحيح، ولو كان متقدماً عليه فالبيع باطل، فإنّ جريان أصالة الصحة في مثل ذلك مشكلٌ لعدم ثبوت السيرة في مثل هذه الصورة، والمتيقن من الإجماع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ذهب جمعٌ كثير إلى عدم الجريان، ولكن هل يمكن تصحيح البيع بإجراء أصالة الصحة في إذن المرتهن فإنّ صحة إذنه تستدعي صحة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إختار هذا الوجه بعض الفقهاء، أو القول بفساد البيع كما ذهب إليه جمعٌ آخرين تمسكاً بأصالة الصحة في الرجوع فإنّ صحته تستدعي عدم ترتيب الأثر على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كلا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الثاني؛ فلأنّ صحة الرجوع لا تستدعي فساد البيع، لأنّ الفساد من آثار تأخّر البيع عن الرجوع وكونه بدون إذن المرتهن، وليس من آثار صحة الرجوع بما هو</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الأول؛ فلأنّ صحة الإذن لا تستلزم صحة البيع لما تقدم من أنّ جريان أصالة الصحة في الإذن يستلزم صحته بحدّ نفسه خارجاً، ولكنه لا يستلزم صحة عقد البيع الذي هو الجزء الآخر بالنسبة إلى حصول المبادلة التي تترتب على المجموع، وهو البيع بإذن المرتهن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إجراء الأصل في أحد الجزئين لا يقتضي صحة الجزء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الحق؛ عدم جريان أصالة الصحة في مثل هذه المعاملات والعقود لعدم ثبوت السيرة، كما أنهم لم يتمسكوا بهذا الأصل فيما إذا عقد رجل على بنت الأخ وادّعت العمة عدم الإذن وادعى هو الإذن، فإنّ الفقهاء يقدّمون قول العمة مع أنّ المقتضي هو أصالة تقديم قول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في مسألة بيع العين المرهونة بأنّ أصالة عدم تحقق الرجوع إلى زمان وقوع البيع يقتضي القول بصحة البيع؛ وذلك لأنّ موضوع الأثر شرعاً في مثل هذا البيع الذي يكون سبباً للنقل والإنتقال هو صدور البيع عن المالك الراهن مع إذن المرتهن، والأول محرز وجداناً، والثاني بأصالة عدم الرجوع فإنّ معناه بقاء الإذن فيتحقق كلا جزئي الموضوع؛ أحدهما بالوجدان والثاني بالأصل وهو أصالة عدم الرجوع أو بقاء الإذن فإنهما بمعنى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إلا أن يقال بأنّ هذا الأصل معارض باستصحاب عدم وقوع البيع إلى زمان الرجوع، ولكنه موهون بأنَّ هذا الأصل مثبت؛ إذ لازمه عقلاً وقوع البيع مع عدم إذن المرتهن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فإنّ ما ذكرناه من جريان أصالة الصحة في غير الصورتين السابقتين هو ترتب جميع آثار الصحة مطلقاً، فكل أثر يترتب على الصحيح الواقعي يترتب على مشكوك الصحة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قلنا بجريان أصالة الصحةفي بيع الفضولي وبيع الصرف وبيع الوقف كما عرفت مفصلاً، وكذلك في عمل النائب؛ فإنّ الكل من مجاري هذه القاعدة، فتجري في فعل النائب أيضاً لو شككنا بعد عمل النائب في أنه هل قصده عن المنوب عنه أو لا؛ فإنَّه يجريان أصالة الصحة تترتب آثار الصحة مطلقاً حتى بالنسبة إلى فراغ ذمة المنوب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الفقهاء اختلفوا في ذلك أيضاً وهو يرجع إلى ما هو معروف من أنّ العناوين القصدية لا تجري فيها أصالة الصحة إلا بعد إحراز أنَّ الفاعل لذلك قد قصد </w:t>
      </w:r>
    </w:p>
    <w:p>
      <w:pPr>
        <w:pStyle w:val="BookText"/>
        <w:rPr/>
      </w:pPr>
      <w:r>
        <w:rPr>
          <w:rFonts w:ascii="IRNazanin" w:hAnsi="IRNazanin" w:eastAsia="IRNazanin"/>
          <w:color w:val="111111"/>
          <w:sz w:val="28"/>
          <w:sz w:val="28"/>
          <w:szCs w:val="28"/>
          <w:rtl w:val="true"/>
          <w:lang w:bidi="fa-IR"/>
        </w:rPr>
        <w:t>ذلك العنوان الخاص، لما تقدم من اعتبار جريان الصحة لإحراز كون الفاعل قد قصد العنوان الخاص، ثم شك في صحته وفساده فإنّ الذي يصلي صلاة الظهر مثلاً لا تجري أصالة الصحة في فعله إلا بعد إحراز أنه قصد عنوان الظهرية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والنيابة من العناوين القصدية بلا إشكال، فلو أتى النائب بفعل من صلاة أو صيام أو حج أو زيارة أحد المعصومين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لم يقصد كونها من المنوب عنه لا تقع النيابة عنه إلا إذا أحرز المنوب عنه بأنه قد قصد بفعله النيابة عنه، فإذا أحرز ذلك بمحرِز وجداني أو تعبدي ثم شك في صحة فعله من جهة اشتماله على جميع الشروط والأجزاء أو عدمه فإنَّه تجري أصالة الصحة في فعل النائب ويثبت جميع آثار الصحة؛ ومنها وقوعه عن المنوب عنه وفراغ ذمته، ويستحق النائب الأجرة على فعله إن كانت له أجرة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وبالجملة؛ لا بُدَّ في جريانها من تحقق الفعل خارجاً وإحراز قصد الفاعل لعنوان الفعل في العناوين القصدية، وقد ذكرنا بأنّ السيرة والأدلة لا تشمل ما إذا لم يوجد الفعل أو شك في قصد الفاعل للعنوان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الأساس قالوا بأنه إذا أتى النائب بالعمل وشككنا في أنه قصد به وقوعه عن المنوب عنه أو لم يقصد ذلك فإنَّه لا يمكن الحكم بفراغ ذمة المنوب عنه واستحقاق الأجير للأجرة بأصالة الصحة، لأنّ المفروض أنّ الشك إنَّما هو في أصل تحقق الفعل عن المنوب عنه خارجاً، ولا يجري الأصل المزبور عند الشك في وجود العمل وأصل قصده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الشيخ الأنصاري قدس سره </w:t>
      </w:r>
      <w:r>
        <w:rPr>
          <w:rStyle w:val="FootnoteAnchor"/>
          <w:rtl w:val="true"/>
        </w:rPr>
        <w:footnoteReference w:id="92"/>
      </w:r>
      <w:r>
        <w:rPr>
          <w:rFonts w:ascii="Amiri" w:hAnsi="Amiri" w:eastAsia="Amiri" w:cs="Amiri"/>
          <w:color w:val="111111"/>
          <w:sz w:val="28"/>
          <w:sz w:val="28"/>
          <w:szCs w:val="28"/>
          <w:rtl w:val="true"/>
          <w:lang w:bidi="ar-SA"/>
        </w:rPr>
        <w:t>ذهب إلى التفصيل بين استحقاق النائب للأجرة، وفراغ ذمة المنوب عنه؛ وذلك لأنّ الفعل الصادر نيابة عن الغير فيه حيثيتان</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حيثية صدوره عن الفاعل؛ وبها يكون الفعل تابعاً لما هو وظيفة الفاعل من الأجزاء والشرائط والموانع كالتستر في الصلاة فإنّ النائب إذا كان رجلاً لا يجب عليه إلا ستر </w:t>
      </w:r>
    </w:p>
    <w:p>
      <w:pPr>
        <w:pStyle w:val="BookText"/>
        <w:rPr/>
      </w:pPr>
      <w:r>
        <w:rPr>
          <w:rFonts w:ascii="Amiri" w:hAnsi="Amiri" w:eastAsia="Amiri" w:cs="Amiri"/>
          <w:color w:val="111111"/>
          <w:sz w:val="28"/>
          <w:sz w:val="28"/>
          <w:szCs w:val="28"/>
          <w:rtl w:val="true"/>
          <w:lang w:bidi="ar-SA"/>
        </w:rPr>
        <w:t>عورته وإن كان المنوب عنه إمرأة، وكذا العكس، وهكذا في الجهر والإخفات فإنّ الصلاة منهما تابعة لما هو وظيفة الفاعل دون المنوب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وحيثية كونه عن المنوب عنه؛ وبهذه يتبع النائب في بعض الأحكام وظيفة المنوب عنه كالقصر والإتمام، والتمتع والقران في الحج، والترتيب في الفوائت؛لأنّ النائب من هذه الحيثية بمنزلة الآلة، والمنوب عنه بمنزلة الفاعل بالتسبيب فإذا أجرينا أصالة الصحة من الحيثية الأولى نحكم بصحة فعل النائب بما هو فعله ويترتب عليه استحقاق الأجرة، ولكن لا تثبت الصحة من الحيثية الثانية فلا يترتب عليه فراغ ذمة المنوب عنه إلا بعد إحراز صدور الفعل الصحيح عنه على وجه النيابة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بعض الفقهاء</w:t>
      </w:r>
      <w:r>
        <w:rPr>
          <w:rStyle w:val="FootnoteAnchor"/>
          <w:rtl w:val="true"/>
        </w:rPr>
        <w:footnoteReference w:id="93"/>
      </w:r>
      <w:r>
        <w:rPr>
          <w:rFonts w:ascii="Amiri" w:hAnsi="Amiri" w:eastAsia="Amiri" w:cs="Amiri"/>
          <w:color w:val="111111"/>
          <w:sz w:val="28"/>
          <w:sz w:val="28"/>
          <w:szCs w:val="28"/>
          <w:rtl w:val="true"/>
          <w:lang w:bidi="ar-SA"/>
        </w:rPr>
        <w:t>ما ذكره الشيخ قدس سره من الغرائب لأنّ مورد الإجارة لم يكن الفعل الصحيح مطلقاً ولو لم يقصد به النيابة أصلاً أو قصد النيابة عن غير المنوب عنه، وإنما مورد الإجارة الفعل الصادر بعنوان النيابة عن المنوب عنه بخصوصه، وأصالة الصحة لا تثبت ذلك كما عرفت فلا يستحق الأجرة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للتفكيك في جريان أصالة الصحة في عمل النائب من حيث هو من دون جهة الإضافة إلى المنوب عنه لأنّ النيابة؛ إما تنزيل نفسي بأن يجعل نفسه بمنزلة غيره، وإما تنزيل 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مستلزم عند المتشرعة لفراغ ذمة المنوب عنه بعد تصحيح عمل النائب، فلا وجه للتفكيك</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عند ذلك لا يبقى لزوم لإحراز قصد النيابة في جريان أصالة الصحة، إذ إحرازه تارةً يكون بالعلم الوجداني، وأخرى بالتعبد كقيام البينة، كما إذا أحرز الشاهدان بأنه قد أُتي بالفعل نيابة، أو بإخباره إذا كان إخباره يوجب الوثوق والإطمئنان، ولا حاجة لأن </w:t>
      </w:r>
      <w:bookmarkStart w:id="109" w:name="pg15367_180764"/>
    </w:p>
    <w:p>
      <w:pPr>
        <w:pStyle w:val="BookText"/>
        <w:rPr/>
      </w:pPr>
      <w:bookmarkEnd w:id="109"/>
      <w:r>
        <w:rPr>
          <w:rFonts w:ascii="Amiri" w:hAnsi="Amiri" w:eastAsia="Amiri" w:cs="Amiri"/>
          <w:color w:val="111111"/>
          <w:sz w:val="28"/>
          <w:sz w:val="28"/>
          <w:szCs w:val="28"/>
          <w:rtl w:val="true"/>
          <w:lang w:bidi="ar-SA"/>
        </w:rPr>
        <w:t>يكون عادلاً؛ إذ لا دليل عليه إلا في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سوف لا تكون ثمرة في النزاع في جريان أصالة الصحة في فعل النائب إلا في مورد العلم بعدم قصده النيابة، وهو نادر لأنّ الحكم في فعله بالأصل يكفي في ترتيب آثار الصحة عليه، ومنها فراغ ذمة المنوب عنه</w:t>
      </w:r>
      <w:r>
        <w:rPr>
          <w:rFonts w:eastAsia="Amiri" w:cs="Amiri" w:ascii="Amiri" w:hAnsi="Amiri"/>
          <w:color w:val="111111"/>
          <w:sz w:val="28"/>
          <w:szCs w:val="28"/>
          <w:rtl w:val="true"/>
          <w:lang w:bidi="ar-SA"/>
        </w:rPr>
        <w:t>.</w:t>
      </w:r>
    </w:p>
    <w:p>
      <w:pPr>
        <w:pStyle w:val="Heading4"/>
        <w:numPr>
          <w:ilvl w:val="3"/>
          <w:numId w:val="1"/>
        </w:numPr>
        <w:rPr/>
      </w:pPr>
      <w:bookmarkStart w:id="110" w:name="__RefHeading___Toc5900550_2142443653"/>
      <w:bookmarkStart w:id="111" w:name="_Toc40"/>
      <w:bookmarkEnd w:id="110"/>
      <w:r>
        <w:rPr>
          <w:rtl w:val="true"/>
        </w:rPr>
        <w:t>الجهة السادسة</w:t>
      </w:r>
      <w:r>
        <w:rPr>
          <w:rtl w:val="true"/>
        </w:rPr>
        <w:t xml:space="preserve">: </w:t>
      </w:r>
      <w:r>
        <w:rPr>
          <w:rtl w:val="true"/>
        </w:rPr>
        <w:t>لا يشترط في مجري هذه القاعدة البلوغ</w:t>
      </w:r>
      <w:bookmarkEnd w:id="111"/>
    </w:p>
    <w:p>
      <w:pPr>
        <w:pStyle w:val="BookText"/>
        <w:rPr/>
      </w:pPr>
      <w:r>
        <w:rPr>
          <w:rFonts w:ascii="Amiri" w:hAnsi="Amiri" w:eastAsia="Amiri" w:cs="Amiri"/>
          <w:color w:val="111111"/>
          <w:sz w:val="28"/>
          <w:sz w:val="28"/>
          <w:szCs w:val="28"/>
          <w:rtl w:val="true"/>
          <w:lang w:bidi="ar-SA"/>
        </w:rPr>
        <w:t>فهي تجري في أفعال المميزين أيضاً، إلا أن يقال بعدم ترتب الأثر على أقوالهم وبطلان معاملاتهم رأساً حتى بعنوان الآلية بين الأولياء، فحينئذٍ لا يبقى موضوع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قول بلا دليل كما هو مفصّل في الفقه، كما لا يشترط في مجراها ظهور عدالة الشخص وعدمه، وذلك كله للعمومات، وعموم بناء العقلاء، وأصالة عدم الغفلة التي هي من الأصول النظامية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مقتضى ذلك عدم الفرق بين الأفعال والأقوال في مجراها، لأنّ الأقوال من حيث هي فعل من أفعال المكلفين أيضاً؛ فلو تكلم شخص بكلام وشكّ في أنه حرام أو مباح أو كونه مطابق للمحاورات العقلائية أو كاشف عن قصده الجدّي أو لا؛ فإنّ أصالة الصحة تجري في جميع ذلك، فيحكم بإباحته ومطابقته للمحاورات وكشفه عن قصده الجدّي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لو شك في أنّ الكلام له ظهور أو لا، أو أنه مطابق للواقع أو لا؛ فإنَّه لا يمكن إثبات الظهور ولا المطابقة للواقع بأصالة الصحة، فإنّ إثباتهما لا بُدَّ أن يكون بما هو المتداول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تجري في نفي احتمال الكذب، وهو أعم من إثبات المطابقة للواقع</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ذكرنا يظهر الإشكال فيما فصلّه الشيخ الأنصاري قدس سره في جريان أصالة الصحة في الأقوال؛ فإنّ جملة من الصور التي ذكرها لا ربط لها بأصالة الصحة كما في الشك في الظهور ومطابقته للواقع، فإنّ في الظهور يكون المرجع أصالة الظهور الكاشف عن مراد المتكلم </w:t>
      </w:r>
    </w:p>
    <w:p>
      <w:pPr>
        <w:pStyle w:val="BookText"/>
        <w:rPr/>
      </w:pPr>
      <w:r>
        <w:rPr>
          <w:rFonts w:ascii="Amiri" w:hAnsi="Amiri" w:eastAsia="Amiri" w:cs="Amiri"/>
          <w:color w:val="111111"/>
          <w:sz w:val="28"/>
          <w:sz w:val="28"/>
          <w:szCs w:val="28"/>
          <w:rtl w:val="true"/>
          <w:lang w:bidi="ar-SA"/>
        </w:rPr>
        <w:t>أو الأصول التي تستعمل لتشخيص الظاهر عن غيره كأصالة الحقيقة وأصالة العموم وأصالة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ما تقدم فلو شكّ في صحة القراءة في الصلاة؛ حيث إنّ النقص في مادتها كنقص حرف، أو من جهة النقص في إعرابها، أو من جهة الشك في الصوت من حيث مخارج الحروف فإنّ أصالة الصحة تجري ويترتب عليها الأثر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الإعتقاديات؛ فإما أن يكون المراد بها العقائد في أصول الدين، وإما أن يكون المراد بها الإعتقاد في الفروع والأحكام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العقائد؛ فإنّ الشك فيها تارةً؛ يكون في صحة الإعتقاد بها أو فساده، وكان للإعتقاد الصحيح أثراً شرعياً يترتب عليه؛ فلا بُدَّ من استعلام الحال منه، فإن أظهر اعتقاده بدالّ من قول أو فعل فيكون ذلك حجة له أو عليه ولا ربط بأصالة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هي نفس ما ذُكر ولكن لا يمكن الإستظهار؛ إما لغيابه أو موته وكان لاعتقاده الصحيح أثر شرعي ولو بعد الموت، وحصل هذا الشك؛ فالظاهر أنه لا إشكال في جريان أصالة الصحة إذا ثبت أنه منتحل للإسلام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ذلك جرت سيرة المسلمين على صحة اعتقاد من يظهر الإسلام حتى يعلم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أن يكون الشك في التقصير فيها فلا إشكال في جريان أصالة الصحة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ورابعة؛ إذا كان منشأ الشك في العقيدة هو الشك في القصور أو في مطابقته للواقع فإنَّه لا مجرى لأصالة الصحة، بل لا بُدَّ من استعلام حاله كما تقدم في الصورة الأولى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الإعتقاد في الأحكام والفروع الفقهية؛ كما في رأي الفقيه واعتقاده بالنسبة إلى ما يفتي به لمقلديه، فإنّ لاعتقاده ورأيه أثر بالنسبة إلى مقلديه إذا كان عن استنباط صحيح، فإذا شك في كون رأيه عن استنباط صحيح أو لا؛ فالظاهر هو الحمل على الصحة، وعليه </w:t>
      </w:r>
    </w:p>
    <w:p>
      <w:pPr>
        <w:pStyle w:val="BookText"/>
        <w:rPr/>
      </w:pPr>
      <w:r>
        <w:rPr>
          <w:rFonts w:ascii="Amiri" w:hAnsi="Amiri" w:eastAsia="Amiri" w:cs="Amiri"/>
          <w:color w:val="111111"/>
          <w:sz w:val="28"/>
          <w:sz w:val="28"/>
          <w:szCs w:val="28"/>
          <w:rtl w:val="true"/>
          <w:lang w:bidi="ar-SA"/>
        </w:rPr>
        <w:t>جرت سيرة المتدينيين من المقلدين وغيرهم سواء قلنا بأنّ الأصل يجري في الإعتقاد؛ أي الرأي، أو في الاستنباط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الحقيقةهو الأخير، ولكن جريان الأصل فيه لا يفيد بأنّ هذا الرأي والإعتقاد هو المطابق للواقع لأنّ الإستنباط الموافق للموازين الفقهية الشرعية لا يلزم أن يكون دائماً مطابقاً للواقع، فلا يمكن إثبات الإصابة للواقع بإجراء أصالة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محور البحث في جميع ما ذكرناه كان صدور فعل من الفاعل ثم الشك في صحته وفساده، ولكن هل يعمّ مطلق الشك في صدور محرّم منه ولو كان عدماً، كما لو قبض الوصي مال الميت لأن يعمل فيه بالوصية ومات الوصي ثم شككنا في أنه عمل بها فيه أو لا؛ فإنَّه تجري أصالة الصحة أيضاً للعمومات والإطلاقات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مجرى قاعدة الصحة هو الشك في الغير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ذكر بعض العلماء ومنهم السيد الوالد قدس سره </w:t>
      </w:r>
      <w:r>
        <w:rPr>
          <w:rStyle w:val="FootnoteAnchor"/>
          <w:rtl w:val="true"/>
        </w:rPr>
        <w:footnoteReference w:id="94"/>
      </w:r>
      <w:r>
        <w:rPr>
          <w:rFonts w:ascii="IRNazanin" w:hAnsi="IRNazanin" w:eastAsia="IRNazanin"/>
          <w:color w:val="111111"/>
          <w:sz w:val="28"/>
          <w:sz w:val="28"/>
          <w:szCs w:val="28"/>
          <w:rtl w:val="true"/>
          <w:lang w:bidi="fa-IR"/>
        </w:rPr>
        <w:t xml:space="preserve">عدم اختصاصها بفعل الغير، بل تجري بالنسبة إلى نفس الفاعل أيضاً لو شك في صحة فعله وفساده، فتكون جملة من القواعد كقاعدة التجاوز والفراغ، وأصالة عدم المانع، وعدم وجوب الإعادة والقضاء وغير ذلك من صغرياتها؛ بعد كون الجميع من القواعد التسهلية الإمتنانية، ولا محذور في ذلك عقلاً أو شرعاً، اللهم إلا أن يقال بأنّ اختصاص أصالة الصحة لفعل الغير هو مقتضي ظواهر الأدلة اللفظية، مثل قول أمير المؤمنين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ضَعْ أَمْرَ أَخِيكَ عَلَى أَحْسَنِهِ</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ولكنه مردود بأنّ التمسك بمثله للإختصاص من قبيل التمسك بمفهوم اللقب، ولا اعتبار به كما هو الثابت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المناط كله على عدم الإعتناء بالشك الذي هو من فعل الشيطان كما ورد في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الغير والنفس إلا فيما قام دليل معتبر على العدم من إجماع أو غيره وهو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جريان أصالة الصحة في فعل الإنسان نفسه قد لا يجدي نفعاً بعد جريان جملة من القواعد التسهيلية في حقه، ولعل الفقهاء لم يتعرضوا لذلك من أجل هذا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حاكمية القاعدة</w:t>
      </w:r>
    </w:p>
    <w:p>
      <w:pPr>
        <w:pStyle w:val="BookText"/>
        <w:rPr/>
      </w:pPr>
      <w:r>
        <w:rPr>
          <w:rFonts w:ascii="Amiri" w:hAnsi="Amiri" w:eastAsia="Amiri" w:cs="Amiri"/>
          <w:color w:val="111111"/>
          <w:sz w:val="28"/>
          <w:sz w:val="28"/>
          <w:szCs w:val="28"/>
          <w:rtl w:val="true"/>
          <w:lang w:bidi="ar-SA"/>
        </w:rPr>
        <w:t>بناءً على ما تقدم من جريان أصالة الصحة في العقود والإيقاعات مطلقاً في نفس العقد وشروط المتعاقدين وشروط العوضين عند الشك في صحتها وفسادها ووجودها على التفصيل الذي تقدم؛ يكون هذا الأصل حاكماً على جميع الأصول الموضوعية النافية فإنَّه بناءً على كونه أمارة فالأمر واضح، وكذا بناءً على كونه أصلاً محرزاً فبجريان أصالة الصحة يكشف عن وجود تلك الشروط تعبداً فلا يبقى موضوع للإستصحابات أصلاً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يقال بأنه بناءً على كونه أصلاً محرزاً لا يمكن تقديمه على الإستصحابات العدمية لأنّ الجميع من الأصول المحرزة، فلا بُدَّ من القول بالتعارض</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الجواب عنه بأنّ إطلاقات الأدلة التي دلت على حجية هذا الأصل لها حكومة على الأصول العدمية؛ أما الأخبار فلا إشكال في ثبوت الإطلاق لها، وأما الإجماع كما ذهب إليه جمع من المحققين منهم السيد الوالد قدس سره والمحقق النائيني قدس سره فإنّ لمعقده إطلاق يشمل موارد الإستصحابات العدمية الموضوعية ولا يمكن إنكاره إذا راجعنا كلماتهم في المقام، فيكون إطلاق معقد الإجماع حاكماً على تلك الأصول العدمية، مثل الإطلاق في الدليل اللفظي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وكذا لو قلنا بأنّ مدرك الأصل سيرة العقلاء وبنائهم فإنّ عدم ردع الشارع عنها يكشف عن الإمضاء، ولا إشكال أن السيرة قامت على إلغاء الشك في ما إذا كان المكلف متحيراً في صحة عقد أو إيقاع من جهة فقْد شرط من شروطها، بمعنى أنه لا يلتفت إلى كونه شاكاً فلا يشمله دليل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حتى لا يكون رادعاً، مع أنه لو قلنا بأنّ الأصول الموضوعية العدمية تتقدم على أصالة الصحة في موارد الشك في الصحة والفساد لكان تشريعها لغواً وبلا فائدة، فيستلزم اختلال النظام فيكون الأصل أخص بحسب المورد عن الإستصحابات، فيكون مخصصاً لدليل الإستصحاب فلا ريب في تقدم أصالة الصحة على الأصول الحكمية والموضوعية العدمية التي تدل على الفساد وعدم النقل والإنتقال</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 لا ينبغي التأمل في أنه لا تجري هذه القاعدة مع وجود العلم المنجز على الخلاف تفصيلياً كان أم إجمالياً، وكذا لا تجري مع وجود البينة أو الأمارة على الخلاف لعدم شمول أدلتها لمثل هذه الموارد، بل الظاهر عدم الجريان في ما إذا غلب الفساد على شخص بحيث لم يبقَ موضوع لحمل فعله على الصحة، فلا بُدَّ من 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الروايات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اسْتَوْلَى الْفَسَادُ عَلَى الزَّمَانِ وأَهْلِهِ فَأَحْسَنَ رَجُلٌ الظَّنَّ بِرَجُلٍ فَقَدْ غَرَّر</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 إذ ربما يحصل من إجراء أصالة الصحة الإختلال أيضاً</w:t>
      </w:r>
      <w:r>
        <w:rPr>
          <w:rFonts w:eastAsia="Amiri" w:cs="Amiri" w:ascii="Amiri" w:hAnsi="Amiri"/>
          <w:color w:val="111111"/>
          <w:sz w:val="28"/>
          <w:szCs w:val="28"/>
          <w:rtl w:val="true"/>
          <w:lang w:bidi="ar-SA"/>
        </w:rPr>
        <w:t xml:space="preserve">. </w:t>
      </w:r>
      <w:bookmarkStart w:id="112" w:name="pg15367_180774"/>
    </w:p>
    <w:p>
      <w:pPr>
        <w:pStyle w:val="Heading3"/>
        <w:numPr>
          <w:ilvl w:val="2"/>
          <w:numId w:val="1"/>
        </w:numPr>
        <w:rPr/>
      </w:pPr>
      <w:bookmarkStart w:id="113" w:name="__RefHeading___Toc5900552_2142443653"/>
      <w:bookmarkStart w:id="114" w:name="_Toc41"/>
      <w:bookmarkEnd w:id="112"/>
      <w:bookmarkEnd w:id="113"/>
      <w:r>
        <w:rPr>
          <w:rtl w:val="true"/>
        </w:rPr>
        <w:t>قاعدة اليد</w:t>
      </w:r>
      <w:bookmarkEnd w:id="114"/>
    </w:p>
    <w:p>
      <w:pPr>
        <w:pStyle w:val="Heading4"/>
        <w:numPr>
          <w:ilvl w:val="3"/>
          <w:numId w:val="1"/>
        </w:numPr>
        <w:rPr/>
      </w:pPr>
      <w:bookmarkStart w:id="115" w:name="__RefHeading___Toc5900554_2142443653"/>
      <w:bookmarkStart w:id="116" w:name="_Toc42"/>
      <w:bookmarkEnd w:id="115"/>
      <w:r>
        <w:rPr>
          <w:rtl w:val="true"/>
        </w:rPr>
        <w:t>اشارة</w:t>
      </w:r>
      <w:bookmarkEnd w:id="116"/>
    </w:p>
    <w:p>
      <w:pPr>
        <w:pStyle w:val="BookText"/>
        <w:rPr/>
      </w:pPr>
      <w:r>
        <w:rPr>
          <w:rFonts w:ascii="Amiri" w:hAnsi="Amiri" w:eastAsia="Amiri" w:cs="Amiri"/>
          <w:color w:val="111111"/>
          <w:sz w:val="28"/>
          <w:sz w:val="28"/>
          <w:szCs w:val="28"/>
          <w:rtl w:val="true"/>
          <w:lang w:bidi="ar-SA"/>
        </w:rPr>
        <w:t>وهي من القواعد المعروفة في الفقه والكلام يقع فيها ضمن أمور</w:t>
      </w:r>
      <w:r>
        <w:rPr>
          <w:rFonts w:eastAsia="Amiri" w:cs="Amiri" w:ascii="Amiri" w:hAnsi="Amiri"/>
          <w:color w:val="111111"/>
          <w:sz w:val="28"/>
          <w:szCs w:val="28"/>
          <w:rtl w:val="true"/>
          <w:lang w:bidi="ar-SA"/>
        </w:rPr>
        <w:t>:</w:t>
      </w:r>
    </w:p>
    <w:p>
      <w:pPr>
        <w:pStyle w:val="Heading4"/>
        <w:numPr>
          <w:ilvl w:val="3"/>
          <w:numId w:val="1"/>
        </w:numPr>
        <w:rPr/>
      </w:pPr>
      <w:bookmarkStart w:id="117" w:name="__RefHeading___Toc5900556_2142443653"/>
      <w:bookmarkStart w:id="118" w:name="_Toc43"/>
      <w:bookmarkEnd w:id="117"/>
      <w:r>
        <w:rPr>
          <w:rtl w:val="true"/>
        </w:rPr>
        <w:t>الأمر الأول</w:t>
      </w:r>
      <w:r>
        <w:rPr>
          <w:rtl w:val="true"/>
        </w:rPr>
        <w:t xml:space="preserve">: </w:t>
      </w:r>
      <w:r>
        <w:rPr>
          <w:rtl w:val="true"/>
        </w:rPr>
        <w:t>في المراد باليد في هذه القاعدة</w:t>
      </w:r>
      <w:r>
        <w:rPr>
          <w:rtl w:val="true"/>
        </w:rPr>
        <w:t>.</w:t>
      </w:r>
      <w:bookmarkEnd w:id="118"/>
    </w:p>
    <w:p>
      <w:pPr>
        <w:pStyle w:val="BookText"/>
        <w:rPr/>
      </w:pPr>
      <w:r>
        <w:rPr>
          <w:rFonts w:ascii="Amiri" w:hAnsi="Amiri" w:eastAsia="Amiri" w:cs="Amiri"/>
          <w:color w:val="111111"/>
          <w:sz w:val="28"/>
          <w:sz w:val="28"/>
          <w:szCs w:val="28"/>
          <w:rtl w:val="true"/>
          <w:lang w:bidi="ar-SA"/>
        </w:rPr>
        <w:t>ذكر اللغويون لها معانٍ متعددة، والمهم بيان المعنى العرفي لها، فقالوا أنّ المتفاهم العرفي منها هو الإستيلاء على الشيء خارجاً سواء كان عيناً أم منفعة أم انتفاعاً أم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بالإستيلاء كون زمان ما استولى عليه بيده يتصرف فيه ما يشاء من التصرفات العقلائية المتعارفة، ولا يتحقق ذلك إلا بفعلية الإستيلاء خارجاً، ولا يكفي مجرد التمكن من تحصيل هذه السيطرة والإستيلاء، فلا يقال بحقه أنه ذو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يتوهم أنّ اليد بهذا المعنى قد تكون مسببةً عن الملكية؛ إختيارية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أبواب المعاوضات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قهرية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الإرث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سبباً لحصول الملكية كما في حيازة المباحات إذا كان الإستيلاء بقصد الملكية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يمكن القول بأنّ الإستيلاء مطلقاً يكون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المفهوم من اليد عرفاً هو الإستيلاء والسيطرة الخارجية، وهي لا تحصل إلا بأسبابها الخارجية من وجود المقتضي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كإرادة الإستيلاء والسيطرة مع تحقق شرائطها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وفقد الموانع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والملكية الإعتبارية لا أثر لها في هذا الأمر الخارجي؛ نعم؛ الملكية أو الإذن من المالك يؤثران في عدم كون اليد عدوانية كما هو واضح</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المرجع في الإستيلاء وتحققه هو العرف؛ فإنهما أمران لا بُدَّ من الرجوع إلى العرف في تشخيص مفادهما، وهو يختلف باختلاف الموارد، وما استولى عليه بحسب الأعصار والأمصار؛ فإنّ الإستيلاء على الدكان والدار والخان وأمثالها إنَّما يكون بالسكون في الدار، والإشتغال بالكسب في الدكان والخان، أو يكون الإستيلاء بأخذ المفتاح بيده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الأراضي فإنَّما يكون الإستيلاء عليها بالزرع أو الغرس وأمثال ذلك، وفي الدواب بركوبها وربطها في المرابض، والسيارة بالسياقة أو أخذ المفتاح وغير ذلك مِمّا هو معروف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يتزاحم بعض هذه الجهات كما إذا كان أحدهما راكباً على الدابة والآخر آخذ بزمامها بيده، وفي السيارة أحدهم يقود والآخر بيده المفتاح وثالث راكب فيها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واحد منهم يدعى ملكية تمامها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هذا الباب ما إذا تحققت يدَين على مال واحد كشريكين في دار أو دكان أو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بُدَّ من الرجوع إلى العرف في تشخيص استيلاء أحدهما فعلاً فيحكم عليه بأنه صاحب اليد، وأما إذا لم يحكم بشيء فتسقط كلتا الجهتين عنالإعتبار ولا يحكم بتحقق اليد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أيضاً أنه لا ينحصر الإستيلاء والسيطرة أن يكون في شخص واحد، بل قد يتحققان في شخصين أو أكثر كما في الشركاء فإنَّه بناءً على كون اليد أمارة الملكية فتثبت لشريكين أو أكثر، وإلى هذا يرجع ما اشتهر بين الفقهاء من أنّ تحقق اليدين على مال واحد يرجع إلى ثبوت يد واحدة تامة مستقلة على نصف ذلك المال، أو الثلاث على الثلث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إشكال في أنّ يد الوكيل والودعي والمستأجر والمستعير يدٌ للموكِّل والمودع والمؤجر والمعير مع اعترافهم بهذه العناوين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جامعة؛ إنّ كل أمين من طرف المالك إذا اعترف بأنه أمين من قبله تكون يده يد المالك</w:t>
      </w:r>
      <w:r>
        <w:rPr>
          <w:rFonts w:eastAsia="Amiri" w:cs="Amiri" w:ascii="Amiri" w:hAnsi="Amiri"/>
          <w:color w:val="111111"/>
          <w:sz w:val="28"/>
          <w:szCs w:val="28"/>
          <w:rtl w:val="true"/>
          <w:lang w:bidi="ar-SA"/>
        </w:rPr>
        <w:t xml:space="preserve">. </w:t>
      </w:r>
      <w:bookmarkStart w:id="119" w:name="pg15367_180778"/>
    </w:p>
    <w:p>
      <w:pPr>
        <w:pStyle w:val="Heading4"/>
        <w:numPr>
          <w:ilvl w:val="3"/>
          <w:numId w:val="1"/>
        </w:numPr>
        <w:rPr/>
      </w:pPr>
      <w:bookmarkStart w:id="120" w:name="__RefHeading___Toc5900558_2142443653"/>
      <w:bookmarkStart w:id="121" w:name="_Toc44"/>
      <w:bookmarkEnd w:id="119"/>
      <w:bookmarkEnd w:id="120"/>
      <w:r>
        <w:rPr>
          <w:rtl w:val="true"/>
        </w:rPr>
        <w:t>الأمر الثاني</w:t>
      </w:r>
      <w:r>
        <w:rPr>
          <w:rtl w:val="true"/>
        </w:rPr>
        <w:t xml:space="preserve">: </w:t>
      </w:r>
      <w:r>
        <w:rPr>
          <w:rtl w:val="true"/>
        </w:rPr>
        <w:t>في الدليل على اعتبارها</w:t>
      </w:r>
      <w:bookmarkEnd w:id="121"/>
    </w:p>
    <w:p>
      <w:pPr>
        <w:pStyle w:val="BookText"/>
        <w:rPr/>
      </w:pPr>
      <w:r>
        <w:rPr>
          <w:rFonts w:ascii="Amiri" w:hAnsi="Amiri" w:eastAsia="Amiri" w:cs="Amiri"/>
          <w:color w:val="111111"/>
          <w:sz w:val="28"/>
          <w:sz w:val="28"/>
          <w:szCs w:val="28"/>
          <w:rtl w:val="true"/>
          <w:lang w:bidi="ar-SA"/>
        </w:rPr>
        <w:t>وقد استدل على اعتبارها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الكتاب الكريم؛ فمثل قوله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r>
        <w:rPr>
          <w:rStyle w:val="FootnoteAnchor"/>
          <w:rtl w:val="true"/>
        </w:rPr>
        <w:footnoteReference w:id="97"/>
      </w:r>
      <w:r>
        <w:rPr>
          <w:rFonts w:ascii="Amiri" w:hAnsi="Amiri" w:eastAsia="Amiri" w:cs="Amiri"/>
          <w:color w:val="111111"/>
          <w:sz w:val="28"/>
          <w:sz w:val="28"/>
          <w:szCs w:val="28"/>
          <w:rtl w:val="true"/>
          <w:lang w:bidi="ar-SA"/>
        </w:rPr>
        <w:t>فإنّ الإضافة إنَّما تتحقق باليد والإستيلاء، وهكذا سائر الآيات التي تضيف الأمتعة والأموال إلى أصحابها، فإنّ الإضافة تتحقق بالإستيلاء واليد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السنة؛ فهي اخبار مستفيضة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حَفْصِ بْنِ غِيَاثٍ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شَيْئاً فِي يَدَيْ رَجُلٍ يَجُوزُ لِي أَنْ أَشْهَدَ أَنَّهُ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فِي يَدِهِ ولَا أَشْهَدُ أَنَّهُ لَهُ؛ فَلَعَلَّهُ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فَيَحِلُّ الشِّرَاءُ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لِغَيْرِهِ؛ فَمِنْ أَيْنَ جَازَ لَكَ أَنْ تَشْتَرِيَهُ ويَصِيرَ مِلْكاً لَكَ ثُمَّ تَقُولَ بَعْدَ الْمِلْكِ هُوَ لِي وتَحْلِفَ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تَنْسُبَهُ إِلَى مَنْ صَارَ مِلْكُهُ مِنْ قِبَلِهِ إِلَيْكَ؛ 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يَجْرِ هَذَا لَمْ يَقُمْ لِلْمُسْلِمِينَ سُوقٌ</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هُوَ لَكَ حَلَالٌ حَتَّى تَعْلَمَ أَنَّهُ حَرَامٌ بِعَيْنِهِ فَتَدَعَهُ مِنْ قِبَلِ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مِثْلُ الثَّوْبِ؛ يَكُونُ عَلَيْكَ قَدِ اشْتَرَيْتَهُ وهُوَ 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الْمَمْلُوكِ عِنْدَكَ ولَعَلَّهُ حُرٌّ قَدْ</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نَفْسَهُ أَوْ خُدِعَ فَبِيعَ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تَحْتَكَ وهِيَ أُخْتُكَ أَوْ رَضِيعَتُكَ؛ 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في علل الشرايع</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الطبرسي</w:t>
      </w:r>
      <w:r>
        <w:rPr>
          <w:rStyle w:val="FootnoteAnchor"/>
          <w:rtl w:val="true"/>
        </w:rPr>
        <w:footnoteReference w:id="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رواه الحر العاملي</w:t>
      </w:r>
      <w:r>
        <w:rPr>
          <w:rStyle w:val="FootnoteAnchor"/>
          <w:rtl w:val="true"/>
        </w:rPr>
        <w:footnoteReference w:id="102"/>
      </w:r>
      <w:r>
        <w:rPr>
          <w:rFonts w:ascii="Amiri" w:hAnsi="Amiri" w:eastAsia="Amiri" w:cs="Amiri"/>
          <w:color w:val="111111"/>
          <w:sz w:val="28"/>
          <w:sz w:val="28"/>
          <w:szCs w:val="28"/>
          <w:rtl w:val="true"/>
          <w:lang w:bidi="ar-SA"/>
        </w:rPr>
        <w:t>فِي حَدِيثِ فَدَكَ أَنَّ أَمِيرَ الْمُؤْمِنِينَ علیه السلام قَالَ لِأَبِي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 تَحْكُمُ فِينَا بِخِلَافِ حُكْمِ اللَّهِ فِي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 يَدِ الْمُسْلِمِينَ شَيْ‌ءٌ يَمْلِكُونَهُ ادَّعَيْتُ أَنَا فِيهِ مَنْ تَسْأَلُ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كُنْتُ أَسْأَلُ الْبَيِّنَةَ عَلَى مَا تَدَّعِيهِ عَلَى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وقَدْ مَلَكْتُهُ فِي حَيَاةِ رَسُولِ اللَّهِ صلی الله علیه و آله و سلم وبَعْدَهُ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تَسْأَلِ الْمُؤْمِنِينَ‌</w:t>
      </w:r>
      <w:r>
        <w:rPr>
          <w:rStyle w:val="FootnoteAnchor"/>
          <w:rtl w:val="true"/>
        </w:rPr>
        <w:footnoteReference w:id="103"/>
      </w:r>
      <w:r>
        <w:rPr>
          <w:rFonts w:ascii="Amiri" w:hAnsi="Amiri" w:eastAsia="Amiri" w:cs="Amiri"/>
          <w:color w:val="111111"/>
          <w:sz w:val="28"/>
          <w:sz w:val="28"/>
          <w:szCs w:val="28"/>
          <w:rtl w:val="true"/>
          <w:lang w:bidi="ar-SA"/>
        </w:rPr>
        <w:t>الْبَيِّنَةَ عَلَى مَا ادَّعَوْا عَلَيَ‌</w:t>
      </w:r>
      <w:r>
        <w:rPr>
          <w:rStyle w:val="FootnoteAnchor"/>
          <w:rtl w:val="true"/>
        </w:rPr>
        <w:footnoteReference w:id="104"/>
      </w:r>
      <w:r>
        <w:rPr>
          <w:rFonts w:ascii="Amiri" w:hAnsi="Amiri" w:eastAsia="Amiri" w:cs="Amiri"/>
          <w:color w:val="111111"/>
          <w:sz w:val="28"/>
          <w:sz w:val="28"/>
          <w:szCs w:val="28"/>
          <w:rtl w:val="true"/>
          <w:lang w:bidi="ar-SA"/>
        </w:rPr>
        <w:t xml:space="preserve">كَمَا سَأَلْتَنِي الْبَيِّنَةَ عَلَى مَا ادَّعَيْتُ عَلَيْهِمْ؛ إِلَى أَنْ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مَنِ ادَّعَى والْيَمِينُ عَلَى مَنْ أَنْكَرَ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صحيحة الْعِيصِ بْنِ الْقَاسِمِ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مَمْلُوكٍ ادَّعَى أَنَّهُ حُرٌّ ولَمْ يَأْتِ بِبَيِّنَةٍ عَلَى ذَلِكَ؛ أَشْتَرِيهِ؟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يُونُسَ بْنِ يَعْقُوبَ عَنْ أَبِي عَبْدِ اللَّهِ علیه السلام فِي امْرَأَةٍ تَمُوتُ قَبْلَ الرَّجُلِ أَوْ رَجُلٍ قَبْلَ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مِنْ مَتَاعِ النِّسَاءِ فَهُوَ لِلْمَرْأَةِ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مَتَاعِ الرِّجَالِ والنِّسَاءِ فَهُوَ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الْعَبَّاسِ بْنِ هِلَالٍ عَنْ أَبِي الْحَسَنِ الرِّضَا علیه السلام ذَكَرَ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لَوْ أُفْضِيَ إِلَيْهِ الْحُكْمُ لَأَقَرَّ النَّاسَ عَلَى مَا فِي أَيْدِيهِمْ ولَمْ يَنْظُرْ فِي شَيْ‌ءٍ إِلَّا بِمَا حَدَثَ فِي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النَّبِيَّ صلی الله علیه و آله و سلم لَمْ يَنْظُرْ فِي حَدَثٍ أَحْدَثُوهُ وهُمْ 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مَنْ أَسْلَمَ أَقَرَّهُ عَلَى مَا فِي يَدِهِ</w:t>
      </w:r>
      <w:r>
        <w:rPr>
          <w:rFonts w:eastAsia="Amiri" w:cs="Amiri" w:ascii="Amiri" w:hAnsi="Amiri"/>
          <w:color w:val="111111"/>
          <w:sz w:val="28"/>
          <w:szCs w:val="28"/>
          <w:rtl w:val="true"/>
          <w:lang w:bidi="ar-SA"/>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الروايات التي لا شك في دلالتها على اعتبار اليد، ولا وجه للمناقشة السندية بعد اشتهارها واستفاضتها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استشكل على رواية حفص بما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مصبّ سؤال السائل جواز الشهادة بالملكية لذي اليد بمجرد كون الشيء تحت يده، وهذا غير كافٍ في إثبات الملكية باليد حتى تكون اليد حجة كما هو المطلوب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وهذا الإشكال مردود بأنّ حكم الإمام علیه السلام بجواز الشهادة استناداً إلى اليد يدل بالإلتزام على إثبات الملكية لها أيضاً، ولا سيما بعد ما استدل علیه السلام على هذا الحكم بجواز الشراء مِمّا في يده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الرواية جواز الشهادة استناداً إلى اليد من دون حصول العلم للشاهد، وهو مخالف لما هو المتسالم عند المسلمين من اعتبار العلم من موضوع الشهادة، فلا يكفي الإستناد إلى الأصول أو الأمارات، فظاهر الرواية مِمّا لم يعمل به فتسقط عن الإعتبار</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المناط في موضوع الشهادة هو القطع الموضوعي، أي ما أخذ على نحو الصفتية، فالأمر كما ذكر في الإشكال، وأما إذا كان مأخوذاً على الطريقية والكشف فإنّ الأمارات والأصول تقوم مقام القطع الطريقي كما أثبتناه في مباحث القطع خلافاً للمحقق الخراساني قدس سره فتجوز الشهادة على مورد قام عليه الأصل والأمارة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المعلوم أنّ </w:t>
      </w:r>
    </w:p>
    <w:p>
      <w:pPr>
        <w:pStyle w:val="BookText"/>
        <w:rPr/>
      </w:pPr>
      <w:r>
        <w:rPr>
          <w:rFonts w:ascii="Amiri" w:hAnsi="Amiri" w:eastAsia="Amiri" w:cs="Amiri"/>
          <w:color w:val="111111"/>
          <w:sz w:val="28"/>
          <w:sz w:val="28"/>
          <w:szCs w:val="28"/>
          <w:rtl w:val="true"/>
          <w:lang w:bidi="ar-SA"/>
        </w:rPr>
        <w:t>القطع المأخوذ في موضوع أداء الشهادة هو من حيث الطريقية والكشف عن متعلقه لا بما هو على الصفتية، وقد ذكرنا في مبحث القطع أنه لم يوجد في الشرعيات مورد يكون القطع مأخوذاً في الموضوع على نحو الصفتية إلا في بعض الموارد التي أُخذ الإطمئنان موضوعاً أو جزءً، ولكن ذلك غير أخذ القطع في الموضوع على نحوالصفتية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لو لم نقل بجواز الشهادة استناداً إلى اليد وترتيب آثار الملكية على ما في اليد لاختل 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الأشكال ساقط رأساً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أُشكل على الإستدلال بحديث فدك بأنّ أقصى ما يدل عليه هو أنّ البينة ليست على المنكر، وهو ذي اليد، بل على المدعي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وهنا لا ربط لكون اليد حجة على الملكية فإنّ قضية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البينة على المدعي واليمين على من أنكر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المسلمات، وقد قضى رسول الله صلی الله علیه و آله و سلم بذلك في موارد عديدة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شك أنّ المراد بالمنكر في المقام هو ذو اليد، والمدعي مقابله الذي يرجع الدعوى إلى المنكر ويوجهها إليه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فالحديث لا يدل إلا على هذا الأمر، ولا ربط له بإثبات الملكية باليد الذي هو موضوع البحث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الحديث قرائن تدل على المطلوب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 يَدِ الْمُسْلِمِينَ شَيْ‌ءٌ يَمْلِكُونَهُ ادَّعَيْتُ أَنَا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كَانَ فِي يَدِي شَيْ‌ءٌ فَادَّعَى فِيهِ الْمُسْلِمُونَ تَسْأَلُنِي الْبَيِّنَةَ عَلَى مَا فِي يَدِي وقَدْ مَلَكْتُهُ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فالمفهوم من الحديث هو إثبات الملكية باليد، مع أن المتفاهم عرفاً من كون غيرذي اليد مدعياً، وأنه مطالب بالبينة، وأنّ ذا اليد مالكاً وإلا فلا وجه لإثبات ما يدعيه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أُشكل على رواية مسعدة بن صدقة بأنه لا دلالة لها على المطلوب أصلاً، بل مضمونها حلّية مشتبه الحرمة حتى يثبت خلاف ذلك بالعلم أو البينة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عنه بأنّ مساق الرواية وإن كان كذلك ولكن في الأمثلة التي ورد فيها ما يدل على المطلوب أيضاً فإنّ الشك في الحلية قد يكون منشؤه الشك في الملكية، وأما بقية الروايات فدلالتها على كون اليد أمارة الملكية واضحة، بل أوضح من أن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ينبغي الإرتياب في دلالة مجموع الروايات التي ذكرناها والتي لم نذكرها على اعتبار اليد وكونها أمارة على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وهن الإشكالات عليها إنّه لم يذكرها السيد الوالد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فلا ريب في تحقق الإتّفاق من المسلمين على أنّ من كان في يده من الأموال فإنها تكون له، ولا خلاف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هناك خلاف في بعض التفاصيل ولكنه لا يضرّ بأصل التسالم والإجماع الذي يكشف عن رأي المعصوم، أو دليل معتبر عند الكل في مقام الثبوت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يكون في مقام الإثبات دليل آخر فإن استفدنا من القرائن أنّ المجمعين قد اعتمدوا عليه فيكون الإجماع مدركياً لا اعتبار به، وإلا فيكون من الإجماع المعتبر الذي يكون في عداد الأدلة، ولا يكفي مجرد احتمال مدرك إذا كان المدعين للإجماع من الأساطين المحققين الذين لهم باعٌ طويل في التحقيق وسبر الأقوال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فإنَّ بناء العقلاء وسيرتهم من جميع الملل والأقوام المتدينين منهم وغيرهم على اعتبارها وكأنها أمارة على الملكية، فإنهم لا يتوقفون في ترتيب آثار الملكية على ما في أيدي الناس، وقد أمضى الشارع تلك السيرة بالأخبار مع أنه يكفي عدم الردع عن بناء العقلاء في إمضاءه ومشروعيته</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فالحق؛ أنه لا ريب في اعتبار اليد في الجملة وكأنها من المسلّمات، ولا حاجة إلى تطويل البحث فيها</w:t>
      </w:r>
      <w:r>
        <w:rPr>
          <w:rFonts w:eastAsia="Amiri" w:cs="Amiri" w:ascii="Amiri" w:hAnsi="Amiri"/>
          <w:color w:val="111111"/>
          <w:sz w:val="28"/>
          <w:szCs w:val="28"/>
          <w:rtl w:val="true"/>
          <w:lang w:bidi="ar-SA"/>
        </w:rPr>
        <w:t xml:space="preserve">. </w:t>
      </w:r>
      <w:bookmarkStart w:id="122" w:name="pg15367_180788"/>
    </w:p>
    <w:p>
      <w:pPr>
        <w:pStyle w:val="Heading4"/>
        <w:numPr>
          <w:ilvl w:val="3"/>
          <w:numId w:val="1"/>
        </w:numPr>
        <w:rPr/>
      </w:pPr>
      <w:bookmarkStart w:id="123" w:name="__RefHeading___Toc5900560_2142443653"/>
      <w:bookmarkStart w:id="124" w:name="_Toc45"/>
      <w:bookmarkEnd w:id="122"/>
      <w:bookmarkEnd w:id="123"/>
      <w:r>
        <w:rPr>
          <w:rtl w:val="true"/>
        </w:rPr>
        <w:t>الأمر الثالث</w:t>
      </w:r>
      <w:r>
        <w:rPr>
          <w:rtl w:val="true"/>
        </w:rPr>
        <w:t xml:space="preserve">: </w:t>
      </w:r>
      <w:r>
        <w:rPr>
          <w:rtl w:val="true"/>
        </w:rPr>
        <w:t>في تقدم اليد على الإستصحاب</w:t>
      </w:r>
      <w:r>
        <w:rPr>
          <w:rtl w:val="true"/>
        </w:rPr>
        <w:t>.</w:t>
      </w:r>
      <w:bookmarkEnd w:id="124"/>
    </w:p>
    <w:p>
      <w:pPr>
        <w:pStyle w:val="BookText"/>
        <w:rPr/>
      </w:pPr>
      <w:r>
        <w:rPr>
          <w:rFonts w:ascii="Amiri" w:hAnsi="Amiri" w:eastAsia="Amiri" w:cs="Amiri"/>
          <w:color w:val="111111"/>
          <w:sz w:val="28"/>
          <w:sz w:val="28"/>
          <w:szCs w:val="28"/>
          <w:rtl w:val="true"/>
          <w:lang w:bidi="ar-SA"/>
        </w:rPr>
        <w:t xml:space="preserve">إنه سواء قلنا بأنّ اليد أمارة أو أصل فاليد مقدمة، والكلام في ذلك عين ما تقدم في سابقتها، وإن ذكر السيد الوالد قدس سره </w:t>
      </w:r>
      <w:r>
        <w:rPr>
          <w:rStyle w:val="FootnoteAnchor"/>
          <w:rtl w:val="true"/>
        </w:rPr>
        <w:footnoteReference w:id="108"/>
      </w:r>
      <w:r>
        <w:rPr>
          <w:rFonts w:ascii="Amiri" w:hAnsi="Amiri" w:eastAsia="Amiri" w:cs="Amiri"/>
          <w:color w:val="111111"/>
          <w:sz w:val="28"/>
          <w:sz w:val="28"/>
          <w:szCs w:val="28"/>
          <w:rtl w:val="true"/>
          <w:lang w:bidi="ar-SA"/>
        </w:rPr>
        <w:t>بأنها أشبه بالأمارة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قال بعض الفقهاء بأنه لا بُدَّ من الرجوع إلى دليل اعتبارها فإن كان الإجماع فإنَّه لا يدل إلا على ترتيب آثار الملكية لما تحت يد الشخص من دون التعرض إلى أنّ اليد طريق إلى الملكية وكاشف عنها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الأخبار فإنّ مفادها؛ إما جواز الشراء والشهادة مستنداً إلى اليد كما في رواية حفص، وهذا المعنى أعم من كونها أمارة أو أصل فإنَّه يجتمع مع كل واحد منهما، وكذا رواية حمزة بن عمران وصحيحة العيص فإنّ مفادهما ليس إلا جواز الشراء من ذي اليد وعدم الإعتناء بقول الجارية والعبد ما لم يقيما البينة، وقد عرفت أنّ ذلك أعم من الأمارة والأصل؛ إذ يجتمع مع كل واحد منهما، وهكذا رواية مسعدة بن صدقة إن دلت على أصل اعتبار قاعدة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معتبرة يونس بن يعقوب فإنّ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اسْتَوْلَى عَلَى شَيْ‌ءٍ مِنْهُ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إلا على ترتيب آثار الملكية على ما استولى عليه، وهو أعم من العناوين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فالأخبار تقصر عن إثبات أحد هذين الأمرين، ومن المعلوم أنه مع الشك في الأمارية والأصلية فإنّ الأصول العملية توافق كونها أصلاً لأنّ إثبات اللوازم شيء زائد على ثبوت أصل المؤدى الذي هو المستفاد من هذه الأخبار قطعاً</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لاحظنا كل رواية لوحدها فربما يستشكل في دلالة كل واحدة منهما على الأمارية، ولكن العرف يفهم من سياق هذه الأخبار التي تدل على اعتبار اليد </w:t>
      </w:r>
      <w:bookmarkStart w:id="125" w:name="pg15367_180790"/>
    </w:p>
    <w:p>
      <w:pPr>
        <w:pStyle w:val="BookText"/>
        <w:rPr/>
      </w:pPr>
      <w:bookmarkEnd w:id="125"/>
      <w:r>
        <w:rPr>
          <w:rFonts w:ascii="Amiri" w:hAnsi="Amiri" w:eastAsia="Amiri" w:cs="Amiri"/>
          <w:color w:val="111111"/>
          <w:sz w:val="28"/>
          <w:sz w:val="28"/>
          <w:szCs w:val="28"/>
          <w:rtl w:val="true"/>
          <w:lang w:bidi="ar-SA"/>
        </w:rPr>
        <w:t>أنها كاشفة عن ثبوت الملكية بها، لا مجرد التعبد بترتيب آثار الملكية عند الشك فيها؛ هذا إذا كانت الأخبار بنفسها دليلاً مستقلاً، وأما إذا قلنا بأنها إمضاء للسيرة العقلائية فالأمر أوضح كما ستعرف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المدرك هو بناء العقلاء وسيرتهم فلا إشكال في دلالته على الأمارية فإنّ بناء العقلاء ليس من جهة التعبد بترتيب آثار الملكية عند الشك فيها، بل من جهة كشفها عن الملكية فإنّ العرف يرى أنّ اليد طريق وكاشف عن ملكية ذي اليد ما لم يعترف بأنه ليس له، فيكون شأن اليد شأن سائر الظنون النوعية والطرق والأمارات التي تدل على الكشف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المراد من قول السيد الوالد قدس سره من أن ظاهر الأدلة أنها بالأمارة أشبه فتكون اليد أمارة وحاكمة على الإستصحاب</w:t>
      </w:r>
      <w:r>
        <w:rPr>
          <w:rFonts w:eastAsia="Amiri" w:cs="Amiri" w:ascii="Amiri" w:hAnsi="Amiri"/>
          <w:color w:val="111111"/>
          <w:sz w:val="28"/>
          <w:szCs w:val="28"/>
          <w:rtl w:val="true"/>
          <w:lang w:bidi="ar-SA"/>
        </w:rPr>
        <w:t>.</w:t>
      </w:r>
    </w:p>
    <w:p>
      <w:pPr>
        <w:pStyle w:val="Heading4"/>
        <w:numPr>
          <w:ilvl w:val="3"/>
          <w:numId w:val="1"/>
        </w:numPr>
        <w:rPr/>
      </w:pPr>
      <w:bookmarkStart w:id="126" w:name="__RefHeading___Toc5900562_2142443653"/>
      <w:bookmarkStart w:id="127" w:name="_Toc46"/>
      <w:bookmarkEnd w:id="126"/>
      <w:r>
        <w:rPr>
          <w:rtl w:val="true"/>
        </w:rPr>
        <w:t>الأمر الرابع</w:t>
      </w:r>
      <w:r>
        <w:rPr>
          <w:rtl w:val="true"/>
        </w:rPr>
        <w:t xml:space="preserve">: </w:t>
      </w:r>
      <w:r>
        <w:rPr>
          <w:rtl w:val="true"/>
        </w:rPr>
        <w:t>في سعة وضيق القاعدة</w:t>
      </w:r>
      <w:bookmarkEnd w:id="127"/>
    </w:p>
    <w:p>
      <w:pPr>
        <w:pStyle w:val="BookText"/>
        <w:rPr/>
      </w:pPr>
      <w:r>
        <w:rPr>
          <w:rFonts w:ascii="Amiri" w:hAnsi="Amiri" w:eastAsia="Amiri" w:cs="Amiri"/>
          <w:color w:val="111111"/>
          <w:sz w:val="28"/>
          <w:sz w:val="28"/>
          <w:szCs w:val="28"/>
          <w:rtl w:val="true"/>
          <w:lang w:bidi="ar-SA"/>
        </w:rPr>
        <w:t xml:space="preserve">تقدم أنه لا إشكال في حجية قاعدة اليد في الجملة إلا أنه وقع الخلاف في سعة دلالتها وضيقها؛ فإنّ المصاديق متعددة؛ بعضها يكون من المسلمات كما في صورة ملكية الأعيان المتحولة القابلة للنقل والإنتقال بحدّ نفسها ما لم يعترف ذو اليد بأنه ليس له فلا إشكال في أمارية اليد على الملكية، بل ولا خلاف بينهم في ذلك بالنسبة إلى الغير، ولكن بعضها الآخر وقع الخلاف فيه بين الفقهاء، نذكر بعض مصاديقه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عدم الخلاف في جريان اليد بالنسبة إلى نفس الإنسان فيما إذا شك أنّ ما في يده هل هو ملك له أو لغيره، فإنّ حجية اليد في هذه الصورة وإثباتها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الملكية لما في يده لنفسه لا يخلو من كلام، وإن كان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إثبات الملكية لاتحاد المناط بين نفسه وغيره</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الأموال المتحولة التي لا تقبل النقل والإنتقال بحدّ نفسها لا بعروض عنوان خاص كما في الأعيان الموقوفة التي لا تقبل ذلك إلا بعنوان محرز</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الأراضي المفتوحة عنوة العامرة حال الفتح؛ فإنها أيضاً لا يجوز نقلها إلا إذا رأى ولي المسلمين المصلحة في نقلها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اليد من أول حدوثها مجهولة العنوان بحيث لا يعلم أنها يد مالكة، أو يد أمانة شرعية كاللقطة، أو أمانة مالكية كالإجارة والعارية والوديعة وأمثال ذلك من الأمانات المالكة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وتفصيل الكلام في ذلك يكون في 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حال حدوثها معلومة العنوان من أمانة أو غصب، ثم احتمل ملكية ذي اليد بالإنتقال الصحيح الشرعي؛ فقد ذهب الفقهاء إلى عدم الحكم بالملكية من أجل اليد واستدلوا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بعدم السيرة على الحكم بالملكية في هذه الصورة وعدم شمول الأدلة اللفظية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بأنّ السيرة على خلاف ذلك لعدم جريانها مقابل المدارك المعتبرة كالبينة والإقرار ونحوهما في مقابل اليد والحكم بها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حكومة استصحاب حال اليد من كونها عادية أو أمانة على نفس اليد، والقول بأنه بعد إثبات أمارية اليد لا وجه لحكومة الإستصحاب عليها، بل الأمر على عكس من ذلك فإنَّه لو كان التعارض بين المؤديين فلا شك في تقدم اليد من حيث كونها أمارة على الإستصحاب، وهو صحيح فيما إذا كان حال اليد معلوماً إلا أنّ في المقام يجهل حال اليد هل هي يد مالكة بنقل شرعي فإنّ الإستصحاب يرفع هذا الجهل تعبداً، فلا يبقى موضوع لقاعدة اليد حتى تجري لتكون حاكمة على الإستصحاب</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حكم ما لوكانت الحالة السابقة لما في يده عدم جواز نقله وانتقاله في حدّ نفسه إلا بطروّ أحد الأمور المجوزة لهما كالوقف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هذه الحالة لا تكون اليد أمارة على كون ما في يده ملكاً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لاستصحاب عدم طروّ ما يجوز معه النقل والإنتقال وبجريانه لا يبقى موضوع للقاعدة لأنّ موضوعها المال القابل للنقل والإنتقال، وبالإستصحاب تنتفي القابلية إلا إذا احتملنا أنّ ما تحت اليد كان قبل حدوث اليد قابلاً للنقل والإنتقال لأجل طروّ أحد المجوزات، فلا يبقى مجال لاستصحاب حال اليد لأنَّها مجهولة من أول حدوثها من هذه الجهة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وهكذا حال الأراضي المفتوحة عنوة؛ فإنّ المستفاد من الأخبار أنها ملك للمسلمين جميعاً ولكنها مجعولة في أيديهم لا يجوز بيعها وشراؤها، وإنما يؤخذ الخراج ممن بيده هذه الأراضي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عليه فهي ليست قابلة للنقل والإنتقال إلا بمجوز فيكون حالها حال الوقف؛ فإنّ أصالة عدمه تجري ولا يصحّ الرجوع إلى قاعدة اليد والحكم بملكية من بيده تلك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قلنا بأنّ الأراضي المفتوحة عنوة قابلة للنقل والإنتقال تبعاً لمتعلقاتها وهي ليست مثل الوقف محبوسة لا يجوز نقلها إلا بمجوز من المجوزات، غاية الأمر نقلها بيد وليّ المسلمين فهو يرى المصلحة في النقل أو الإبقاء على ملك المسلمين وأخذ الخراج ممن بيده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الرأي يجوز الإعتماد على اليد والحكم بملكية ذي اليد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في مقابل ذي اليد من يدعي الملكية لما في يده فإنه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تارة؛ يقيم البينة على دعواه، فلا إشكال في ثبوت الملكية له، فيؤخذ المال من ذي اليد ويعطى للمدعي من أجل البينة على دعواه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وأخرى؛ إذا أقرّ ذو اليد بملكية المدعي لما في يده فالأمر كذلك؛ فإنَّه يُنتزع من يده ويعطى للمُقَر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وثالثة؛ إذا اعترف ذو اليد بأنّ ما في يده ملكاً للمدعي ولكنه انتقل إليه بناقل شرعي ففي هذه الصورة تنقلب الدعوى فيصير ذو اليد مدّعياً بعدما كان منكراً لأنَّه بذلك يصير قوله مطابقاً للأصل وهو أصالة عدم الإنتقال فينقلب منكِراً، وهذا مِمّا لا إشكال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الكلام في أنّ المال يؤخذ منه ويعطى للمنكر الجديد المدعي السابق بواسطة إقرار ذي اليد أو يبقى عنده بواسطة أمارية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بسقوط أمارية اليد باعتراف ذي اليد بأنّ المال كان للطرف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يرد عليه بأنّ اعترافه أنّ المال كان له لا ينافي كون اليد أمارة على الملك الفعلي، وفي أغلب الموارد نعلم أنّ الأموال التي تكون تحت ذي اليد كانت ملكاً لغيره فليكن حال الإعتراف حال العلم، فكما لا يوجب العلم سقوط أمارية اليد على الملكية، كذلك لا يوجب الإعتراف سقوطها عنها</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نقول أنه لا فرق بين أن يثبت أنّ ما في يده كان ملكاً لمن يدعيه بحكم الحاكم أو بالبينة أو بالعلم الوجداني أو بإقرار ذي اليد وغير ذلك من الوجوه؛ فإنّ ثبوت الملكية بأحد هذه الأمور لا ينافي الملكية حال الدعوى لذي اليد، وقد عرفت أنّ بناء العقلاء على أمارية اليد على الملكية لما في اليد قد أمضاها الشارع فيحكم بالملكية الفعلية لذي اليد إلا أن يثبت الآخر عدم الإنتقال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واعترض المحقق النائيني قدس سره </w:t>
      </w:r>
      <w:r>
        <w:rPr>
          <w:rStyle w:val="FootnoteAnchor"/>
          <w:rtl w:val="true"/>
        </w:rPr>
        <w:footnoteReference w:id="109"/>
      </w:r>
      <w:r>
        <w:rPr>
          <w:rFonts w:ascii="Amiri" w:hAnsi="Amiri" w:eastAsia="Amiri" w:cs="Amiri"/>
          <w:color w:val="111111"/>
          <w:sz w:val="28"/>
          <w:sz w:val="28"/>
          <w:szCs w:val="28"/>
          <w:rtl w:val="true"/>
          <w:lang w:bidi="ar-SA"/>
        </w:rPr>
        <w:t>على ذلك بأنَّ انقلاب الدعوى من آثار نفس الإقرار وليس من آثار الواقع حتى لا يكون فرقاً بين العلم والبينة والإقرار، فإذا أقرّ فهو مأخوذ بإقراره ولو مع العلم بمخالفته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 مضافاً إلى أنه لا حجية للإقرار مع العلم التفصيلي بمخالفته للواقع؛ أنّ معنى أخذه بإقراره ترتيب آثار الملكية السابقة، لا عدم أمارية اليد للملكية الفعلية إلا إذا انضم إلى اعترافه بالملكية السابقة للمدعي دعوى الإنتقال إليه بناقل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حيث هذه الدعوى يكون ذو اليد مدعياً للإنتقال، والطرف المقابل له يصير قوله مطابقاً لأصالة عدم الإنتقال فتنقلب الدعوى ويصير منكراً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المحقق العراقي قدس سره </w:t>
      </w:r>
      <w:r>
        <w:rPr>
          <w:rStyle w:val="FootnoteAnchor"/>
          <w:rtl w:val="true"/>
        </w:rPr>
        <w:footnoteReference w:id="110"/>
      </w:r>
      <w:r>
        <w:rPr>
          <w:rFonts w:ascii="Amiri" w:hAnsi="Amiri" w:eastAsia="Amiri" w:cs="Amiri"/>
          <w:color w:val="111111"/>
          <w:sz w:val="28"/>
          <w:sz w:val="28"/>
          <w:szCs w:val="28"/>
          <w:rtl w:val="true"/>
          <w:lang w:bidi="ar-SA"/>
        </w:rPr>
        <w:t>بأنّ انقلاب الدعوى إنَّما هو من جهة استصحاب عدم الإنتقال مع وجود اليد الفعلية على المال، فيكون مقتضى اليد كون المال ملكاً لذي اليد وانتقاله إليه من الطرف الآخر، ومقتضى استصحاب عدم الإنتقال عدم كونه ملكاً لذي اليد وبقاءه على ملك الطرف، فحجية الإستصحاب وأمارية اليد مِمّا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أيضاً بأنه لو قلنا بأمارية اليد في هذه الصورة كما هو المفروض تكون اليد حاكمة على الإستصحاب لما تقدم من حكومة الأمارات على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فالصحيح أنَّ ها هُنا دعويان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دعوى الإنتقال، وبالنسبة إلى هذه الدعوى يكون مدعياً وعليه إثباتها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دعوى الملكية لليد الفعلية، وبالنسبة إلى هذه الدعوى لا بُدَّ على الطرف الآخر إقامة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إنه لو كان شيء في يد شخص فعلاً وثبت شرعاً أنه كان لغيره سابقاً يحكم بملكية ذي اليد لجريان السيرة على العمل بقاعدة اليد، ولعدم المنافاة بين كون شيء ملكاً لشخص سابقاً ولآخر فعلاً، بل ذلك غالبي الوقوع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أقرّ ذو اليد بأنّ ما في يده كان لمورثه، فإنّ ثبوت موت المورث وثبوت وارثه ذي اليد يؤكدان إقراره، ولكن هذا الإقرار لا ينافي استيلائه على ما في يده وملكيته له، ولا وجه للحاكم في مطالبته بالبينة أصلاً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ربط له بانقلاب الدعوى الذي تقدم ذكره في الفرض السابق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وعلى هذا الأساس يكون طلب أبي بكر البينة من الصديقة الطاهرة علیها السلام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إنْ كان لإثبات موت النبي صلی الله علیه و آله و سلم فهو مِمّا يقبح صدوره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لإثبات أنَّ فاطمة الزهراء علیها السلام إبنته فهو مِمّا يقبّحه المسلمون بأجمعهم؛ خواصهموعوامهم كسابقه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كان من أجل أنَّ يد الوارث لا تدلُّ على ملكية ما انتقل إليه من مورثه فهو خلاف إجماع المسلمين، بل سيرة العقلاء كافة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بُدّ لأبي بكر في منع الصديقة الطاهرة علیها السلام من فدك من إثبات أحد أمرين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عدم موت النبي صلی الله علیه و آله و سلم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إثبات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 مخالف للوجدان وما هو معلوم بين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 مخالف للقرآن المجيد وسيرة الأنبياء السابقين والعقلاء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أنَّه لم يثبت هذا الحديث بنفسه كما هو مفصل في الكتب الكلامية والحديثية؛ حيث لم نجده مروياً إلا عن أبي بكر وحده في قضية فدك الزهراء علیها السلام </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إذا كانت دعوى الصديقة الطاهرة علیها السلام أنَّ فدك قد انتقلت إليها بالإرث، وأمّا إذا كانت دعواها أنَّها كانت نِحلة من رسول الله صلی الله علیه و آله و سلم أو من الله تعالى؛ كما يظهر من بعض الأخبار؛ فالحكم يكون أوضح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مقام قداسة الصديقة الطاهرة علیها السلام وعدم المعارض لها </w:t>
      </w:r>
    </w:p>
    <w:p>
      <w:pPr>
        <w:pStyle w:val="BookText"/>
        <w:rPr/>
      </w:pPr>
      <w:r>
        <w:rPr>
          <w:rFonts w:ascii="IRNazanin" w:hAnsi="IRNazanin" w:eastAsia="IRNazanin"/>
          <w:color w:val="111111"/>
          <w:sz w:val="28"/>
          <w:sz w:val="28"/>
          <w:szCs w:val="28"/>
          <w:rtl w:val="true"/>
          <w:lang w:bidi="fa-IR"/>
        </w:rPr>
        <w:t>في هذه الدعوى من أحد المسلمين ولا من غيرهم، وكون فدك في يدها؛ كلُّ ذلك يدلُّ على أنَّها علیها السلام مالكة لفدك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مبرر لانتزاعها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وربما يتوهم بأنَّ المعارض لها أبو بكر وهو وليّ المسلمين فلا يصغي للقول بأنَّ دعواها بلا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موهون بأنَّه لا بُدَّ لأبي بكر حينئذٍ من ردِّ دعواها بمقام ولايته لا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مَعَاشِرَ الْأَنْبِيَاءِ لَا نُورَثُ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مذكورة على نحو التفصيل في كتب الكلام والتاريخ من الفريقين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يقال بأنَّ المقام يندرج تحت موضوع انقلاب الدعوى؛ وذلك بأنَّه لما احتج أمير المؤمنين علیه السلام على أبي بكر في خبر العلل المتقدم بأنَّ الصديقة الطاهرة علیها السلام ذات اليد على فدك التي كانت لرسول الله صلی الله علیه و آله و سلم وقد نحلها إياها، فادَّعت علیها السلام الإنتقال إليها منه صلی الله علیه و آله و سلم بعد اعترافها بأنَّها له صلی الله علیه و آله و سلم فقد انقلبت الصديقة الطاهرة علیها السلام مدَّعية؛ فتكون البينة عليها؛ ولكن هذا القول مخالف للرواية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أمير المؤمنين علیه السلام في خبر الإحتجاج ينفي أنْ تكون البيّنة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فالرواية تدلُّ دلالة صريحة على عدم انقلاب الدعوى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فرض التنزل والقبول نقول أنَّ دعوى الإنتقال إليها علیها السلام كانت من المسلّمات عند الجميع؛ إمّا إرثاً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وإما نِحلة منه صلی الله علیه و آله و سلم أو من الله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الملكية فقد احتج أمير المؤمنين علیه السلام على أبي بكر بأنَّها علیها السلام ذات يد علىالطرف الآخر وعلى أبي بكر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باعتباره ولي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البينة على عدم الملكية</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والأمر واضح لا عموم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السياسة تدخلت في هذا الموضوع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كثير من المواضيع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فانقلبت الدعاوى الصحيحة الحقة إلى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وبها أزاحوا الحقَّ عن أهله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شمول قاعدة اليد للأعيان المتحولة التي تقبل النقل والإنتقال بحدّ نفسه، ولكن وقع الخلاف في شمولها للمنافع والحقوق والنسب والأعراض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المنافع؛ فإنّ لها إطلاقان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 ما يطلق على بعض الأعيان الخارجية عرفاً كاللبن في الضرع، والثمرة على الشجرة؛ فهذه خارجة عن محل الكلام إذ لا شك في إمكان وقوعها مستقلاً تحت اليد، والأدلة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ما لا وجود لها استقلالاً وإنما تستوفى تدريجاً كسكن الدار والدكان ونحوهما، وإنما يكون وجودها تبعاً لوجود العين فتكون اليد على العين يد على المنافع حقيقة وواقعاً، فإذا استولى على العين لا يصحّ سلب السلطنة والإستيلاء على المنفعة؛ وبهذا صحّح الفقهاء الضمان في المقبوض بالعقد الفاسد بالنسبة إلى المنافع غير المستوفاة من باب ضمان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وقعت المنافع مورد التنازع فإنَّه تارة يكون بين المالك المدعي وذي اليد؛ كما إذا اعترف الأخير بأنّ الدار التي يسكن فيها الآن هي ملك لك، ولكنها في إجارتي إلى مدة سنة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وأخرى؛ يكون بين المدعي الأجنبي غير المالك وذي اليد؛ كما إذا ادعّى الأجنبي أنّ الدار في إجارتي وذي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الطرف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إنها في إجارتي</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ذهب جمع من الفقهاء إلى اعتبار اليد في الثاني دون الأول، واستدلوا على ذلك بأنّ المنفعة أمر معدوم بالنسبة إلى الزمان اللاحق من زمان النزاع، وقد عرفت أنها غالباً ما يكون من الأمور غير القارّة؛ أي التي لا يوجد جزء منه إلا بعد انعدام الجزء السابق فلا يمكن وقوعها تحت اليد استقلالاً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المناط في الإستيلاء والسيطرة في اليد هو الخارجي منهما؛ ولهذا تتحقق اليد في الغاصب مع أنها لا اعتبار بها لا شرعاً ولا عقلاً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المقام تحققت السيطرة على المنفعة تبعاً للسيطرة على العين فتكون اليد على العين يد على المنافع غير القارة حقيقة وعرفاً، فتكون العين واسطة في الثبوت لا أن تكون واسطة في العروض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لا يصحّ سلب السلطنة والإستيلاء على المنفعة، فاليد الفعلية على العين تدل على الملكية للمنافع إذا لم يصدر منه ما يدل على ما ينافي أماريتها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المدعي هو المالك كما في الفرض الأول فإنَّه بعد اعتراف ذي اليد بأنّ يده أمانية من قبل المالك؛ تكون يده يد المالك فلا يبقى موضوع للمخاصمة مع المالك بمثل هذه اليد، والسيرة لا تشمل مثل ذلك فتكون الخصومة بينهما ترجع إلى تحقق الإجارة وعدمها أو طول المدة وقصرها، والفصل حينئذٍ يكون حسب القواعد والأصول كما هو مفصّل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لا بُدَّ من إقامة الدليل على اعتبار مثل هذه اليد التبعية؛ فإنَّه يمكن القول بأنّ السيرة كما تدل على اعتبار اليد الإستقلالية تدل على اعتبار اليد التبعية وكذلك الأخبار فإنَّه وإن كان مورد أغلبها الأعيان، ولكن يمكن القول بشمولها للأعيان عرفاً، بل أن عموم قوله علیه السلام في موثقة يونس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اسْتَوْلَى عَلَى شَيْ‌ءٍ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لهما فلا قصور في الشمول، وورود بعضها في الأعيان إنَّما يكون من باب المثال لا الخصوصية، وكذلك يمكن الأخذ بإطلاق معقد 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فإن الفرق بين الفرضين إنَّما هو من جهة بناء العقلاء حيث يفرقون بين أن يكون المدعي هو المالك أو الأجنبي لا لقصور في شمول أدلة اعتبار اليد للمنفعة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المنافع وجريان اليد فيها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الحقوق؛ فلا ريب أنها تختلف عن الملك حيث يعبرون عنها بأنها مرتبة ضعيفة من الملك، ومن المعلوم آنفاً أنها مجعولة في عالم الإعتبار من طرف العقلاء والشارع على شيء </w:t>
      </w:r>
    </w:p>
    <w:p>
      <w:pPr>
        <w:pStyle w:val="BookText"/>
        <w:rPr/>
      </w:pPr>
      <w:r>
        <w:rPr>
          <w:rFonts w:ascii="Amiri" w:hAnsi="Amiri" w:eastAsia="Amiri" w:cs="Amiri"/>
          <w:color w:val="111111"/>
          <w:sz w:val="28"/>
          <w:sz w:val="28"/>
          <w:szCs w:val="28"/>
          <w:rtl w:val="true"/>
          <w:lang w:bidi="ar-SA"/>
        </w:rPr>
        <w:t>أو شخص فهي إما متعلقة بالأعيان على اختلاف أنحائها سواء كانت الأعيان متحولة كحق الرهان وحق التولية وغيرهما، أو غير متحولة كحق الإختصاص المتعلقة بالميتة والخمر والأعيان النجسة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كذلك لم تقع تحت اليد ابتداءً، بل تكون بتبع الأعيان فيكون حالها حال المنافع إلا أنّ الفرق بينهما أنّ الحق يسقط بإسقاطه فإنَّه أمر واقعي محمول بالضميمة بخلاف المنفعة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ذكرناه بالنسبة الى المنافع يجري في الحق أيضاً، وأنّ الدليل هو عموم بعض الأخبار والسيرة وبناء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مع الفرق؛ أننا في المنافع ذهبنا إلى التفصيل، ولكن في الحقوق يمكن القول بالتعميم لأنّ المالك المتنازع مع ذي اليد قد يدّعي أنه سلّط الآخر على العين مع إسقاط الحق المتعلق بها، وهذا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فالحق هو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النسب والأعراض؛ كما لو تنازع شخص مع آخر من زوجة تحت يد أحدهما كأن تكون في بيته ويعامل معها معاملة الزوج مع زوجته، أو في صبي تحت يد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والأقوال في ذلك مختلفة والآراء مضطربة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والحق؛ هو اعتبار اليد فيها، لاستقرار بناء العقلاء على أمارية اليد في هذه المواضع أيضاً، وأنّ الظن الحاصل هنا أقوى بمراتب من الظن الحاصل في باب الأملاك لأنّ الغصب في الأملاك شائع بخلافه في باب الأعراض والنسب فإنّغصب زوجة الآخر وولده في غاية القلّة والندرة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أنّ عموم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اسْتَوْلَى عَلَى شَيْ‌ءٍ مِنْهُ فَهُوَ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يشمل المقام أيضاً، والمسألة محل نقاش مذكور في محله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فروع أخرى تتعلق بقاعدة اليد؛ محلّ تفصيلها كتاب القضاء أو الكتب المعدّة للبحث في القواعد الفقهية</w:t>
      </w:r>
      <w:r>
        <w:rPr>
          <w:rFonts w:eastAsia="Amiri" w:cs="Amiri" w:ascii="Amiri" w:hAnsi="Amiri"/>
          <w:color w:val="111111"/>
          <w:sz w:val="28"/>
          <w:szCs w:val="28"/>
          <w:rtl w:val="true"/>
          <w:lang w:bidi="ar-SA"/>
        </w:rPr>
        <w:t xml:space="preserve">. </w:t>
      </w:r>
      <w:bookmarkStart w:id="128" w:name="pg15367_180810"/>
    </w:p>
    <w:p>
      <w:pPr>
        <w:pStyle w:val="Heading3"/>
        <w:numPr>
          <w:ilvl w:val="2"/>
          <w:numId w:val="1"/>
        </w:numPr>
        <w:rPr/>
      </w:pPr>
      <w:bookmarkStart w:id="129" w:name="__RefHeading___Toc5900564_2142443653"/>
      <w:bookmarkStart w:id="130" w:name="_Toc47"/>
      <w:bookmarkEnd w:id="128"/>
      <w:bookmarkEnd w:id="129"/>
      <w:r>
        <w:rPr>
          <w:rtl w:val="true"/>
        </w:rPr>
        <w:t>قاعدة القرعة</w:t>
      </w:r>
      <w:bookmarkEnd w:id="130"/>
    </w:p>
    <w:p>
      <w:pPr>
        <w:pStyle w:val="Heading4"/>
        <w:numPr>
          <w:ilvl w:val="3"/>
          <w:numId w:val="1"/>
        </w:numPr>
        <w:rPr/>
      </w:pPr>
      <w:bookmarkStart w:id="131" w:name="__RefHeading___Toc5900566_2142443653"/>
      <w:bookmarkStart w:id="132" w:name="_Toc48"/>
      <w:bookmarkEnd w:id="131"/>
      <w:r>
        <w:rPr>
          <w:rtl w:val="true"/>
        </w:rPr>
        <w:t>اشارة</w:t>
      </w:r>
      <w:bookmarkEnd w:id="132"/>
    </w:p>
    <w:p>
      <w:pPr>
        <w:pStyle w:val="BookText"/>
        <w:rPr/>
      </w:pPr>
      <w:r>
        <w:rPr>
          <w:rFonts w:ascii="Amiri" w:hAnsi="Amiri" w:eastAsia="Amiri" w:cs="Amiri"/>
          <w:color w:val="111111"/>
          <w:sz w:val="28"/>
          <w:sz w:val="28"/>
          <w:szCs w:val="28"/>
          <w:rtl w:val="true"/>
          <w:lang w:bidi="ar-SA"/>
        </w:rPr>
        <w:t>وهي من القواعد الفقهية المعروفة بين المسلمين فتوىً وعملاً، بل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والتي أمضاها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أضاف إليها بعض الشروط؛ فهي حجة على التفصيل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والكلام عنها يقع في جهات</w:t>
      </w:r>
      <w:r>
        <w:rPr>
          <w:rFonts w:eastAsia="Amiri" w:cs="Amiri" w:ascii="Amiri" w:hAnsi="Amiri"/>
          <w:color w:val="111111"/>
          <w:sz w:val="28"/>
          <w:szCs w:val="28"/>
          <w:rtl w:val="true"/>
          <w:lang w:bidi="ar-SA"/>
        </w:rPr>
        <w:t>:</w:t>
      </w:r>
    </w:p>
    <w:p>
      <w:pPr>
        <w:pStyle w:val="Heading4"/>
        <w:numPr>
          <w:ilvl w:val="3"/>
          <w:numId w:val="1"/>
        </w:numPr>
        <w:rPr/>
      </w:pPr>
      <w:bookmarkStart w:id="133" w:name="__RefHeading___Toc5900568_2142443653"/>
      <w:bookmarkStart w:id="134" w:name="_Toc49"/>
      <w:bookmarkEnd w:id="133"/>
      <w:r>
        <w:rPr>
          <w:rtl w:val="true"/>
        </w:rPr>
        <w:t>الجهة الأولى</w:t>
      </w:r>
      <w:r>
        <w:rPr>
          <w:rtl w:val="true"/>
        </w:rPr>
        <w:t xml:space="preserve">: </w:t>
      </w:r>
      <w:r>
        <w:rPr>
          <w:rtl w:val="true"/>
        </w:rPr>
        <w:t>في الدليل على اعتبارها</w:t>
      </w:r>
      <w:bookmarkEnd w:id="134"/>
    </w:p>
    <w:p>
      <w:pPr>
        <w:pStyle w:val="BookText"/>
        <w:rPr/>
      </w:pPr>
      <w:r>
        <w:rPr>
          <w:rFonts w:ascii="Amiri" w:hAnsi="Amiri" w:eastAsia="Amiri" w:cs="Amiri"/>
          <w:color w:val="111111"/>
          <w:sz w:val="28"/>
          <w:sz w:val="28"/>
          <w:szCs w:val="28"/>
          <w:rtl w:val="true"/>
          <w:lang w:bidi="ar-SA"/>
        </w:rPr>
        <w:t>وقد استدلَّ عليها بالأدلة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الكتاب؛ فبقوله تعالى في قصة يونس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من المساهمة؛ دخوله في الإقتراع فكان من المغلوبين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تعالى في حق مريم علیها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أَقْلَامَهُمْ أَيُّهُمْ يَكْفُلُ مَرْيَ</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والآية الأولى تبين دخول النبي يونس علیه السلام في المقترعين، والثانية تبين كيفية اقتراعهم ليتبين أيّهم أحقّ بكفالة مريم علیها السلام بعد أن ادعى زكريا علیه السلام أحقيته لأنّ خالتها كانت عنده، فاقترعوا ثلاث مرات، وفي كل مرة يظهر قلم زكريا علیه السلام ، وقصتهما معروفة في كتب التفسير والأخبار، وكلاهما يدلان على معروفية القرعة باعتبارها حلاً لمشكلة أو رفعاً للحيرة والإضطراب</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وأُشكل على الإستدلال بالآيتين بأنّ غاية ما تفيده الآية الأولى هو أنّ القرعة كانت حلاً في ذلك الوقت، وأنّ الناس الذين ركبوا مع النبي يونس علیه السلام في السفينة اختاروا هذا الحل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أن يكون ذلك ناشئاً من تشريع خاص لا ظهور للآية فيه، وأنه عَزَّ وَجَلَّ قد حكى القصة كذلك كما يحكى القصص في القرآن الكريم، فلا تدل على مشروعية القرعة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الآية تدل على الرجوع إلى القرعة في حلّ المشكلة بعد أن لم يكن لها حلٌّ سواها، وهي بذلك تكون من الأمور العقلائية التي أمضاها الشرع الإلهي الذي كان يمثله نبي زمانه وهو يونس علیه السلام ، ولم يرد في شرع الإسلام ما ينهي عنه، ويكفي في الإمضاء عدم الردع عنها كما ذكرنا مكرراً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الآية الثانية؛ فإنّ غاية ما تدل عليه أنّ الناس؛ ومنهم زكريا علیه السلام قد لجأوا إلى هذا الحلّ الذي رضي به الجميع، فلا تدل على وجود حالة شرعية ملزمة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ذكرناه آنفاً، مع أنه يكفي في الإمضاء أنّ الله عَزَّ وَجَلَّ ذكر القصتين في محكم كتابه ولم يعلّق عليها تعليقاً سلبياً يدل على رفضها كما هوالأمر كذلك في حكاية بعض العادات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بُشِّرَ أَحَدُهُمْ بِالْأُنْثَىٰ ظَلَّ وَجْهُهُ مُسْوَدًّا وَهُوَ كَظِيمٌ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يَتَوَارَىٰ مِنَ الْقَوْمِ مِنْ سُوءِ مَا بُشِّرَ بِهِ ۚ أَيُمْسِكُهُ عَلَىٰ هُونٍ أَمْ يَدُسُّهُ فِي التُّرَابِ ۗ أَلَا سَاءَ مَا يَحْكُمُونَ</w:t>
      </w:r>
      <w:r>
        <w:rPr>
          <w:rFonts w:eastAsia="Amiri" w:cs="Amiri" w:ascii="Amiri" w:hAnsi="Amiri"/>
          <w:color w:val="111111"/>
          <w:sz w:val="28"/>
          <w:szCs w:val="28"/>
          <w:rtl w:val="true"/>
          <w:lang w:bidi="ar-SA"/>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فالآيتان تدلان على مشروعية القرعة بالإمضاء بعد أن كانت مِمّا تعارف عليها العقلاء في رفع الحيرة وحلّ المشكلات، فلا إشكال في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السنة؛ فقد وردت أخبار كثيرة عن الأئمة الطاهرين علیهم السلام لا يبعد تواترها معنىً، وهي مذكورة في أبواب متفرقة جمعها المحقق النراقي قدس سره </w:t>
      </w:r>
      <w:r>
        <w:rPr>
          <w:rStyle w:val="FootnoteAnchor"/>
          <w:rtl w:val="true"/>
        </w:rPr>
        <w:footnoteReference w:id="114"/>
      </w:r>
      <w:r>
        <w:rPr>
          <w:rFonts w:ascii="Amiri" w:hAnsi="Amiri" w:eastAsia="Amiri" w:cs="Amiri"/>
          <w:color w:val="111111"/>
          <w:sz w:val="28"/>
          <w:sz w:val="28"/>
          <w:szCs w:val="28"/>
          <w:rtl w:val="true"/>
          <w:lang w:bidi="ar-SA"/>
        </w:rPr>
        <w:t>، وهي على طائفتين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العامة التي لا اختصاص لها بمورد خاص، فهي تشمل جميع الموارد المجهولة أو المشتبهة أو المشكلة على اختلاف ألسنتها، وهي عديدة</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الصدوق قدس سره في الفقيه والشيخ في التهذيب عَنْ مُحَمَّدِ بْنِ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بْنَ جَعْفَرٍ علیه السلام عَنْ شَيْ‌ءٍ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مَجْهُولٍ فَفِيهِ </w:t>
      </w:r>
    </w:p>
    <w:p>
      <w:pPr>
        <w:pStyle w:val="BookText"/>
        <w:rPr/>
      </w:pPr>
      <w:r>
        <w:rPr>
          <w:rFonts w:ascii="Amiri" w:hAnsi="Amiri" w:eastAsia="Amiri" w:cs="Amiri"/>
          <w:color w:val="111111"/>
          <w:sz w:val="28"/>
          <w:sz w:val="28"/>
          <w:szCs w:val="28"/>
          <w:rtl w:val="true"/>
          <w:lang w:bidi="ar-SA"/>
        </w:rPr>
        <w:t>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تُخْطِئُ وتُصِيبُ؟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حَكَمَ اللَّهُ عَزَّ وَجَلَّ بِهِ فَلَيْسَ بِمُخْطِئٍ</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ومعنى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عَزَّ وَجَلَّ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 القرعة حكم إلهي لا يتصور فيه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تكون القرعة لا تخطئ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الفقيه مرسلاً عن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تَقَارَعَ قَوْمٌ فَفَوَّضُوا أَمْرَهُمْ إِلَى اللَّهِ تَعَالَى إِلَّا خَرَجَ سَهْمُ الْمُحِقِّ </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قَضِيَّةٍ أَعْدَلُ مِنَ الْقُرْعَةِ إِذَا فُوِّضَ الْأَمْرُ إِلَى اللَّهِ؛ أَ لَيْسَ اللَّهُ 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وهاتان الروايتان وإنْ كانتا مرسلتين ولكن قد يستشهد بهما على مشروعية وإصابة القرعة للواقع</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القاضي في الدعائم عن أمير المؤمنين وأبي جعفر وأبي عبد الله علیهم السلام أنَّهم أوجبوا الحكم بالقرعة فيما أشكل،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حُكْمٍ فِي الْمُلْتَبَسِ أَثْبَتُ مِنَ الْقُرْعَةِ؛ أَ لَيْسَ هُوَ التَّفْوِيضَ إِلَى اللَّهِ جَلَّ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أَبُو عَبْدِ اللَّهِ علیه السلام قِصَّةَ يُونُسَ علیه السلام ؛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وقِصَّةَ زَكَرِيَّا علیه السلام وقَوْلَ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w:t>
      </w:r>
      <w:r>
        <w:rPr>
          <w:rStyle w:val="FootnoteAnchor"/>
          <w:rtl w:val="true"/>
        </w:rPr>
        <w:footnoteReference w:id="1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قِصَّةَ عَبْدِ الْمُطَّلِبِ علیه السلام لَمَّا نَذَرَ ذَبْحَ مَنْ يُولَدُ لَهُ؛ </w:t>
      </w:r>
    </w:p>
    <w:p>
      <w:pPr>
        <w:pStyle w:val="BookText"/>
        <w:rPr/>
      </w:pPr>
      <w:r>
        <w:rPr>
          <w:rFonts w:ascii="Amiri" w:hAnsi="Amiri" w:eastAsia="Amiri" w:cs="Amiri"/>
          <w:color w:val="111111"/>
          <w:sz w:val="28"/>
          <w:sz w:val="28"/>
          <w:szCs w:val="28"/>
          <w:rtl w:val="true"/>
          <w:lang w:bidi="ar-SA"/>
        </w:rPr>
        <w:t xml:space="preserve">فَوُلِدَ لَهُ عَبْدُ اللَّهِ أَبُو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اللَّهُ عَلَيْهِ مَحَبَّتَهُ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فَأَلْقَى عَلَيْهِ السِّهَامَ وعَلَى إِبِلٍ يَنْحَرُهَا يَتَقَرَّبُ بِهَا مَكَانَهُ؛ فَلَمْ تَزَلِ السِّهَامُ تَقَعُ عَلَيْهِ وهُوَ يَزِيدُ؛ حَتَّى بَلَغَتْ مِائَةً فَوَقَعَ السَّهْمُ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فَأَعَادَ السِّهَامَ مِرَاراً وهِيَ تَقَعُ عَلَى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عَلِمْتُ أَنَّ رَبِّي قَدْ 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ونَحَرَهَا</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بإسناده عَنْ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والْقُرْعَةُ سُنَّةٌ </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أيضاً في التهذيب بسنده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 رَسُولُ اللَّهِ صلی الله علیه و آله و سلم عَلِيّاً علیه السلام إِلَى الْيَمَنِ فَقَالَ لَهُ حِينَ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بِأَعْجَبِ مَا مَرَّ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أَتَانِي قَوْمٌ قَدْ تَبَايَعُوا جَارِيَةً فَوَطِئُوهَا جَمِيعاً فِي طُهْرٍ وَاحِدٍ فَوَلَدَتْ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واحْتَجُّوا فِيهِ؛ كُلُّهُمْ يَدَّعِيهِ؛ فَأَسْهَمْتُ بَيْنَهُمْ وجَعَلْتُهُ لِلَّذِي خَرَجَ سَهْمُهُ وضَمَّنْتُهُ نَصِيبَهُمْ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 قَوْمٍ تَنَازَعُوا ثُمَّ فَوَّضُوا أَمْرَهُمْ إِلَى اللَّهِ إِلَّا خَرَجَ سَهْمُ الْمُحِقِّ </w:t>
      </w:r>
      <w:r>
        <w:rPr>
          <w:rFonts w:eastAsia="Amiri" w:cs="Amiri" w:ascii="Amiri" w:hAnsi="Amiri"/>
          <w:color w:val="111111"/>
          <w:sz w:val="28"/>
          <w:szCs w:val="28"/>
          <w:rtl w:val="true"/>
          <w:lang w:bidi="ar-SA"/>
        </w:rPr>
        <w:t>)</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جَمِيلِ بْنِ صَالِحٍ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بَعْضُ أَصْحَابِنَا أَبَا عَبْدِ اللَّهِ علیه السلام عَنْ 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تُخْرَجُ فِي الْقُرْعَةِ؛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قَضِيَّةٍ أَعْدَلُ مِنَ الْقُرْعَةِ إِذَا فُوِّضَ الْأَمْرُ إِلَى اللَّهِ عَزَّ وَجَلَّ؛ أَ لَيْسَ اللَّهُ يَقُولُ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مجموع هذه الأخبار يمكن تأسيس الكبرى الكلية الواردة في كلمات الفقهاء؛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الروايات التي وردت في موارد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كثيرة جداً؛ نذكر جملة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قدس سره في التهذيب باسناده عَنِ الْحَلَبِيِّ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وَقَعَ الْحُرُّ والْعَبْدُ والْمُشْرِكُ عَلَى امْرَأَةٍ فِي طُهْرٍ وَاحِدٍ فَادَّعَوُا الْوَلَدَ أُقْرِعَ بَيْنَهُمْ؛ وكَانَ الْوَلَدُ لِلَّذِي يَقْرَعُ </w:t>
      </w:r>
      <w:r>
        <w:rPr>
          <w:rFonts w:eastAsia="Amiri" w:cs="Amiri" w:ascii="Amiri" w:hAnsi="Amiri"/>
          <w:color w:val="111111"/>
          <w:sz w:val="28"/>
          <w:szCs w:val="28"/>
          <w:rtl w:val="true"/>
          <w:lang w:bidi="ar-SA"/>
        </w:rPr>
        <w:t>)</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قدس سره في الكافي عَنْ حَمَّادِ بْنِ عِيسَى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لِأَبِي حَنِيفَةَ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حَنِيفَةَ؛ مَا تَقُولُ فِي بَيْتٍ سَقَطَ عَلَى قَوْمٍ وبَقِيَ مِنْهُمْ صَبِيَّانِ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حُرٌّ والْآخَرُ مَمْلُوكٌ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يُعْرَفِ الْحُرُّ مِنَ الْمَمْلُوكِ؟ 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نِصْفُ هَذَا ويُعْتَقُ نِصْفُ هَذَا ويُقْسَمُ الْمَالُ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كَذَلِكَ؛ ولَكِنَّهُ يُقْرَعُ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أَصَابَتْهُ الْقُرْعَةُ فَهُوَ 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ويُعْتَقُ هَذَا فَيُجْعَلُ مَوْلًى لَهُ </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باسناده عَنْ حَرِيزٍ عَمَّنْ أَخْبَرَهُ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قَضَى أَمِيرُ الْمُؤْمِنِينَ علیه السلام بِالْيَمَنِ فِي قَوْمٍ انْهَدَمَتْ عَلَيْهِمْ دَارُهُمْ وبَقِيَ صَبِيَّانِ؛ أَحَدُهُمَا حُرٌّ والْآخَرُ مَمْلُوكٌ؛ فَأَسْهَمَ أَمِيرُ الْمُؤْمِنِينَ علیه السلام بَيْنَهُمَا فَخَرَجَ السَّهْمُ عَلَى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لَهُ الْمَالَ وأَعْتَقَ الْآخَرَ </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التهذيب باسناده عَنْ مُحَمَّدِ بْنِ عِيسَى عَنِ الرَّجُلِ أَنَّهُ سُئِلَ أَبِي عَبْدِ اللَّهِ علیه السلام عَنْ رَجُلٍ نَظَرَ إِلَى رَاعٍ نَزَا عَلَى شَاةٍ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عَرَفَهَا ذَبَحَهَا وأَحْرَقَهَا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يَعْرِفْهَا قَسَمَهَا نِصْفَيْنِ أَبَداً؛ حَتَّى يَقَعَ السَّهْمُ بِهَا فَتُذْبَحُ وتُحْرَقُ؛ وقَدْ نَجَتْ سَائِرُهَا</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المستدرك عن أَحْمَدُ بْنُ مُحَمَّدِ بْنِ عِيسَى فِي نَوَادِرِهِ، عَنْ عُثْمَانَ بْنِ عِيسَى عَنْ بَعْضِ أَصْحَابِهِ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أَوْحَى إِلَى مُوسَى علیه السلام أَنَّ بَعْضَ أَصْحَابِكَ يَنُمُّ عَلَيْكَ فَاحْذَرْهُ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لَا أَعْرِفُهُ؛ أَخْبِرْنِي بِهِ حَتَّى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عِبْتُ عَلَيْهِ النَّمِيمَةَ وتُكَلِّفُنِي أَنْ أَكُونَ نَمَّاماً؟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وكَيْفَ أَصْنَعُ؟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أَصْحَابَكَ عَشَرَةً عَشَرَةً ثُمَّ تُقْرِعُ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السَّهْمَ يَقَعُ عَلَى الْعَشَرَةِ الَّتِي هُوَ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تُفَرِّقُهُمْ وتُقْرِعُ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السَّهْمَ يَقَعُ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الرَّجُلُ أَنَّ السِّهَامَ تُقْرَعُ قَامَ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صَاحِبُكَ لَا واللَّهِ لَا أَعُودُ </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روايتان</w:t>
      </w:r>
      <w:r>
        <w:rPr>
          <w:rStyle w:val="FootnoteAnchor"/>
          <w:rtl w:val="true"/>
        </w:rPr>
        <w:footnoteReference w:id="131"/>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علیه السلام إِذَا سُئِلَ فِيمَا لَيْسَ فِي كِتَابٍ ولَا سُنَّةٍ رَجَمَ فَأَصَابَ؛ وهِيَ الْمُعْضِلَاتُ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عَبْدِ الرَّحِيمِ قَالَ سَمِعْتُ أَبَا جَعْفَرٍ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علیه السلام إِذَا وَرَدَ عَلَيْهِ أَمْرٌ لَمْ يَجِئْ بِهِ كِتَابٌ ولَا سُنَّةٌ رَجَمَ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سَاهَمَ فَأَصَابَ؛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الرَّحِيمِ وتِلْكَ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الأخبار الكثيرة الواردة في أبواب متفرقة تدل على اعتبار القرعة في الموارد الخاصة، وقد عرفت أنه لا وجه للمناقشة السندية في أصل دلالتها على ذلك، بل ينبغي أن تعدّ دلالة تلك الأخبار والآيات على اعتبارها من القطعيات</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الإجماع؛ فقد ادعاه جمعٌ منهم ابن إدريس</w:t>
      </w:r>
      <w:r>
        <w:rPr>
          <w:rStyle w:val="FootnoteAnchor"/>
          <w:rtl w:val="true"/>
        </w:rPr>
        <w:footnoteReference w:id="132"/>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ولد مولود ليس له ما للرجال ولا ما للنساء أُقرع عليه، فإن خرج سهم الرجال أُلحق بهم وورث ميراثهم، وإن خرج </w:t>
      </w:r>
      <w:bookmarkStart w:id="135" w:name="pg15367_180823"/>
    </w:p>
    <w:p>
      <w:pPr>
        <w:pStyle w:val="BookText"/>
        <w:rPr/>
      </w:pPr>
      <w:bookmarkEnd w:id="135"/>
      <w:r>
        <w:rPr>
          <w:rFonts w:ascii="IRNazanin" w:hAnsi="IRNazanin" w:eastAsia="IRNazanin"/>
          <w:color w:val="111111"/>
          <w:sz w:val="28"/>
          <w:sz w:val="28"/>
          <w:szCs w:val="28"/>
          <w:rtl w:val="true"/>
          <w:lang w:bidi="fa-IR"/>
        </w:rPr>
        <w:t>سهم النساء أُلحق بهنّ وورث ميراثهن، وكل أمر مشكل مجهول يشتبه فيه فينبغي أن يستعمل فيه القرعة لما روى عن الأئمة علیهم السلام وتواترت الآثار وأجمعت عليه الشيعة الإمامية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الشهيد الثاني</w:t>
      </w:r>
      <w:r>
        <w:rPr>
          <w:rStyle w:val="FootnoteAnchor"/>
          <w:rtl w:val="true"/>
        </w:rPr>
        <w:footnoteReference w:id="133"/>
      </w:r>
      <w:r>
        <w:rPr>
          <w:rFonts w:ascii="Amiri" w:hAnsi="Amiri" w:eastAsia="Amiri" w:cs="Amiri"/>
          <w:color w:val="111111"/>
          <w:sz w:val="28"/>
          <w:sz w:val="28"/>
          <w:szCs w:val="28"/>
          <w:rtl w:val="true"/>
          <w:lang w:bidi="ar-SA"/>
        </w:rPr>
        <w:t>كما حكى عن الشيخ ما ظاهره الإجماع على اعتبارها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يتتبع كلمات العلماء في هذا الموضوع يظهر له أنه لم يدّع أحد منهم عدم اعتبارها بنحو السلب الكلي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هناك نقاش ففي بعض الموارد ومن جهات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يوجد أحد من الإمامية ينكر اعتبارها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الإتفاق ليس هو من الإجماع المصطلح عليه في علم الأصول الذي يكون حجة على الحكم الشرعي، فإنّ استناد المدعين للإجماع على النصوص واضح، وعلى أية حال لا ريب في اعتبار قاعدة القرعة ومشروعيتها على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العقل؛ فكما تقدم بيانه</w:t>
      </w:r>
      <w:r>
        <w:rPr>
          <w:rFonts w:eastAsia="Amiri" w:cs="Amiri" w:ascii="Amiri" w:hAnsi="Amiri"/>
          <w:color w:val="111111"/>
          <w:sz w:val="28"/>
          <w:szCs w:val="28"/>
          <w:rtl w:val="true"/>
          <w:lang w:bidi="ar-SA"/>
        </w:rPr>
        <w:t>.</w:t>
      </w:r>
    </w:p>
    <w:p>
      <w:pPr>
        <w:pStyle w:val="Heading4"/>
        <w:numPr>
          <w:ilvl w:val="3"/>
          <w:numId w:val="1"/>
        </w:numPr>
        <w:rPr/>
      </w:pPr>
      <w:bookmarkStart w:id="136" w:name="__RefHeading___Toc5900570_2142443653"/>
      <w:bookmarkStart w:id="137" w:name="_Toc50"/>
      <w:bookmarkEnd w:id="136"/>
      <w:r>
        <w:rPr>
          <w:rtl w:val="true"/>
        </w:rPr>
        <w:t>الجهة الثانية</w:t>
      </w:r>
      <w:r>
        <w:rPr>
          <w:rtl w:val="true"/>
        </w:rPr>
        <w:t xml:space="preserve">: </w:t>
      </w:r>
      <w:r>
        <w:rPr>
          <w:rtl w:val="true"/>
        </w:rPr>
        <w:t>في بيان مقدار دلالة النصوص على هذه القاعدة</w:t>
      </w:r>
      <w:r>
        <w:rPr>
          <w:rtl w:val="true"/>
        </w:rPr>
        <w:t>.</w:t>
      </w:r>
      <w:bookmarkEnd w:id="137"/>
    </w:p>
    <w:p>
      <w:pPr>
        <w:pStyle w:val="BookText"/>
        <w:rPr/>
      </w:pPr>
      <w:r>
        <w:rPr>
          <w:rFonts w:ascii="Amiri" w:hAnsi="Amiri" w:eastAsia="Amiri" w:cs="Amiri"/>
          <w:color w:val="111111"/>
          <w:sz w:val="28"/>
          <w:sz w:val="28"/>
          <w:szCs w:val="28"/>
          <w:rtl w:val="true"/>
          <w:lang w:bidi="ar-SA"/>
        </w:rPr>
        <w:t>والكلام يقع في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مورد جريانها بالشبهات الموضوعية التي ينحصر رفع الشبهة فيها بخصوص القرعة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تجري في الموارد التي يرتفع فيها التحيّر المطلق لسبب من الأسباب الشرعية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هناك أمارة كالبينة أو الإقرار أو حكم الحاكم ترفع الجهالة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المورد من موارد جريان الإستصحاب وسائر الأصول الأخرى؛ حتى البراءة وقاعدة الحلية والطهارة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أمكن الوصول إلى الواقع المجهول بواسطة الوسائل والطرق والآلات الحديثة لحل المشكلة كتحليل النطفة أو بواسطة آلات الضبط للصورة أو الصوت ونحو ذلك مِمّا يوجب الإطمئنان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هو أنّ موضوع قاعدة القرعة إنَّما هو التحيّر المطلق من كل حيثية وجهة كما هو المتفاهم من الأدلة اللفظية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مَجْهُولٍ فَفِيهِ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وغيره، كما أنه المتيقن من الأدلة اللبّية، وحينئذٍ لا تعارض بين هذه القاعدة وغيرها حتى تحتاج إلى التماس تقديم إحداها على الأخرى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عدم جريانها في الشبهات الحكمية لأنّ رفع الشبهة فيها ينحصر بالطرق المعهودة الشرعية من الرجوع إلى الأدلة الإجتهادية، وبعد فقْدها لا بُدَّ من الرجوع إلى الأدلة الفقاهتية فلا مجال للرجوع إلى القرعة من رفع الجهالة فيها، فالقول بشمولها للشبهات البدوية مِمّا لا يصغى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وقع الكلام في أنّ خروج الشبهات الحكمية من أدلتها من باب التخصيص أو التخصص؟</w:t>
      </w:r>
    </w:p>
    <w:p>
      <w:pPr>
        <w:pStyle w:val="BookText"/>
        <w:rPr/>
      </w:pPr>
      <w:r>
        <w:rPr>
          <w:rFonts w:ascii="Amiri" w:hAnsi="Amiri" w:eastAsia="Amiri" w:cs="Amiri"/>
          <w:color w:val="111111"/>
          <w:sz w:val="28"/>
          <w:sz w:val="28"/>
          <w:szCs w:val="28"/>
          <w:rtl w:val="true"/>
          <w:lang w:bidi="ar-SA"/>
        </w:rPr>
        <w:t>ولا يخفى أنّ العناوين الواردة في أدلة القرعة هي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المجهول، وعنوان المشتبه، وعنوان المشكل، وعنوان المتلبس، وفي بعض الروايات؛ عنوان المعضلات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الأوّلين؛ أي عنوان المجهول والمشتبه، لهما من العموم بحسب مفهومهما بحيث يشمل الصور الأربع؛ أي الشبهات الحكمية والموضوعية سواء كانتا مقرونتين بالعلم الإجمالي أم كانت بدوية</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التأمل في الروايات وملاحظة العلة التي ذكرها الإمام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قَضِيَّةٍ أَعْدَلُ مِنَ الْقُرْعَةِ إِذَا فُوِّضَ الْأَمْرُ إِلَى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الإطمئنان بأنّ المراد من هذه العناوين الخمسة هو المجهول والمشتبه في الشبهة الموضوعية المقرونة بالعلم الإجمالي إذا </w:t>
      </w:r>
    </w:p>
    <w:p>
      <w:pPr>
        <w:pStyle w:val="BookText"/>
        <w:rPr/>
      </w:pPr>
      <w:r>
        <w:rPr>
          <w:rFonts w:ascii="Amiri" w:hAnsi="Amiri" w:eastAsia="Amiri" w:cs="Amiri"/>
          <w:color w:val="111111"/>
          <w:sz w:val="28"/>
          <w:sz w:val="28"/>
          <w:szCs w:val="28"/>
          <w:rtl w:val="true"/>
          <w:lang w:bidi="ar-SA"/>
        </w:rPr>
        <w:t>كانت من المعضلات والمشكلات التي لا حلّ لها إلا بالرجوع إلى القرعة؛ لأنّ الإحتياط إما غير ممكن، أو يوجب العسر والحرج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نعلم بأنّ الشارع لم يوجب الإحتياط فيها كما في مثل الغنم الموطوءة المشتبهة في قطيع الغنم، فإنَّه وإن كان مقتضى القاعدة الأولية هو وجوب الإحتياط والإجتناب عن جميع أفراده في الشبهة المحصورة إلا أننا نعلم بأنّ الشارع لم يوجب الإحتياط بأن يحرَق القطيع لأنَّه تضييع للمال الكثير الذي لا يُتحمل عادة، والمفروض أنه لا يمكن تعيين الموطوء حتى يترتب عليه حكمه من حرمة لحمه ووجوب إحراقه، فصار من المشكلات والمعضلات في الشبهة الموضوعية المقرونة بالعلم الإجمالي فيكون موضوعاً لجريان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الإحتياط بتضمين الواطئ لا يكون إلا في خصوص الموطوء، لا في سائر أفراد القطيع؛ فيكون في الإحتياط ضرر عظيم على صاحب القطيع على كل حال، فلامورد للإحتياط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كله صار الموضوع مشكلاً ومعضلاً ولا يرتفع إلا بالقرعة كما عرفت آنفاً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أنّ موارد القرعة هي الشبهات الموضوعية المقرونة بالعلم الإجمالي التي تكون فيها معرضية النزاع والمخاصمة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هذا تعرض الفقهاء لها في كتاب القضاء في مسألة تعارض البينات؛ فقد حكموا بالقرعة بعد التساوي وفقْد المرجّح، وادعى بعضهم الإجماع على ذلك، ولا نقول أنّ ذلك علّة لتشريع القرعة، بل إنها تشمل جميع الموارد التي لا يمكن الوصول إلى الواقع ورفع الإلتباس والمعضلة بوجه من الوجوه حتى لو لم يكن نزاع ومخاصمة في البين، ولا يمكن الإحتياط فيه؛ إما لعدم إمكانه كما في الأَمة الموطوءة، أو يستلزم العسر والحرج، أو لم يشرع فيه الإحتياط؛ فلا بُدَّ من الرجوع إلى القرعة في رفع الحيرة والجهالة حتى لو لم يكن نزاع وخصومة في البين؛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عبيدي حرّ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زوجاتي طالق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القطيع من الغنم إذا وطأ إحدى شياهه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الأدلة تشملها جميعاً</w:t>
      </w:r>
      <w:r>
        <w:rPr>
          <w:rFonts w:eastAsia="Amiri" w:cs="Amiri" w:ascii="Amiri" w:hAnsi="Amiri"/>
          <w:color w:val="111111"/>
          <w:sz w:val="28"/>
          <w:szCs w:val="28"/>
          <w:rtl w:val="true"/>
          <w:lang w:bidi="ar-SA"/>
        </w:rPr>
        <w:t xml:space="preserve">. </w:t>
      </w:r>
      <w:bookmarkStart w:id="138" w:name="pg15367_180829"/>
    </w:p>
    <w:p>
      <w:pPr>
        <w:pStyle w:val="BookText"/>
        <w:rPr/>
      </w:pPr>
      <w:bookmarkEnd w:id="138"/>
      <w:r>
        <w:rPr>
          <w:rFonts w:ascii="IRNazanin" w:hAnsi="IRNazanin" w:eastAsia="IRNazanin"/>
          <w:color w:val="111111"/>
          <w:sz w:val="28"/>
          <w:sz w:val="28"/>
          <w:szCs w:val="28"/>
          <w:rtl w:val="true"/>
          <w:lang w:bidi="fa-IR"/>
        </w:rPr>
        <w:t>والمتحصل؛ أنّ خروج الشبهات الحكمية من مورد الأدلة التي تدل على مشروعية القرعة مِمّا لا إشكال فيه، فلا تشملها، فيختص موردها بالشبهات الموضوعية المقرونة بالعلم الإجمالي بحيث تكون من المعضلات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هذا أشار الإمام أبو جعفر علیه السلام في رواية البحار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وهِيَ الْمُعْضِلَاتُ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في رواية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وتِلْكَ الْمُعْضِلَاتُ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فرق في ذلك كله بين أن يكون المشتبه من حقوق الناس، أو من حقوق الله تعالى مثل ما ورد في استخراج البهيمة المنكوحة ونحو ذلك، بعد تحقق الموضوع في الجميع وعموم الأدلة وإطلاقاتها</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5900572_2142443653"/>
      <w:bookmarkStart w:id="140" w:name="_Toc51"/>
      <w:bookmarkEnd w:id="139"/>
      <w:r>
        <w:rPr>
          <w:rtl w:val="true"/>
        </w:rPr>
        <w:t>الجهة الثالثة</w:t>
      </w:r>
      <w:r>
        <w:rPr>
          <w:rtl w:val="true"/>
        </w:rPr>
        <w:t xml:space="preserve">: </w:t>
      </w:r>
      <w:r>
        <w:rPr>
          <w:rtl w:val="true"/>
        </w:rPr>
        <w:t>في شروط جريان القاعدة</w:t>
      </w:r>
      <w:bookmarkEnd w:id="140"/>
    </w:p>
    <w:p>
      <w:pPr>
        <w:pStyle w:val="BookText"/>
        <w:rPr/>
      </w:pPr>
      <w:r>
        <w:rPr>
          <w:rFonts w:ascii="Amiri" w:hAnsi="Amiri" w:eastAsia="Amiri" w:cs="Amiri"/>
          <w:color w:val="111111"/>
          <w:sz w:val="28"/>
          <w:sz w:val="28"/>
          <w:szCs w:val="28"/>
          <w:rtl w:val="true"/>
          <w:lang w:bidi="ar-SA"/>
        </w:rPr>
        <w:t>ومن جميع ما ذكرناه تظهر شروط جريان قاعدة القرعة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من المجهول المشتبه المطلقين كما هو منطوق بعض الأخبار الواردة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الجهالة في الموضوعات كما استفدنا من الأدلة على التفصيل الذي ذكرناه بحيث لا يشمل الجهالة في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الجهالة والإشتباه في الموضوعات المقرونة بالعلم الإجمالي، وفي غير هذه الصورة يكون المرجع فيها هو الأدلة والقواعد الأخرى غير قاعدة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مجرى لهذه القاعدة في الشبهات الحكمية مطلقاً؛ بدوية كانت أم مقرونة بالعلم الإجمالي؛ فإنّ المرجع فيها إما الإستصحاب أو الإحتياط أو البراءة بعد فقْد الدليل الإجتهادي في موردها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المورد من المعضلات التي لا يمكن رفع الشبهة وحلّ المشكلة فيها بالطرق المعهودة كالعلم والأمارة أو الأصول؛ حتى أصل البراءة أو الطرق الحديثة الموجبة للاطمئنان</w:t>
      </w:r>
      <w:r>
        <w:rPr>
          <w:rFonts w:eastAsia="Amiri" w:cs="Amiri" w:ascii="Amiri" w:hAnsi="Amiri"/>
          <w:color w:val="111111"/>
          <w:sz w:val="28"/>
          <w:szCs w:val="28"/>
          <w:rtl w:val="true"/>
          <w:lang w:bidi="ar-SA"/>
        </w:rPr>
        <w:t xml:space="preserve">. </w:t>
      </w:r>
      <w:bookmarkStart w:id="141" w:name="pg15367_180831"/>
    </w:p>
    <w:p>
      <w:pPr>
        <w:pStyle w:val="BookText"/>
        <w:rPr/>
      </w:pPr>
      <w:bookmarkEnd w:id="141"/>
      <w:r>
        <w:rPr>
          <w:rFonts w:ascii="Amiri" w:hAnsi="Amiri" w:eastAsia="Amiri" w:cs="Amiri"/>
          <w:color w:val="111111"/>
          <w:sz w:val="28"/>
          <w:sz w:val="28"/>
          <w:szCs w:val="28"/>
          <w:rtl w:val="true"/>
          <w:lang w:bidi="ar-SA"/>
        </w:rPr>
        <w:t>فيختص بالموضوع المشتبه الذي لم ينزّل فيه بالخصوص حكم؛ لا في الكتاب ولا في السنة، وإلا فالموضوعات الكلية التي ورد حكمها في الكتاب والسنة ليست من المعضلات لأنّ القواعد المجعولة للشك تشمل جميع الشكوك البدوية، فلا بُدَّ أن يكون الضابط في المعضلات والشبهات ما ذكرناه، وعلى هذا الضابط يخرج ما ذكره المحدث القمي</w:t>
      </w:r>
      <w:r>
        <w:rPr>
          <w:rStyle w:val="FootnoteAnchor"/>
          <w:rtl w:val="true"/>
        </w:rPr>
        <w:footnoteReference w:id="134"/>
      </w:r>
      <w:r>
        <w:rPr>
          <w:rFonts w:ascii="Amiri" w:hAnsi="Amiri" w:eastAsia="Amiri" w:cs="Amiri"/>
          <w:color w:val="111111"/>
          <w:sz w:val="28"/>
          <w:sz w:val="28"/>
          <w:szCs w:val="28"/>
          <w:rtl w:val="true"/>
          <w:lang w:bidi="ar-SA"/>
        </w:rPr>
        <w:t>في موارد استعمال القرعة في الأخبار المذكورة في كتاب البحار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إنّ المحقق العراقي قدس سره </w:t>
      </w:r>
      <w:r>
        <w:rPr>
          <w:rStyle w:val="FootnoteAnchor"/>
          <w:rtl w:val="true"/>
        </w:rPr>
        <w:footnoteReference w:id="135"/>
      </w:r>
      <w:r>
        <w:rPr>
          <w:rFonts w:ascii="Amiri" w:hAnsi="Amiri" w:eastAsia="Amiri" w:cs="Amiri"/>
          <w:color w:val="111111"/>
          <w:sz w:val="28"/>
          <w:sz w:val="28"/>
          <w:szCs w:val="28"/>
          <w:rtl w:val="true"/>
          <w:lang w:bidi="ar-SA"/>
        </w:rPr>
        <w:t xml:space="preserve">ذكر في بيان عدم شمول الأدلة في القرعة للشبهة الحكمية بأن الظاهر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أمر 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نفس الشيء وذاته مجهولاً، لا أنّ حكمه يكون كذلك فتختص بالشبهات الموضوعية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وإن كان يوافق ما ذهبنا إليه إلا أنه من التبعيد في المسافة؛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يشمل الأحكام والموضوعات، فالحكم المجهول مثل الموضوع المجهول يصدق عليه أنه أمر مجهول فلا بُدَّ من تخصيصه بالموضوع من قرينة كما عرفت مفصلاً</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5900574_2142443653"/>
      <w:bookmarkStart w:id="143" w:name="_Toc52"/>
      <w:bookmarkEnd w:id="142"/>
      <w:r>
        <w:rPr>
          <w:rtl w:val="true"/>
        </w:rPr>
        <w:t>الجهة الرابعة</w:t>
      </w:r>
      <w:r>
        <w:rPr>
          <w:rtl w:val="true"/>
        </w:rPr>
        <w:t xml:space="preserve">: </w:t>
      </w:r>
      <w:r>
        <w:rPr>
          <w:rtl w:val="true"/>
        </w:rPr>
        <w:t>في أنّ القرعة أمارة أو أصل</w:t>
      </w:r>
      <w:r>
        <w:rPr>
          <w:rtl w:val="true"/>
        </w:rPr>
        <w:t>.</w:t>
      </w:r>
      <w:bookmarkEnd w:id="143"/>
    </w:p>
    <w:p>
      <w:pPr>
        <w:pStyle w:val="BookText"/>
        <w:rPr/>
      </w:pPr>
      <w:r>
        <w:rPr>
          <w:rFonts w:ascii="Amiri" w:hAnsi="Amiri" w:eastAsia="Amiri" w:cs="Amiri"/>
          <w:color w:val="111111"/>
          <w:sz w:val="28"/>
          <w:sz w:val="28"/>
          <w:szCs w:val="28"/>
          <w:rtl w:val="true"/>
          <w:lang w:bidi="ar-SA"/>
        </w:rPr>
        <w:t>قد عرفت الفرق بينهما في مباحثنا السابقة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الأمارة ما يكون فيها جهة كشف بخلاف الأصل فإنَّه لم يعتبر فيه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المعلوم أنّ وجود جهة الكشف في شيء لا يكفي في الأمارية إذا لم يكن من ناحية الشارع جعل لتلك الجهة بحيث يعتبرها كشفاً تاماً في عالم الإعتبار التشريعي، فتكون أمارية الشيء متقومة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تكون فيه جهة كشف</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 أن يعتبره الشارع كشفاً تاماً في عالم الجعل والتشريع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جهة الكاشفية تارة؛ تكون تامة لا نقص فيها، ويسمى ذلك بالعلم أو القطع حيث إنّ الكاشفية التامة لا تحتمل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الأصوليون أنّ مثل هذا النوع لا يحتاج إلى جعل الحجية له؛ فإنّ حجيته ذاتية، بل قالوا أنّ جعل الحجية له من الشارع يكون محالاً لأنَّه من قبيل تحصيل الحاصل، بل أسوء منه لأنَّه من قبيل تحصيل الحاصل بالوجدان لا بالتعبد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أنهم ذكروا أنّ سلب الحجية عنه محال أيضاً لأنَّه من سلب الذاتيات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علقنا على ما ذكروه في بحث القطع، وقلنا أنّ ذلك من المباحث الفلسفية التي دخلت في الأصول، وإلا فإنّ الحجية أمرُ وضعها ورفعها بيد الشارع الذي يحتجّعلى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فَلِلَّهِ الْحُجَّةُ الْبَالِغَةُ</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فله تبارك وتعالى أن يجعل الحجية في مورد تكون فيه الحجية ذاتية لمصالح شيء، وله أن يرفعها في ذلك المورد لأغراض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تكون جهة الكشف ناقصة يحتمل فيه الخلاف فيجعلها الشارع حجة يتمم كشفه في عالم الإعتبار فتصير أمارة، فإذا كان في شيء هاتين الجهتين يسمى عند الأصوليين أمارة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الكشف تارة تكون دائم المطابقة؛ بمعنى وجود الملازمة بين الكاشف والمنكشف ويسمى هذا بالقطع، وأخرى لا تكون كذلك فليست موجبة لدوام المطابقة ولكنها تكون موجبة لكون الشيء غالب المطابقة، ويسمى هذا بالكشف الناقص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ويعبّر عنه بالظن، وهذا بخلاف الأصل فإنه لا يكون كذلك إلا أنه قد يكون محرزاً وقد لا يكون كذلك حسب ما يستفاد من أدلة اعتباره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ذلك نقول</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ظاهر الأخبار الواردة في القرعة؛ لا سيما قول الرسول صلی الله علیه و آله و سلم لأمير المؤمنين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قَوْمٍ تَنَازَعُوا ثُمَّ فَوَّضُوا أَمْرَهُمْ إِلَى اللَّهِ إِلَّا خَرَجَ سَهْمُ الْمُحِقِّ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وقول أبي الحسن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اللَّهُ بِهِ فَلَيْسَ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قول الراوي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الْقُرْعَةَ تُخْطِئُ وتُصِيبُ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هو كون القرعة من الأمارات وأنها غالب المطابقة، وإن لم نقل بأنها دائم المطابقة كما ذهب إليه بعض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وعلى فرض التنزيل فلا أقل من دلالة الأخبار على تتميم الكشف فيها، كما يدل عليه قول الإمام الكاظم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اللَّهُ بِهِ فَلَيْسَ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قاله علیه السلام في مقام الرد على سؤال الراوي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الْقُرْعَةَ تُخْطِئُ وتُصِيبُ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فإما هي دائم الإصابة كما ذهب إليه بعض الفقهاء، أو غالب الإصابة فلا إشكال في كونها من الأمارات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لا تعارض بينها وبين غيرها من القواعد والأمارات والأصول أبداً لما عرفت من أنّ مرتبتها تكون بعد فقْد جميعها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يبقى الكلام في تقديمها على الإستصحاب، والبحث في ذلك فرع وقوع التعارض بينهما، مع أنه قد تقدم عدم وقوع ذلك لأنّ مرتبة الرجوع إلى هذه القاعدة تكون بعد انتفاء جميع ما يمكن الإعتماد عليه شرعاً؛ ومنه الإستصحاب لما عرفت من اختصاص قاعدة القرعة بالشبهات الموضوعية المقرونة بالعلم الإجمالي التي تكون من المعضلات، وهي وإن أمكن في حدّ نفسها إجراء الإستصحاب فيها، ولكنها تسقط غالباً بالمعارضة فالمرجع حينئذٍ قاعدة القرعة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فرضنا وجود مورد يكون مجرىً لكليهما بدون سقوط أحدهما فلا إشكال في حكومة الإستصحاب على القاعدة لأنّ تشريعها إنَّما كان في مورد لا علاج ولاحيلة فيه لحلّ المشكل؛ فكان من المعضلة، ولذا قلنا بأنه لا يكون مجرى الإحتياط ولا أصلاً من الأصول الشرعية كالبراءة وإلا قدمت عليها حتى لو كان الأصل من أضعف الأصول فضلاً عن الإستصحاب الذي هو من أقوى الأصول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عجب في تقديم الأصل على الأمارة لاختلاف الرتب بينها، وذلك لأنّ التعارض إنَّما يكون في مورد يتحقق فيه موضوع الأمارة وكانت المعارضة في مؤداها</w:t>
      </w:r>
      <w:r>
        <w:rPr>
          <w:rFonts w:eastAsia="Amiri" w:cs="Amiri" w:ascii="Amiri" w:hAnsi="Amiri"/>
          <w:color w:val="111111"/>
          <w:sz w:val="28"/>
          <w:szCs w:val="28"/>
          <w:rtl w:val="true"/>
          <w:lang w:bidi="ar-SA"/>
        </w:rPr>
        <w:t xml:space="preserve">. </w:t>
      </w:r>
      <w:bookmarkStart w:id="144" w:name="pg15367_180837"/>
    </w:p>
    <w:p>
      <w:pPr>
        <w:pStyle w:val="BookText"/>
        <w:rPr/>
      </w:pPr>
      <w:bookmarkEnd w:id="144"/>
      <w:r>
        <w:rPr>
          <w:rFonts w:ascii="Amiri" w:hAnsi="Amiri" w:eastAsia="Amiri" w:cs="Amiri"/>
          <w:color w:val="111111"/>
          <w:sz w:val="28"/>
          <w:sz w:val="28"/>
          <w:szCs w:val="28"/>
          <w:rtl w:val="true"/>
          <w:lang w:bidi="ar-SA"/>
        </w:rPr>
        <w:t>وأما إذا كان الأصل رافعاً لموضوع الأمارة فلا يبقى وجه لتقديمها على الأصل كما في المقام فإنّ الإستصحاب يكون رافعاً لموضوع القرعة حيث لا مشكلة ولا معضلة حينئذٍ</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5900576_2142443653"/>
      <w:bookmarkStart w:id="146" w:name="_Toc53"/>
      <w:bookmarkEnd w:id="145"/>
      <w:r>
        <w:rPr>
          <w:rtl w:val="true"/>
        </w:rPr>
        <w:t>الجهة الخامسة</w:t>
      </w:r>
      <w:r>
        <w:rPr>
          <w:rtl w:val="true"/>
        </w:rPr>
        <w:t xml:space="preserve">: </w:t>
      </w:r>
      <w:r>
        <w:rPr>
          <w:rtl w:val="true"/>
        </w:rPr>
        <w:t>في أنّ المجهول ظاهري أم واقعي</w:t>
      </w:r>
      <w:bookmarkEnd w:id="146"/>
    </w:p>
    <w:p>
      <w:pPr>
        <w:pStyle w:val="BookText"/>
        <w:rPr/>
      </w:pPr>
      <w:r>
        <w:rPr>
          <w:rFonts w:ascii="Amiri" w:hAnsi="Amiri" w:eastAsia="Amiri" w:cs="Amiri"/>
          <w:color w:val="111111"/>
          <w:sz w:val="28"/>
          <w:sz w:val="28"/>
          <w:szCs w:val="28"/>
          <w:rtl w:val="true"/>
          <w:lang w:bidi="ar-SA"/>
        </w:rPr>
        <w:t>وهل المراد من المجهول والمشتبه الواردين في أخبار القرعة هو الظاهري منهما أو الواقعي؟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 القرعة تختص بما إذا كان هناك واقع مجهول يراد اكتشافه بالقرعة في الموضوعات لا في الأحكام كما تقدم، أو أنه ليس كذلك، بل إنّ القرعة لرفع الإشتباه والجعل الظاهري فتكون حلاً حيث لا حلّ، لا أنها كاشف حيث لا كاشف، وعلى كلا الإحتمالين فإنه يرجع إليها بعد استنفاذ كل الوسائل والطرق لحلّ المشكلة ورفع المعضلة حيث لا بُدَّ من اختيار فرد من أفراد؛ فإنّ الجهل يوجب الإشكال ولا يمكن التخيير حيث لا مرجّح في البين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الإحتياط الواجب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جمعٌ من الفقهاء إلى الإحتمال الأول وقالوا بأنّ القرعة كاشفة حيث لا كشف في البين فهي تبين الواقع المجهول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استفادوا ذلك من بعض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الرسول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قَوْمٍ تَنَازَعُوا ثُمَّ فَوَّضُوا أَمْرَهُمْ إِلَى اللَّهِ عَزَّ وَجَلَّ إِلَّا خَرَجَ سَهْمُ الْمُحِقِ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أبي الحسن الكاظم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حَكَمَ اللَّهُ بِهِ فَلَيْسَ بِمُخْطِئٍ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أنّ بعض الفقهاء استفاد من مثل هذه الروايات أنّ القرعة دائم الإصابة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آخرون أنّ القرعة حلاً حيث لا حلّ، وأنها قد تصيب وقد تخطئ</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واستدلوا على ذلك بأنّ الواقع لا يمكن أن يتطرق إليه التردد والجهل من حيث هو واقع، لما ثبت في محله من أنّ الوجود مساوق للتشخص ومنافٍ للتردد فيكون الجهل والتردد ظاهرياً لا واقعياً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إشكال في أنّ القرعة قد تصيب وتخطئ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بعض ما </w:t>
      </w:r>
    </w:p>
    <w:p>
      <w:pPr>
        <w:pStyle w:val="BookText"/>
        <w:rPr/>
      </w:pPr>
      <w:r>
        <w:rPr>
          <w:rFonts w:ascii="Amiri" w:hAnsi="Amiri" w:eastAsia="Amiri" w:cs="Amiri"/>
          <w:color w:val="111111"/>
          <w:sz w:val="28"/>
          <w:sz w:val="28"/>
          <w:szCs w:val="28"/>
          <w:rtl w:val="true"/>
          <w:lang w:bidi="ar-SA"/>
        </w:rPr>
        <w:t xml:space="preserve">ورد وتعارف على الألسنة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القرعة لكل أمر مشكل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مشتبه ففيه القرعة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حملوا تلك الروايات التي تدل على الإصابة على أن ذلك حكمة الجعل، لا كونه تمام العلّة، أو تحمل على بعض المحامل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وتظهر الثمرة بين القولين في مسائل كثيرة، منها؛ مسألة إسلام الكافر عن أزيد من أربع زوجات، فإنَّه على القول الأول لا يمكن إجراء قاعدة القرعة لعدم وجود واقع مجهول يراد اكتشافه فإنّ غاية ما في هذا الموضوع أنّ إحدى زوجاته أولى في مقام الزوجية من الأخرى، فليس هناك امرأة معينة يراد اكتشافها، والمطلوب إبقاء أربع والتخلي عن الخامسة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الإحتمال الثاني فتجري القرعة وترفع الحيرة لعدم وجود ميزة ووجه لترجيح إحداهن على الآخريات حلاً حيث لا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هو القول الثاني لعدم تمامية ما ذكروه للوجه الأول فيكون الرجوع إلى القرعة لا من جهة بيان الواقع فيها، بل من أجل كونها حلاً لمشكلة ورفعاً لجهالة وحيرة كما هو الشأن في الإستخارة حيث يرجع إليها المؤمن في الموارد التي يحتار فيها وتكون حلاً لمشكلة، ولكن مع الفرق بينهما كما سيأتي بيانه وتمام البحث في كتاب القضاء</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رفع الإختلاف بين الروايات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الأخبار التي تدل على الإصابة إنَّما ترشد إلى أنّ القرعة حكم إلهي؛ فمن يعتمد عليه في حلّ أموره فقد اعتمد على حكم مشروع فيكون عمله دائم الإصابة لأنه لم يتخطَّ الحكم الإلهي، ولكنها لا تدل على أنّ مؤداها هو الواقع بعينه؛ فقد تخطئ وقد تصيب، وإن كانت الإصابة غالبية وهي التي تشير إليها الطائفة الأخرى من الروايات مع أنّ مجموع الروايات في القرعة ترشد إلى أمر آخر وهو أنه قد يبتلى الإنسان في حياته فيقع في حيرة واضطراب تؤثران على نفسيته وتوجب الوهن في عزيمته وتؤدي إلى الوقوع في مشاكل إجتماعية وصحية؛ فكان من منن </w:t>
      </w:r>
    </w:p>
    <w:p>
      <w:pPr>
        <w:pStyle w:val="BookText"/>
        <w:rPr/>
      </w:pPr>
      <w:r>
        <w:rPr>
          <w:rFonts w:ascii="Amiri" w:hAnsi="Amiri" w:eastAsia="Amiri" w:cs="Amiri"/>
          <w:color w:val="111111"/>
          <w:sz w:val="28"/>
          <w:sz w:val="28"/>
          <w:szCs w:val="28"/>
          <w:rtl w:val="true"/>
          <w:lang w:bidi="ar-SA"/>
        </w:rPr>
        <w:t>الله عَزَّ وَجَلَّ عليه أن شرّع له القرعة لرفع ذلك كله في دائم الإصابة من هذه الجهة، ولا إشارة فيها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اختلاف الفقهاء يرجع إلى الخلاف في أنّ مورد القرعة يختص بما إذا كان هناك واقع متعين في نفسه ولكن غاب هذا التعيين بسبب الجهل والإلتباس؛ فصارت مشكلة ومعضلة حيث لم يقم دليل أو أمارة على التخيير والإحتياط فتكون معينة حيث لا تعيين، أو أنه يختص بما إذا كان هناك واقع مجهول ويراد معرفته فتكون حلاً حيث لا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قلنا بالتعميم وشمول القرعة لكل الموارد كما هو الصحيح لأنّ المستفاد من بعض الروايات كونها مشروعة بشكل واسع كما هو ظاهر قول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r>
        <w:rPr>
          <w:rStyle w:val="FootnoteAnchor"/>
          <w:rtl w:val="true"/>
        </w:rPr>
        <w:footnoteReference w:id="137"/>
      </w:r>
      <w:r>
        <w:rPr>
          <w:rFonts w:ascii="Amiri" w:hAnsi="Amiri" w:eastAsia="Amiri" w:cs="Amiri"/>
          <w:color w:val="111111"/>
          <w:sz w:val="28"/>
          <w:sz w:val="28"/>
          <w:szCs w:val="28"/>
          <w:rtl w:val="true"/>
          <w:lang w:bidi="ar-SA"/>
        </w:rPr>
        <w:t>فمعناه إنها قاعدة يعتمد عليها الناس ويجرون عليها في جميع الموارد كما يجري الناس على السنة، فلا يكون لهذا النزاع أثراً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بناءً على القول بعدم التعميم نظراً إلى أنه ليس عندنا عموم يشمل شرعية القرعة لمثل الموارد التي لا واقع معين مجهول فيها؛ مثل ما إذا كانت من المسائل التي لا تعيين فيها بحسب الواقع ويراد تعيينها بحسب الجري العملي لأنَّه ليس فيها ترجيح في أحد الطرفين فيكون المرجح هي القرعة لتكون مرجحاً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ذهب إلى هذا الراي جمعٌ من الفقهاء؛ فقد ذكروا في المسألة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أسلم الكافر على أكثر من أربع، ومات قبل الإختيار فإنه لا يمكن الرجوع إلى القرعة في إخراج واحدة منهن لأنَّها لم تكن معنية في الواقع</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السيد الحكيم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القرعة إنَّما تكون طريقاً إلى تعيين الواقع المتعين في نفسه والمفروض عدمه</w:t>
      </w:r>
      <w:r>
        <w:rPr>
          <w:rFonts w:eastAsia="Amiri" w:cs="Amiri" w:ascii="Amiri" w:hAnsi="Amiri"/>
          <w:color w:val="111111"/>
          <w:sz w:val="28"/>
          <w:szCs w:val="28"/>
          <w:rtl w:val="true"/>
          <w:lang w:bidi="ar-SA"/>
        </w:rPr>
        <w:t>)</w:t>
      </w:r>
      <w:r>
        <w:rPr>
          <w:rStyle w:val="FootnoteAnchor"/>
          <w:rtl w:val="true"/>
        </w:rPr>
        <w:footnoteReference w:id="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أنّ نسبة الزوجية إلى كلِّ واحدة من النساء الخمس أو الست </w:t>
      </w:r>
    </w:p>
    <w:p>
      <w:pPr>
        <w:pStyle w:val="BookText"/>
        <w:rPr/>
      </w:pPr>
      <w:r>
        <w:rPr>
          <w:rFonts w:ascii="Amiri" w:hAnsi="Amiri" w:eastAsia="Amiri" w:cs="Amiri"/>
          <w:color w:val="111111"/>
          <w:sz w:val="28"/>
          <w:sz w:val="28"/>
          <w:szCs w:val="28"/>
          <w:rtl w:val="true"/>
          <w:lang w:bidi="ar-SA"/>
        </w:rPr>
        <w:t>على حدّ سواء، وليست هناك زوجة معينّة يعتبر زواجها باطلاً بلحاظ إسلامه من دون الآخريات واشتبه أمرها عندنا حتى تجري القرعة فليس المقام من موارد جريان القرعة، لا أن القرعة إنَّما تعيّن المحق وسهمه فلا بُدَّ ان يكون في البين محق ومبطل وان القرعة يتعين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والمسألة المتقدمة ليست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ذكرنا من وجود بعض العمومات في أخبار القرعة بحيث تشمل كلا الموردين كقول أَبِي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والْقُرْعَةُ سُنَّةٌ</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القرعة هي آخر وسيلة يعتمد عليها في مورد يتحير الناس فيه، ويراد تمييز ما أشكل عليهم أمره بلا فرق بين أن يكون واقعاً متعيناً أو لا يكون؛ فهي المعيّن حيث لا يكون هناك معيناً، وحلٌّ حيث لا يكون حلّ، وإطلاقات أدلة القرعة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يستدل بالآيتين لشمول الموارد التي لا واقع فيها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فَسَاهَمَ فَكَانَ مِنَ الْمُدْحَضِينَ</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باعتبار أنّ الحوت لا يريد شخصاً معيناً فهو يريد فرداً من الموجودين على متن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كُنْتَ لَدَيْهِمْ إِذْ يُلْقُونَ أَقْلَامَهُمْ أَيُّهُمْ يَكْفُلُ مَرْيَمَ</w:t>
      </w:r>
      <w:r>
        <w:rPr>
          <w:rFonts w:eastAsia="Amiri" w:cs="Amiri" w:ascii="Amiri" w:hAnsi="Amiri"/>
          <w:color w:val="111111"/>
          <w:sz w:val="28"/>
          <w:szCs w:val="28"/>
          <w:rtl w:val="true"/>
          <w:lang w:bidi="ar-SA"/>
        </w:rPr>
        <w:t>)</w:t>
      </w:r>
      <w:r>
        <w:rPr>
          <w:rStyle w:val="FootnoteAnchor"/>
          <w:rtl w:val="true"/>
        </w:rPr>
        <w:footnoteReference w:id="141"/>
      </w:r>
      <w:r>
        <w:rPr>
          <w:rFonts w:ascii="IRNazanin" w:hAnsi="IRNazanin" w:eastAsia="IRNazanin"/>
          <w:color w:val="111111"/>
          <w:sz w:val="28"/>
          <w:sz w:val="28"/>
          <w:szCs w:val="28"/>
          <w:rtl w:val="true"/>
          <w:lang w:bidi="fa-IR"/>
        </w:rPr>
        <w:t>يبيّن أنّ هناك شخص يريد أن يكفل مريم علیها السلام لا تعّين له في الواقع</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المستفاد من الآيتين بقرينة الروايات الواردة في تفسيرهما أنّ الواقع كان فيهما معلوماً؛ وهو يونس علیه السلام الذي أراد الله تعالى أن يوقعه في البحر ليبتلعه الحوت من </w:t>
      </w:r>
    </w:p>
    <w:p>
      <w:pPr>
        <w:pStyle w:val="BookText"/>
        <w:rPr/>
      </w:pPr>
      <w:r>
        <w:rPr>
          <w:rFonts w:ascii="IRNazanin" w:hAnsi="IRNazanin" w:eastAsia="IRNazanin"/>
          <w:color w:val="111111"/>
          <w:sz w:val="28"/>
          <w:sz w:val="28"/>
          <w:szCs w:val="28"/>
          <w:rtl w:val="true"/>
          <w:lang w:bidi="fa-IR"/>
        </w:rPr>
        <w:t>دون أكله ليكون له بيتاً يدور في البحار تنبيهاً له، وتكون مريم علیها السلام عند زكريا النبي علیه السلام الذي هو زوج خالة مريم العذراء علیها السلام التي هي أقرب الناس إليها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فالواقع من كلا الموردين معلوم ولكنه مجهول عند المقترعين، فعينه الله تعالى بالقرعة ظاهراً ليتطابق الواقع مع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فالآيتان هما أقرب إلى استدلال القائلين بالتعيين في الواقع من غيره، ومن أجل ما ذكرناه يظهر الجواب عن الإشكالات التي ذكرت على الآيتين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الآيتان تدلان على أنّ القرعة من الأمور العقلائية التي يعتمد عليها في رفع الحيرة والجهالة، والقرآن قرّر ذلك كما أنّ السنة الشريفة لاحظت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قد يستشكل على استفادة العموم من الروايات باعتبار أنّ كثيراً منها وردت في موارد خاصة فلا يستفاد منها العموم لتكون القرعة من المرجّحات الشرعية، فالأصل يقتضي العدم فتختص بتلك الموارد التي جاءت فيها نص خاص لتكون معنية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استشكل على الإستدلال بالعمومات باعتبار عدم صلاحيتها للعموم فتقتصر على موردها</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ولكن ذكرنا بأنّ هذه الروايات تأبى التخصيص فلا يرد هذا الإشكال عليها؛ فإنّ قول أَبِي عَبْدِ اللَّهِ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والْقُرْعَةُ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 في التعميم، فما ورد في النصوص الخاصة إنَّما يكون من باب التطبيق لا التخصيص 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ذلك كله كان السبب في توقف بعض الفقهاء في العمل بالقرعة إلا في تلك الموارد التي عمل بها الفقهاء فهي جزء الدليل لا تمامه كما ذكره السيد الوالد قدس سره </w:t>
      </w:r>
      <w:r>
        <w:rPr>
          <w:rStyle w:val="FootnoteAnchor"/>
          <w:rtl w:val="true"/>
        </w:rPr>
        <w:footnoteReference w:id="142"/>
      </w:r>
      <w:r>
        <w:rPr>
          <w:rFonts w:ascii="Amiri" w:hAnsi="Amiri" w:eastAsia="Amiri" w:cs="Amiri"/>
          <w:color w:val="111111"/>
          <w:sz w:val="28"/>
          <w:sz w:val="28"/>
          <w:szCs w:val="28"/>
          <w:rtl w:val="true"/>
          <w:lang w:bidi="ar-SA"/>
        </w:rPr>
        <w:t>في آخر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شأنها شأن قاعدة الميسور وقاعدة العدل والإنصاف فيتوقف جريانها في كل مورد على عمل الأصحاب</w:t>
      </w:r>
      <w:r>
        <w:rPr>
          <w:rFonts w:eastAsia="Amiri" w:cs="Amiri" w:ascii="Amiri" w:hAnsi="Amiri"/>
          <w:color w:val="111111"/>
          <w:sz w:val="28"/>
          <w:szCs w:val="28"/>
          <w:rtl w:val="true"/>
          <w:lang w:bidi="ar-SA"/>
        </w:rPr>
        <w:t xml:space="preserve">. </w:t>
      </w:r>
      <w:bookmarkStart w:id="147" w:name="pg15367_180847"/>
    </w:p>
    <w:p>
      <w:pPr>
        <w:pStyle w:val="BookText"/>
        <w:rPr/>
      </w:pPr>
      <w:bookmarkEnd w:id="147"/>
      <w:r>
        <w:rPr>
          <w:rFonts w:ascii="Amiri" w:hAnsi="Amiri" w:eastAsia="Amiri" w:cs="Amiri"/>
          <w:color w:val="111111"/>
          <w:sz w:val="28"/>
          <w:sz w:val="28"/>
          <w:szCs w:val="28"/>
          <w:rtl w:val="true"/>
          <w:lang w:bidi="ar-SA"/>
        </w:rPr>
        <w:t>وقد ذكرنا أنّ المراد من هذا القول أنه بعد عدم وضوح موارد جريان القرعة والإبهام الحاصل من ملاحظة الأدلة الواردة منها فلا بُدَّ أن ترجع إلى عمل الأصحاب لتنقيح موضوعها وموارد جريانها، وهو لا بأس به إذا لم تستفد من الأدلة العموم كما تقدم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5900578_2142443653"/>
      <w:bookmarkStart w:id="149" w:name="_Toc54"/>
      <w:bookmarkEnd w:id="148"/>
      <w:r>
        <w:rPr>
          <w:rtl w:val="true"/>
        </w:rPr>
        <w:t>الجهة السادسة</w:t>
      </w:r>
      <w:r>
        <w:rPr>
          <w:rtl w:val="true"/>
        </w:rPr>
        <w:t xml:space="preserve">: </w:t>
      </w:r>
      <w:r>
        <w:rPr>
          <w:rtl w:val="true"/>
        </w:rPr>
        <w:t>في أنّ القرعة رخصة أم عزيمة</w:t>
      </w:r>
      <w:bookmarkEnd w:id="149"/>
    </w:p>
    <w:p>
      <w:pPr>
        <w:pStyle w:val="BookText"/>
        <w:rPr/>
      </w:pPr>
      <w:r>
        <w:rPr>
          <w:rFonts w:ascii="Amiri" w:hAnsi="Amiri" w:eastAsia="Amiri" w:cs="Amiri"/>
          <w:color w:val="111111"/>
          <w:sz w:val="28"/>
          <w:sz w:val="28"/>
          <w:szCs w:val="28"/>
          <w:rtl w:val="true"/>
          <w:lang w:bidi="ar-SA"/>
        </w:rPr>
        <w:t>بعدما عرفت مشروعية القرعة وجريانها في الشبهات الموضوعية التي لم يكن فيها علاج لرفع الإشتباه فصارت من المعضلات فهل يجب الرجوع إلى القرعة في حلّها أو لا يجب فيمكن الرجوع إلى التخيير أو الإحتياط إن أمكن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التفصيل التالي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يكون موردها من موارد الخصومة والتنازع بين الأطراف بحيث لا يمكن رفع النزاع إلا بالرجوع إلى القرعة حيث لا سبيل آخر في البين؛ ففي هذه الحالة يجب الرجوع إلى القرعة، ويدل على ذلك بعض الروايات الواردة في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الحصر في قول النبي الأكرم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أَقْضِي بَيْنَكُمْ بِالْبَيِّنَاتِ والْأَيْمَانِ وبَعْضُكُمْ أَلْحَنُ بِحُجَّتِهِ مِنْ بَعْضٍ فَأَيُّمَا رَجُلٍ قَطَعْتُ لَهُ مِنْ مَالِ أَخِيهِ شَيْئاً فَإِنَّمَا قَطَعْتُ لَهُ بِهِ قِطْعَةً مِنَ النَّارِ</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أن يكون الفصل منحصراً في البينات والأيمان فلا مجال للقرعة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يمكن الرجوع إلى التخيير كما لا يمكن الإحتياط</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دفعه بأنه خلاف الفرض؛ لأنّ الرجوع إلى القرعة إنَّما يكون بعد انتفاء المرجّحات المعتبرة شرعاً، ومع وجود البينة أو اليمين لا يكون المورد مشكلاً أو معضلة فلا بُدَّ من الرجوع إلى القرعة لتعيين الحق، فيكون عزيمة لا رخصة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موردها مِمّا قد تعيّن في الواقع ولكنه مجهول يراد تعيينه، ولا سبيل آخر في رفع الجهل، فالظاهر وجوب الرجوع إلى القرعة أيضاً ويكون عزيمة؛ كما لو كان هناك إنسان ليس له ما للرجال ولا ما للنساء؛ ونريد أن نعيّن حكمه فلا نعلم أنه ذكر أو أنثى، وقلنا إنه لا واسطة بين الذكورة والأنوثة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مثل الولدين اللذين انهدم على أهلهما البيت وكان أحدهما حرّاً والآخر مملوكاً واشتبه الحرّ منهما بالمملوك، وأمثال ذلك التي يكون فيها واقع معين نريد الوصول إليه مع الجهل به حتى تترتب عليه الآثار الشرعية المعلومة على الموضوع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كالإرث والنفقة والنكاح وغيرها من الأحكام؛</w:t>
      </w:r>
    </w:p>
    <w:p>
      <w:pPr>
        <w:pStyle w:val="BookText"/>
        <w:rPr/>
      </w:pPr>
      <w:r>
        <w:rPr>
          <w:rFonts w:ascii="Amiri" w:hAnsi="Amiri" w:eastAsia="Amiri" w:cs="Amiri"/>
          <w:color w:val="111111"/>
          <w:sz w:val="28"/>
          <w:sz w:val="28"/>
          <w:szCs w:val="28"/>
          <w:rtl w:val="true"/>
          <w:lang w:bidi="ar-SA"/>
        </w:rPr>
        <w:t>فإن أمكن الإحتياط فلا إشكال في لزومه؛ كما لو كان هناك مال مردّد بأن يكون لزيد أو لعمرو، أو أنّ شخصاً عنده ودائع وادعى زيد أنها له وادعى عمرو أنها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الفقهاء بوجوب الإحتياط بأن يعطي الوديعة لأحدهما ويشتري مثلها للآخر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يمكن الإحتياط؛ كما لو طلق إحدى زوجتيه وجهل أنها هذه أو تلك فإنّ مقتضى القاعدة حرمتهما معاً من ناحية الوطئ والنظر، بخلاف القسم والنفقة فإنَّه قد لا يكلّف بهما فليس في هذا المورد حلّ لهذه المشكلة إلا القرعة حيث لا طريق آخر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الجامع بينهما أنه إذا لم يمكن تحديد الحق ولا يوجد سبيل لتعيين الوظيفة الشرعية فإنَّه في مثل هذه الحالات لا بُدَّ من القرعة</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تكون القرعة جارية في مورد يكون الجهل هو الحكم فيه، ونريد رفع الحيرة من دون أن يكون فيه واقع مجهول؛ ففي هذه الحالة تكون الأطراف المحتملة متساوية من جهة انطباق العنوان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أوصى بعتق ثلث عبيده ولم يكن عنده إلا ثلاثة عبيد، أو أمر بأن يعطي هدية لأول قادم إلى مكان معين، </w:t>
      </w:r>
    </w:p>
    <w:p>
      <w:pPr>
        <w:pStyle w:val="BookText"/>
        <w:rPr/>
      </w:pPr>
      <w:r>
        <w:rPr>
          <w:rFonts w:ascii="Amiri" w:hAnsi="Amiri" w:eastAsia="Amiri" w:cs="Amiri"/>
          <w:color w:val="111111"/>
          <w:sz w:val="28"/>
          <w:sz w:val="28"/>
          <w:szCs w:val="28"/>
          <w:rtl w:val="true"/>
          <w:lang w:bidi="ar-SA"/>
        </w:rPr>
        <w:t>فدخل ثلاثة دفعة واحدة فإنَّه إذا كان مرجح في البين من قرينة لفظية أو حالية فتتبع لا محالة وتنفذ الوصية فيه، كما انه لو كانت سيرة على التخيير فلا إشكال حينئذٍ ولا مجال إلى الرجوع إلى القرعة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مرجَّح ولم يكن هناك وجه للتخيير فيمكن القول بالرجوع إلى القرعة لرفع الإضطراب، ولكن لا يكون ملزمه إلا إذا ترتب على عدم إجراء القرعة مفسدة فإنَّه يلزم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القرعة قد تكون ملزمة، وقد تكون رخصة غير ملزمة إلا أنّ عدم لزومها قد ينقلب إلى اللزوم إذا كانت هناك مصلحة ملزمة فإذا أمكن إحراز ذلك فهو، وإلا فيرجع إلى الحاكم الشرعي في تعيين الخصوصيات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في الموارد التي يلزم الرجوع إلى القرعة فيها لتعيين الواقع أو لرفع الخصومة والمنازعات يجب إجراؤها بعد الإقتراع، وفي غير ذلك لا ملزم لإجرائها إلا أن يقال بأنّ التخيير إنَّما يكون قبل الإقتراع، وأما بعده فالمستفاد من بعض الأخبار هو لزوم التنفيذ كما هو ظاهر صحيحة الفضيل بن يسار؛ فإنّ فيها تعليم للكيفية والدعاء وبعض الخصوصيات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ورد من أنّ القرعة تفويض الأمر إلى الله تعالى فإنَّه بعد الرجوع إلى الله سبحانه وتعالى تكون النتيجة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قَوْمٍ تَنَازَعُوا ثُمَّ فَوَّضُوا أَمْرَهُمْ إِلَى اللَّهِ عَزَّ وَجَلَّ إِلَّا خَرَجَ سَهْمُ الْمُحِقِ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وسهم الأصوب فإنّ المستفاد من جميع ذلك وجوب الأخذ بالنتيجة، وإلا كان خلاف حكمة تشريعها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 تلك الروايات كون القرعة ملزمة؛ فإنها إنَّما توجب الخروج عن المأزق فتكون القرعة مشابهة للإستخارة من هذه الجهة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صحيحاً في بعض الموارد التي لا موجب لها كما تقدم بيانه ولكن إجراء القرعة وعدم العمل بها إنَّما يعتبر مخالفة لظاهر أدلتها وحكمة تشريعها، فلم تكن مشابهة للإستخارة أصلاً كما سيأتي بيانه</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والحاصل؛ إن كانت القرعة في مقام تعيين الحق المعين في الواقع سواء كانت في مورد القضاء، أو كانت في مقام التصالح على أساس القرعة، أو في مقام حصول الإطمئنان النفسي ورفع الحزازات والمهاترات فإنّ ظاهر أدلتها هو الإلتزام بمؤداها فتكون نظير البينة وسائر الأمارات فإنها ملزمة للمكلف بالعمل بمؤداها، ولا سيما أنّ أدلة القرعة تثبت أنها حكم الله سبحانه وتعالى فليس بمخطئ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إلى القول بأنّ القرعة لها الطريقية لتحديد الواقع وتعيينه بعد القول بأنّ القرعة تخطئ وتصيب فيجب العمل بها حتى يستشكل عليه بأنّ القرعة ليستكاشفة عن الواقع، بل يكون مطابقتها للواقع من باب الإتفاق، وما كان حاله كذلك لا معنى لطريقيته وكاشفيته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التصادف الدائمي أو الاكثري بإرادة الله تعالى والأسباب الغيبية وإن كان ممكناً لكنه بعيد جداً، بل لا يمكن الإلتزام به لأنّ الروايات التي تثبت الإصابة للواقع إنَّما يراد منها أنّ مؤداها يكون بمنزلة الواقع فيكون العمل بلحاظ أنه الواقع، فيكون معناه مثل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كُلُّ مَا حَكَمَ اللَّهُ بِهِ فَلَيْسَ بِمُخْطِئٍ</w:t>
      </w:r>
      <w:r>
        <w:rPr>
          <w:rFonts w:eastAsia="IRNazanin" w:cs="IRNazanin"/>
          <w:color w:val="111111"/>
          <w:sz w:val="28"/>
          <w:szCs w:val="28"/>
          <w:rtl w:val="true"/>
          <w:lang w:bidi="fa-IR"/>
        </w:rPr>
        <w:t>)</w:t>
      </w:r>
      <w:r>
        <w:rPr>
          <w:rStyle w:val="FootnoteAnchor"/>
          <w:rtl w:val="true"/>
        </w:rPr>
        <w:footnoteReference w:id="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الكاشفية تارة تكون بلحاظ ذاتها، وأخرى تكون بلحاظ المؤدى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لزوم العمل بمؤدى القرعة إلا إذا ثبت عدم الوجوب بدليل خاص أو سيرة، ولعله من أجل اختلاف موارد تطبيقها والشبهات التي أثيرت في لزوم تنفيذها وغير ذلك مِمّا تقدم بيانه ذهب جمعٌ من الفقهاء منهم السيد الوالد قدس سره إلى أنّ القرعة إنَّما يرجع إليها في الموارد التي عمل بها الفقهاء فتكون جزء الدليل ليكون عملهم محققاً لمورد جريانها وتشخيص موضوعها</w:t>
      </w:r>
      <w:r>
        <w:rPr>
          <w:rFonts w:eastAsia="Amiri" w:cs="Amiri" w:ascii="Amiri" w:hAnsi="Amiri"/>
          <w:color w:val="111111"/>
          <w:sz w:val="28"/>
          <w:szCs w:val="28"/>
          <w:rtl w:val="true"/>
          <w:lang w:bidi="ar-SA"/>
        </w:rPr>
        <w:t xml:space="preserve">. </w:t>
      </w:r>
      <w:bookmarkStart w:id="150" w:name="pg15367_180855"/>
    </w:p>
    <w:p>
      <w:pPr>
        <w:pStyle w:val="Heading4"/>
        <w:numPr>
          <w:ilvl w:val="3"/>
          <w:numId w:val="1"/>
        </w:numPr>
        <w:rPr/>
      </w:pPr>
      <w:bookmarkStart w:id="151" w:name="__RefHeading___Toc5900580_2142443653"/>
      <w:bookmarkStart w:id="152" w:name="_Toc55"/>
      <w:bookmarkEnd w:id="150"/>
      <w:bookmarkEnd w:id="151"/>
      <w:r>
        <w:rPr>
          <w:rtl w:val="true"/>
        </w:rPr>
        <w:t>ختام فيه أمران</w:t>
      </w:r>
      <w:bookmarkEnd w:id="152"/>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يعتبر في القرعة كيفية خاصة للقرعة في أدائها؛ فإنّ الأمر فيهما موكول إلى العرف، إذ المناط كله هو الإكتفاء بكل ما يحقق مؤداها؛ وهو تعيين الحق، أو رفع الحيرة والخروج عن المأزق الذي يقع فيه الإنسان، وحلّ المعضلة التي هو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يراجع النصوص الواردة فيها من الكتاب الكريم والسنة الشريفة لم يعثر على تعيين طريقة خاصة؛ ففي القرآن الكريم ورد في قصة مريم علیها السلام طريقة إلقاء الأقلام، كما ورد في قصة يونس علیه السلام ذكر السهام، ولم يرد فيهما التفاصيل مِمّا يرشد أنهما من الوسائل التي كانت في تلك العصور، وكذلك الحال في الروايات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ورد في صحيحة الفضيل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 عَلَى سَهْمٍ عَبْدَ اللَّهِ وعَلَى سَهْمٍ آخَرَ أَمَةَ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من باب المثال لكل ما يمكن أن يتحقق به مضمون القرعة، فيمكن أن يقع في ضمن السهام أو الأقلام أو الأخشاب، وكل ما يمكن أن يصدق عليه عنوان القرعة ولو بالوسائل الحديثة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أنه لم يُشترط في إجراء القرعة دعاء معين، بل يمكن أن يتحقق بكل ما يوحي أنه من تفويض الأمر إلى الله تعالى، وهو إنَّما يتحقق بأسلوب الدعاء والروايات الواردة في القرعة؛ إما مطلقة لم يرد فيها ذكر الدعاء أبداً، وإما ذُكر فيها الدعاء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ومقتضى الصناعة وإن كان هو حمل المطلق على المقيد إلا أنّ في المقيد ما يوحي على وجود قرائن تدل على الندب فيها؛ لاختلافها من حيث الأدعية الواردة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رواية يُونُسَ قَالَ فِي رَجُلٍ كَانَ لَهُ عِدَّةُ مَمَالِيكَ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عَلَّمَنِي آيَةً مِنْ كِتَابِ اللَّهِ عَزَّ وَجَلَّ فَهُوَ حُرٌّ؛ فَعَلَّمَهُ وَاحِدٌ مِنْهُمْ ثُمَّ مَاتَ الْمَوْلَى ولَمْ يُدْرَ أَيُّهُمُ الَّذِي عَلَّمَهُ الْآيَةَ؛ هَلْ يُسْتَخْرَجُ بِالْقُرْعَةِ؟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ولَا يَجُوزُ أَنْ يَسْتَخْرِجَهُ أَحَدٌ إِلَّا الْإِمَامُ؛ فَإِنَّ لَهُ كَلَاماً وَقْتَ الْقُرْعَةِ يَقُولُهُ </w:t>
      </w:r>
    </w:p>
    <w:p>
      <w:pPr>
        <w:pStyle w:val="BookText"/>
        <w:rPr/>
      </w:pPr>
      <w:r>
        <w:rPr>
          <w:rFonts w:ascii="Amiri" w:hAnsi="Amiri" w:eastAsia="Amiri" w:cs="Amiri"/>
          <w:color w:val="111111"/>
          <w:sz w:val="28"/>
          <w:sz w:val="28"/>
          <w:szCs w:val="28"/>
          <w:rtl w:val="true"/>
          <w:lang w:bidi="ar-SA"/>
        </w:rPr>
        <w:t>ودُعَاءً لَا يَعْلَمُهُ سِوَاهُ ولَا يَقْتَدِرُ عَلَيْهِ غَيْرُهُ</w:t>
      </w:r>
      <w:r>
        <w:rPr>
          <w:rFonts w:eastAsia="Amiri" w:cs="Amiri" w:ascii="Amiri" w:hAnsi="Amiri"/>
          <w:color w:val="111111"/>
          <w:sz w:val="28"/>
          <w:szCs w:val="28"/>
          <w:rtl w:val="true"/>
          <w:lang w:bidi="ar-SA"/>
        </w:rPr>
        <w:t>)</w:t>
      </w:r>
      <w:r>
        <w:rPr>
          <w:rStyle w:val="FootnoteAnchor"/>
          <w:rtl w:val="true"/>
        </w:rPr>
        <w:footnoteReference w:id="1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تدُّل على وجود دعاء خاص لا يعلمه إلا الإمام علیه السلام ؛ فإنْ كان هو الذي ورد في روايات أخرى فلا إشكال، وأما إذا كان دعاءً فوق العادة لا يمكن أن يعرفه سوى الإمام علیه السلام فالروايات الأخرى تنفيه؛ إذ سائر الأئمة ذكروا أدعية أخرى وعلّموها أصحابهم ولم تكن شيئاً خاصاً بهم، مع أنّ المناط كله في القرعة هو تفويض الأمر إلى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والإشكالُ على رواية يونس بالضعف والإرسال غيرُ سديد؛ لأنّ مثل يونس لا يسأل غير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موثقة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رَجُلَيْنِ اخْتَصَمَا إِلَى عَلِيٍّ علیه السلام فِي دَابَّةٍ فَزَعَمَ كُلُّ وَاحِدٍ مِنْهُمَا أَنَّهَا نُتِجَتْ عَلَى مِذْوَدِهِ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كُلُّ وَاحِدٍ مِنْهُمَا بَيِّنَةً سَوَاءً فِي الْعَدَدِ؛ فَأَقْرَعَ بَيْنَهُمَا سَهْمَيْنِ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السَّهْمَيْنِ كُلَّ وَاحِدٍ مِنْهُمَا بِعَلَامَةٍ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رَبَّ السَّمَاوَاتِ السَّبْعِ ورَبَّ الْأَرَضِينَ السَّبْعِ ورَبَّ الْعَرْشِ الْعَظِيمِ عَالِمَ الْغَيْبِ والشَّهَادَةِ الرَّحْمَنَ الرَّحِيمَ أَيُّهُمَا كَانَ صَاحِبَ الدَّابَّةِ وهُوَ أَوْلَى بِهَا فَأَسْأَلُكَ أَنْ يُقْرَعَ وَيُخْرَجَ سَهْمُهُ؛ فَخَرَجَ سَهْمُ أَحَدِهِمَا فَقَضَى لَهُ بِهَا </w:t>
      </w:r>
      <w:r>
        <w:rPr>
          <w:rFonts w:eastAsia="Amiri" w:cs="Amiri" w:ascii="Amiri" w:hAnsi="Amiri"/>
          <w:color w:val="111111"/>
          <w:sz w:val="28"/>
          <w:szCs w:val="28"/>
          <w:rtl w:val="true"/>
          <w:lang w:bidi="ar-SA"/>
        </w:rPr>
        <w:t>)</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صحيحة عَبْدِ الرَّحْمَنِ بْنِ أَبِي عَبْدِ اللَّهِ قَالَ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علیه السلام إِذَا أَتَاهُ رَجُلَانِ يَخْتَصِمَانِ بِشُهُودٍ عِدَّتُهُمْ سَوَاءٌ وعَدَالَتُهُمْ سَوَاءٌ أَقْرَعَ بَيْنَهُمَا عَلَى أَيِّهِمَا تَصِيرُ الْيَمِينُ وكَانَ يَقُولُ اللَّهُمَّ رَبَّ السَّمَاوَاتِ السَّبْعِ ورَبَّ الْأَرَضِينَ السَّبْعِ مَنْ كَانَ الْحَقُّ لَهُ فَأَدِّهِ إِلَيْهِ ثُمَّ يَجْعَلُ الْحَقَّ لِلَّذِي تَصِيرُ الْيَمِينُ عَلَيْهِ إِذَا حَلَف</w:t>
      </w:r>
      <w:r>
        <w:rPr>
          <w:rFonts w:eastAsia="Amiri" w:cs="Amiri" w:ascii="Amiri" w:hAnsi="Amiri"/>
          <w:color w:val="111111"/>
          <w:sz w:val="28"/>
          <w:szCs w:val="28"/>
          <w:rtl w:val="true"/>
          <w:lang w:bidi="ar-SA"/>
        </w:rPr>
        <w:t>)</w:t>
      </w:r>
      <w:r>
        <w:rPr>
          <w:rStyle w:val="FootnoteAnchor"/>
          <w:rtl w:val="true"/>
        </w:rPr>
        <w:footnoteReference w:id="1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الصحيحة دعاء مختصر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 القرعة في الرواية لتعيين اليمين على أحدهما فلعله من أجل فصل الخصومة بينهما</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صحيحة 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مَوْلُودٍ لَيْسَ لَهُ مَا لِلرِّجَالِ ولَا لَهُ مَا لِلنِّسَاءِ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يُقْرِعُ الْإِمَامُ أَوِ الْمُقْرِعُ بِهِ يَكْتُبُ عَلَى سَهْمٍ عَبْدَ اللَّهِ وعَلَى سَهْمٍ آخَرَ </w:t>
      </w:r>
      <w:bookmarkStart w:id="153" w:name="pg15367_180859"/>
    </w:p>
    <w:p>
      <w:pPr>
        <w:pStyle w:val="BookText"/>
        <w:rPr/>
      </w:pPr>
      <w:bookmarkEnd w:id="153"/>
      <w:r>
        <w:rPr>
          <w:rFonts w:ascii="Amiri" w:hAnsi="Amiri" w:eastAsia="Amiri" w:cs="Amiri"/>
          <w:color w:val="111111"/>
          <w:sz w:val="28"/>
          <w:sz w:val="28"/>
          <w:szCs w:val="28"/>
          <w:rtl w:val="true"/>
          <w:lang w:bidi="ar-SA"/>
        </w:rPr>
        <w:t>أَمَةَ اللَّهِ ثُمَّ يَقُولُ الْإِمَامُ أَوِ الْمُقْرِعُ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أَنْتَ اللَّهُ لَا إِلَهَ إِلَّا أَنْتَ عالِمَ الْغَيْبِ والشَّهادَةِ أَنْتَ تَحْكُمُ بَيْنَ عِبادِكَ فِي ما كانُوا فِيهِ يَخْتَلِفُونَ فَبَيِّنْ لَنَا أَمْرَهَذَا الْمَوْلُودِ كَيْفَ يُوَرَّثُ مَا فَرَضْتَ لَهُ فِي الْكِتَابِ ثُمَّ يُطْرَحُ السَّهْمَانِ فِي سِهَامٍ مُبْهَمَةٍ ثُمَّ تُجَالُ السِّهَامُ عَلَى مَا خَرَجَ وُرِّثَ عَلَيْهِ</w:t>
      </w:r>
      <w:r>
        <w:rPr>
          <w:rFonts w:eastAsia="Amiri" w:cs="Amiri" w:ascii="Amiri" w:hAnsi="Amiri"/>
          <w:color w:val="111111"/>
          <w:sz w:val="28"/>
          <w:szCs w:val="28"/>
          <w:rtl w:val="true"/>
          <w:lang w:bidi="ar-SA"/>
        </w:rPr>
        <w:t>)</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الرواية مغايرة لغيرها في الدعاء ولكنها مفصلة من حيث كيفية القرعة، ومن يقوم بعملية القرعة سواء كان هو الإمام علیه السلام أو كل من يكون مقرعاً قادراً على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والمستفاد من جميع ذلك أنّ الدعاء لم يكن شرطاً في القرعة، وإنما هو تبين لحالة التفويض إلى الله سبحانه في القرعة فيتحقق بكل ما يدل على ذلك، وإن كان الأولى ذكر الدعوات التي وردت في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يستفاد عدم اشتراط دعاء معين حين إجراء القرعة، كما أنه لا يشترط أن يكون المجري لها هو الإمام أو المجتهد، بل يتحقق من كل شخص يعرف ذلك كما تدل عليه صحيحة الفضيل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الفرق بين القرعة والإستخارة</w:t>
      </w:r>
    </w:p>
    <w:p>
      <w:pPr>
        <w:pStyle w:val="Heading3"/>
        <w:numPr>
          <w:ilvl w:val="2"/>
          <w:numId w:val="1"/>
        </w:numPr>
        <w:rPr/>
      </w:pPr>
      <w:bookmarkStart w:id="154" w:name="__RefHeading___Toc5900582_2142443653"/>
      <w:bookmarkStart w:id="155" w:name="_Toc56"/>
      <w:bookmarkEnd w:id="154"/>
      <w:r>
        <w:rPr>
          <w:rtl w:val="true"/>
        </w:rPr>
        <w:t>کلام في الإستخارة</w:t>
      </w:r>
      <w:bookmarkEnd w:id="155"/>
    </w:p>
    <w:p>
      <w:pPr>
        <w:pStyle w:val="Heading4"/>
        <w:numPr>
          <w:ilvl w:val="3"/>
          <w:numId w:val="1"/>
        </w:numPr>
        <w:rPr/>
      </w:pPr>
      <w:bookmarkStart w:id="156" w:name="__RefHeading___Toc5900584_2142443653"/>
      <w:bookmarkStart w:id="157" w:name="_Toc57"/>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الإستخارة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الأمور التي جرت عليها سيرة الشيعة الإثني عشرية؛ العلماء منهم والصالحين، وبها يرجعون إلى اللّه عَزَّ وَجَلَّ في أمورهم التي يستخيرون عليها ويقتدون بأئمتهم علیهم السلام في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وردت روايات عديدة، ويمكن دعوى وجودها عند أهل السنة، وإن لم تكن بالصورة التي هي موجودة عند الشيعة الإمامية ولكنها وجه من وجوهها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من مصاديق تفويض الأمر إلى الله عَزَّ وَجَلَّ، ومن هنا اشتركت مع القرعة وإن اختلفتا في كثير من الجهات كما يأتي بيانه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وحقيقة الإستخارة هي طلب الخير؛ وأما المتعارف عند من يستعملها فهو استكشاف الواقع بالإستعانة بالله سبحانه وتعالى لأنَّه عالم الغيب والشهادة بعد التسليم له بما يحكم </w:t>
      </w:r>
    </w:p>
    <w:p>
      <w:pPr>
        <w:pStyle w:val="BookText"/>
        <w:rPr/>
      </w:pPr>
      <w:r>
        <w:rPr>
          <w:rFonts w:ascii="Amiri" w:hAnsi="Amiri" w:eastAsia="Amiri" w:cs="Amiri"/>
          <w:color w:val="111111"/>
          <w:sz w:val="28"/>
          <w:sz w:val="28"/>
          <w:szCs w:val="28"/>
          <w:rtl w:val="true"/>
          <w:lang w:bidi="ar-SA"/>
        </w:rPr>
        <w:t>به والإعتراف بالعجز أمام عظمته وقيومتيه؛ فيلجأ إليه سبحانه ويطلب الخير في جميع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عبادة لله عَزَّ وَجَلَّ وخضوع له وتفويض الأمر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هي التي وردت في الأحاديث المروية عن الأئمة الطاهرين علیهم السلام من طلب الخير من الله عَزَّ وَجَلَّ، ويتحرك المؤمن على أساسها؛ فإن لم يصل إلى مقصوده أو وصل إليه مكروه فإنَّه لا يقع في قلبه إلا أنه هو الخير الذي اختاره الله عَزَّ وَجَلَّ له، حيث طلب منه أن يختار له فهو الذي اختار له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كانت الإستخارة مبنية على التفويض والتسليم، فلا بُدَّ أن يكون قبل ذلك اعتقاد من المستخير على وحدانيته سبحانه وربوبيته وقدرته وحكمته؛ فهو الملجأ حيث لا ملجأ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ذلك هو مراد من قال أنّ الإستخارة من أقوى الحجج على إثبات الصانع على ما حكى عنه السيد البجنوردي قدس سره </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وقال الشيخ الميرزا أبو المعالي الكلباسي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أدلة وجود واجب الوجود الإستخارة، سواء كانت من القرآن المجيد أم غيره، لأنّ بالمواظبة عليها وانكشاف آثارها، ولا سيّما الآثار التى تقع بعد أزمنة بعيدة غاية البعد يظهر استناد جودة الإستخارة ورداءتها إلى العالم بالمغيّبات الغريبة والخفيّات العجيبة، سبحان من لا يخفى عليه شي‌ء لا في الأرض ولا في السماء، ويعلم ما تحمل كل أنثى وما تغيض وما تزداد أرحام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ونظير ذلك ما قيل من أدلة وجود واجب الوجود أنّه كثيراً ما يشاهد انحلال عقد المكاره العسر الوعرة بحيث يصل استناد ذلك إلى القادر الذي لا تنتهي عجائب قدرته بالتقصّي والإحصار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رسالة في الإستخارة؛ ص</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عج الله تعالی فرجه الشریف </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لو لم يكن صانع لما التجأ إليهفي طلب الخير ولما فوض الأمر إليه وليس ذلك من الطرائف كما اعتبره بعض المعاصرين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فلا إشكال في مشروعيتها في الجملة، وقد وردت أحاديث كثيرة في الإستخارة 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بسنده عن الْحَلَبِيِّ عَنْ عَمْرِو بْنِ حُرَيْثٍ قَالَ 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 رَكْعَتَيْنِ واسْتَخِرِ اللَّهَ؛ فَوَ اللَّهِ مَا اسْتَخَارَ اللَّهَ مُسْلِمٌ إِلَّا خَارَ لَهُ الْبَتَّةَ</w:t>
      </w:r>
      <w:r>
        <w:rPr>
          <w:rFonts w:eastAsia="Amiri" w:cs="Amiri" w:ascii="Amiri" w:hAnsi="Amiri"/>
          <w:color w:val="111111"/>
          <w:sz w:val="28"/>
          <w:szCs w:val="28"/>
          <w:rtl w:val="true"/>
          <w:lang w:bidi="ar-SA"/>
        </w:rPr>
        <w:t>)</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بمعنى؛ من استخار الله سبحانه مفوضاً الأمر إليه راضياً بما يختاره الله له فإنَّه سيختار له ما فيه الخير حتماً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الكليني قدس سره بسنده عَنْ عَمْرِو بْنِ شِمْرٍ عَنْ جَابِرٍ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بْنُ الْحُسَيْنِ علیه السلام إِذَا هَمَّ بِأَمْرِ حَجٍّ أَوْ عُمْرَةٍ أَوْ بَيْعٍ أَوْ شِرَاءٍ أَوْ عِتْقٍ تَطَهَّرَ ثُمَّ صَلَّى رَكْعَتَيِ الِاسْتِخَارَةِ فَقَرَأَ فِيهِمَا بِسُورَةِ الْحَشْرِ وبِسُورَةِ الرَّحْمَنِ ثُمَّ يَقْرَأُ الْمُعَوِّذَتَيْنِ وقُلْ هُوَ اللَّهُ أَحَدٌ إِذَا فَرَغَ وهُوَ جَالِسٌ فِي دُبُرِ الرَّكْعَتَيْنِ ثُمَّ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 كَانَ كَذَا وكَذَا خَيْراً لِي فِي دِينِي ودُنْيَايَ وعَاجِلِ أَمْرِي وآجِلِهِ فَصَلِّ عَلَى مُحَمَّدٍ وآلِهِ ويَسِّرْهُ لِي عَلَى أَحْسَنِ الْوُجُوهِ وأَجْمَلِهَا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وإِنْ كَانَ كَذَا وكَذَا شَرّاً لِي فِي دِينِي ودُنْيَايَ وآخِرَتِي وعَاجِلِ أَمْرِي وآجِلِهِ فَصَلِّ عَلَى مُحَمَّدٍ وآلِهِ واصْرِفْهُ عَنِّي؛ رَبِّ صَلِّ عَلَى مُحَمَّدٍ وآلِهِ واعْزِمْ لِي عَلَى رُشْدِي وإِنْ كَرِهْتُ ذَلِكَ أَوْ أَبَتْهُ نَفْسِي</w:t>
      </w:r>
      <w:r>
        <w:rPr>
          <w:rFonts w:eastAsia="Amiri" w:cs="Amiri" w:ascii="Amiri" w:hAnsi="Amiri"/>
          <w:color w:val="111111"/>
          <w:sz w:val="28"/>
          <w:szCs w:val="28"/>
          <w:rtl w:val="true"/>
          <w:lang w:bidi="ar-SA"/>
        </w:rPr>
        <w:t>)</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والرواية تدلّ على عدم انحصار طلب الخير من اللّه في العاجل؛ أي الدنيا، بل تشمل الآخرة والآجل</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قدس سره أيضاً بسنده عَنْ هَارُونَ بْنِ خَارِجَةَ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أَمْراً فَخُذْ سِتَّ رِقَاعٍ فَاكْتُبْ فِي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خِيَرَةً </w:t>
      </w:r>
    </w:p>
    <w:p>
      <w:pPr>
        <w:pStyle w:val="BookText"/>
        <w:rPr/>
      </w:pPr>
      <w:r>
        <w:rPr>
          <w:rFonts w:ascii="Amiri" w:hAnsi="Amiri" w:eastAsia="Amiri" w:cs="Amiri"/>
          <w:color w:val="111111"/>
          <w:sz w:val="28"/>
          <w:sz w:val="28"/>
          <w:szCs w:val="28"/>
          <w:rtl w:val="true"/>
          <w:lang w:bidi="ar-SA"/>
        </w:rPr>
        <w:t>مِنَ اللَّهِ الْعَزِيزِ الْحَكِيمِ لِفُلَانِ بْنِ فُلَانَةَ؛ إفْعَلْهُ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ثَلَاثٍ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خِيَرَةً مِنَ اللَّهِ الْعَزِيزِ الْحَكِيمِ لِفُلَانِ بْنِ فُلَانَةَ؛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ضَعْهَا تَحْتَ مُصَلَّاكَ ثُمَّ صَلِّ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فَرَغْتَ فَاسْجُدْ سَجْدَةً وقُلْ فِيهَا 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اسْتَوِ جَالِساً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خِرْ لِي واخْتَرْ لِي فِي جَمِيعِ أُمُورِي فِي يُسْرٍ مِنْكَ وعَافِيَةٍ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اضْرِبْ بِيَدِكَ إِلَى الرِّقَاعِ فَشَوِّشْهَا وأَخْرِجْ وَاحِدَةً؛ فَإِنْ خَرَجَ ثَلَاثٌ مُتَوَالِيَاتٌ افْعَلْ فَافْعَلِ الْأَمْرَ الَّذِي تُرِيدُهُ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 ثَلَاثٌ مُتَوَالِيَاتٌ لَا تَفْعَلْ فَلَا تَفْعَلْهُ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خَرَجَتْ وَاحِدَةٌ افْعَلْ والْأُخْرَى لَا تَفْعَلْ فَأَخْرِجْ مِنَ الرِّقَاعِ إِلَى خَمْسٍ؛ فَانْظُرْ أَكْثَرَهَا فَاعْمَلْ بِهِ ودَعِ السَّادِسَةَ لَا تَحْتَاجُ إِلَيْهَا</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تبيّن استخارة ذات الرقاع المعروفة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واستشكل عليها بضعف السند بسهل بن زياد وأحمد بن محمد البصري، ولكن شهرتها روايةً تجبر ضعفها، مع أنّ الكليني يروي كثيراً 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أنكر بعض علماء الرجال ما نسب إليه، ولذا قال بعضهم بأنّ الأمر في سهلٍ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البصري فهو وإن رُمي بالغلو، ولكن أنكره 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فإنّ الرواية يمكن الإعتماد عليها لشهرتها عند الأعلام</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الكليني أيضاً بسنده عن عَلِيُّ بْنُ مُحَمَّدٍ رَفَعَهُ عَنْهُمْ علیه السلام أَنَّهُ قَالَ لِبَعْضِ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سَأَلَهُ عَنِ الْأَمْرِ يَمْضِي فِيهِ ولَا يَجِدُ أَحَداً يُشَاوِرُهُ فَكَيْفَ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شَاوِرْ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الْحَاجَةَ فِي نَفْسِكَ ثُمَّ اكْتُبْ رُقْعَتَيْنِ فِي وَاحِدَةٍ لَا وفِي وَاحِدَةٍ نَعَمْ واجْعَلْهُمَا فِي بُنْدُقَتَيْنِ مِنْ 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 رَكْعَتَيْنِ واجْعَلْهُمَا تَحْتَ ذَيْلِكَ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إِنِّي أُشَاوِرُكَ فِي أَمْرِي هَذَا وأَنْتَ خَيْرُ </w:t>
      </w:r>
    </w:p>
    <w:p>
      <w:pPr>
        <w:pStyle w:val="BookText"/>
        <w:rPr/>
      </w:pPr>
      <w:r>
        <w:rPr>
          <w:rFonts w:ascii="Amiri" w:hAnsi="Amiri" w:eastAsia="Amiri" w:cs="Amiri"/>
          <w:color w:val="111111"/>
          <w:sz w:val="28"/>
          <w:sz w:val="28"/>
          <w:szCs w:val="28"/>
          <w:rtl w:val="true"/>
          <w:lang w:bidi="ar-SA"/>
        </w:rPr>
        <w:t>مُسْتَشَارٍ ومُشِيرٍ؛ فَأَشِرْ عَلَيَّ بِمَا فِيهِ صَلَاحٌ وحُسْنُ عَاقِبَةٍ؛ ثُمَّ أَدْخِلْ يَدَكَ؛ فَإِنْ كَانَ فِيهَا نَعَمْ فَافْعَلْ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فِيهَا لَا لَا تَفْعَلْ؛ هَكَذَا شَاوِرْ رَبَّكَ </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الروايات الكثيرة التي تختلف في كيفية الإستخارة وبيان أنواعها والدعاء الوارد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للمناقشة السندية فيها بعد اشتهارها رواية وعملاً من العلماء وقد تلقوها بالقبول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مشروعيتها، بل استحبابها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إنهم قد ذكروا حول الإستخارة 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جمعٌ من العامة كالطبري في تفسيره‌</w:t>
      </w:r>
      <w:r>
        <w:rPr>
          <w:rStyle w:val="FootnoteAnchor"/>
          <w:rtl w:val="true"/>
        </w:rPr>
        <w:footnoteReference w:id="154"/>
      </w:r>
      <w:r>
        <w:rPr>
          <w:rFonts w:ascii="Amiri" w:hAnsi="Amiri" w:eastAsia="Amiri" w:cs="Amiri"/>
          <w:color w:val="111111"/>
          <w:sz w:val="28"/>
          <w:sz w:val="28"/>
          <w:szCs w:val="28"/>
          <w:rtl w:val="true"/>
          <w:lang w:bidi="ar-SA"/>
        </w:rPr>
        <w:t>، والزمخشري‌</w:t>
      </w:r>
      <w:r>
        <w:rPr>
          <w:rStyle w:val="FootnoteAnchor"/>
          <w:rtl w:val="true"/>
        </w:rPr>
        <w:footnoteReference w:id="155"/>
      </w:r>
      <w:r>
        <w:rPr>
          <w:rFonts w:ascii="Amiri" w:hAnsi="Amiri" w:eastAsia="Amiri" w:cs="Amiri"/>
          <w:color w:val="111111"/>
          <w:sz w:val="28"/>
          <w:sz w:val="28"/>
          <w:szCs w:val="28"/>
          <w:rtl w:val="true"/>
          <w:lang w:bidi="ar-SA"/>
        </w:rPr>
        <w:t>من أنّ الإستخارة هي الإستقسام بالأزلام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فسق كما يدل عليه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تَسْتَقْسِمُوا بِالْأَزْلَامِ ۚ ذَٰلِكُمْ فِسْقٌ</w:t>
      </w:r>
      <w:r>
        <w:rPr>
          <w:rFonts w:eastAsia="Amiri" w:cs="Amiri" w:ascii="Amiri" w:hAnsi="Amiri"/>
          <w:color w:val="111111"/>
          <w:sz w:val="28"/>
          <w:szCs w:val="28"/>
          <w:rtl w:val="true"/>
          <w:lang w:bidi="ar-SA"/>
        </w:rPr>
        <w:t>)</w:t>
      </w:r>
      <w:r>
        <w:rPr>
          <w:rStyle w:val="FootnoteAnchor"/>
          <w:rtl w:val="true"/>
        </w:rPr>
        <w:footnoteReference w:id="1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جمعٌ من المفسرين في تفسير الآية أنّ العرب الجاهلية كانوا يطلبون الخير وقسمة الأرزاق بالأزلام وهي جمع الزلم؛ وهو السهم الذي لا ريش عليه، فكانوا يتفألون بها في أمورهم ويطلبون ما هو الخير من فعل أو ترك بتلك الأزلام في جميع أمورهم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الإستسقام عند شخص معين يكون بمنزلة السادن لتلك السهام المحترمة عندهم التي كتب على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بعضها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وبعضها غفل ولم يكتب عليها شيء</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أرادوا سفراً أو أمراً يهّمون به عمدوا إلى السهام وضربوا عليها، فإذا خرج السهم الذي كتب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يمضي في حاجته، وإن خرج السهم الذي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نهاني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يقدم على ذلك الأمر، وإن خرج سهم الغفل أعادوا العمل حتى يتبيّن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فقالوا بأنّ هذا العمل عين الإستخارة فيكون عملها والمضيّ على طبقها حراماً وفسقاً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الشبهة باطلة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المفسرين ذكروا معانٍ متعددة للإستقسام بالأزلام منها هذا التفسير، وأغلبها مخالفة لظاهر الآية الشريفة التي هي في مقام بيان تمييز الحلال عن الحرام في المأكولات وما هو المذكى وغير المذكى واللحوم المحرمة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من قائل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الْمَيْتَةُ وَالدَّمُ وَلَحْمُ الْخِنْزِيرِ وَمَا أُهِلَّ لِغَيْرِ اللَّهِ بِهِ وَالْمُنْخَنِقَةُ وَالْمَوْقُوذَةُ وَالْمُتَرَدِّيَةُ وَالنَّطِيحَةُ وَمَا أَكَلَ السَّبُعُ إِلَّا مَا ذَكَّيْتُمْ وَمَا ذُبِحَ عَلَى النُّصُبِ وَأَنْ تَسْتَقْسِمُوا بِالْأَزْلَامِ ۚ ذَٰلِكُمْ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الإستقسام بالأزلام راجعاً إلى مضمون الآية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ويرشد إلى ذلك ما نقل في تفسيره من أنّ الأغنياء في الجاهلية إذا أجدبت سنة كانوا يشترون جزوراً ويجزؤنه أجزاء، وكانت عندهم سهام عشرة وهي الأزلام؛ أي القطع التي لا ريش لها وكانت بيد أمين ولها عشرة أسماء معروفة</w:t>
      </w:r>
      <w:r>
        <w:rPr>
          <w:rStyle w:val="FootnoteAnchor"/>
          <w:rtl w:val="true"/>
        </w:rPr>
        <w:footnoteReference w:id="157"/>
      </w:r>
      <w:r>
        <w:rPr>
          <w:rFonts w:ascii="Amiri" w:hAnsi="Amiri" w:eastAsia="Amiri" w:cs="Amiri"/>
          <w:color w:val="111111"/>
          <w:sz w:val="28"/>
          <w:sz w:val="28"/>
          <w:szCs w:val="28"/>
          <w:rtl w:val="true"/>
          <w:lang w:bidi="ar-SA"/>
        </w:rPr>
        <w:t>فكان الأمين يجعل السهام في خريطة ويستخرج كلُّ واحد من المقامرين واحدةً من تلك السهام ويأخذ سهمه فالفذ يأخذ سهماً والتوأم يأخذ سهمان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خرج له أحد السهام المهملة يغرم ثمن الجزور ولا سهم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فالله سبحانه وتعالى نهى عنأكل مثل هذا اللحم لأنَّه مأخوذ بالقمار، وهذا التفسير هو الموافق لظاهر الآية الشريفة، ولا ربط لها بالإستخارة المعروفة كما تقدم فلا تشملها الآية حتى تكون منهية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تفسير الإستقسام بالأزلام وجه آخر كما ذكره الطبري</w:t>
      </w:r>
      <w:r>
        <w:rPr>
          <w:rStyle w:val="FootnoteAnchor"/>
          <w:rtl w:val="true"/>
        </w:rPr>
        <w:footnoteReference w:id="158"/>
      </w:r>
      <w:r>
        <w:rPr>
          <w:rFonts w:ascii="Amiri" w:hAnsi="Amiri" w:eastAsia="Amiri" w:cs="Amiri"/>
          <w:color w:val="111111"/>
          <w:sz w:val="28"/>
          <w:sz w:val="28"/>
          <w:szCs w:val="28"/>
          <w:rtl w:val="true"/>
          <w:lang w:bidi="ar-SA"/>
        </w:rPr>
        <w:t>في تفسيره عن ابن إسحاق؛ أنهم يستقسمون بالأزلام بعد ما يقربون إلى هُبل الهدية ويتوسلون به ويوكلون الأمر إليه والدعاء لطلب الخير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أنه شرك صريح، وأين هذا من الإستخارة التي قلنا بأنها تفويض الأمر إلى الله تعالى والإستعانة به فهي طاعة وعبادة، فلا تقاس مع عبادة الأصنام، فهل يقاس الشرك بالتوحيد وعبادة الله تعالى والخضوع له وتفويض الأمر إليه؛ فيكون شأنها شأن القرعة التي فيها تفويض الأمر إلى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الشبهة باطلة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الشبهة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الأردبيلي</w:t>
      </w:r>
      <w:r>
        <w:rPr>
          <w:rStyle w:val="FootnoteAnchor"/>
          <w:rtl w:val="true"/>
        </w:rPr>
        <w:footnoteReference w:id="159"/>
      </w:r>
      <w:r>
        <w:rPr>
          <w:rFonts w:ascii="Amiri" w:hAnsi="Amiri" w:eastAsia="Amiri" w:cs="Amiri"/>
          <w:color w:val="111111"/>
          <w:sz w:val="28"/>
          <w:sz w:val="28"/>
          <w:szCs w:val="28"/>
          <w:rtl w:val="true"/>
          <w:lang w:bidi="ar-SA"/>
        </w:rPr>
        <w:t>من أن هذه الآية ربما تدل على تحريم هذا النوع الخاص وهو ما إذا كانت الإستخارة على نحو الإستقسام بالسهام، ومعناه طلب معرفة ما قسم له عن طريق الرجم بالغيب، وهو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والإستخارة المشهورة التي قال الأكثر بجوازها، بل استحبابها من هذا القبيل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 الآية الشريفة بمعزل عن الإستخارة بالكلية على ما ورد في تفسيرها من طرقنا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القبول بأنّ الآية لها معنيان؛ أحدهما طلب ما قسم لهم من الغيب في الأفعال، والآخر أن يطلبوا ما قسم لهم من الجزور؛ فيكون اللفظ مردداً بينهما، فلا بُدَّ من البحث عن القرينة التي تعيّن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أن الثاني هو المتعيّن لظاهر الآية الشريفة التي وردت في بيان المحرمات ورواية الخصال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الإستخارة لم تكن رجماً بالغيب، لكنها تؤدي إليه وهو ضلال، والإعتقاد به افتراء على الله سبحانه، وقد حرّم الإستقسام من هذه الجهة لأنّ الله تعالى لا </w:t>
      </w:r>
    </w:p>
    <w:p>
      <w:pPr>
        <w:pStyle w:val="BookText"/>
        <w:rPr/>
      </w:pPr>
      <w:r>
        <w:rPr>
          <w:rFonts w:ascii="IRNazanin" w:hAnsi="IRNazanin" w:eastAsia="IRNazanin"/>
          <w:color w:val="111111"/>
          <w:sz w:val="28"/>
          <w:sz w:val="28"/>
          <w:szCs w:val="28"/>
          <w:rtl w:val="true"/>
          <w:lang w:bidi="fa-IR"/>
        </w:rPr>
        <w:t xml:space="preserve">يريد للإنسان أن يرجم بالغيب وليس أن يبتدع طريقاً لذلك غير ما أراده الله عَزَّ وَجَلَّ والذي يعرّفه بواسطة رسله وأنبيائه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ما عرفت من أنّ الإستخارة طاعة وعبادة وتسليم وتفويض الأمر إلى الله تعالى والتوكل عليه؛ فيكون المتيقن عند المؤمنين أنهم لا ينطلقون من ناحية الرجم بالغيب، بل يتحركون في أمورهم وحياتهم من منطلق الإبتهال إلى الله عَزَّ وَجَلَّ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في مقام استكشاف الواقع بالإستعانة بالله تعالى لأنَّه عالم الغيب والشهادة بتسليم الأمر له، بخلاف الإستقسام بالأزلام لأنَّه إماشرك أو إهمال للواحد الأحد، والرجوع إلى طريق آخر ليوصلهم إلى الغيب فيكون رجماً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فالإستخارة والإستقسام متباينان حقيقة ووجداناً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الشبهة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الإستدلال بالروايات وسيرة العلماء على مشروعية الإستخارة واستحبابها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تناقش سنداً، والثانية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يكون منشؤها رجاء المطلوبية وليس مشروعيتها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يعتمد على قاعدة التسامح في أدلة السنن في إثبات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المعروف أنّ هذه القاعدة إنَّما تثبت الإنقياد ونيل الثواب لا أن تثبت الحجية والحكم الشرعي كالإستحباب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ذهب جمعٌ من العلماء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الإتيان بالإستخارة إنَّما يكون برجاء المطلوبية لا بعنوان الورود والمشروعية، إذ لا يمكن إثباتها بالطرق المعروفة عند الفقهاء مطلقاً سواء كان ذلك على طريقة الإستخارة بالرقاع أو بالمسبحة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بعضهم في توجيه ذلك أنّ هذه الإستخارة المشهورة بيننا لم تكن موجودة بين القدماء وإنما هي شهرة متأخرة منذ زمن السيد ابن طاووس قدس سره الخبير في الأدعية والإستخارات، وبما أنه معروف بين العلماء وغيرهم بالثقة والتقديس فقد أخذوا الإستخارة وأنواعها منه ولو لم يكن على الطريق العلمي المعهود </w:t>
      </w:r>
    </w:p>
    <w:p>
      <w:pPr>
        <w:pStyle w:val="BookText"/>
        <w:rPr/>
      </w:pPr>
      <w:r>
        <w:rPr>
          <w:rFonts w:ascii="Amiri" w:hAnsi="Amiri" w:eastAsia="Amiri" w:cs="Amiri"/>
          <w:color w:val="111111"/>
          <w:sz w:val="28"/>
          <w:sz w:val="28"/>
          <w:szCs w:val="28"/>
          <w:rtl w:val="true"/>
          <w:lang w:bidi="ar-SA"/>
        </w:rPr>
        <w:t>بين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كله تحفّظ من الإستخارة ابن إدريس، والمحقق في المعتبر، وكثير من العلماء المتأخرين منهم المحقق الهمداني قدس سره كما يلوح ذلك منه</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كثرة الروايات الواردة في الإستخارة وشهرتها روايةً عند الرواة والمحدثين ونقلها في الكتب الحديثية المعتبرة لا سيما بعد وجود قرائن داخلية فيها؛ والتي لا تخفى على الفطن الخبير المأنوس بكلام الأئمة الهداة علیهم السلام فإنَّ جميع ذلك مِمّا يوجب الإطمئنان بصحة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يكون هناك توقف في بعض الخصوصيات مِمّا لم يتم عليها الدليل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العلماء قد تلقوها بالقبول والعمل وإن اختلفوا في الشدة والضعف بينهم، ولكنه لم يعهد عدم العمل بها أصلاً حتى يقال أنها قد حدثت بعد حياة السيد ابن طاووس قدس سره ؛ فإنَّها دعوى لم تثبت، وعلى فرض القبول فإنّ شدة اهتمام العلماء من بعده والإلتزام بالإستخارة على نحو الإلتزام بالواجبات لا يمكن أن يكون عملاً بشيء لم يكن مشروعاً وإنما يأتون بها برجاء المطلوبية</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فإنّ صاحب الجواهر قدس سره بعد استعراض كلمات المخالفين وانتقادها،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في السرائر من الإقتصار في الإستخارة على ذات الصلاة والدعاء، ثم فعل ما يقع في القلب، والتشديد في الإنكار على الإستخارة بالرقاع والبنادق والقرعة،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رواتها فطحية مثل زرعة ورفاعة وغيرهماملعونون، فلا يلتفت إلى ما اختصا بروايته، والمحصلون من أصحابنا ما يختارون في كتب الفقه إلا ما اخترناه، ولا يذكرون البنادق والرقاع والقرعة إلا في كتب العبادات دون كتب الفقه، فشيخنا أبو جعفر لم يذكر في نهايته ومبسوطه واقتصاده إلا ما ذكرناه واخترناه، وكذلك شيخنا المفيد في رسالته إلى ولده لم يتعرض للرقاع ولا للبنادق، بل أورد روايات كثيرة فيها صلوات وأدعية، ولم </w:t>
      </w:r>
    </w:p>
    <w:p>
      <w:pPr>
        <w:pStyle w:val="BookText"/>
        <w:rPr/>
      </w:pPr>
      <w:r>
        <w:rPr>
          <w:rFonts w:ascii="Amiri" w:hAnsi="Amiri" w:eastAsia="Amiri" w:cs="Amiri"/>
          <w:color w:val="111111"/>
          <w:sz w:val="28"/>
          <w:sz w:val="28"/>
          <w:szCs w:val="28"/>
          <w:rtl w:val="true"/>
          <w:lang w:bidi="ar-SA"/>
        </w:rPr>
        <w:t>يتعرض لشي‌ء من الرقاع، والفقيه عبد العزيز أورد ما اخترناه،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الإستخارة وجوه عديدة أحسنها ما ذكرناه، وأيضاً فالإستخارة في كلام العرب الدعاء، وهو من استخارة الوحش، وذلك بأن يأخذ القانص ولد الظبية، فيفرك أذنيه فيبغم، فإذا سمعت أمه بغامه لم تملك أن تأتيه فترمي بنفسها عليه فيأخذها القانص حينئذٍ، واستدل على ذلك بقول حميد بن ثور الهلالي،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يونس بن حبيب اللغوي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معنى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استخرت الله استفعلت من الخير؛ أي سألت الله أن يوفق لي خير الأشياء؛ أي أفضلها، فمعنى صلاة الإستخارة على هذا صلاة الدعاء؛ محل للنظر من وجوه، وإن تبعه المصنف فيما حكي من معتبره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الرقاع وما يتضمن إفعل ولا تفعل ففي حيّز الشذوذ، نحو ما يحكى عن بعض نسخ المقنعة من أن هذه الرواية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مشيراً به إلى رواية الرقاع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شاذة ليست كالذي تقدم، لكنّا أوردناها على وجه الرخصة دون محض العمل، لكن عن ابن طاوس أنّ النسخ الصحيحة العتيقة لم توجد فيها هذه الزيادة، ولم يتعرض الشيخ في التهذيب لها،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قد اعتبرت كلما قدرت عليه من كتب أصحابنا المتقدمين والمتأخرين، فما وجدت ولا سمعت أنّ أحداً أبطل هذه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ولقد أجاد الفاضل في المختلف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أن نقل ما سمعته من السرائر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الكلام في غاية الرداءة، وأي فرق بين ذكره في كتب الفقه وكتب العبادات، فإنّ كتب العبادة هي المختصة به، ومع ذلك فقد ذكره المفيد في المقنعة وهي كتاب فقه، والشيخ في التهذيب وهوأصل الفقه، وأيّ محصل أعظم من هذين، وهل استفيد الفقه إلا منهما، وأما نسبة الرواية إلى زرعة ورفاعة فخطأ، فإنّ المنقول روايتان ليس فيهما زرعة ولا رفاعة، ثم أخذ يشنع عليه بعدم معرفته بالروايات والرجال، وأنّ زرعة ورفاعة ليسا من الفطحية، وأنّ مَن حاله كذلك كيف يجوز له أن يقدم على رد الروايات والفتاوى، ويستبعد ما نص عليه الأئمة علیهم السلام ، وهلا استبعد القرعة وهي مشروعة إجماعاً في حق الأحكام الشرعية </w:t>
      </w:r>
    </w:p>
    <w:p>
      <w:pPr>
        <w:pStyle w:val="BookText"/>
        <w:rPr/>
      </w:pPr>
      <w:r>
        <w:rPr>
          <w:rFonts w:ascii="Amiri" w:hAnsi="Amiri" w:eastAsia="Amiri" w:cs="Amiri"/>
          <w:color w:val="111111"/>
          <w:sz w:val="28"/>
          <w:sz w:val="28"/>
          <w:szCs w:val="28"/>
          <w:rtl w:val="true"/>
          <w:lang w:bidi="ar-SA"/>
        </w:rPr>
        <w:t>والقضاء بين الناس، وشرعها دائم في جميع المكلفين، وأمر الإستخارة سهل يستخرج منه الإنسان معرفة ما فيه الخير في بعض أفعاله المباحة المبتنية عليه منافعها ومضارها الدنيوية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طاوس في كتاب الإستخارات رداً على السرائر أيضاً أنه ما روينا عن زرعة وسماعة شيئاً، وإنما روينا عمن اعتمد عليه ثقات أصحابنا، وكأنّ ماحضره من نسخة السرائر فيها إبدال رفاعة بسماعة، وعن وسائل الحر أنّ ابن طاوس روى الإستخارة بالرقاع بعدة طرق، وفي الذكرى إنكار ابن إدريس الإستخارة بالرقاع لا مأخذ له مع اشتهارها بين الأصحاب وعدم راد لها سواه وسوى الشيخ نجم الدين في المعتبر، وكيف تكون شاذة وقد دونها المحدثون في كتبهم والمصنفون في مصنفاتهم، وقد صنف السيد السعيد العالم العابد صاحب الكرامات الظاهرة والمآثر الباهرة أبوالحسن علي بن طاوس الحسني كتاباً ضخماً في الإستخارات، واعتمد فيه على رواية الرقاع</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نقلنا كلامه قدس سره لما فيه من الفوائد الجمّة في علم الفقه لا سيما طريقة المناقشة العلمية والتعامل مع الروايات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جعلنا كلمات أمثاله من الأعلام مقياساً في علم الفقه فإننا نرى الفرق الكبير بين ما يجري في عصرنا الحاضر وما كان عليه أعلامنا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العلم الذي يعتمد على قواعد وأسس متينة؛ غير ما هو الموجود في الفقه المعاصر</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الإعتماد على قاعدة التسامح فهي وإن لم تثبت حكماً شرعياً سوى الإنقياد ونيل الثواب، ولكن يمكن القول بأنّ اعتماد العلماء على رواية ضعيفة والإلتزام بمؤداها بما يشبه الإلتزام بواجباتها مِمّا يكشف عن ثبوت الإستحباب عندهم، لا مجرد رجاء المطلوبية ونيل الثواب كما في الموضوع الذي نحن فيه فتدبر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بعض العلماء أنّ الإستخارة تارة؛ يكون المقصود منها مشاورة الله سبحانه وطلب الخير منه عَزَّ وَجَلَّ ثم يمضي، وأخرى؛ يكون المقصود منها معرفة الواقع الذي يستخير عليه بحيث يرجع إلى المواضعة بين المستخير وبين الله تعالى –كما هو المتعارف في هذه الأعصار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والداعي إلى فعلها حسن الظن بالله عَزَّ وَجَلَّ، فهو خير مستشار ومشير لأنَّه لا تخفى عليه خافية ولا يغشّ من استنصحه واستخاره وتوكل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بحدّ ذاته أمر راجح عقلاً وشرعاً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المواضعة التي ترجع إلى تعليق فعله على حصول الأمر الذي جعل له علامة في الإستخارة بحيث يكون عدد المسبحة زوجاً أو فرداً ونحو ذلك والإعتماد على هذه العلامة وجعلها طريقاً لاستكشاف كونه مصلحة له؛ فهو ناشئ من حسن الظن بالله تعالى، وهو لا يخيّب من رجاه؛ فهو أمر لا محذور فيه، بل راجح شرعاً وعرفاً وعقلاً ما لم يقصد بفعله التعبّد والتوظيف، وإلا فهو تشريع محرّم ما لم يدل عليه دليل معتبر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والإستناد على الأخبار الضعيفة كما هو الشأن في أغلب الروايات المنقولة عن غير الكتب المعتبرة غير صحيح إلا أن يعتمد على قاعدة التسامح وقد عرفت أنها محلّ تأمّل؛ فمن يريد العمل بذلك فالأحوط له عدم قصد التوظيف في شيء من ذلك بأن لا يقصد الإنسان أنّ هذه وظيفته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إنه لا يمكن الإعتماد على هذه الطرق والوسائل على أساس أنها قد ورد التشريع فيها بحيث نستطيع أن نعتمد عليه ونقول أنّ استخارة ذات الرقاع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ثابتة وصحيحة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والشهرة بين الأصحاب؛ إما أن يكون منشؤها فعل شخص، أو حسن الظن باللّه سبحانه وتعالى، أو باعتبارها من الناحية الروحية؛ ولكن ليس عندنا ما يثبت أنّ ذلك ثابت في الشريعة كوسيلة من وسائل اكتشاف الغيب بفعل الإنسان، وهذا الذي ذهب إليه المحقق الهمداني وغيره من إتيان الإستخارة بهذه الطريقة فلا بُدَّ أن يكون برجاء </w:t>
      </w:r>
    </w:p>
    <w:p>
      <w:pPr>
        <w:pStyle w:val="BookText"/>
        <w:rPr/>
      </w:pPr>
      <w:r>
        <w:rPr>
          <w:rFonts w:ascii="IRNazanin" w:hAnsi="IRNazanin" w:eastAsia="IRNazanin"/>
          <w:color w:val="111111"/>
          <w:sz w:val="28"/>
          <w:sz w:val="28"/>
          <w:szCs w:val="28"/>
          <w:rtl w:val="true"/>
          <w:lang w:bidi="fa-IR"/>
        </w:rPr>
        <w:t xml:space="preserve">المطلوبية، وبشرط أن لا يستعملها استعمالاً يعطل الجانب الفكري أو جانب الإستشارة لديه لقوله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شَاوِرْ رَبَّك</w:t>
      </w:r>
      <w:r>
        <w:rPr>
          <w:rFonts w:eastAsia="IRNazanin" w:cs="IRNazanin"/>
          <w:color w:val="111111"/>
          <w:sz w:val="28"/>
          <w:szCs w:val="28"/>
          <w:rtl w:val="true"/>
          <w:lang w:bidi="fa-IR"/>
        </w:rPr>
        <w:t>)</w:t>
      </w:r>
      <w:r>
        <w:rPr>
          <w:rStyle w:val="FootnoteAnchor"/>
          <w:rtl w:val="true"/>
        </w:rPr>
        <w:footnoteReference w:id="1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إذا كان مجال للمشاورة فلا تتأنَّ بالإستخارة، وهو الذي يقتضيه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ﱥﱝ ﱞ ﱟﱠﱤ</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وتحقيق الكلام؛ إنه بعدما عرفت من أنّ الإستخارة طاعة وعبادة لله الواحد الأحد لأنّ فيها تفويض الأمر إليه عَزَّ وَجَلَّ وتوكّل عليه وطلب الخير منه وتسليم الأمر إليه بحيث أنّ ما يقضي به الله سبحانه عليه هو الخير ولو لم يكن موافقاً لما يريده أو يكون مخالفاً؛ وهذه الإستخارة إنَّما يتوسل بها المؤمن لإثبات الطمأنينة في نفسه بعد الإضطراب وعدم القناعة بما يحصل 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إذا كان المؤمن مطمئناً أو كان له سبيل في رفع اضطرابه من المشاورة والإستنصاح من إخوته لا يرجع إلى الإستخارة إلا نادراً، وهذه هي الحقيقة التي عليها العلماء والصالحين في الإستخارة، وهي المستفادة من الروايات الواردة فيها، وأما غير ذلك مِمّا هو دائر عند العوام فلا شأن للعلماء به ولا بدَّ من تصحيحه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إشكال في أصل الإستخارة وأدلتها، ولم يخطر ببال المستخيرين من أنها تعيّن الواقع أو يكون فيها الرجم بالغيب كما تتوهمه أذهان من يشك فيها، بل ليست هي مواضعة بين المستخير وبين الله تعالى فيدعو المستخير الله لأن يريد الصالح في ما يستخير عليه، فهي نوع من الدعاء بهذه الكيفية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اعترف المستشكل المزبور بأنها حسن الظن بالله تعالى وخير مشاور ومستشير وتوكل عليه؛ فإن خرجت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أقدم عليه ويراه المستشير خيراً له حتى لو كان على خلاف ما يريد، فلو كانت المواضعة بهذا المعنى فهي ليست إلا من الخير ونوع من العبادة </w:t>
      </w:r>
      <w:bookmarkStart w:id="158" w:name="pg15367_180886"/>
    </w:p>
    <w:p>
      <w:pPr>
        <w:pStyle w:val="BookText"/>
        <w:rPr/>
      </w:pPr>
      <w:bookmarkEnd w:id="158"/>
      <w:r>
        <w:rPr>
          <w:rFonts w:ascii="Amiri" w:hAnsi="Amiri" w:eastAsia="Amiri" w:cs="Amiri"/>
          <w:color w:val="111111"/>
          <w:sz w:val="28"/>
          <w:sz w:val="28"/>
          <w:szCs w:val="28"/>
          <w:rtl w:val="true"/>
          <w:lang w:bidi="ar-SA"/>
        </w:rPr>
        <w:t>والطاعة فيكون مشروعاً بالأدلة العامة التي تدل على حسن الطاعة لله تعالى وعبادته ورجحانهما شرعاً وعقلاً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هو الذي تثبته أخبار الإستخارة إلا أن يكون مقصود المستخير معرفة الغيب كما يحصل بعض العوام؛ وهو أمر منهيّ عنه، ولا بدَّ من إرشاده وتصحيح نيّته، فلا إشكال في صحة إتيان الإستخارة على نحو المشروعية والإستحباب بهذا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إما وهم فلابُدَّ من تصحيحه، أو لا يرجع إلى منهج العلماء والمتدينين فلا يصحّ إرجاع ذلك إلى الروايات ثم ردّها</w:t>
      </w:r>
      <w:r>
        <w:rPr>
          <w:rFonts w:eastAsia="Amiri" w:cs="Amiri" w:ascii="Amiri" w:hAnsi="Amiri"/>
          <w:color w:val="111111"/>
          <w:sz w:val="28"/>
          <w:szCs w:val="28"/>
          <w:rtl w:val="true"/>
          <w:lang w:bidi="ar-SA"/>
        </w:rPr>
        <w:t>.</w:t>
      </w:r>
    </w:p>
    <w:p>
      <w:pPr>
        <w:pStyle w:val="Heading4"/>
        <w:numPr>
          <w:ilvl w:val="3"/>
          <w:numId w:val="1"/>
        </w:numPr>
        <w:rPr/>
      </w:pPr>
      <w:bookmarkStart w:id="159" w:name="__RefHeading___Toc5900586_2142443653"/>
      <w:bookmarkStart w:id="160" w:name="_Toc58"/>
      <w:bookmarkEnd w:id="159"/>
      <w:r>
        <w:rPr>
          <w:rtl w:val="true"/>
        </w:rPr>
        <w:t>تنبيهان</w:t>
      </w:r>
      <w:r>
        <w:rPr>
          <w:rtl w:val="true"/>
        </w:rPr>
        <w:t>:</w:t>
      </w:r>
      <w:bookmarkEnd w:id="160"/>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القرعة والإستخارة بعدما عرفت أنهما تشتركان في كونهما من مصاديق التفويض إلى أمر الله عَزَّ وَجَلَّ والتوكل عليه سبحانه كما تشتركان في عدم صحة إجرائهما في موارد الشبهات الحكمية والشبهات الموضوعية غير المقرونة بالعلم الإجمالي، ولكنهما تختلفان في أنّ قاعدة القرعة إنَّما تجري في الشبهات المقرونة بالعلم الإجمالي لاستبيان الأمر الواقعي وحلّ المشكلة فيها وفصل الخصومة بعد فقْد ما يمكن الإستناد عليه شرعاً كما تقدم تفصيله؛ فإنّ القرعة إما أن تكون كشفاً للواقع المجهول أو تكون حلاً حيث لا حلّ، فهي ضرورة لا بُدَّ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الإستخارة فإنها ليست من الضرورات كذلك؛ فإنّ هناك وسائل أخرى لرفع الحيرة والإضطراب وتحصيل القناعة بأية وسيلة كانت كالمشاورة والصدقة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كان الفرق بينهما كبيراً؛ فإنّ الحاجة إلى القرعة إنَّما تكون ملّحة وأمراً أساسياً في تنظيم أمور الناس كسائر الطرق والأمارات التي شرعها الله عَزَّ وَجَلَّ في هذا السبيل، وقد ذكرنا أنّ من شرط جريانها انحصار الطريق بها لمعرفة الحق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هذا قلنا بأنّ القرعة من الأمور العقلائية، وقد جرت عليها سيرتهم ولكن أضاف إليها الشارع بعض الأمور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الإستخارة فليس الأمر فيها كذلك فهي طلب الخير من الله عَزَّ وَجَلَّ وإرشاده إلى ما هو الأفضل بالنسبة إلى حال المستخير فقط، ولا يشترط فيها أن لا يكون في مورد جريانها فقْد كل الطرق وإنما هي من مجرد تحصيل الإطمئنان والقناعة النفسية حتى لو كان المستخير يريد من استخارته كشف الواقع مثلاً، ولكن لم يكن هذا الكشف من الرجم بالغيب، بل عن طريق الدعاء والتضرع إلى الله تعالى والتسليم لأمره حتى ولو كان الواقع على خلاف ما يريده كما تقدم تفصيل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التنبيه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المستخير تارة؛ يكون أصيلاً، وأخرى؛ يكون نائباً عن الغير؛ وكلاهما صحيحان، بل الثاني من الأمور المتعارفة حيث يرجع أحدهم إلى شخص صالح أو عالم يعتقد بتقواه وقربه إلى الله تعالى لأن يستخير له؛ لعموم أدلة الوكالة، ولكن ذكر بعض أنه لا دليل على ذلك، بل الدليل على العدم لأنَّها من الأمور التعبدية كالدعاء والصلاة والصيام والتقرب إلى الله سبحانه؛ وهي أمور غير قابلة للوكالة، مضافاً إلى أنّ الروايات التي وردت في الإستخارة لم يرد فيها ما يشير إلى النيابة في الإستخارة وأنما الوارد فيها السؤال عن الإستخارة وما يفعل، لا أن يسأل أن يستخير له الإمام علیه السلام ، فلو كان جائزاً لكانالأولى أن يطلبها من الإمام علیه السلام مباشرة بدلاً من أن يستخير هو مباشرة، ولو فرض الشك في الجواز فإنّ الأصل يقتضي عدمه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عمومات أدلة الوكالة وإطلاقاتها تكفي لشمولها المقام؛ فإنها تشمل العبادات وغيرها إلا ما خرج بالدليل، وهو مفقود كما هو مفصل في كتاب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أخبار الإستخارة لها من العموم ما يشمل النيابة فيها أيضاً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سؤال السائلين من الأئمة الطاهرين علیهم السلام عن أصل الإستخارة ومشروعيتها وكيفيتها لا ينافي الإستنابة بعد شمول عمومات أدلة الوكالة في كلِّ شيء، وعدم الوقوع </w:t>
      </w:r>
    </w:p>
    <w:p>
      <w:pPr>
        <w:pStyle w:val="BookText"/>
        <w:rPr/>
      </w:pPr>
      <w:r>
        <w:rPr>
          <w:rFonts w:ascii="Amiri" w:hAnsi="Amiri" w:eastAsia="Amiri" w:cs="Amiri"/>
          <w:color w:val="111111"/>
          <w:sz w:val="28"/>
          <w:sz w:val="28"/>
          <w:szCs w:val="28"/>
          <w:rtl w:val="true"/>
          <w:lang w:bidi="ar-SA"/>
        </w:rPr>
        <w:t>على فرضه لا يدل على عدم المشروعية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جواز الإستنابة في الإستخارة كما تجوز في الدعاء والصلوات الواجبة والمندوبة وغيرها من العبادات، ولكن مع الشروط المعينة فيها كما هي مذكورة في كتاب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الإستخارة كما عرفت هي دعاء واستشفاع إلى الله تعالى، ولا يوجد مانع من النيابة فيها ولا حاجة إلى تأويل ذلك بتأويلات بعيدة عن مساق الأخبار وذوق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هناك طرق كثيرة في الإستخارة وردت فيها روايات مذكورة في كتب الأدعية من شاء فليرجع إليها؛ ومن الطرق المعروفة هي الإستخارة بالقرآن الكريم التي ورد فيها حديث أَبِي عَلِيٍّ عَنِ الْيَسَعِ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الشَّيْ‌ءَ فَأَسْتَخِيرُ اللَّهَ فِيهِ فَلَا يُوفَقُ فِيهِ الرَّأْيُ؛ أَفْعَلُهُ أَوْ أَدَعُهُ؟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انْظُرْ إِذَا قُمْتَ إِلَى الصَّلَاةِ؛ فَإِنَّ الشَّيْطَانَ أَبْعَدُ مَا يَكُونُ مِنَ الْإِنْسَانِ إِذَا قَامَ إِلَى الصَّلَاةِ؛ فَانْظُرْ إِلَى شَيْ‌ءٍ يَقَعُ فِي قَلْبِكَ فَخُذْ بِهِ وافْتَحِ الْمُصْحَفَ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 إِلَى أَوَّلِ مَا تَرَى فِيهِ فَخُذْ بِهِ إِنْ شَاءَ اللَّهُ تَعَالَى</w:t>
      </w:r>
      <w:r>
        <w:rPr>
          <w:rFonts w:eastAsia="Amiri" w:cs="Amiri" w:ascii="Amiri" w:hAnsi="Amiri"/>
          <w:color w:val="111111"/>
          <w:sz w:val="28"/>
          <w:szCs w:val="28"/>
          <w:rtl w:val="true"/>
          <w:lang w:bidi="ar-SA"/>
        </w:rPr>
        <w:t>)</w:t>
      </w:r>
      <w:r>
        <w:rPr>
          <w:rStyle w:val="FootnoteAnchor"/>
          <w:rtl w:val="true"/>
        </w:rPr>
        <w:footnoteReference w:id="1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إشكال في دلالته على جواز الرجوع إلى المصحف بأخذ أول ما يرى فيه، وإن اختلف العلماء في المراد من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 ما ترى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فسروه بوجوه؛ أول الآيات، وأول الصحفة ، أو طبيعة الآية في ذاتها، أو بلحاظ المقام، أو السياق؛ والتفصيل مذكور في محله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وبأزاء ذلك رواية تدل على المنع من التفأول بالقرآن</w:t>
      </w:r>
      <w:r>
        <w:rPr>
          <w:rStyle w:val="FootnoteAnchor"/>
          <w:rtl w:val="true"/>
        </w:rPr>
        <w:footnoteReference w:id="165"/>
      </w:r>
      <w:r>
        <w:rPr>
          <w:rFonts w:ascii="Amiri" w:hAnsi="Amiri" w:eastAsia="Amiri" w:cs="Amiri"/>
          <w:color w:val="111111"/>
          <w:sz w:val="28"/>
          <w:sz w:val="28"/>
          <w:szCs w:val="28"/>
          <w:rtl w:val="true"/>
          <w:lang w:bidi="ar-SA"/>
        </w:rPr>
        <w:t>فإنّ المراد من التفأول الإستخارة فيقع التعارض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أنّ التفأول غير الإستخارة؛ فإنّ التفأول اكتشاف المستقبل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والإستخارة إنَّما هي طلب الخير، ولا نظر فيها إلى المستقبل واكتشافه فلا تعارض بينهما</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أردنا إثباته في المقام والتفصيل موكول إلى محله والحمد الله أولاً وآخراً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المقصد الخامس</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تعارض الأدلة الشرعية </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1" w:name="pg15367_180895"/>
      <w:bookmarkStart w:id="162" w:name="pg15367_180895"/>
      <w:bookmarkEnd w:id="162"/>
    </w:p>
    <w:p>
      <w:pPr>
        <w:pStyle w:val="Heading2"/>
        <w:numPr>
          <w:ilvl w:val="1"/>
          <w:numId w:val="1"/>
        </w:numPr>
        <w:rPr/>
      </w:pPr>
      <w:bookmarkStart w:id="163" w:name="pg15367_180895"/>
      <w:bookmarkStart w:id="164" w:name="__RefHeading___Toc5900588_2142443653"/>
      <w:bookmarkStart w:id="165" w:name="_Toc59"/>
      <w:bookmarkEnd w:id="163"/>
      <w:bookmarkEnd w:id="164"/>
      <w:r>
        <w:rPr>
          <w:rtl w:val="true"/>
        </w:rPr>
        <w:t>المقصد الخامس</w:t>
      </w:r>
      <w:r>
        <w:rPr>
          <w:rtl w:val="true"/>
        </w:rPr>
        <w:t>:</w:t>
      </w:r>
      <w:r>
        <w:rPr>
          <w:rtl w:val="true"/>
        </w:rPr>
        <w:t>تعارض الأدلة الشرعية</w:t>
      </w:r>
      <w:bookmarkEnd w:id="165"/>
    </w:p>
    <w:p>
      <w:pPr>
        <w:pStyle w:val="Heading3"/>
        <w:numPr>
          <w:ilvl w:val="2"/>
          <w:numId w:val="1"/>
        </w:numPr>
        <w:rPr/>
      </w:pPr>
      <w:bookmarkStart w:id="166" w:name="__RefHeading___Toc5900590_2142443653"/>
      <w:bookmarkStart w:id="167" w:name="_Toc60"/>
      <w:bookmarkEnd w:id="166"/>
      <w:r>
        <w:rPr>
          <w:rtl w:val="true"/>
        </w:rPr>
        <w:t>اشارة</w:t>
      </w:r>
      <w:bookmarkEnd w:id="167"/>
    </w:p>
    <w:p>
      <w:pPr>
        <w:pStyle w:val="BookText"/>
        <w:rPr/>
      </w:pPr>
      <w:r>
        <w:rPr>
          <w:rFonts w:ascii="Amiri" w:hAnsi="Amiri" w:eastAsia="Amiri" w:cs="Amiri"/>
          <w:color w:val="111111"/>
          <w:sz w:val="28"/>
          <w:sz w:val="28"/>
          <w:szCs w:val="28"/>
          <w:rtl w:val="true"/>
          <w:lang w:bidi="ar-SA"/>
        </w:rPr>
        <w:t>لا ريب إنه من مسائل علم الأصول، بل من أهم المباحث الأصولية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السيد الوالد قدس سره في مباحث الألفاظ، وقال في توجيه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لرجوعه إلى كيفية الاستفادة من الدليلين المتعارضين بحسب المحاورات العرفية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خلافاً لما عليه الأصوليون المتأخرون حيث يذكرونه في آخر مباحث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يكون الوجه في ذلك هو اشتماله على مباحث متعددة أصولية وغيرها وعدم اختصاصه بتعارض الأخبار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ما ذهب إليه السيد الوالد قدس سره لأنَّه يرجع إلى كيفية الجمع بين الروايات المتعارضة والأدلة الشرعية كذلك بحسب المحاورات، فكان انتسابه إلى الألفاظ أوفق، وإن اشتمل البحث على مباحث أخرى عقلية وغيرها إذ كل لا يخلو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فهو من أهم المباحث الأصولية لأنَّه بحث واسع الأفق ومتعدد الجوانب والأطراف، ولا يسع كل أحد الخوض فيه إلا من كان له معرفة واسعة وعلماً بأكثر العلوم الإسلامية لا سيما الفقه وأصوله والحديث وعلوم الأدب والكلام؛ ولأنَّه يتكفل البحث عن أهم القواعد الأصولية، وله الدور الكامل في الفقه، إذ تتفرع عليه كثير من المسائل الفقهية وقلّما تخلو مسألة من الروايات المتعارضة فيها وهي التي يعتمد عليها الفقيه في عملية استنباط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الكتاب يشتمل على المباحث الثلاثة المعروفة؛ التعارض، التعادل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التراجيح وخاتمة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الخوض في ذلك لا بُدَّ من بيان المصطلحات التي يستعملها الأصوليون في هذا الموضوع</w:t>
      </w:r>
      <w:r>
        <w:rPr>
          <w:rFonts w:eastAsia="Amiri" w:cs="Amiri" w:ascii="Amiri" w:hAnsi="Amiri"/>
          <w:color w:val="111111"/>
          <w:sz w:val="28"/>
          <w:szCs w:val="28"/>
          <w:rtl w:val="true"/>
          <w:lang w:bidi="ar-SA"/>
        </w:rPr>
        <w:t xml:space="preserve">. </w:t>
      </w:r>
      <w:bookmarkStart w:id="168" w:name="pg15367_180897"/>
    </w:p>
    <w:p>
      <w:pPr>
        <w:pStyle w:val="Heading3"/>
        <w:numPr>
          <w:ilvl w:val="2"/>
          <w:numId w:val="1"/>
        </w:numPr>
        <w:rPr/>
      </w:pPr>
      <w:bookmarkStart w:id="169" w:name="__RefHeading___Toc5900592_2142443653"/>
      <w:bookmarkStart w:id="170" w:name="_Toc61"/>
      <w:bookmarkEnd w:id="168"/>
      <w:bookmarkEnd w:id="169"/>
      <w:r>
        <w:rPr>
          <w:rtl w:val="true"/>
        </w:rPr>
        <w:t>تمهيد فيه أمور</w:t>
      </w:r>
      <w:bookmarkEnd w:id="170"/>
    </w:p>
    <w:p>
      <w:pPr>
        <w:pStyle w:val="Heading4"/>
        <w:numPr>
          <w:ilvl w:val="3"/>
          <w:numId w:val="1"/>
        </w:numPr>
        <w:rPr/>
      </w:pPr>
      <w:bookmarkStart w:id="171" w:name="__RefHeading___Toc5900594_2142443653"/>
      <w:bookmarkStart w:id="172" w:name="_Toc62"/>
      <w:bookmarkEnd w:id="171"/>
      <w:r>
        <w:rPr>
          <w:rtl w:val="true"/>
        </w:rPr>
        <w:t>اشارة</w:t>
      </w:r>
      <w:bookmarkEnd w:id="172"/>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هذا المبحث عناوين ثلاثة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والتعادل، والتراجيح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تعريف كل واحد من هذه المفاهيم كما سيأتي ذكره، والأجدر في ذلك هو الرجوع إلى العرف في تعريفها؛ إذ لا يخلو علم من العلوم النظرية من هذه المفاهيم ولا أظن أنّ لهم فيها اصطلاحاً خاصاً كما سيتضح ذلك من المباحث القادمة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في الأصول والفقه إصطلاحات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والتزاحم، واشتباه الحجة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والتعارض؛ عبارة عن عدم إمكان تشريع الحكمين ثبوتاً مع اجتماع شروط الحجية في دليلهما إثباتاً، فلا قصور في دليلهما في مقام الإثبات ولكن القصور قد تحقق في مقام الثبوت فقط حيث لا يكون في البين إلا حكمٌ واحد؛ وحكمه هو الترجيح في مقام الإثبات، ومع عدمه فالتخيير الإثباتي كما 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والتزاحم؛ عبارة عن عدم إمكان الجمع بين الحكمين مع اجتماع الشروط فيهما ثبوتاً وإثباتاً؛ وذلك من ناحية عدم قدرة المكلف فقط، فالحكمان تامان ملاكاً وتشريعاً وكل واحد منهما حجة في مقام الإثبات من كل جهة، ولكن المكلف لا يقدر أن يجمع بينهما فيلزم أن يكون ذلك إتفاقياً لأنّ جعل ما لا يقدر عليه المكلف دائماً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الترجيح يكون بحسب الملاك فقط لفرض تمامية الحجة عليهما في مقام الإثبات، ولو لم يوجد الترجيح الملاكي يتعين التخيير الثبوتي لا محالة</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واشتباه الحجة بغير الحجة؛ يشترك مع التعارض في أنه ليس فيه إلا حكم واحد في مقام الثبوت ولكنه يفترق عنه في مقام الإثبات؛ فإنّ الدليل فيه واحد لا تعدد فيه بوجه، فهو خارج عن مورد التعارض والتزاحم تخصصاً ولكنه يتردد بين كونه حجة أو غير حجة </w:t>
      </w:r>
    </w:p>
    <w:p>
      <w:pPr>
        <w:pStyle w:val="BookText"/>
        <w:rPr/>
      </w:pPr>
      <w:r>
        <w:rPr>
          <w:rFonts w:ascii="Amiri" w:hAnsi="Amiri" w:eastAsia="Amiri" w:cs="Amiri"/>
          <w:color w:val="111111"/>
          <w:sz w:val="28"/>
          <w:sz w:val="28"/>
          <w:szCs w:val="28"/>
          <w:rtl w:val="true"/>
          <w:lang w:bidi="ar-SA"/>
        </w:rPr>
        <w:t>كتردد رجال السندين؛ الثقة وغير الثقة، وتردد الحديث بين كونه للتقية وعدمها إلى غير ذلك من الجهات الموجبة لعدم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والمرجع فيه هو التفحّص لاستبيان هذه الأمور، وبعد الفحص واليأس عن الحجية فالمرجع هو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الشائعات في المحاورات؛ النص، والأظهر،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تقديم الأول على الأخيريين، والثاني على الأخير لما هو المتسالم في المحاورات من أنّ للنص الصلاحية للتصرف في الأخيرين، بخلاف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بالنسبة إلى الأظهر والظاهر، وهذا من المسلّمات عندهم كالتسالم على اعتبار الظواهر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البحث عنه في مباحث الألفاظ، وقلنا بأنه من الوضوح بمكان مما لا حاجة إلى إقامة البرهان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الشائعات في الفقه والأصول أيضاً؛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التصرف في الدليلين أو أحدهما بحيث إذا عرضناه على العرف حكموا بعدم التعارض بينهما مع هذا التصرف، ولكن يشترط فيه أن تدل قرينة معتبرة على هذا التصرف والجمع، وإلا كان من الجمع التبرعي الإفتراضي الذي يعبّر عنه العلماء بأنه لغو لا اعتبار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قد شاع فيما قارب هذه الأعصار بين الأعلام مصطلحا؛ الحكومة والورود، وقسّموا الأول إلى الواقعية والظاهرية، وقد تقدم في بحث الإستصحاب شرحهما على الإجمال وسيأتي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هو شائع في المحاورات أيضاً؛ التخصيص والتخصّص؛ وقد فرّق العلماء بينهما وبين الحكومة والورود بوجوه</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استقرت سيرة العلماء على تقديم الخاص على العام مطلقاً سواء كان قطعيين من حيث السند والدلالة، أو ظنيين كذلك، أو بالإختلاف؛ لأنّ الخاص قرينة على التصرف </w:t>
      </w:r>
    </w:p>
    <w:p>
      <w:pPr>
        <w:pStyle w:val="BookText"/>
        <w:rPr/>
      </w:pPr>
      <w:r>
        <w:rPr>
          <w:rFonts w:ascii="Amiri" w:hAnsi="Amiri" w:eastAsia="Amiri" w:cs="Amiri"/>
          <w:color w:val="111111"/>
          <w:sz w:val="28"/>
          <w:sz w:val="28"/>
          <w:szCs w:val="28"/>
          <w:rtl w:val="true"/>
          <w:lang w:bidi="ar-SA"/>
        </w:rPr>
        <w:t>في العام، وتقديم القرينة على ذي القرينة من الأمور القطعية عند العقلاء ومحاوراتهم ولا فرق بين كونهما في كلام واحد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التفصيل في ذلك في مباحث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النص والأظهر معلومين فلا ريب في تقديم النص على الأظهر كتقدمهما على الظاهر، وإن لم يكن أحدهما معلوماً؛ فإن أمكن تعيينه بقرينة خاصة فهو المتبع لا محالة، وإلا فإنّ النوبة تصل إلى القرائن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اختلفوا في القرائن العامة ووجودها في بعض الموارد كما سيأتي بيان ذلك إنْ شاء الله تعالى</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اشتهر بين العلماء أنّ الجمع مهما أمكن أولى من الطرح، واستدلوا عليه بأمور كلها قابلة للمناقشة، كما أنهم اختلفوا في المراد من الجمع والإمكان كما سيأتي تفصيل كل ذلك في المباحث الآتية</w:t>
      </w:r>
      <w:r>
        <w:rPr>
          <w:rFonts w:eastAsia="Amiri" w:cs="Amiri" w:ascii="Amiri" w:hAnsi="Amiri"/>
          <w:color w:val="111111"/>
          <w:sz w:val="28"/>
          <w:szCs w:val="28"/>
          <w:rtl w:val="true"/>
          <w:lang w:bidi="ar-SA"/>
        </w:rPr>
        <w:t xml:space="preserve">. </w:t>
      </w:r>
      <w:bookmarkStart w:id="173" w:name="pg15367_180903"/>
    </w:p>
    <w:p>
      <w:pPr>
        <w:pStyle w:val="Heading4"/>
        <w:numPr>
          <w:ilvl w:val="3"/>
          <w:numId w:val="1"/>
        </w:numPr>
        <w:rPr/>
      </w:pPr>
      <w:bookmarkStart w:id="174" w:name="__RefHeading___Toc5900596_2142443653"/>
      <w:bookmarkStart w:id="175" w:name="_Toc63"/>
      <w:bookmarkEnd w:id="173"/>
      <w:bookmarkEnd w:id="174"/>
      <w:r>
        <w:rPr>
          <w:rtl w:val="true"/>
        </w:rPr>
        <w:t>التعارض</w:t>
      </w:r>
      <w:bookmarkEnd w:id="175"/>
    </w:p>
    <w:p>
      <w:pPr>
        <w:pStyle w:val="BookText"/>
        <w:rPr/>
      </w:pPr>
      <w:r>
        <w:rPr>
          <w:rFonts w:ascii="Amiri" w:hAnsi="Amiri" w:eastAsia="Amiri" w:cs="Amiri"/>
          <w:color w:val="111111"/>
          <w:sz w:val="28"/>
          <w:sz w:val="28"/>
          <w:szCs w:val="28"/>
          <w:rtl w:val="true"/>
          <w:lang w:bidi="ar-SA"/>
        </w:rPr>
        <w:t>وفيه مباحث</w:t>
      </w:r>
      <w:r>
        <w:rPr>
          <w:rFonts w:eastAsia="Amiri" w:cs="Amiri" w:ascii="Amiri" w:hAnsi="Amiri"/>
          <w:color w:val="111111"/>
          <w:sz w:val="28"/>
          <w:szCs w:val="28"/>
          <w:rtl w:val="true"/>
          <w:lang w:bidi="ar-SA"/>
        </w:rPr>
        <w:t>:</w:t>
      </w:r>
    </w:p>
    <w:p>
      <w:pPr>
        <w:pStyle w:val="Heading4"/>
        <w:numPr>
          <w:ilvl w:val="3"/>
          <w:numId w:val="1"/>
        </w:numPr>
        <w:rPr/>
      </w:pPr>
      <w:bookmarkStart w:id="176" w:name="__RefHeading___Toc5900598_2142443653"/>
      <w:bookmarkStart w:id="177" w:name="_Toc64"/>
      <w:bookmarkEnd w:id="176"/>
      <w:r>
        <w:rPr>
          <w:rtl w:val="true"/>
        </w:rPr>
        <w:t>المبحث الأول</w:t>
      </w:r>
      <w:r>
        <w:rPr>
          <w:rtl w:val="true"/>
        </w:rPr>
        <w:t xml:space="preserve">: </w:t>
      </w:r>
      <w:r>
        <w:rPr>
          <w:rtl w:val="true"/>
        </w:rPr>
        <w:t>معنى التعارض</w:t>
      </w:r>
      <w:bookmarkEnd w:id="177"/>
    </w:p>
    <w:p>
      <w:pPr>
        <w:pStyle w:val="Heading5"/>
        <w:numPr>
          <w:ilvl w:val="4"/>
          <w:numId w:val="1"/>
        </w:numPr>
        <w:rPr/>
      </w:pPr>
      <w:bookmarkStart w:id="178" w:name="__RefHeading___Toc5900600_2142443653"/>
      <w:bookmarkStart w:id="179" w:name="_Toc65"/>
      <w:bookmarkEnd w:id="178"/>
      <w:r>
        <w:rPr>
          <w:rtl w:val="true"/>
        </w:rPr>
        <w:t>اشارة</w:t>
      </w:r>
      <w:bookmarkEnd w:id="179"/>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اللغوي</w:t>
      </w:r>
    </w:p>
    <w:p>
      <w:pPr>
        <w:pStyle w:val="BookText"/>
        <w:rPr/>
      </w:pPr>
      <w:r>
        <w:rPr>
          <w:rFonts w:ascii="IRNazanin" w:hAnsi="IRNazanin" w:eastAsia="IRNazanin"/>
          <w:color w:val="111111"/>
          <w:sz w:val="28"/>
          <w:sz w:val="28"/>
          <w:szCs w:val="28"/>
          <w:rtl w:val="true"/>
          <w:lang w:bidi="fa-IR"/>
        </w:rPr>
        <w:t xml:space="preserve">من المعلوم أنّ التعارض على وزن تفاعل مأخوذ من العَرضَ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بفتح أوله وسكون ثانيه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لا يتحقق إلا بين متعدد، وله معانٍ عديدة فی اللغة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المنع،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فعرض لي 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مانع من السير، ومنه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عارضه في كلامه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منعه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سميّ الرد على الدليل بالإعتراض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العرض بمعنى جعل الشيء حذاء الشيء الآخر وفي قباله، وهذه العرضية ربما تكون بين المتماثلين للمباراة بين الشيئيين، ومنه عارض فلان شعر المتنبي؛ أي أنشد مثله، وربما يكون بين المتخالفين بملاك التناقض والتكاذب بين شيئيين، فيكون أحد الشيئيين في عرض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يستفاد من كلماتهم أنه من الألفاظ المشتركة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الصحيح؛ هو أنّ مادة عرض تدل على كون شيء مقابل شيء وبحذاءه سواء كان على سبيل المنع والمخالفة أم على سبيل المماثلة، فهي ليست من الألفاظ المشتركة</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سميّ الكلامان المتكاذبان بالمتعارضين فيكون إطلاق التعارض على الدليلين المتنافيين إطلاقاً حقيقياً؛ قد فهم التقابل والتنافي من نفس لفظ التعارض لا أن يكون لازمَ معناه كما عن بعض الأصوليين</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المعنى الإصطلاحي</w:t>
      </w:r>
    </w:p>
    <w:p>
      <w:pPr>
        <w:pStyle w:val="BookText"/>
        <w:rPr/>
      </w:pPr>
      <w:r>
        <w:rPr>
          <w:rFonts w:ascii="Amiri" w:hAnsi="Amiri" w:eastAsia="Amiri" w:cs="Amiri"/>
          <w:color w:val="111111"/>
          <w:sz w:val="28"/>
          <w:sz w:val="28"/>
          <w:szCs w:val="28"/>
          <w:rtl w:val="true"/>
          <w:lang w:bidi="ar-SA"/>
        </w:rPr>
        <w:t>ذكر الأصوليون تعاريف عديدة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ذكره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 الشيخ الأنصاري قدس سره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مدلولي الدليلين على وجه التناقض أو التضاد</w:t>
      </w:r>
      <w:r>
        <w:rPr>
          <w:rFonts w:eastAsia="Amiri" w:cs="Amiri" w:ascii="Amiri" w:hAnsi="Amiri"/>
          <w:color w:val="111111"/>
          <w:sz w:val="28"/>
          <w:szCs w:val="28"/>
          <w:rtl w:val="true"/>
          <w:lang w:bidi="ar-SA"/>
        </w:rPr>
        <w:t>)</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شرحه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المتأخرون تبعاً للمحقق الخراساني قدس سره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تنافي الدليلين أو الأدلة بحسب الدلالة ومقام الإثبات على وجه التناقض أو التضاد</w:t>
      </w:r>
      <w:r>
        <w:rPr>
          <w:rFonts w:eastAsia="Amiri" w:cs="Amiri" w:ascii="Amiri" w:hAnsi="Amiri"/>
          <w:color w:val="111111"/>
          <w:sz w:val="28"/>
          <w:szCs w:val="28"/>
          <w:rtl w:val="true"/>
          <w:lang w:bidi="ar-SA"/>
        </w:rPr>
        <w:t>)</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 من ذلك إخراج موارد الجمع العرفي عن تعريف المشهور لأنّ التنافي بين المدلولين ثابت في موارد الجمع العرفي أيضاً فيشمله تعريف المشهور، بخلاف تعريفالمحقق الخراساني فإنَّه لا يشمله لعدم التنافي بحسب الدلالة مع وجود الجمع العرفي</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المحقق النائيني قدس سره </w:t>
      </w:r>
      <w:r>
        <w:rPr>
          <w:rStyle w:val="FootnoteAnchor"/>
          <w:rtl w:val="true"/>
        </w:rPr>
        <w:footnoteReference w:id="169"/>
      </w:r>
      <w:r>
        <w:rPr>
          <w:rFonts w:ascii="Amiri" w:hAnsi="Amiri" w:eastAsia="Amiri" w:cs="Amiri"/>
          <w:color w:val="111111"/>
          <w:sz w:val="28"/>
          <w:sz w:val="28"/>
          <w:szCs w:val="28"/>
          <w:rtl w:val="true"/>
          <w:lang w:bidi="ar-SA"/>
        </w:rPr>
        <w:t>على تعريف المشهور بأنَّه لا يشمل موارد الجمع العرفي لعدم التنافي بين المدلولين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فصل السيد الخوئي قدس سره </w:t>
      </w:r>
      <w:r>
        <w:rPr>
          <w:rStyle w:val="FootnoteAnchor"/>
          <w:rtl w:val="true"/>
        </w:rPr>
        <w:footnoteReference w:id="170"/>
      </w:r>
      <w:r>
        <w:rPr>
          <w:rFonts w:ascii="Amiri" w:hAnsi="Amiri" w:eastAsia="Amiri" w:cs="Amiri"/>
          <w:color w:val="111111"/>
          <w:sz w:val="28"/>
          <w:sz w:val="28"/>
          <w:szCs w:val="28"/>
          <w:rtl w:val="true"/>
          <w:lang w:bidi="ar-SA"/>
        </w:rPr>
        <w:t>الكلام في توضيح عبارة أستاذه قدس سره بما لا حاجة إلى ذلك كما يأتي بيانه إنْ شاء الله تعالى، وذلك لأنه اعتبر في الجمع العرفي وجود قرينة على التصرف في الدليلين أو أحدهما بحيث إذا عرضناه على العرف بعد التصرف لا يعدّهما متعارضين أو متنافيين كان بينهما حكومة أو تخصيص أو ورود وتخصص أو الظاهر والأظهر ونحو ذلك، كما سيتضح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والوجه في عدول المتأخرين عن تعريف المشهور يرجع إلى 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الخراساني قدس سره لا يرى التلازم بين التنافي بين المدلولين، والتنافي بين الدلالتين فاعتقد بأنّ الأول ثابت في موارد الجمع العرفي دون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المحقق النائيني قدس سره ومن تبعه ينفي التنافي بين المدلولين في موارد الجمع العرفي فضلاً عن التنافي بين الدلالتين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المحققَين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يتفقان على لزوم إخراج موارد الجمع العرفي عن تعريف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المتعارف ما اختاره السيد الصدر قدس سره </w:t>
      </w:r>
      <w:r>
        <w:rPr>
          <w:rStyle w:val="FootnoteAnchor"/>
          <w:rtl w:val="true"/>
        </w:rPr>
        <w:footnoteReference w:id="171"/>
      </w:r>
      <w:r>
        <w:rPr>
          <w:rFonts w:ascii="Amiri" w:hAnsi="Amiri" w:eastAsia="Amiri" w:cs="Amiri"/>
          <w:color w:val="111111"/>
          <w:sz w:val="28"/>
          <w:sz w:val="28"/>
          <w:szCs w:val="28"/>
          <w:rtl w:val="true"/>
          <w:lang w:bidi="ar-SA"/>
        </w:rPr>
        <w:t>من أنّ التعارض هو التنافي بين المدلولين ذاتاً بلحاظ مرحلة فعلية المجعول التي هي متأخرة عن مرتبة الجعل باعتبار أنّ الدليل يتكفل الجعل لا فعلية المجعول؛ فكلما كان تنافٍ بين المدلولين فإنَّما يكون بلحاظ مرحلة المجعول؛ بمعنى عدم إمكان اجتماع المدلولين معاً في مرتبة الفعلية، فإنَّه في هذه الصورة يصدق التعارض بهذا المعنى سواء كان هذا التنافي ناشئاً من التنافي بين الجعلين أم لا، وبذلك تنحل مشكلة عدم شمول التعريف موارد الورود أيضاً الذي هو موضع الإختلاف بينهم لأنّ في هذه الموارد لا يمكن اجتماع الفعليين، وإن كان اجتماع الجعليين ممكناً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حاول قدس سره الجواب عن الوجوه الثلاثة المتقدمة التي أوجبت العدول عن تعريف المشهور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وقبل الدخول في تفاصيل النقاش في تلك التعاريف ينبغي شرح تعريف المشهور الذي ورد فيه الدليل، والمدلول، والدلالة، والتنافي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الدليل؛ فقد عرفّه الأصوليون بأنه ما يمكن التوصل به بصحيح النظر فيه إلى مطلوب خبري؛ سواء كان ذلك التوصل علمياً أو ظنياً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مقام العمل فإنهم يقولون بأنّ الدليل؛ كل ما يمكن التعويل عليه في الشريعة المقدسة لمعرفة الأحكام أو موضوعاتها سواءً كان عقلياً أم شرعياً معتبراً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ومرادهم من المطلوب الخبري ما ينتزع من الخطاب الإنشائي كوجوب الصلاة أو حرمة الربا ونحوهما، وإلا فإنّ الإنشاء مجرد البعث أو الزجر، وهما لا واقعية لهما حتى يمكن تحصيلها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الدليل؛ إما أن يكون اجتهادياً أو يكون فقاهتياً، كما إنه؛ إما أن يكون تعبدياً محضاً أو لا يكون كذلك، كما هو مفصّل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من الدليلين؛ الأعم من الإثنين والأكثر، لما عرفت من أنّ التعارض من التفاعل، وهو لا يكون إلا بين متعدد، وإنما اقتُصر على الإثنين لأنَّه أظهر الأفراد فيكون ذكر الأدلة في تعريف المتأخرين إستدراك لا وجه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المراد من الإثنينية؛ الأعم من الإثنينية الحقيقية كالوجوب والحرمة، أو تكون حكمية كما في الدليل الواحد فإنَّه يعارض نفسه بالنسبة إلى فردين، كما لو حفر المالك بئراً في داره تضرّ بجاره فإنّ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يعارض نفسه فيه؛ فالمالك يتضرر إذا منع من حفرها، والجار يتضرر بحفرها؛ فإنّ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يعارض نفسه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الأمر في تعارض الإستصحابين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المدلول؛ فالمراد به واضح وهو ما يدل عليه الدليل، وتنافي المدلولين؛ هو إمتناع الاجتماع بينهما على نحو التناقض أو التضاد ولا يكفي مجرد التنافي من دون أن يكون كذلك؛ فإنّ بين العام والخاص والحاكم والمحكوم تنافٍ ولكن لا على نحو التضاد أو التناقض فلا يدخل مثل ذلك في التعريف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الدلالة؛ فهي بمعنى ما يلزم منه العلم بشيء آخر، أو ما يحصل به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تنافي الدلالتين؛ فهو دلالة كل واحد من الدليلين على ما يمتنع اجتماعه مع مدلول الآخر بحيث يكون بين مدلولين المنافاة والمدافعة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كانت بالذات؛ كما لو دلَّ أحد الدليلين على حكم شرعي معين والآخر على عدمه، أم كانت المدافعة بالعرض فيما إذا قام دليل ثالث على عدم اجتماعهما كما إذا دلّ أحد الدليلين على وجوب الظهر يوم الجمعة، والآخر على وجوب صلاة الجمعة في يومها، ولكن قام الإجماع –وهو دليل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عدم اجتماع الوجوبين للظهر والجمعة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تقييد التنافي بالمدلولين أو الدلالة؛ إما لإخراج التنافي بحسب الأمر كما في موارد التزاحم فإذا دلَّ الدليل على إنقاذ الغريق، والدليل الآخر على إطفاء الحريق، أو وجوب الصلاة، فابتلى المكلف في مقام العمل ولم يتمكن من إتيانهما دفعة واحدة فيكون التزاحم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لإخراج الدليلين المتنافيين بحسبالمرتبة كما إذا دلّ أحدهما على حكم لموضوع في مرتبة الظاهر، والآخر دلّ عليه في مرتبة الواقع فإنّ التنافي بينهما إنَّما يكون باختلاف المرتبة لا بين المدلولين ولا في الدلالة؛ مثال ذلك ما إذا دلّ دليل على نجاسة شيء في الواقع ودلّ آخر على طهارته في الظاهر، فإنّ التنافي بينهما في المرتبة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يختص التعارض في حدّ ذاته بدليل دون دليل، بل يجري في جميع الأدلة من الكتاب والسنة والإجماع والعقل، ويحصل التعارض بين كل منهما مع نفسه أو مع غيره إلا في القطعيين منهما، ولكن الأصوليين خصصوا بحث التعارض بخصوص الأمارات الشرعية في الأحكام الشرعية، كما ستعرف إنْ شاء الله تعالى</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المراد بإثنينية الدليلين الأعم من الإثنينية الشخصية؛ كما لو كان دليل واحد شخصي يعارضه دليل واحد شخصي آخر، أو الإثنينية النوعية؛ كما لو كانت أدلة أكثر من واحد </w:t>
      </w:r>
    </w:p>
    <w:p>
      <w:pPr>
        <w:pStyle w:val="BookText"/>
        <w:rPr/>
      </w:pPr>
      <w:r>
        <w:rPr>
          <w:rFonts w:ascii="Amiri" w:hAnsi="Amiri" w:eastAsia="Amiri" w:cs="Amiri"/>
          <w:color w:val="111111"/>
          <w:sz w:val="28"/>
          <w:sz w:val="28"/>
          <w:szCs w:val="28"/>
          <w:rtl w:val="true"/>
          <w:lang w:bidi="ar-SA"/>
        </w:rPr>
        <w:t>يعارضها دليل واحد، أو أدلة أكثر من واحد أعم من أن يكون على وجه يعارض كل منها كل واحد من صاحبيه؛ كما لو دلَّ دليل على وجوب شيء والآخر على إباحته والثالث على حرمته، أو يكون على وجه يعارض واحد منها، أو أكثر الأدلة متعاضدة دالة على معنى واحد؛ كما لو دلّ دليل واحد أو أكثر على وجوب شيء ودلت أدلة أكثر من واحد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 المراد بالدليل الأعم من النوع كتعارض السنة مع الكتاب، أو مع الإجماع، أو مع العقل، أو يكون بحسب الصنف؛ كتعارض أصناف السنة بعضها مع بعض مثل تعارض القول والفعل والتقرير والإجماع المنقول وغيرها من أصناف السنة، وكتعارض البراءة والإشتغال والإستصحاب وغيرها من أصناف الدليل العقلي، وكتعارض الإجماع المحقق والمنقول والبسيط والمركب ونحوها من أصناف الإجماع مِمّا سياتي بيانه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المراد من التعريفين الآخرين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الإختلاف بين التعريفين؛ المشهور والمتأخرين؛ هو في شمول الأول لموارد الجمع العرفي دون الأخير الذي تداركه بتبديل لفظ المدلول إلى لفظ الدلالة ومقام الإثبات، وإنّ الأول يختص بالدليلين فلا يشمل الأدلة المتعارضة فأُدرج في التعريف لفظ الأدلة لتدارك ذلك</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ذكروه في تعريف التعادل لم يكن من الأمور الشرعية التي لا بُدَّ من التعبد بها؛ لا سيما إذا لم تسلم من الإشكال من وجوه فلا بُدَّ من الرجوع إلى العرف في تعيين معناه، فإذا عرضنا الدليلين اللذين هما حجة في مقام الإثبات فإنهما يدلان على حكمين لا يمكن ثبوتهما معاً في الواقع، فإنّ العرف يرى التكاذب بينهما بحيث لا يمكن اجتماع مدلولهما كالدليلين الدال أحدهما على حكم والآخر يدل على ضده أو سلبه، فإنّ العرف يعتبره منالتعارض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لم يكن بين الدليلين تكاذب فلا يحكم بالتعارض كما </w:t>
      </w:r>
    </w:p>
    <w:p>
      <w:pPr>
        <w:pStyle w:val="BookText"/>
        <w:rPr/>
      </w:pPr>
      <w:r>
        <w:rPr>
          <w:rFonts w:ascii="Amiri" w:hAnsi="Amiri" w:eastAsia="Amiri" w:cs="Amiri"/>
          <w:color w:val="111111"/>
          <w:sz w:val="28"/>
          <w:sz w:val="28"/>
          <w:szCs w:val="28"/>
          <w:rtl w:val="true"/>
          <w:lang w:bidi="ar-SA"/>
        </w:rPr>
        <w:t>في موارد الدليل المورود مع الدليل الوارد، أو الدليل الإجتهادي مثل الأمارات مع الدليل الفَقاهتي كالأصل، أو الدليل المطلق مع الدليل المقيد، أو الدليل العام مع الدليل الخاص، أو الدليل المحكوم مع الدليل الحاكم، أو الدليل الظاهر مع الدليل الأظهر، وكموارد الجمع العرفي التي ليس بينها التكاذب والتنافي بعدما أمكن العرف الجمع بينهما ولا يتحير في المراد فيهما وإن صدرت من متكلم واحد عاقل وكان في الوهلة الأولى يرى التنافي ولكنه بالتأمل في تلك الموارد يحكم بعدمه فيجمع بينهما بوجه مقبول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يرى قوة أحد الدليلين من حيث الصدور في هذه الموارد ضرورة أنّ منشأ التنافي وعدمه هو الدلالة لا الصدور فإنَّه لا ريب في أنّ القطع بالصدور لا يوجب قوة الدلالة، ولا الظن بالصدور يوجب ضعف الدلالة، فإنَّ العرف هو المتبع في دلالة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موضوع التعارض هو التحيّر في الحجة، فإذا كان العرف يجمع بينهما فلا تحيّر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إن كان مراد العلماء في تعريف التعارض ما ذكرناه من المعنى العرفي فلا بأس، ولكن لا وجه للمناقشة فيها بما يناسب التعاريف الفلسفية، فإنّ العرف أوسع منها وأبسط بلا ريب ولا إشكال، وإذا أردنا اختيار أحد تلك التعاريف فالتعريف المشهور هو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لما ذكرناه دافع المحقق النائيني قدس سره عنه بشدة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عليه من أنَّه يشمل موارد الجمع العرفي أو لا يشمل موارد الورود؛ فقد عرفت أنهما خارجان عن التعارض عرفاً فلا يدخلان فيه أصلاً حتى يستشكل عليه</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تعريف السيد الصدر قدس سره مبني على دفع تلك الإشكالات، وقد عرفت عدم دخولها في التعارض حتى نحتاج إلى زيادة قيد أو حذفه، مع أنّ تعريفه قدس سره أشبه بشرح تعريف المشهور من كونه تعريفاً مستقلاً، فإنَّه لا إشكال في أنّ التعارض إنَّما يصدق بعد الجعل وفي مرحلة المجعول ودلالته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التفصيل الذي ذكره السيد الخوئي قدس سره في شرح كلام استاذه المحقق النائيني قدس سره فإنَّه من التطويل الذي لا طائل تحته بعد الإحاطة بما ذكرناه، فمن شاء فليرجع إلى تقريراته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اعتبروا في التنافي بين الدليلين أن يكون على وجه التناقض 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الوجه في تقييدهم بذلك لأنَّهم أرادوا إخراج الموارد التي يكون فيها مطلق التنافي من دون أن يرجع إلى التناقض أو التضاد فلا حاجة إلى التكرار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التنافي في التناقض هو التنافي بالإيجاب والسلب؛ كما إذا دلّ أحد الدليلين على وجوب شيء، والآخر دلَّ على سلب الوجوب عنه فإنَّهما يكونانمتناقضين بحسب الدلالة، كما أنّ المراد من التنافي في التضاد هو دلالة كل منهما على أمر وجودي منافٍ للآخر؛ كما إذا دلَّ أحدهما على الوجوب والآخر دلَّ على الحرمة أو الإستحباب فإنَّهما يكونان متضادين بحسب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على هذا التفصيل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المتعارضين لا يُنحصر فيهما؛ فقد يكونان متنافيين مع دلالة كل واحد منها على السلب كما إذا دل أحدهما على سلب الوجوب عن صلاة الجمعة مثلاً، ودلَّ الآخر على سلب جواز تركها فإنّ الدليلين متنافيين مع أنّ كل منهما دال على السلب</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إرجاع دلالتهما إلى المتناقضين؛ فإنّ سلب الوجوب يقتضي جواز الترك فيكون الدليل الدال على سلبه مناقضاً له ولولا ذلك لما كان بينهما تنافياً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ذكروا التناقض والتضاد لأنَّهما أغلب الأفراد، فلا يستشكل في المقام بأنه بناءً على هذا الجواب يقتضي الإستغناء عن التضاد إذا أرادوا منهما المعنى العرفي؛ فإنهما؛ إن كان من قبيل السلب والإيجاب سمّي عند العرف تناقضاً، وما كان بينهما تنافٍ من قبيل الوجوديين كالوجوب والجواز سمّي عندهم تضاداً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يجعل بعض الفقهاء بين صلاة </w:t>
      </w:r>
    </w:p>
    <w:p>
      <w:pPr>
        <w:pStyle w:val="BookText"/>
        <w:rPr/>
      </w:pPr>
      <w:r>
        <w:rPr>
          <w:rFonts w:ascii="Amiri" w:hAnsi="Amiri" w:eastAsia="Amiri" w:cs="Amiri"/>
          <w:color w:val="111111"/>
          <w:sz w:val="28"/>
          <w:sz w:val="28"/>
          <w:szCs w:val="28"/>
          <w:rtl w:val="true"/>
          <w:lang w:bidi="ar-SA"/>
        </w:rPr>
        <w:t>الجمعة وصلاة الظهر في يوم الجمعة تضاداً مع أنه لا تضاد بينهما بحسب الإصطلاح، وإنما عَرَضَ لهما التنافي في هذا اليوم من جهة دليل آخر يدل على عدم وجوبهما معاً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عليه بالمتخالفين العامين من وجه؛ كما لو دلَّ الدليل على وجوب إكرام كل عالم، ودلَّ الدليل الآخر على عدم إكرام أهل البلد الفلاني؛ فإنَّ هذين الدليلين يتنافيان في العالم من ذلك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يرجع إلى المتناقضين أيضاً بالنسبة إليه؛ لأنَّ أحدهما يدل على وجوبه، والآخر يدل على عدم وجوبه، وهذا المقدار يكفي في التناقض بينهما بحسب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الإيراد بما إذا كان التقابل بينهما بنحو العدم والملكة؛ كما لو دلَّ الدليل على صحة البيع في يوم الجمعة والآخر على فساده، فإنَّ تقابل الصحة والفساد يكون على نحو تقابل العدم والملكة؛ إذ أنَّ الفساد وسلب الصحة يكونان عما من شأنه أن 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 يظهر من الجواب الأول</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إذا دلَّ الدليل على وجوب صلاة الجمعة، ودلَّ الآخر على وجوب صلاة الظهر فيها؛ فإنّ التعارض بينهما إنَّما حصل بسبب العلم الإجمالي بعدم وجوب أحدهما، ولولاه لما كان تضادّ ولا تناقض بين وجوب صلاة الجمعة وبين وجوب صلاة الظهر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والجواب عنه يظهر من الجواب الأول؛ فإنّ المراد من التناقض والتضاد هو المعنى العرفي كما في المقام فإنّ العلم الإجمالي هو الذي أوجد التضاد لأنَّه دلَّ على عدم اجتماع وجوبهما؛ فهما متضادان كما تقدم</w:t>
      </w:r>
      <w:r>
        <w:rPr>
          <w:rFonts w:eastAsia="Amiri" w:cs="Amiri" w:ascii="Amiri" w:hAnsi="Amiri"/>
          <w:color w:val="111111"/>
          <w:sz w:val="28"/>
          <w:szCs w:val="28"/>
          <w:rtl w:val="true"/>
          <w:lang w:bidi="ar-SA"/>
        </w:rPr>
        <w:t xml:space="preserve">. </w:t>
      </w:r>
      <w:bookmarkStart w:id="180" w:name="pg15367_180921"/>
    </w:p>
    <w:p>
      <w:pPr>
        <w:pStyle w:val="Heading5"/>
        <w:numPr>
          <w:ilvl w:val="4"/>
          <w:numId w:val="1"/>
        </w:numPr>
        <w:rPr/>
      </w:pPr>
      <w:bookmarkStart w:id="181" w:name="__RefHeading___Toc5900602_2142443653"/>
      <w:bookmarkStart w:id="182" w:name="_Toc66"/>
      <w:bookmarkEnd w:id="180"/>
      <w:bookmarkEnd w:id="181"/>
      <w:r>
        <w:rPr>
          <w:rtl w:val="true"/>
        </w:rPr>
        <w:t>أنواع تنافي الدليلين</w:t>
      </w:r>
      <w:bookmarkEnd w:id="182"/>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في مرحلة الدلالة المطابقية، كما إذا دلَّ دليل على وجوب شيء ودلَّ آخر على عدم وجوبه أو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 مرحلة الدلالة التضمنية، كما في العامّين من وجه، لأنّ كلاً منهما يدل على بعض ما دلَّ عليه الآخر، ومنه ما لو اختلف الدليلان بالكلّ والجزء،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قرص الخبز بأجمعه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 ربعه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ومنه العام والخاص والمطلق والمقيد عند بعضهم، وإلا فقد ذكرنا أنه لا منافات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مرحلة الدلالة الإلتزامية كالمفهومين المتنافيين، كما إذا دلَّ الدليل على أنّ منْ أفطر متعمداً فعليه الكفارة، ودلَّ آخر على أنه إذا سافر وأفطر فلا كفارة عليه، فإنّ مفهوم الأول إذا لم يفطر متعمداً فلا كفارة عليه سواء سافر أم لا، ومفهوم الثاني إن لم يسافر وأفطر فعليه الكفارة سواء تعمد الإفطار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مطلق التنافي ولكن تحقُّق التعارض في هذه الأنواع يتوقف على تحقق شروطه</w:t>
      </w:r>
      <w:r>
        <w:rPr>
          <w:rFonts w:eastAsia="Amiri" w:cs="Amiri" w:ascii="Amiri" w:hAnsi="Amiri"/>
          <w:color w:val="111111"/>
          <w:sz w:val="28"/>
          <w:szCs w:val="28"/>
          <w:rtl w:val="true"/>
          <w:lang w:bidi="ar-SA"/>
        </w:rPr>
        <w:t>.</w:t>
      </w:r>
    </w:p>
    <w:p>
      <w:pPr>
        <w:pStyle w:val="Heading5"/>
        <w:numPr>
          <w:ilvl w:val="4"/>
          <w:numId w:val="1"/>
        </w:numPr>
        <w:rPr/>
      </w:pPr>
      <w:bookmarkStart w:id="183" w:name="__RefHeading___Toc5900604_2142443653"/>
      <w:bookmarkStart w:id="184" w:name="_Toc67"/>
      <w:bookmarkEnd w:id="183"/>
      <w:r>
        <w:rPr>
          <w:rtl w:val="true"/>
        </w:rPr>
        <w:t>شروط تحقق التعارض</w:t>
      </w:r>
      <w:bookmarkEnd w:id="184"/>
    </w:p>
    <w:p>
      <w:pPr>
        <w:pStyle w:val="BookText"/>
        <w:rPr/>
      </w:pPr>
      <w:r>
        <w:rPr>
          <w:rFonts w:ascii="Amiri" w:hAnsi="Amiri" w:eastAsia="Amiri" w:cs="Amiri"/>
          <w:color w:val="111111"/>
          <w:sz w:val="28"/>
          <w:sz w:val="28"/>
          <w:szCs w:val="28"/>
          <w:rtl w:val="true"/>
          <w:lang w:bidi="ar-SA"/>
        </w:rPr>
        <w:t>من جميع ما ذكرناه يُعلم الشروط التي لا بُدَّ من توفرها ليتحقق التعارض المبحوث عنه في المقام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بين مدلولي الدليلين في مرتبة واحدة؛ بأن يكون الدليل المعارض دالاً على الحكم المنافي في مرتبة الحكم الذي عليه الدليل الآخر</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إذا دلَّ أحد الدليلين على وجوب شيء في الواقع، والآخر يدل على حرمته في الواقع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يدل أحد الدليلين على حلية الشيء في الظاهر، والآخر يدل على حرمته في </w:t>
      </w:r>
    </w:p>
    <w:p>
      <w:pPr>
        <w:pStyle w:val="BookText"/>
        <w:rPr/>
      </w:pPr>
      <w:r>
        <w:rPr>
          <w:rFonts w:ascii="Amiri" w:hAnsi="Amiri" w:eastAsia="Amiri" w:cs="Amiri"/>
          <w:color w:val="111111"/>
          <w:sz w:val="28"/>
          <w:sz w:val="28"/>
          <w:szCs w:val="28"/>
          <w:rtl w:val="true"/>
          <w:lang w:bidi="ar-SA"/>
        </w:rPr>
        <w:t>الظاهر؛ كما في مشكوك الحلّية والحرمة المعلوم حرمته سابقاً فإنّ أصالة الحلّ تدل على حليته في مرحلة الظاهر، واستصحاب حرمته يدل على الحرمة ظاهراً وهكذا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فلو اختلفت المرتبة فلا تعارض، كما إذا دلَّ أحد الدليلين على الحكم الواقعي والآخر المعارض على الحكم الظاهري فلا تعارض بينهما لاختلاف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عقد الأصوليون لهذا القسم بحثاً مستقلاً أسموه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الترتب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هذا الباب ما إذا دلَّ على أحد الحكمين المتلازمين واقعاً، ولكن دلَّ آخر على غير الملازم في الظاهر فإنَّه لا يكون بينهما تعارض لأنّ التلازم كان بينهما في الواقع لا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ما إذا توضأ بماء مشتبه بالبول فإنَّه يحكم بطهارة بدنه لدليل أصالة الطهارة، ويحكم عليه بإعادة وضوءه لاستصحاب الحدث مع أنه في الواقع تكون طهارة بدنه باستعمال المشتبه ملازمة لصحة وضوءه، إلا أنّ هذه الملازمة كانت في الواقع، والإنفكاك بينهما إنَّما كان في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الأمثلة على ذلك أيضاً تحريم إحدى الأختين على من ادّعى زوجيته للأخرى مع إنكار الأخرى لذلك، فإنّ دليل تحريم إحدى الأختين لا تعارض دليل جواز تزويج المنكرة من غيره؛ فإنّ التحريم والجواز في الفرع المذكور وإن كانا متنافيين في مرتبة الواقع إذ تحريم إحدى الأختين لازمه زوجية الأخرى التي ادّعى أنها زوجته فيحرم زواجها من غيره لا جوازه، ولكن في الظاهر يجوز ذلك بلا إشكال</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التكاذب بين الدليلين لعدم اجتماع مدلوليهما عرفاً بالتفصيل الذي ذكرناه؛ فلا يشترط في تحققه توفّر جميع الوحدات الثمان التي ذكرها المناطقة في المتناقضين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الموضوع، والمحمول، والمكان، والزمان، والشرط، والإضافة، ووحدة الجزء والكل، ووحدة القوة والفعل وغيرها</w:t>
      </w:r>
      <w:r>
        <w:rPr>
          <w:rStyle w:val="FootnoteAnchor"/>
          <w:rtl w:val="true"/>
        </w:rPr>
        <w:footnoteReference w:id="1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مراد الأصوليين في هذا المقام هو مجرد بيان </w:t>
      </w:r>
    </w:p>
    <w:p>
      <w:pPr>
        <w:pStyle w:val="BookText"/>
        <w:rPr/>
      </w:pPr>
      <w:r>
        <w:rPr>
          <w:rFonts w:ascii="Amiri" w:hAnsi="Amiri" w:eastAsia="Amiri" w:cs="Amiri"/>
          <w:color w:val="111111"/>
          <w:sz w:val="28"/>
          <w:sz w:val="28"/>
          <w:szCs w:val="28"/>
          <w:rtl w:val="true"/>
          <w:lang w:bidi="ar-SA"/>
        </w:rPr>
        <w:t>تكاذب الدليلين لعدم اجتماع مدلوليهما بالنظر العرفي سواء كان ذلك بالذات أم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إشتراط بعض تلك الوحدات الثمان يكون من البديهيات لعدم تحقق التكاذب بينهما عرفاً بدونها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الحجية للدليلين في مقام الإثبات؛ فلا قصور في حجيتها وإنما لم نعلم بصدورهما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قالوا بعدم شمول أخبار التعارض لمقطوعي الصدور، فلو علمنا بصدور الدليلين المتعارضين قطعاً فلا بُدَّ أن تكون الحال فيه على أحد وجوه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الدليلان مقطوعي الصدور ومقطوعي الجهة لبيان الواقع؛ مثل ما لو تعارضت آيتان، أو آية مع خبر متواتر، أو خبران متواتران، أو خبرا آحاد مقرونان بالقرائن الموجبة للقطع بالصدور والجهة؛ ففي هذه الحالة إن أمكن الجمع العرفي بينهما بأن كان أحدهما أظهر أو حاكماً فإنَّه يحمل أحدهما على الآخر، وإن لم يكن كذلك فإنَّه يُحكم عليهما بالإجمال العرضي لأنَّه مع القطع بالصدور والقطع بالجهة يحصل لنا القطع بأنّ الظاهر من أحدهما أو كليهما غير مراد، فلعله كانت قرينة في البين قد سقطت ولم نطلع عليها فلم يكن تكاذب بينهما قطعاً فلا يكونان من المتعارضين، بل يمكن دعوى توافقهما للقطع بسقوط القرينة التي تقتضي توافقهما وذلك لاستحالة التناقض والتنافي في كلام الحكيم فكيف بالمعصوم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يعرض الإجمال لهما بواسطة هذا القطع بسقوط القرينةالتي ينكشف بها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إنّ الإجمال يوجب سقوط الدليل مطلقاً عن الحجية في مؤداها إلا أنهما حجة في القدر المتيقن منهما لو وجد، كما أنهما حجة في نفي الحكم المخالف لهما، فلا يجوز الرجوع إلى الأصل المخالف لهما للقطع بذلك الحاصل من القطع بصدورهما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يؤخذ بالقدر المتيقن لو وجد، ويعمل بالأصل الموافق له دون المخالف له لظهور المجمل في ذلك، والظهور حجة لما هو المعروف من أنّ الإجمال يمنع عن الحجية بمقداره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والتفصيل مذكور في محله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الدليلان نصيين؛ بأن كانا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كونهما مقطوعي الصدور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مقطوعي الدلالة لا يحتمل وجود قرينة على خلاف ظاهر أحدهما؛ ففي هذه الصورة لا يمكن الجمع العرفي بينهما لكونهما نصين مقطوعي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القول بأنهما من المتعارضين؛ لعدم تكاذبهما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مع القطع بالصدور والقطع بالدلالة يحصل لنا القطع بعدم كون أحدهما لبيان الواقع، فلا يكون مراداً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أنه لا تكاذب بين دليلين مختلفي الجهة، فيكون المقام من باب الإشتباه بغير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الدليلان مشكوكي الظاهر وحجيته؛ بأن يكونا مقطوعي الصدور وكان لكل واحد منهما ظاهر هو حجة، وجهة صدور لبيان الواقع لو لم يُبتلَ بالمعارض فإذا ابتلى بالمعارض فالأمر لا يخلو؛ إما أن يكون الظاهر غير مراد، أو أنّ الواقع غير مقصود بيانه من أحدهما أو كليهما، والحكم حينئذٍ؛ إن أمكن الجمع العرفي بينهما بأن يكون أحدهما أظهر أو حاكماً جُمع بينهما لأنّ أصالة الجهة تجري في كل منهما ولا يلزم من ذلك العلم بعدم حجية أحدها إجمالاً، وإنْ لم يمكن الجمع العرفي بينهما فإنْ كان أحدهما مخالفاً للكتاب أو موافقاً لمذهب المخالفين فلا بُدَّ من الطرح وإلا فالحكم ما ذكرناه في الوجه الأول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أحدهما قطعي الصدور والآخر ظني الصدور؛ فإن أمكن الجمع العرفي بينهما بالوجه الذي ذكرناه سابقاً يتعين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صحّ تخصيص عموم القرآن الكريم بالخبر الظني الصدور، وإنْ لم يمكن الجمع العرفي فالأولى الأخذ بقطعي الصدور، لأنّ قطعي الصدور أولى من الأخذ بالأوثق والأعدل ونحوهما، كما في مظنوني الصدور عند المشهور، وسيأتي مزيد بيان إنْ شاء الله تعالى</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التكاذب في مورد التعارض مستنداً لامتناع اجتماع مدلوليهما؛ إما بالذات أو بالعرض كما تقدم بيانه، فلا يكون من التعارض مجردُ العلم بكذب أحد </w:t>
      </w:r>
      <w:bookmarkStart w:id="185" w:name="pg15367_180930"/>
    </w:p>
    <w:p>
      <w:pPr>
        <w:pStyle w:val="BookText"/>
        <w:rPr/>
      </w:pPr>
      <w:bookmarkEnd w:id="185"/>
      <w:r>
        <w:rPr>
          <w:rFonts w:ascii="Amiri" w:hAnsi="Amiri" w:eastAsia="Amiri" w:cs="Amiri"/>
          <w:color w:val="111111"/>
          <w:sz w:val="28"/>
          <w:sz w:val="28"/>
          <w:szCs w:val="28"/>
          <w:rtl w:val="true"/>
          <w:lang w:bidi="ar-SA"/>
        </w:rPr>
        <w:t>الدليلين إجمالاً حتى لو كان العلم حاصلاً من دليل قطعي من دون أن يكون ما يدل على امتناع اجتماع مدلوليهما؛ إذ لم يكذّب أحدهما الآخر لا بالذات ولا بالعرض، وإنما علم بكذب أحدهما إجمالاً وأنه غير مطابق للواقع؛ كما لو قام خبر معتبر على وجوب الإقامة للصلاة، وقام خبر معتبر آخر على وجوب الأذان لها وحصل لنا علم إجمالي بكذب أحدهما؛ إما من إجماع محقق، أوخبر معتبر على ذلك فإنّ أدلة التعارض لا تشمل هذا القسم، بل يتعامل معه معاملة اشتباه الحجة بغير الحجة، وهذا بخلاف ما إذا حصل علم إجمالي بامتناع اجتماع وجوب الأذان مع وجوب الإقامة فيكونان من المتعارضين فيترتب عليهما حكم التعارض</w:t>
      </w:r>
      <w:r>
        <w:rPr>
          <w:rFonts w:eastAsia="Amiri" w:cs="Amiri" w:ascii="Amiri" w:hAnsi="Amiri"/>
          <w:color w:val="111111"/>
          <w:sz w:val="28"/>
          <w:szCs w:val="28"/>
          <w:rtl w:val="true"/>
          <w:lang w:bidi="ar-SA"/>
        </w:rPr>
        <w:t>.</w:t>
      </w:r>
    </w:p>
    <w:p>
      <w:pPr>
        <w:pStyle w:val="Heading5"/>
        <w:numPr>
          <w:ilvl w:val="4"/>
          <w:numId w:val="1"/>
        </w:numPr>
        <w:rPr/>
      </w:pPr>
      <w:bookmarkStart w:id="186" w:name="__RefHeading___Toc5900606_2142443653"/>
      <w:bookmarkStart w:id="187" w:name="_Toc68"/>
      <w:bookmarkEnd w:id="186"/>
      <w:r>
        <w:rPr>
          <w:rtl w:val="true"/>
        </w:rPr>
        <w:t>مناقشة ما ذكره الأصوليون في المقام</w:t>
      </w:r>
      <w:bookmarkEnd w:id="187"/>
    </w:p>
    <w:p>
      <w:pPr>
        <w:pStyle w:val="BookText"/>
        <w:rPr/>
      </w:pPr>
      <w:r>
        <w:rPr>
          <w:rFonts w:ascii="Amiri" w:hAnsi="Amiri" w:eastAsia="Amiri" w:cs="Amiri"/>
          <w:color w:val="111111"/>
          <w:sz w:val="28"/>
          <w:sz w:val="28"/>
          <w:szCs w:val="28"/>
          <w:rtl w:val="true"/>
          <w:lang w:bidi="ar-SA"/>
        </w:rPr>
        <w:t>بعد الإحاطة بما تقدم بيانه في تعريف التعادل وما يرتبط به من أقسامه وأنواعه وما أورد عليه؛ يظهر أنه لا وجه للتفاصيل التي ذكرها الأصوليون في المقام، فإنَّها خارجة عن إطار المفاهيم العرفية، وكلها من التطويل الذي لا طائل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 بعض ما قالوه ويتبيّن الوجه في سائرها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القول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المحقق النائيني قدس سره إلى أنّ تعريف المشهور لا يشمل موارد الجمع العرفي لعدم التنافي بين المدلولين في هذه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أوضح السيد الخوئي قدس سره ذلك في كلام طويل 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الدليلين؛ إما أن يكون نسبة أحدهما إلى الآخر على نحو التخصيص، أو الحكومة، أو التخصّص، أو الورود؛ فإنَّه في جميع ذلك لا يكون بينهما تنافٍ بين مدلوليهما فيخرجان عن التعارض؛ أما التخصّص؛ فإنَّ خروجه عن التعارض من الواضحات لأنَّه يرجع إلى الخروج الموضوعي بمعنى خروج موضوع أحد الدليلين عن موضوع الدليل الآخر وجداناً، فلا يتصور التنافي بين الدليلين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ومثله الورود؛ فإنّ فيه رفع أحد الدليلين لموضوع الدليل الآخر تكويناً بعناية التعبد الشرعي، كما في قيام الأمارة في موارد الأصول العملية فإنَّه يرتفع موضوع تلك الأصول وجداناً لكن بواسطة التعبد الشرعي كما تقدم بيانه فلا منافاة بينهما، فتخرج موارد الورود عن التعارض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الحكومة؛ فهي إما أن تكون على نحو الشرح اللفظي والتفسير، كأن يكون أحدهما بمدلوله اللفظي شارحاً للمراد من الدليل الآخر بأي أسلوب كان؛ كما إذا اشتمل أحدهما على أداة التفسير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غير ذلك، فإنّ دليل الحاكم يكون نافياً للحكم في دليل المحكوم إما بلسان نفي الموضوع، أو بلسان نفي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يكون أحد الدليلين رافعاً بمدلوله لموضوع الحكم في الدليل الآخر وإن لم يكن على أسلوب الشرح كحكومة الأمارات على الأصول الشرعية، فإنّ قيام الأمارة يوجب رفع موضوع الأصل بالتعبد الشرعي فلا تنافي بينهما حتى يدخل في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الدليل الحاكم يتقدم على المحكوم ولو كان بينهما عموم من وجه لارتفاع موضوع المحكوم في مادة الإجتماع بلا فرق بين كون الحاكم أقوى دلالة من المحكوم أو أضعف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التخصيص؛ فإنّ الوجه في خروجه من التعارض أنّ الخاص قرينة على المراد من ظهور العام بلا فرق بين كونها متصلة أو المنفصلة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 فرق بين القرينة القطعية والقرينة الظنية كالخبر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واعتبر قدس سره كون دليل الخاص حاكماً على دليل العام، فأرجع التخصيص إلى الحكومة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لا يخلو عن تعقيد حتى بحسب النظر الأصولي</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بالنظر العرفي الذي تبتني عليه تلك المصطلحات فإنّ في جميع تلك الموارد يكون أحد الدليلين قرينة على تعيين الظهور، ولا ريب في تقدم القرينة على ذيها من دون أن يكون تعارض بين القرينة وذي القرينة أبداً وينطبق عليها عنوان واحد وهو الجمع العرفي، فلا </w:t>
      </w:r>
    </w:p>
    <w:p>
      <w:pPr>
        <w:pStyle w:val="BookText"/>
        <w:rPr/>
      </w:pPr>
      <w:r>
        <w:rPr>
          <w:rFonts w:ascii="Amiri" w:hAnsi="Amiri" w:eastAsia="Amiri" w:cs="Amiri"/>
          <w:color w:val="111111"/>
          <w:sz w:val="28"/>
          <w:sz w:val="28"/>
          <w:szCs w:val="28"/>
          <w:rtl w:val="true"/>
          <w:lang w:bidi="ar-SA"/>
        </w:rPr>
        <w:t>تنافي في البين حتى يدخل في موضوع التعارض، فلو أرجعنا الأمر إلى النظر العرفي لاستغنى عن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السيد الصدر قدس سره أنّ التنافي في موارد الجمع العرفي بناء على تعريف المشهور يكون بين المدلولين، وبناءً على تعريف المتأخرين يكون في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إن أُثبت التنافي في موارد الجمع العرفي فهو يوجد في كلا الموردين، فإنَّه كما يوجد بين المدلولين كذلك يوجد بين الدلالتين؛ فإنّ الدلالة إما أن يكون المراد منها الظهور، أو يكون المراد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التنافي في الظهور؛ فيحصل لا محالة في الدليل المنفصل لأنَّه لا يرفع الظهور فيبقى التنافي بين الدليلين المنفصلين محفوظاً في موارد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التنافي في الحجية؛ فلأنّ حجية العام مع حجية ظهور الخاص لا محالة متنافيان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إنه لا تنافي في كلا الموردين، لانّ ظهور العام مشروط بعدم قيام القرينة على خلافه، فالتقابل بينهما يكون بين القرينة وذيها فلا ينعقد الظهور إلا بما تقتضيه القرينة ولو كانت منفصلة، فإذا انعقد للعام ظهور فإنما يكون اقتضائياً، والظهور البدوي غير المستقر لا يمكن الإعتماد عليه عند العرف إلا بعد استيفاء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ذكروه في المقام إنَّما هو مجرد فروض لا يلتزمون بها في مقام العمل وسيأتي مزيد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السيد الصدر قدس سره أيضاً</w:t>
      </w:r>
      <w:r>
        <w:rPr>
          <w:rStyle w:val="FootnoteAnchor"/>
          <w:rtl w:val="true"/>
        </w:rPr>
        <w:footnoteReference w:id="173"/>
      </w:r>
      <w:r>
        <w:rPr>
          <w:rFonts w:ascii="Amiri" w:hAnsi="Amiri" w:eastAsia="Amiri" w:cs="Amiri"/>
          <w:color w:val="111111"/>
          <w:sz w:val="28"/>
          <w:sz w:val="28"/>
          <w:szCs w:val="28"/>
          <w:rtl w:val="true"/>
          <w:lang w:bidi="ar-SA"/>
        </w:rPr>
        <w:t>أنّ التقابل في موارد التخصيص يكون على أنحاء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دليل الخاص ودليل حجية العام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دليل حجية الخاص ودليل حجية العام</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التقابل بين نفس الدليل الخاص ونفس الدليل العام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التقابل الأول؛ فلا تنافي فيه أصلاً إذ لا تعارض بينهما ولو بنحو غير المستقر بين دليل خاص ودليل 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مفاد الأول حكم واقعي، ومفاد الثاني حكم ظاهري، وقد تقدم أنه لا تعارض بينهما إذ لا مانع من اجتماع هذين الحكمين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التقابل الثاني؛ فإنَّه يقدم دليل حجية الخاص على دليل حجية العام بالورود لأنّ دليل حجية العام مقيد بعدم قيام الخاص على خلافه وبعد قيامه يرفع هذا الموضوع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التقابل الثالث؛ فيقدم دليل الخاص على العام بالتخصيص الذي هو علاج عرفي لتعارض غير مستقر بين العام والخاص، حيث يرى العرف أنّ للمتكلم الحقّ في أن يعتمد على القرائن في تحديد مراده ولو كانت منفصلة، ثم استنتج من ذلك أنّ محطّ الجمع العرفي إنَّما هو التقابل الثالث الذي يكون بين الدليل الخاص والدليل العام نفسيهما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كان المناط في تعيين المراد من الكلام هو الظهور العرفي والفهم العرفي فلا بُدَّ من الرجوع إليهما، واذا رجعنا إلى العرف فإنه يحكم بأنّ الخاص قرينة على تعيين المراد من العام كما هو كذلك في الوارد والمورود والحاكم والمحكوم وغيرها؛ فإنّ جميع ذلك من موارد الجمع العرفي بعد تحقق المناط، فلا وجه إلى تقسيم التقابل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جميع ذلك يظهر وجه النقاش في كلام العَلَمين المذكورين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تطويل لا طائل تحته، ولا تخلو من تشويش واضطراب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السيد الصدر قدس سره </w:t>
      </w:r>
      <w:r>
        <w:rPr>
          <w:rStyle w:val="FootnoteAnchor"/>
          <w:rtl w:val="true"/>
        </w:rPr>
        <w:footnoteReference w:id="174"/>
      </w:r>
      <w:r>
        <w:rPr>
          <w:rFonts w:ascii="Amiri" w:hAnsi="Amiri" w:eastAsia="Amiri" w:cs="Amiri"/>
          <w:color w:val="111111"/>
          <w:sz w:val="28"/>
          <w:sz w:val="28"/>
          <w:szCs w:val="28"/>
          <w:rtl w:val="true"/>
          <w:lang w:bidi="ar-SA"/>
        </w:rPr>
        <w:t>جملة من الأسئلة على تعريف التعارض وجعل الجواب على عهدة علم الأصول</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السؤال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التعارض إذا كان مستحكماً هل يسري إلى دليل الحجية فيكون اقتضاء دليل الحجية الشمول لأحدهما منافياً فعلاً لاقتضاءه شمول الدليل الآخر، أو أنّ هذا </w:t>
      </w:r>
    </w:p>
    <w:p>
      <w:pPr>
        <w:pStyle w:val="BookText"/>
        <w:rPr/>
      </w:pPr>
      <w:r>
        <w:rPr>
          <w:rFonts w:ascii="Amiri" w:hAnsi="Amiri" w:eastAsia="Amiri" w:cs="Amiri"/>
          <w:color w:val="111111"/>
          <w:sz w:val="28"/>
          <w:sz w:val="28"/>
          <w:szCs w:val="28"/>
          <w:rtl w:val="true"/>
          <w:lang w:bidi="ar-SA"/>
        </w:rPr>
        <w:t>التعارض بين الدليلين يقتصر على مرحلة دلالتهما أو مدلوليهما فلا يسري إلى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بأنّ التعارض عرفاً موضوعه التكاذب بين الدليلين على نحو لا يمكن الجمع بينهما في مدلوليهما، ولا يسري إلى دليل الحجية فتخرج موارد الجمع العرفي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التعارض بين دليلي الحجية له حكم آخر غير أحكام التعارض المبحوث عنه في المقام كما تقدم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السؤال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التعارض المستحكم سارياً إلى دليل الحجية فما هو مقتضى دليل الحجية؛ هل التساقط أو التخيير أو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عن ذلك، وعلى فرض قبول سريان التعارض إلى دليل الحجية فإنّ له حكماً آخر غير ما ورد في أخبار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السؤال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إنّ التعارض المبحوث عنه في المقام هو التعارض العرفي بحيث إذا عرضنا الدليليين المتنافيين في مدلوليهما على نظر العرف ويحكم عليه بالتكاذب بينهما فلا يمكن الجمع بينهما بأي نحو من الأنحاء التي ذكرناها في موارد الجمع العرفي، فلا يشملها التعريف حتى نحتاج إلى إخراجها، فيختص بالتعارض المستحكم المستقر، فلا يشمل التعريف التعارض غير المستقر سواء انطبق عليه أحد العناوين السابقة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أيضاً موارد شمول تعريف الدليل لها والموارد التي لم تدخل في موضوع التعارض إما من أجل عدم حصول التكاذب بينهما في الدلالة أو المدلول فراجع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فالتعارض في كلمات الأصوليين أقرب إلى التعريف العرفي من كونه مصطلحاً علمياً حتى يناقش بالنقض والإبرام، ولا حاجة إلى تطويل الكلام كما صنعه السيد الصدر قدس سره وغيره</w:t>
      </w:r>
      <w:r>
        <w:rPr>
          <w:rFonts w:eastAsia="Amiri" w:cs="Amiri" w:ascii="Amiri" w:hAnsi="Amiri"/>
          <w:color w:val="111111"/>
          <w:sz w:val="28"/>
          <w:szCs w:val="28"/>
          <w:rtl w:val="true"/>
          <w:lang w:bidi="ar-SA"/>
        </w:rPr>
        <w:t xml:space="preserve">. </w:t>
      </w:r>
      <w:bookmarkStart w:id="188" w:name="pg15367_180939"/>
    </w:p>
    <w:p>
      <w:pPr>
        <w:pStyle w:val="Heading4"/>
        <w:numPr>
          <w:ilvl w:val="3"/>
          <w:numId w:val="1"/>
        </w:numPr>
        <w:rPr/>
      </w:pPr>
      <w:bookmarkStart w:id="189" w:name="__RefHeading___Toc5900608_2142443653"/>
      <w:bookmarkStart w:id="190" w:name="_Toc69"/>
      <w:bookmarkEnd w:id="188"/>
      <w:bookmarkEnd w:id="189"/>
      <w:r>
        <w:rPr>
          <w:rtl w:val="true"/>
        </w:rPr>
        <w:t>المبحث الثاني</w:t>
      </w:r>
      <w:r>
        <w:rPr>
          <w:rtl w:val="true"/>
        </w:rPr>
        <w:t xml:space="preserve">: </w:t>
      </w:r>
      <w:r>
        <w:rPr>
          <w:rtl w:val="true"/>
        </w:rPr>
        <w:t>أسباب التعارض ومنشؤه</w:t>
      </w:r>
      <w:bookmarkEnd w:id="190"/>
    </w:p>
    <w:p>
      <w:pPr>
        <w:pStyle w:val="BookText"/>
        <w:rPr/>
      </w:pPr>
      <w:r>
        <w:rPr>
          <w:rFonts w:ascii="IRNazanin" w:hAnsi="IRNazanin" w:eastAsia="IRNazanin"/>
          <w:color w:val="111111"/>
          <w:sz w:val="28"/>
          <w:sz w:val="28"/>
          <w:szCs w:val="28"/>
          <w:rtl w:val="true"/>
          <w:lang w:bidi="fa-IR"/>
        </w:rPr>
        <w:t>لا ريب في أنّ التعارض بين الأحاديث الواردة عن المعصومين علیهم السلام أمر طارئ لا بُدَّ أن يكون له منشأ لوقوعه؛ لأنَّه مع العلم بأنّ الأئمة علیهم السلام إنَّما كان همّم بيان الأحكام الشرعية وتثبيت دعائم الشرع المبين خالياً من التناقض والإختلاف حتى لا يتطرق التشكيك إلى أصول العقائد وقواعد الدين القويم، بل التراث الشيعي بكامله من عصمة الأئمة علیهم السلام واعتبار أقوالهم وأفعالهم الصادرة عنهم بأنهم عِدل القرآن الكريم، والسنة النبوية الشريفة، وأنّ الجميع عند الإمامية مصادر للتشريع يرجع إليها في التعّرف على أحكام الشرع المبين، فقد يتخذ المشكّكون ظاهرة التعارض والإختلاف في النصوص الصادرة عنهم علیهم السلام وسيلة لزعمهم بأنّ أئمة الشيعة ليسوا إلا مجتهدين يصيبون ويخطأون كسائر الفقهاء والمجتهدين، وأنّ النصوص ليست إلا آرائهم الإجتهادية الخاصة، فيكون من الطبيعي وقوع التعارض والإختلاف فيما بينهما، وبهذا تفقد هذه الأحاديث قيمتها التشريعية والمصدرية مع إطباق علماء الشيعة على خلاف ذلك، بل اعتبروا التعارضوالإختلاف أمراً طارئاً وأنهما خلاف الطبيعة فلا بد أن يكون هناك منشأ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وأهم ما ذكروه في المقام</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المنشأ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التدرج في البيان؛ وهو من أهم العوامل في نشوء التعارض في الروايات؛ فإنَّ أسلوب التدرج الذي اتبعه الأئمة الهداة علیهم السلام في مقام بيان الأحكام الشرعية وتبليغها إلى الناس، حيث لم يكونوا يفصحون عن الحكم وتفاصيله دفعة واحدة، بل كانوا يتبعون المصالح والفرص في تبليغها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الظاهرة كانت واضحة في سيرتهم مع أصحابهم وتظهر بوضوح لمن يتتبع الأحاديث الواردة عنهم، فقد يذكرون الحكم إجمالاً ثم يتبعونه بذكر حدوده وشروطه حسب سؤال السائلين أو مصالحهم وأحوالهم، كما كان رسول الله صلی الله علیه و آله و سلم يفعل ذلك مع أصحابه في بداية البعثة؛ فإنّ الجميع واحد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المنشأ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التقية؛ والتي لها الدور الكبير في حياة الأئمة الطاهرين علیهم السلام وشيعتهم حيث عاشوا في ظروف صعبة جعلتهم يستعملون التقية في القول والسلوك، ويمكن دعوى أنّ التقية سبب رئيسي في نشوء التعارض بين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والتقية التي كان يستعمل الأئمة علیهم السلام لها أسباب عديدة؛ منها؛ ظلم حكام بين أمية وبني العباس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 الظروف العامة التي اكتنفت حياة المسلمين وأحوالهم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المعتقدات عند العامة التي نشأت من عوامل غير موضوعية وأصبحت من الموروثات الدينية والمرتكزات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 أحوال شيعتهم الذين وقعوا تحت أشدّ الإضطهاد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وغير ذلك مِمّا هو مذكور في محله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مظاهر التقية عند الأئمة الطاهرين علیهم السلام مختلفة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يكون في بيان حكم يوافق مذهب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في الإعتراف بالمذاهب الأخرى وفتاوى علمائهم على رغم أنهم علیهم السلام يعلمون بعدم صحتها ولكنهم يقصدون من وراء ذلك عدم تحدّي تلك المذاهب التي راجت بين الأمة، وهم في الوقت نفسه يسجلون عليهم مخالفتها مع ما عندهم من 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يكون في نسبة ما يفتون به إلى النبي صلی الله علیه و آله و سلم مسنداً عن آبائهم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فلولا أنهم كانوا يراعون المذاهب الأخرى دفعاً لهم واحتجاجاً، وإلا كان يكفي ذكر الحكم الشرعي لشيعتهم وبيانه لهم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ابتعادهم عن التعرض عن المواضيع التي توجب شدة الإختلاف وإظهار الضغائن أو ما يوجب النزاع الطائفي كالخلافة والخلفاء، ومن أجل ذلك اقتصروا على الأحكام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مع حرصهم على حفظ أسس الدين ومقوماته وحفظ مكانتهم الدينية والعلمية بين جميع فئات الأمة ومختلف الفئات والمذاهب حتى يؤدوا دورهم القيادي الصحيح</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ذكرناه وغيره يتضح السبب في شيوع التقية بين الأخبار والروايات الصادرة عنهم حتى جعلوا مخالفة العامة مقياساً لترجيح إحدى الروايتين المتعارضتين على الأخرى كما سيأتي 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ذلك فقد حاولوا علیهم السلام توضيح ظروف التقية وملابساتها التي حصلت للأمة والرأي العام لأصحابهم والثقات من رواة أحاديثهم لدفع ما يحدث من الشك في نفوسهم، ولا يرتابوا في أمرهم عندما تصلهم الأحاديث المختلفة المتعارضة والمخالفة لما هو المعروف لديهم من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ما ذكرناه جملة من الأحاديث نذكر بعضها والتفصيل موكول إلى محله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الْقُنُوتِ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فِيمَا يُجْهَرُ فِيهِ بِالْقِرَاءَةِ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أَبَاكَ عَنْ ذَلِكَ فَقَالَ فِي الْخَمْسِ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أَبِي؛ إِنَ أَصْحَابَ أَبِي أَتَوْهُ فَسَأَلُوهُ فَأَخْبَرَهُمْ بِالْحَقِّ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أَتَوْنِي شُكَّاكاً فَأَفْتَيْتُهُمْ بِالتَّقِيَّةِ</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وهو يدل على تحقّق التقية من شيعتهم، وقد بيّن علیه السلام الوجه في إفتاءه بالحكم المخالف لأبيه علیهما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أَبِي عُبَيْدَةَ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مَا تَقُولُ لَوْ أَفْتَيْنَا رَجُلًا مِمَّنْ يَتَوَلَّانَا بِشَيْ‌ءٍ مِنَ التَّقِيَّةِ؟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وفِي رِوَايَةٍ أُخْرَى؛ إِنْ أَخَذَ بِهِ أُجِرَ وإِنْ تَرَكَهُ واللَّهِ أَثِمَ</w:t>
      </w:r>
      <w:r>
        <w:rPr>
          <w:rFonts w:eastAsia="Amiri" w:cs="Amiri" w:ascii="Amiri" w:hAnsi="Amiri"/>
          <w:color w:val="111111"/>
          <w:sz w:val="28"/>
          <w:szCs w:val="28"/>
          <w:rtl w:val="true"/>
          <w:lang w:bidi="ar-SA"/>
        </w:rPr>
        <w:t>)</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وهي تدل على الإلتزام بمبدأ التقية ما دامت أسبابها متحققة، وقد بيّن علیه السلام وجهها وسرّها 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أَحْمَدَ بْنِ مُحَمَّدِ بْنِ أَبِي نَصْرٍ عَنْ أَبِي الْحَسَنِ الرِّضَا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علیه السلام فِي الْقُنُوتِ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فَاقْنُتْ وإِنْ شِئْتَ فَلَا تَقْنُتْ؛ قَالَ أَبُو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التَّقِيَّةُ فَلَا تَقْنُتْ؛ وأَنَا أَتَقَلَّدُ هَذَا</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وهي تدل على أمرهم أصحابهم بالتقية في أقوالهم وسلوكهم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مِنِّي عَلَى وَالِدِكَ السَّلَامَ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أَعِيبُكَ دِفَاعاً مِنِّي عَنْكَ؛ فَإِنَّ النَّاسَ والْعَدُوَّ يُسَارِعُونَ إِلَى كُلِّ مَنْ قَرَّبْنَاهُ وحَمِدْنَا مَكَانَهُ بِإِدْخَالِ الْأَذَى فِيمَنْ نُحِبُّهُ ونُقَرِّبُهُ؛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بِالصَّلَاةِ السِّتَّةِ والْأَرْبَعِينَ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بِالْحَجِّ أَنْ تُهِلَّ بِالْإِفْرَادِ وتَنْوِيَ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قَدِمْتَ مَكَّةَ فَطُفْتَ وسَعَيْتَ فَسَخْتَ مَا أَهْلَلْتَ</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وقَلَبْتَ الْحَجَّ عُمْرَةً وأَحْلَلْتَ إِلَى يَوْمِ التَّرْوِيَةِ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اسْتَأْنِفِ الْإِهْلَالَ بِالْحَجِّ مُفْرِداً إِلَى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واشْهَدِ الْمَنَافِعَ بِعَرَفَاتٍ والْمُزْدَلِفَةِ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فَكَذَلِكَ حَجَّ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أَمَرَ أَصْحَابَهُ أَنْ يَفْعَلُوا أَنْ يَفْسَخُوا مَا أَهَلُّوا بِهِ ويَقْلِبُوا الْحَجَّ 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أَقَامَ رَسُولُ اللَّهِ صلی الله علیه و آله و سلم عَلَى إِحْرَامِهِ لِسَوْقِ الَّذِي سَاقَ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السَّائِقَ قَارِنٌ والْقَارِنُ لَا يُحِلُّ حَتَّى يَبْلُغَ الْهَدْيُ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ومَحِلُّهُ النَّحْرُ بِمِنًى؛ فَإِذَا بَلَغَ أَحَلَّ؛ هَذَا الَّذِي أَمَرْنَاكَ بِهِ حَجُّ التَّمَتُّعِ فَالْزَمْ ذَلِكَ ولَا يَضِيقَنَّ صَدْرُكَ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أَتَاكَ بِهِ أَبُو بَصِيرٍ مِنْ صَلَاةِ إِحْدَى وخَمْسِينَ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والْإِهْلَالِ بِالتَّمَتُّعِ بِالْعُمْرَةِ إِلَى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أَمَرْنَا بِهِ مِنْ أَنْ يُهَلَّ بِالتَّمَتُّعِ فَلِذَلِكَ عِنْدَنَا مَعَانٍ وتَصَارِيفُ لِذَلِكَ مَا يَسَعُنَا ويَسَعُكُمْ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يُخَالِفُ شَيْ‌ءٌ مِنْ ذَلِكَ الْحَقَّ ولَا يُضَادُّهُ والْحَمْدُ لِلَّهِ رَبِّ الْعَالَمِينَ</w:t>
      </w:r>
      <w:r>
        <w:rPr>
          <w:rFonts w:eastAsia="Amiri" w:cs="Amiri" w:ascii="Amiri" w:hAnsi="Amiri"/>
          <w:color w:val="111111"/>
          <w:sz w:val="28"/>
          <w:szCs w:val="28"/>
          <w:rtl w:val="true"/>
          <w:lang w:bidi="ar-SA"/>
        </w:rPr>
        <w:t>)</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مُعَاذِ بْنِ مُسْلِمٍ النَّحْوِيِّ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بَلَغَنِي أَنَّكَ تَقْعُدُ فِي الْجَامِعِ فَتُفْتِي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وأَرَدْتُ أَنْ أَسْأَلَكَ عَنْ ذَلِكَ قَبْلَ أَنْ أَخْرُجَ؛ إِنِّي أَقْعُدُ فِي الْمَسْجِدِ فَيَجِي‌ءُ الرَّجُلُ فَيَسْأَلُنِي عَنِ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عَرَفْتُهُ بِالْخِلَافِ لَكُمْ أَخْبَرْتُهُ بِمَا يَفْعَلُونَ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أَعْرِفُهُ بِمَوَدَّتِكُمْ فَأُخْبِرُهُ بِمَا جَاءَ عَنْكُمْ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ويَجِي‌ءُ الرَّجُلُ لَا أَعْرِفُهُ ولَا أَدْرِي مَنْ هُوَ فَأَقُولُ جَاءَ عَنْ فُلَانٍ كَذَا وجَاءَ عَنْ فُلَانٍ كَذَا؛ فَأُدْخِلُ قَوْلَكُمْ فِيمَا بَيْنَ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اصْنَعْ كَذَا؛ فَإِنِّي كَذَا أَصْنَعُ</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يدل على أنّ تحفّظ الأئمة علیهم السلام لم يكن من الحكام فحسب، بل كانت مراعاة للناس والمذاهب المختلفة التي كانت رائجة عندهم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 ذلك من الروايات التي تبين خصوصيات التقية</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المنشأ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الدسّ والتزوير؛ وقد ذكره 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السيد الصدر قدس سره ؛ حيث ذكر أنّ عملية الدسّ والتزوير في الأحاديث التي قام بها بعض المغرضين والمعادين لمذهب أهل البيت علیهم السلام على ما ينقله التاريخ وكتب التراجم والسير؛ قد وقع كثير من ذلك في عصر الأئمة أنفسهم على ما يظهر من جملة من الأحاديث التي تنبّه أصحابهم إلى وجود حركة الدسّ والتزوير فيما يروون عنهم من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روى محمد بن عيسى عن يُونُسَ بْنِ عَبْدِ الرَّحْمَنِ أَنَّ بَعْضَ أَصْحَابِنَا سَأَلَهُ وأَنَا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مَا أَشَدَّكَ فِي الْحَدِيثِ وأَكْثَرَ إِنْكَارَكَ لِمَا يَرْوِيهِ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الَّذِي يَحْمِلُكَ عَلَى رَدِّ الْأَحَادِيثِ؟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هِشَامُ بْنُ الْحَكَمِ أَنَّهُ سَمِعَ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تَقْبَلُوا عَلَيْنَا حَدِيثاً إِلَّا مَا وَافَقَ الْقُرْآنَ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تَجِدُونَ مَعَهُ شَاهِداً مِنْ أَحَادِيثِنَا الْمُتَقَدِّمَةِ، فَإِنَّ الْمُغِيرَةَ بْنَ سَعِيدٍ لَعَنَهُ اللَّهُ دَسَّ فِي كُتُبِ أَصْحَابِ أَبِي أَحَادِيثَ لَمْ يُحَدِّثْ بِهَا أَبِي، فَاتَّقُوا اللَّهَ ولَا تَقْبَلُوا عَلَيْنَا مَاخَالَفَ قَوْلَ رَبِّنَا تَعَالَى وسُنَّةَ نَبِيِّنَا صلی الله علیه و آله و سلم فَإِنَّا إِذَا حَدَّثْنَا قُلْنَا قَالَ اللَّهُ عَزَّ وَجَلَّ وقَالَ رَسُولُ اللَّهِ صلی الله علیه و آله و سلم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وَافَيْتُ الْعِرَاقَ فَوَجَدْتُ بِهَا قِطْعَةً مِنْ أَصْحَابِ أَبِي جَعْفَرٍ علیه السلام ووَجَدْتُ أَصْحَابَ أَبِي عَبْدِ اللَّهِ علیه السلام مُتَوَافِرِينَ فَسَمِعْتُ مِنْهُمْ وأَخَذْتُ كُتُبَهُمْ، فَعَرَضْتُهَا مِنْ بَعْدُ عَلَى أَبِي الْحَسَنِ الرِّضَا علیه السلام ؛ فَأَنْكَرَ مِنْهَا أَحَادِيثَ كَثِيرَةً أَنْ يَكُونَ مِنْ أَحَادِيثِ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الْخَطَّابِ كَذَبَ عَلَى أَبِي عَبْدِ اللَّهِ علیه السلام ؛ لَعَنَ اللَّهُ أَبَا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أَصْحَابُ أَبِي الْخَطَّابِ؛ يَدُسُّونَ هَذِهِ الْأَحَادِيثَ إِلَى يَوْمِنَا هَذَا فِي كُتُبِ أَصْحَابِ أَبِي عَبْدِ اللَّهِ علیه السلام ، فَلَا تَقْبَلُوا عَلَيْنَا خِلَافَ الْقُرْآنِ، فَإِنَّا إِنْ تَحَدَّثْنَا حَدَّثْنَا بِمُوَافَقَةِ الْقُرْآنِ ومُوَافَقَةِ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عَنِ اللَّهِ وعَنْ رَسُولِهِ نُحَدِّثُ، ولَا نَقُولُ قَالَ فُلَانٌ وفُلَانٌ فَيَتَنَاقَضَ كَلَامُنَا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آخِرِنَا مِثْلُ كَلَامِ أَوَّلِنَا وكَلَامَ أَوَّلِنَا مُصَادِقٌ لِكَلَامِ آخِرِنَا، فَإِذَا أَتَاكُمْ مَنْ يُحَدِّثُكُمْ بِخِلَافِ ذَلِكَ فَرُدُّوهُ عَلَيْهِ وقُولُوا أَنْتَ أَعْلَمُ ومَا جِئْتَ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مَعَ كُلِّ قَوْلٍ مِنَّا حَقِيقَةً وعَلَيْهِ نُوراً، فَمَا لَا حَقِيقَةَ مَعَهُ ولَا نُورَ عَلَيْهِ فَذَلِكَ مِنْ قَوْلِ الشَّيْطَانِ</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استفاد بعض من هذا الخبر تهويل الأمر في عملية الدس والتزوير في كتب الموثوقين من أصحاب الأئمة علیهم السلام ، واعتبرها السيد الصدر من أهم العوامل التي يمكن أن تكون تبريراً لحالات التعارض فيما بين الأحاديث الصادرة عن الأئمة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وحق القول؛ هو إنّ الدسّ والتزوير في ضمن أحاديث الأئمة المعصومين علیهم السلام لا يمكن إنكاره، ولكن لا يصل إلى التهويل وتعظيم الحال بحيث يوجب الشك والتوقف في روايات أهل البيت علیهم السلام </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كنا والخبر الذي تقدم نقله فإنَّه يدل على شدة مراقبة الأئمة الطاهرين للأخبار المنسوبة إليهم وشدة حيطة أصحابهم على نقل الروايات بحيث يحصل لنا الجزم بأنّ دائرة الدسّ والتزوير ضيقة جداً، ولا تصل إلى حدّ جعله من أسباب التعارض فضلاً عن أهمها </w:t>
      </w:r>
    </w:p>
    <w:p>
      <w:pPr>
        <w:pStyle w:val="BookText"/>
        <w:rPr/>
      </w:pPr>
      <w:r>
        <w:rPr>
          <w:rFonts w:ascii="IRNazanin" w:hAnsi="IRNazanin" w:eastAsia="IRNazanin"/>
          <w:color w:val="111111"/>
          <w:sz w:val="28"/>
          <w:sz w:val="28"/>
          <w:szCs w:val="28"/>
          <w:rtl w:val="true"/>
          <w:lang w:bidi="fa-IR"/>
        </w:rPr>
        <w:t>كما ادّعاه السيد الصدر قدس سره ، فلو راجعنا تاريخ أحاديث الأئمة علیهم السلام نجد انها مرت بثلاث مراحل مهمة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بعد ارتحال الرسول الأكرم صلی الله علیه و آله و سلم ، وعصر الخلفاء، وعصر الأمويين؛ ففي هذه المرحلة كان الإبتعاد عن أئمة أهل البيت علیهم السلام وإخفاء أمرهم هو العنصر السائد، فقد فعلت السياسة الزمنية فعلها في إبعاد الناس عن قادتهمالحقيقيين، وكان إعلامهم منصبّاً على نشر فضائل رموزهم بكل وسيلة كانت لديهم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مميزات هذه المرحلة أنّ روايات الأئمة علیهم السلام إنحسرت من بين عموم المسلمين إلا عند الخواص من أصحابهم وبعض المسلمين، وهم أيضاً على خوف ووجل في نشرها وإعلانها، فلم تصل النوبة إلى الدسّ والتزوير في أحاديثهم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المرحلة 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أواخر العصر الأموي إلى أوائل عصر الغيبة الصغرى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في هذه المرحلة قد أتيحت الفرصة الكبرى لأهل البيت علیهم السلام وأصحابهم لنشر علومهم وأحاديثهم، وأصبح مذهب أهل البيت علیهم السلام معروفاً بين المسلمين وإن كانت السلطة الزمنية قد عارضت بأشدّ أنواع المعارضة هذا المذهب عن طريق تأسيس مذاهب أخرى ودعم العلماء المعارضين وإخفاء مذهب أهل البيت علیهم السلام ، وربما وقع في هذه المرحلة الدسّ والتزوير</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ولكنّ الأئمة الطاهرين علیهم السلام كانوا على رعاية تامة لما ينقل عنهم واهتموا اهتماماً بليغاً في حفظ أحاديثهم من التزوير والدسّ وأرشدوا أصحابهم ورواة أحاديثهم إلى هذه المكيدة من الأعداء، فجعلوا الضوابط في أحاديثهم كموافقة القرآن والسنة الشريفة التي كانوا هم الحفّاظ عليها تارة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وتنبيه الأصحاب من الكذابين وتعيين أشخاصهم وجماعاتهم؛ أخرى؛ مِمّا كان سدّاً منيعاً في انتشار هذه الظاهرة، ولا يمكن إنكار أنه إن كان دسّ وتزوير ولكنه لم يصل إلى المرحلة الخطيرة والتعارض الكبير بين الروايات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المرحلة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عصر الغيبة الصغرى إلى ما بعد جمع الكتب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وهي مرحلة جمع الأخبار المروية عن الأئمة الهداة علیهم السلام التي كانت على مجموعات متعددة؛ فبعضها كانت منقولة في الأصول التي حددوها بالأربعمائة، أو كانت في ضمن الكتب التي صنفها الأصحاب، أو كانت على سبيل نقل الآحاد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ريب أنّ كثيراً من تلك الأصول والكتب المصنفة قد ضاعت وذهبت أيام الفترات المظلمة التي مرت على هذه الطائفة، ولكن فضل الله تعالى ورعاية صاحب الأمر عج الله تعالی فرجه الشریف لهذا المذهب أنها لم تذهب جميعها، وهي مع قلّتها قد فاقت روايات المخالفين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العلماء الذين جمعوا تلك الروايات في كتبهم؛ كالكتب الأربعة قد بذلوا غاية جهدهم في نقلها عن مصادرها الموثوقة حتى أتى عصر التشكيك والجرح والتعديل التي لا تخلو من اجتهادات لا يمكن قبول أكثرها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وتفصيل الكلام يأتي في محله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هذا العامل؛ أي الدسّ والتزوير لم يكن ذو أهمية كبيرة في أحاديث الشيعة حتى يصبح من أهم العوامل في التعارض</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المنشأ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الرواة والنقل بالمعنى؛ ولا ريب أنّ الراوي الثقة بحكم وثاقته لا ينقل إلا ما سمعه من المنقول إليه من دون زيادة أو نقيصة ولا يتصرف في ألفاظ النص، ولكن قد تحصل غفلة أو وهم من الراوي؛ فيحصل التصرف في اللفظ، بل ربما تكون المحافظة على حرفية النص من الأمور الصعبة جداً؛ فقد أجاز الأئمة علیهم السلام النقل بالمعنى، وعلى هذا الأساس يكون تصرف الرواة والنقل بالمعنى من العوامل في نشوء التعارض بين النصوص لوقوع التغيير والتبديل في دلالة النص؛ فقد تنقلب مرتبة النصّية إلى الأظهرية أو الظاهرية، أو يتغير مدلول النص نتيجة الغفلة والجهل والتصرف فينشأ من ذلك التعارض بحيث لو لم يكن ذلك لما كانت معارضة بين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على وجود </w:t>
      </w:r>
    </w:p>
    <w:p>
      <w:pPr>
        <w:pStyle w:val="BookText"/>
        <w:rPr/>
      </w:pPr>
      <w:r>
        <w:rPr>
          <w:rFonts w:ascii="IRNazanin" w:hAnsi="IRNazanin" w:eastAsia="IRNazanin"/>
          <w:color w:val="111111"/>
          <w:sz w:val="28"/>
          <w:sz w:val="28"/>
          <w:szCs w:val="28"/>
          <w:rtl w:val="true"/>
          <w:lang w:bidi="fa-IR"/>
        </w:rPr>
        <w:t>هذ العامل جملة من الأخبار، بل قد يلحق ذلك في أحاديث بعض الرواة من أصحاب الأئمة علیهم السلام ، وقد اشتهرت روايات عمار الساباطي مثلاً عند الفقهاء بالتشويش لكثرة ما لوحظ فيها من الإجمال والإرتباك في الدلالة، والإضطراب والتهافت في المتن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المنشأ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ضياع القرائن؛ ومما لا يمكن إنكاره أنّ الروايات قد اشتملت على القرائن اللفظية أو الحالية والسياقات التي كانت تكتنف النصوص، وقد ضاعت تلك القرائن لأسباب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تقطيع النصوص، ومنها؛ الغفلة في مقام النقل والرواية مِمّا أوجب ذلك التعارض بين النصوص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عن الأئمة علیهم السلام التنبيه على ذلك؛ كما في رواية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صلی الله علیه و آله و سلم لِلرَّجُلِ الَّذِي أَتَاهُ فَقَدَّمَ أَبَاهُ فَقَالَ لَهُ أَنْتَ ومَالُكَ لِأَبِيكَ؟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صلی الله علیه و آله و 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وقَدْ ظَلَمَنِي مِيرَاثِي مِنْ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الْأَبُ أَنَّهُ قَدْ أَنْفَقَهُ عَلَيْهِ وعَلَى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أَنْتَ ومَالُكَ لِأَبِيكَ ولَمْ يَكُنْ عِنْدَ الرَّجُلِ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وكَانَ رَسُولُ اللَّهِ صلی الله علیه و آله و سلم يَحْبِسُ الْأَبَ لِلِابْنِ؟</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شواهد أخرى في الروايات تدل على أنّ هناك قرائن قد اختفت حين النقل لا سيما تلك القرائن الإرتكازية العامة التي تتكون من البيئة وظروف النص والحالة الإجتماعية ونحو ذلك؛ فإنّ الراوي مهما جاهد في نقل النص بحدوده وقيوده بحكم أمانته، ولكنه يغفل عن تلك القرائن الإرتكازية اعتماداً على وضوحها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نقول أنه لا بُدَّ في كثير من الموضوعات الواردة في الروايات من الرجوع إلى ما كان متعارفاً في عصر صدور النص؛ فإنَّ الملابسات والحالات الإجتماعية الدائرة تعيّن مدلولاتها فلا تصل النوبة إلى </w:t>
      </w:r>
    </w:p>
    <w:p>
      <w:pPr>
        <w:pStyle w:val="BookText"/>
        <w:rPr/>
      </w:pPr>
      <w:r>
        <w:rPr>
          <w:rFonts w:ascii="Amiri" w:hAnsi="Amiri" w:eastAsia="Amiri" w:cs="Amiri"/>
          <w:color w:val="111111"/>
          <w:sz w:val="28"/>
          <w:sz w:val="28"/>
          <w:szCs w:val="28"/>
          <w:rtl w:val="true"/>
          <w:lang w:bidi="ar-SA"/>
        </w:rPr>
        <w:t>الإجمال والتخلص من مشكلته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كان على الفقهاء مراجعة النصوص وملاحظاتها مع القرائن التي كانت مكتنفة بها حين صدورها لا سيما تلك التي ترتبطبالحالات الإجتماعية؛ فإن هذه القرائن الإرتكازية والحالات الإجتماعية تتبدل عبر عصور متعاقبة وتتغير المعاني تبعاً لتغيرها وتبدلها كما هو المحسوس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اكتفينا بأصالة عدم القرينة كما عليه المشهور فسوف ينشأ من ذلك التنافي بين هذا النص وغيره الذي يبين نفس الحكم الشرعي، وأما بناءً على ما ذكرناه فربما لا تصل النوبة إلى التعارض، بل تكون في مصبّ واحد</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المنشأ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ملاحظة ظروف الراوي؛ فإنَّه لا ريب أنّ ظروف الراوي لها الدخل في الحكم الذي يتعلق به، فإنَّ الإمام علیه السلام قد يلاحظ حال السائل من حيث العلم أو الجهل والنسيان والمرض والإضطرار والعذر ونحو ذلك، فيحكم على أساس وضعيته الخاصة التي هو عليها، ولكنه يتبدل بتغير تلك الحالة؛ فلم يكن الحكم مطلقاً ولكن السائل نقل ذلك الحكم على سبيل الإطلاق من دون أن يلتفت إلى حاله ودخالتها في الحكم، فيحصل عن ذلك التعارض بينه وبين ما صدر من المعصوم في نفس الموضوع الذي اختلف عن ما كانت عليه ظروف الراوي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الأحاديث المروية شواهد على ذلك كالتي نبّه الإمام علیه السلام فيها الرواة حينما عرض عليه بعض موارد التعارض في كلماتهم، منها؛ ما رواه صفوان عن أبي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سَلَمَةُ بْنُ مُحْرِزٍ أَنَّهُ كَانَ تَمَتَّعَ حَتَّى إِذَا كَانَ يَوْمُ النَّحْرِ طَافَ بِالْبَيْتِ وبِالصَّفَا والْمَرْوَةِ ثُمَّ رَجَعَ إِلَى مِنًى ولَمْ يَطُفْ طَوَافَ النِّسَاءِ؛ فَوَقَعَ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فَذَكَرَهُ لِأَصْحَابِهِ؛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قَدْ فَعَلَ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أَبَا عَبْدِ اللَّهِ علیه السلام ؛ فَأَمَرَهُ أَنْ يَنْحَرَ بَدَنَةً قَالَ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إِلَى أَبِي عَبْدِ اللَّهِ علیه السلام فَسَأَلْتُهُ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أَصْحَابِي فَأَخْبَرْتُهُمْ بِمَا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اتَّقَاكَ وأَعْطَاكَ مِنْ عَيْنٍ كَدِرَةٍ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إِلَى أَبِي عَبْدِ اللَّهِ علیه السلام فَقُلْتُ إِنِّي لَقِيتُ أَصْحَابِي فَقَالُوا اتَّقَاكَ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فَعَلَ فُلَانٌ مِثْلَ مَا فَعَلْتَ </w:t>
      </w:r>
      <w:bookmarkStart w:id="191" w:name="pg15367_180958"/>
    </w:p>
    <w:p>
      <w:pPr>
        <w:pStyle w:val="BookText"/>
        <w:rPr/>
      </w:pPr>
      <w:bookmarkEnd w:id="191"/>
      <w:r>
        <w:rPr>
          <w:rFonts w:ascii="Amiri" w:hAnsi="Amiri" w:eastAsia="Amiri" w:cs="Amiri"/>
          <w:color w:val="111111"/>
          <w:sz w:val="28"/>
          <w:sz w:val="28"/>
          <w:szCs w:val="28"/>
          <w:rtl w:val="true"/>
          <w:lang w:bidi="ar-SA"/>
        </w:rPr>
        <w:t>فَأَمَرَهُ أَنْ يَنْحَرَ بَدَنَةً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مَا اتَّقَيْتُكَ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فُلَانٌ فَعَلَهُ مُتَعَمِّداً وهُوَ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فَعَلْتَهُ وأَنْتَ لَا تَعْلَمُ؛ فَهَلْ كَانَ بَلَغَكَ ذَلِكَ؟ 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كَانَ بَلَغَنِي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شَيْ‌ءٌ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ذكرو عوامل أخرى كالنسخ وغيره، ولكنها ليست بتلك الدرجة التي تكون عليه ما ذكرناه، فإنّ المناقشة فيها واضحة</w:t>
      </w:r>
      <w:r>
        <w:rPr>
          <w:rFonts w:eastAsia="Amiri" w:cs="Amiri" w:ascii="Amiri" w:hAnsi="Amiri"/>
          <w:color w:val="111111"/>
          <w:sz w:val="28"/>
          <w:szCs w:val="28"/>
          <w:rtl w:val="true"/>
          <w:lang w:bidi="ar-SA"/>
        </w:rPr>
        <w:t>.</w:t>
      </w:r>
    </w:p>
    <w:p>
      <w:pPr>
        <w:pStyle w:val="Heading4"/>
        <w:numPr>
          <w:ilvl w:val="3"/>
          <w:numId w:val="1"/>
        </w:numPr>
        <w:rPr/>
      </w:pPr>
      <w:bookmarkStart w:id="192" w:name="__RefHeading___Toc5900610_2142443653"/>
      <w:bookmarkStart w:id="193" w:name="_Toc70"/>
      <w:bookmarkEnd w:id="192"/>
      <w:r>
        <w:rPr>
          <w:rtl w:val="true"/>
        </w:rPr>
        <w:t>المبحث الثالث</w:t>
      </w:r>
      <w:r>
        <w:rPr>
          <w:rtl w:val="true"/>
        </w:rPr>
        <w:t xml:space="preserve">: </w:t>
      </w:r>
      <w:r>
        <w:rPr>
          <w:rtl w:val="true"/>
        </w:rPr>
        <w:t>أقسام التعارض</w:t>
      </w:r>
      <w:bookmarkEnd w:id="193"/>
    </w:p>
    <w:p>
      <w:pPr>
        <w:pStyle w:val="Heading5"/>
        <w:numPr>
          <w:ilvl w:val="4"/>
          <w:numId w:val="1"/>
        </w:numPr>
        <w:rPr/>
      </w:pPr>
      <w:bookmarkStart w:id="194" w:name="__RefHeading___Toc5900612_2142443653"/>
      <w:bookmarkStart w:id="195" w:name="_Toc71"/>
      <w:bookmarkEnd w:id="194"/>
      <w:r>
        <w:rPr>
          <w:rtl w:val="true"/>
        </w:rPr>
        <w:t>اشارة</w:t>
      </w:r>
      <w:bookmarkEnd w:id="195"/>
    </w:p>
    <w:p>
      <w:pPr>
        <w:pStyle w:val="BookText"/>
        <w:rPr/>
      </w:pPr>
      <w:r>
        <w:rPr>
          <w:rFonts w:ascii="Amiri" w:hAnsi="Amiri" w:eastAsia="Amiri" w:cs="Amiri"/>
          <w:color w:val="111111"/>
          <w:sz w:val="28"/>
          <w:sz w:val="28"/>
          <w:szCs w:val="28"/>
          <w:rtl w:val="true"/>
          <w:lang w:bidi="ar-SA"/>
        </w:rPr>
        <w:t>بعد الإحاطة بما تقدم بيانه لمفهوم التعارض وأنواعه والمناقشات التي أُثيرت حولهما وأسباب التعارض يتضح أنّ التعارض على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غير المستقر؛ والمراد به الذي يحصل لأول وهلة ويزول بالجمع العرفي تبعاً لوجود ملاكاته، فلا يستحكم التعارض ولا يسري إلى دليل الحجية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المستقر؛ والمراد به ذلك التعارض المستحكم الذي يسري إلى دليل الحجية بأن يحصل التنافي والتكاذب بين الدليلين في مرحلة شمول دليل الحجية لهما</w:t>
      </w:r>
      <w:r>
        <w:rPr>
          <w:rFonts w:eastAsia="Amiri" w:cs="Amiri" w:ascii="Amiri" w:hAnsi="Amiri"/>
          <w:color w:val="111111"/>
          <w:sz w:val="28"/>
          <w:szCs w:val="28"/>
          <w:rtl w:val="true"/>
          <w:lang w:bidi="ar-SA"/>
        </w:rPr>
        <w:t>.</w:t>
      </w:r>
    </w:p>
    <w:p>
      <w:pPr>
        <w:pStyle w:val="Heading5"/>
        <w:numPr>
          <w:ilvl w:val="4"/>
          <w:numId w:val="1"/>
        </w:numPr>
        <w:rPr/>
      </w:pPr>
      <w:bookmarkStart w:id="196" w:name="__RefHeading___Toc5900614_2142443653"/>
      <w:bookmarkStart w:id="197" w:name="_Toc72"/>
      <w:bookmarkEnd w:id="196"/>
      <w:r>
        <w:rPr>
          <w:rtl w:val="true"/>
        </w:rPr>
        <w:t>القسم الأول</w:t>
      </w:r>
      <w:r>
        <w:rPr>
          <w:rtl w:val="true"/>
        </w:rPr>
        <w:t xml:space="preserve">: </w:t>
      </w:r>
      <w:r>
        <w:rPr>
          <w:rtl w:val="true"/>
        </w:rPr>
        <w:t>التعارض غير المستقر</w:t>
      </w:r>
      <w:bookmarkEnd w:id="197"/>
    </w:p>
    <w:p>
      <w:pPr>
        <w:pStyle w:val="Heading6"/>
        <w:numPr>
          <w:ilvl w:val="5"/>
          <w:numId w:val="1"/>
        </w:numPr>
        <w:rPr/>
      </w:pPr>
      <w:bookmarkStart w:id="198" w:name="__RefHeading___Toc5900616_2142443653"/>
      <w:bookmarkStart w:id="199" w:name="_Toc73"/>
      <w:bookmarkEnd w:id="198"/>
      <w:r>
        <w:rPr>
          <w:rtl w:val="true"/>
        </w:rPr>
        <w:t>الأمر الأول</w:t>
      </w:r>
      <w:r>
        <w:rPr>
          <w:rtl w:val="true"/>
        </w:rPr>
        <w:t xml:space="preserve">: </w:t>
      </w:r>
      <w:r>
        <w:rPr>
          <w:rtl w:val="true"/>
        </w:rPr>
        <w:t>إنه لا تكاذب فيه بين الدليلين</w:t>
      </w:r>
      <w:bookmarkEnd w:id="199"/>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تقدم أنّ التعارض يتقوّم بالتكاذب والتنافي بين مدلولي الدليلين، وقد ذكرنا شروطه؛ فلا تعارض إذا لم يكن هناك تكاذب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فهذا يعني اختصاصه بالتعارض المستقر ولا يشمل غير المستقر إذ لا تكاذب فيه، وإن كان، فلا يكون حقيقياً والعرف لا يرى مثل ذلك النوع من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فالبحث عن التعارض غير المستقر يكون استطرادياً، وإنما ذكره بعض الأصوليين لبيان بعض الثمرات مِمّا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ذكروا أنّ ضابط التعارض </w:t>
      </w:r>
    </w:p>
    <w:p>
      <w:pPr>
        <w:pStyle w:val="BookText"/>
        <w:rPr/>
      </w:pPr>
      <w:r>
        <w:rPr>
          <w:rFonts w:ascii="Amiri" w:hAnsi="Amiri" w:eastAsia="Amiri" w:cs="Amiri"/>
          <w:color w:val="111111"/>
          <w:sz w:val="28"/>
          <w:sz w:val="28"/>
          <w:szCs w:val="28"/>
          <w:rtl w:val="true"/>
          <w:lang w:bidi="ar-SA"/>
        </w:rPr>
        <w:t>غير المستقر هو أن لا يوجد تنافٍ في اقتضاء دليل الحجية سواء حصل ذلك من عدم المحذور في فعلية كِلا اقتضاء الدليلين للشمول لكلا الدليلين أم لعدم وجود الإقتضاء إلا في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عدم السراية إلى دليل الحجية يكون في حالتين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تنافٍ وتعارضٌ في مرحلة الدلالة؛ بأن يكون التنافي والتعارض بين المجعولين الفعليين دون أن يكون ناشئاً من تنافي الجعلين كما هو الحال في موارد الورود، فإنَّ التنافي لا يكون بين الجعلين فيها وإنما لا يكون اجتماع للمجعولين الفعليين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التنافي والتعارض في مرحلة الدلالة؛ بأن يكون التنافي بين المجعولين مِمّا يوجب التنافي بين الدليلين في مرحلة الدلالة، لكن دلالة أحد الدليلين تستحق التقديم على دلالة الدليل الآخر بلحاظ دليل الحجية بأن لا يكون له اقتضاء الشمول للدليلين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الأولى لا نحتاج في نفس سراية التعارض إلى دليل الحجية إلى برهان زائداً عن المسلّمات الأولية؛ فإنَّه ما دام لم يكن الدليلان متنافيين في مرحلة الدلالة فيتعين في هذه الحالة شمول دليل الحجية لكلا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الحالة الثانية فما دام هناك تنافٍ وتعارض في مرحلة الدلالة فنحتاج إلى عناية زائدة لإثبات عدم سراية التعارض إلى دليل الحجية حتى يثبت أنّ دليل الحجية لا اقتضاء فيه للشمول لأحد الدليلين بعينه فيكون اقتضاؤه لشمول الدليل الآخر بلا مزاحم</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حق القول في المقام؛ إنه إذا كان المعيار في تعيين التعارض وأقسامه هو العرف فإذا حكم بأنّ التعارض في الدليلين لم يتضمن التكاذب والتنافي بين الدليلين في مرحلة الدلالة فإنَّه هو المتبع، فهو يشمل الحالتين المتقدمتين وغيرهما كما في موارد الجمع العرفي وموارد الورود وموارد التزاحم وموارد التخصيصوالتخصص؛ فإنّ الجميع يشترك في عنوان </w:t>
      </w:r>
      <w:bookmarkStart w:id="200" w:name="pg15367_180962"/>
    </w:p>
    <w:p>
      <w:pPr>
        <w:pStyle w:val="BookText"/>
        <w:rPr/>
      </w:pPr>
      <w:bookmarkEnd w:id="200"/>
      <w:r>
        <w:rPr>
          <w:rFonts w:ascii="Amiri" w:hAnsi="Amiri" w:eastAsia="Amiri" w:cs="Amiri"/>
          <w:color w:val="111111"/>
          <w:sz w:val="28"/>
          <w:sz w:val="28"/>
          <w:szCs w:val="28"/>
          <w:rtl w:val="true"/>
          <w:lang w:bidi="ar-SA"/>
        </w:rPr>
        <w:t>واحد وهو عدم التنافي والتكاذب بين الدليلين لا في مرحلة الجعل ولا في مرحلة الدلالة، ولا نظر له إلى سراية ذلك إلى دليل الحجية، بل يحكم بعدم السراية إليه في تلك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الصدر قدس سره في المقام كله من التطويل الذي لا طائل تحته، فلا بُدَّ من صرف النظر إلى بيان الفرق بين تلك الموارد بالنظر العرفي التي هي من موارد تطبيق التعارض غير المستقر، وقد ذكرنا ما يتعلق بها إجمالاً فيما سبق هنا، وفي بحث الإستصحاب</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5900618_2142443653"/>
      <w:bookmarkStart w:id="202" w:name="_Toc74"/>
      <w:bookmarkEnd w:id="201"/>
      <w:r>
        <w:rPr>
          <w:rtl w:val="true"/>
        </w:rPr>
        <w:t>الأمر الثاني</w:t>
      </w:r>
      <w:r>
        <w:rPr>
          <w:rtl w:val="true"/>
        </w:rPr>
        <w:t xml:space="preserve">: </w:t>
      </w:r>
      <w:r>
        <w:rPr>
          <w:rtl w:val="true"/>
        </w:rPr>
        <w:t>في نظرية الورود</w:t>
      </w:r>
      <w:r>
        <w:rPr>
          <w:rtl w:val="true"/>
        </w:rPr>
        <w:t>.</w:t>
      </w:r>
      <w:bookmarkEnd w:id="202"/>
    </w:p>
    <w:p>
      <w:pPr>
        <w:pStyle w:val="BookText"/>
        <w:rPr/>
      </w:pPr>
      <w:r>
        <w:rPr>
          <w:rFonts w:ascii="Amiri" w:hAnsi="Amiri" w:eastAsia="Amiri" w:cs="Amiri"/>
          <w:color w:val="111111"/>
          <w:sz w:val="28"/>
          <w:sz w:val="28"/>
          <w:szCs w:val="28"/>
          <w:rtl w:val="true"/>
          <w:lang w:bidi="ar-SA"/>
        </w:rPr>
        <w:t>ولا بُدَّ من التنويه إلى أنّ الورود والحكومة من المستحدثات، وقد شاعا فيما قارب هذه الأعصار مع خلوّ كلمات القدماء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والإبتلاء بالحكومة أكثر في الفقه بخلاف الورود فإنَّه قليل الإبتلاء فيه كما لا يخفى على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الكلام في الورود يتم في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تعريف الورود أنه كون مفاد أحد الدليلين رافعاً لموضوع مفاد الدليل الآخر ونافياً له 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فلا توجد أية معارضة في الورود بين الدليلين لإمكان اجتماعهما فعلاً ولو كانا متنافيين في مرحلة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في تقديم دليل الوارد على دليل المورود بعد تمامية حجتيهما؛ وذلك لفعلية المجعول في دليل الوارد دون المجعول في دليل المورود، ومثل هذا التقديم من الواضحات التي لا حاجة إلى إقامة البرهان عليه، فهو مستنبط من فرض الورود وتقييد مفاد أحد الدليلين بعدم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عدم استقرار المعارضة وعدم سرايتها إلى دليل الحجية، وهذا هو الورود بالمعنى العام</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فرق في ذلك بين أن يكون دليل الوارد متصلاً بدليل المورود أو منفصلاً عنه لأنّ الإنفصال لا يغيّر من الواقع شيئاً ولا يخلق إشكالاً بعد تحقق الملاك في كل واحد منهما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الورود بالمعنى العام يمكن تقسيمه بحسب منشأه إلى الورود بالمعنى الخاص، والتخصص؛ والأول ما يكون فيه الرفع الحقيقي للدليل الوارد لموضوع الدليل المورود بالتعبد بحيث يكون التعبد منشأً للرفع الحقيقي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التخصص فيكون الرفع الحقيقي فيه لا بلحاظ التعبد بلا فرق بين أن يكون الرفع بنظر إخباري؛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أخبر بأنّ زيداً ليس بعالم، وبين أن يكون بنظر إيجادي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أوجد العلم بالحرمة بواسطة دليل قطعي، فيكون الفرق بين التخصص والورود بالمعنى الخاص؛ أنّ التخصص سنخ دليل لم يؤخذ فيه التعبد بخلاف المورود فإنَّه سنخ دليل أخذ فيه ارتفاع الموضوع حقيقة بالتعبد كما في موارد قيام الحجية المأخوذ في موضوع البراءة الشرعية، فإنَّ حقيقة التعبد فيه ترتفع، فليس الفرق بينهما فيحقيقة الورود، ولذا ينصب الكلام في الورود بالمعنى العام إذ لا أثر في هذا التقسيم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والورود قد يكون من جانب واحد، وقد يكون من الجانبين بحيث يكون كل واحد من الدليلين رافعاً بمرتبة موضوع الحكم في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القسم الأول والثاني يقع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لا يختص بمرحلة من مراحل الحكم الخمسة المعروفة؛ مرحلة الجعل، ومرحلة الفعلية، ومرحلة الوصول، ومرحلة التنجّز، ومرحلة الإمتثال؛ فإنّ الحكم الذي يتكفل الدليل الوارد إثباته برفع موضوع الدليل الآخر يكون في إحدى تلك المراحل، فتكون الأقسام خمسة، وعلى كل واحد منها أمثلة وشواهد في الفقه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 الحكمين رافعاً لموضوع حكم الدليل الآخر بمجرد جعله؛ ومثاله كما ذكره بعضهم</w:t>
      </w:r>
      <w:r>
        <w:rPr>
          <w:rStyle w:val="FootnoteAnchor"/>
          <w:rtl w:val="true"/>
        </w:rPr>
        <w:footnoteReference w:id="183"/>
      </w:r>
      <w:r>
        <w:rPr>
          <w:rFonts w:ascii="Amiri" w:hAnsi="Amiri" w:eastAsia="Amiri" w:cs="Amiri"/>
          <w:color w:val="111111"/>
          <w:sz w:val="28"/>
          <w:sz w:val="28"/>
          <w:szCs w:val="28"/>
          <w:rtl w:val="true"/>
          <w:lang w:bidi="ar-SA"/>
        </w:rPr>
        <w:t xml:space="preserve">فيما هو المعروف عند الفقهاء من عدم تعلق الزكاة بشيء واحد </w:t>
      </w:r>
    </w:p>
    <w:p>
      <w:pPr>
        <w:pStyle w:val="BookText"/>
        <w:rPr/>
      </w:pPr>
      <w:r>
        <w:rPr>
          <w:rFonts w:ascii="Amiri" w:hAnsi="Amiri" w:eastAsia="Amiri" w:cs="Amiri"/>
          <w:color w:val="111111"/>
          <w:sz w:val="28"/>
          <w:sz w:val="28"/>
          <w:szCs w:val="28"/>
          <w:rtl w:val="true"/>
          <w:lang w:bidi="ar-SA"/>
        </w:rPr>
        <w:t>مرتين، حيث ذكر بأنّ معناه أنه لا يشرع دخول عين واحدة زكوية في نصابين في السنة الواحدة، فلوكان المكلف يملك عشرين ناقة لمدة ستة أشهر وهو النصاب الرابع في الإبل، فهو حكم مجعول غير فعلي وإنما هو مشروط ببقائه إلى آخر السنة فيجب عليه دفع أربع شياه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لو فرض أنّ إبله قد زادت إلى خمس وعشرين ناقة على رأس ستة أشهر أخرى وهو النصاب الخامس الذي يثبت فيه خمس شياه فيقع التعارض بين دليلي جعل الزكاة في هذين النصابين، فإذا لاحظنا ما ذكره الفقهاء في هذا المورد من أنّ وجوب الزكاة الثانية مشروط بعدم تقدم ما يقتضي وجوب الزكاة الأولى فإنّ وجوب الزكاة الأولى بنفسه قبل أن يصبح فعلياً رافعاً لموضوع وجوب الزكاة الثانية، ولكن هذه المسألة موضع خلاف بين الفقهاء والتفصيل 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الوارد متكفلاً لحكم يكون بفعليته رافعاً لموضوع الحكم في الدليل المورود؛ ومثاله الدليل الذي دلَّ على حرمة شيء قد أخذ شرطاً في العقود فإنّ هذا الدليل الوارد بفعليته على الدليل المورود دالّ على وجوب الوفاء بالشروط إلا ما خالف الكتاب والسنة فإنّ هذا الحكم بمجرد أن يصير فعلياً يكون رافعاً لوجوب الوفاء بالشرط، حيث أصبح هذا الشرط مخالفاً للكتاب والسنة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الوارد متكفلاً لحكم يكون بوصوله رافعاً لموضوع الحكم في الدليل المورود كالدليل القطعي المتكفل لحكم شرعي الوارد على دليل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ما لا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المراد من الغاية في حديث الرفع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ظاهره، وأما إذا أُريد منه التنجّز كان مثالاً للقسم الرابع</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الدليل الوارد متكفلاً لحكم يكون تنجّزه رافعاً لموضوع الحكم في دليل المورود؛ كما في دليل المتزاحمين بناءً على استحالة الترتب لأنّ موضوع المهم لا يقيد </w:t>
      </w:r>
    </w:p>
    <w:p>
      <w:pPr>
        <w:pStyle w:val="BookText"/>
        <w:rPr/>
      </w:pPr>
      <w:r>
        <w:rPr>
          <w:rFonts w:ascii="Amiri" w:hAnsi="Amiri" w:eastAsia="Amiri" w:cs="Amiri"/>
          <w:color w:val="111111"/>
          <w:sz w:val="28"/>
          <w:sz w:val="28"/>
          <w:szCs w:val="28"/>
          <w:rtl w:val="true"/>
          <w:lang w:bidi="ar-SA"/>
        </w:rPr>
        <w:t>بعدم امتثال الأهم حتى يقتصر في التقييد عليه، لأنّ مثل هذا التقييد لا يرفع معضلة طلب الضدين عند من يقول باستحالة الترتب؛ إذ يبقى المحذور المذكور في صورة تركه للإمتثالين معاً، وإنما يرتفع موضوع المهم بتنجّز الأهم سواء امتثله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أنّ الفعلية أعم من التنجز، وإلا فإذا حكمنا بارتفاع موضوع المهم بمجرد فعلية الأهم فإنَّه يدخل في القسم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القسم أيضاً الواجبات التي يشترط فيها القدرة عقلاً وشرعاً؛ فإنَّه يرتفع بمجرد تنجز المنافي عليه كما يقال في الحج من أنّ وجوبه مشروط بعدم تنجز واجب آخر يتنافى معه وإن كان موضع الخلاف بين الفقهاء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يقال بأنَّ وجوب الوضوء يتوقف على عدم تنجز وجوب صرف الماء في 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الدليل الوارد متكفلاً لحكم يكون بامتثاله رافعاً لموضوع الحكم الثابت في الدليل المورود، وذلك في الدليلين الدالين على حكمين متزاحمين بناءً على إمكان الترتب؛ فإنَّه بامتثال الأهم أو المساوي يرتفع موضوع الآخر، ومنه ما يقال بأنّ الدليل الدال على وجوب صوم شهر رمضان الوارد على دليل وجوب الكفارة على المفطر، فإنه بامتثاله يرفع موضوع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بالذكر أنّ أغلب الأمثلة المذكورة قابلة للمناقشة كما هو مفصل في الفقه وإنما ذكرناها للتقريب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يخفى أنّ كل ذلك خارج عن باب التعارض؛ إذ لا تنافي فيه بين الجعلين ذاتاً، وإنما التنافي يحصل بمجرد تقييد موضوع أحد الدليلين بعدم حكم الدليل الآخر؛ وهذا غير التعارض المبحوث عنه في المقام كما تقدم بيانه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يجري في الورود من الجانبين وإن كان هذ القسم قليل الورود في الفقه، وأمثلته موضع بحث ونقاش بين الفقهاء، ومثاله أن يكون الدليلان متكفلين لحكمين مشروطين </w:t>
      </w:r>
      <w:bookmarkStart w:id="203" w:name="pg15367_180970"/>
    </w:p>
    <w:p>
      <w:pPr>
        <w:pStyle w:val="BookText"/>
        <w:rPr/>
      </w:pPr>
      <w:bookmarkEnd w:id="203"/>
      <w:r>
        <w:rPr>
          <w:rFonts w:ascii="Amiri" w:hAnsi="Amiri" w:eastAsia="Amiri" w:cs="Amiri"/>
          <w:color w:val="111111"/>
          <w:sz w:val="28"/>
          <w:sz w:val="28"/>
          <w:szCs w:val="28"/>
          <w:rtl w:val="true"/>
          <w:lang w:bidi="ar-SA"/>
        </w:rPr>
        <w:t>بعدم وجود حكم آخر يعارضه أو يزاحمه مطلقاً؛ كالدليل الدال على وجوب الحج مع الدليل على وجوب النذر بعد فرض أنّ كلاً منهما مشروط بعدم الآخر بحيث يكون ثبوت كل منهما رافعاً لموضوع الآخر ووارداً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 القسم غير معقول في حدّ نفسه لأنَّه مستلزم لتقييد كلٍّ من الخطابين بعدم الآخر المستلزم لتوقف كل منهما على عدم الآخر وهو دور، إلا أن يكون الشرط بعدم وجود الآخر لا مطلقاً؛ بأن يكون عدمه على تقدير عدم الأول، وهو صحيح،ويمكن تطبيقه على مثال وجوب الحج ووجوب الوفاء بالنذر على تفصيل مذكور في كتاب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أمثلة أخرى يمكن استظهارها بالتأمل فراجع</w:t>
      </w:r>
      <w:r>
        <w:rPr>
          <w:rFonts w:eastAsia="Amiri" w:cs="Amiri" w:ascii="Amiri" w:hAnsi="Amiri"/>
          <w:color w:val="111111"/>
          <w:sz w:val="28"/>
          <w:szCs w:val="28"/>
          <w:rtl w:val="true"/>
          <w:lang w:bidi="ar-SA"/>
        </w:rPr>
        <w:t>.</w:t>
      </w:r>
    </w:p>
    <w:p>
      <w:pPr>
        <w:pStyle w:val="Heading4"/>
        <w:numPr>
          <w:ilvl w:val="3"/>
          <w:numId w:val="1"/>
        </w:numPr>
        <w:rPr/>
      </w:pPr>
      <w:bookmarkStart w:id="204" w:name="__RefHeading___Toc5900620_2142443653"/>
      <w:bookmarkStart w:id="205" w:name="_Toc75"/>
      <w:bookmarkEnd w:id="204"/>
      <w:r>
        <w:rPr>
          <w:rtl w:val="true"/>
        </w:rPr>
        <w:t>البحث الثالث</w:t>
      </w:r>
      <w:r>
        <w:rPr>
          <w:rtl w:val="true"/>
        </w:rPr>
        <w:t xml:space="preserve">: </w:t>
      </w:r>
      <w:r>
        <w:rPr>
          <w:rtl w:val="true"/>
        </w:rPr>
        <w:t>أحكام الورود</w:t>
      </w:r>
      <w:bookmarkEnd w:id="205"/>
    </w:p>
    <w:p>
      <w:pPr>
        <w:pStyle w:val="BookText"/>
        <w:rPr/>
      </w:pPr>
      <w:r>
        <w:rPr>
          <w:rFonts w:ascii="Amiri" w:hAnsi="Amiri" w:eastAsia="Amiri" w:cs="Amiri"/>
          <w:color w:val="111111"/>
          <w:sz w:val="28"/>
          <w:sz w:val="28"/>
          <w:szCs w:val="28"/>
          <w:rtl w:val="true"/>
          <w:lang w:bidi="ar-SA"/>
        </w:rPr>
        <w:t>ويستفاد مِمّا سبق ذكره في تعريف الورود وأقسامه أحكام الورود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الورود هو رفع أحد الدليلين موضع الحكم في الدليل الآخر حقيقةً وينفيه نفياً حقيقياً، فلا فرق فيه بين كون الدليل الوارد متصلاً بالدليل المورود أو منفصلاً عنه، كما تقدم التنبيه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لا يتقوم بالتنافي بين الدليلين في الدلالة فيكون تقديم الوارد على المورود بملاك خاص لا يرجع إلى شؤون الألفاظ حتى يلاحظ الظهورات، فقد يتقدم الدليل الوارد ولو كان ظهوره من أضعف الظهورات وكان ظهور الدليل المورود من أقوى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والترجيح بأقوائية الظهور إنَّما يتصور في فرض التنافي في الدلالة، والمفروض أنه لا تنافي بينهما فيؤخذ بكليهما، ولكن يرتفع موضوع المورود في مورد الوارد</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في تقدم الوارد بين كون الخطاب فيه وجداني أو تعبدي؛ إذ المدار هو التعبد بصدور الخطاب الوارد وهو يستلزم التعبد بارتفاع موضوع دليل المورود </w:t>
      </w:r>
    </w:p>
    <w:p>
      <w:pPr>
        <w:pStyle w:val="BookText"/>
        <w:rPr/>
      </w:pPr>
      <w:r>
        <w:rPr>
          <w:rFonts w:ascii="Amiri" w:hAnsi="Amiri" w:eastAsia="Amiri" w:cs="Amiri"/>
          <w:color w:val="111111"/>
          <w:sz w:val="28"/>
          <w:sz w:val="28"/>
          <w:szCs w:val="28"/>
          <w:rtl w:val="true"/>
          <w:lang w:bidi="ar-SA"/>
        </w:rPr>
        <w:t>أيضاً، وهذا التعبد لا ينافي دلالة الدليل المورد وقد عرفت أنه لا تعارض حقيقي لا بين نفس الوارد والمورود، ولا بين دليل حجية الوارد والدليل المورود، ولا بين حجية الوارد ودليل حجية المورود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الورود لا يحتاج إلى الناظرية بخلاف الحكومة التي تتقوم بها؛ وعليه؛ إذا تعددت الآثار لموضوع الحكم في الدليل المورود فإنَّه لا حاجة إلى الإطلاق في دليل الوارد لنفيها، والرجوع إلى الإطلاق فرع النظر وهو غير موجود في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كان الوارد يثبت الموضوع تكويناً وحقيقة فلا محالة أنه تترتب عليه جميع الآثار فلا حاجة إلى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لا يمكن تصوير اشتراط تأخّر زمان دليل الوارد عن زمان دليل المورود لأنّ ذلك فرع النظر وهو مفقود في الورود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لذلك في الحكومة من أنّ ذلك لم يعتبر في الحكومة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في الورود لا حاجة إلى ملاحظة اللسان اللفظي؛ لأنَّه ليس تصرفاً في الألفاظ وإنما هو تصرف معنوي حقيقي في ركن من أركان الدليل المورود وهو الموضوع، وهو يتحقق ولو لم يكن هناك لفظ، وهذا بخلاف الحكومة كما سيأتي بيان ذلك</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في الوارد فلا يمكن التمسك بالمورود مطلقاً سواء كان الشك في أصل الورود أم في حجيته أم في سعته؛ بنحو الشبهة المفهومية أو الشبهة الموضوعية من دون فرق بين الوارد المتصل أو المنفصل، وهذا بخلافما ذكر من التمسك بالعام عند الشك في المخصص وذلك لأنّ احتمال الوارد مساوق لاحتمال انتفاء موضوع المورود فيكون التمسك بالمورود تمسكاً بالعام في الشبهة المصداقية لموضوع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ربما يجرز موضوع العام بالإستصحاب إذا لم تكن الشبهة مفهومية</w:t>
      </w:r>
      <w:r>
        <w:rPr>
          <w:rFonts w:eastAsia="Amiri" w:cs="Amiri" w:ascii="Amiri" w:hAnsi="Amiri"/>
          <w:color w:val="111111"/>
          <w:sz w:val="28"/>
          <w:szCs w:val="28"/>
          <w:rtl w:val="true"/>
          <w:lang w:bidi="ar-SA"/>
        </w:rPr>
        <w:t xml:space="preserve">. </w:t>
      </w:r>
      <w:bookmarkStart w:id="206" w:name="pg15367_180974"/>
    </w:p>
    <w:p>
      <w:pPr>
        <w:pStyle w:val="Heading4"/>
        <w:numPr>
          <w:ilvl w:val="3"/>
          <w:numId w:val="1"/>
        </w:numPr>
        <w:rPr/>
      </w:pPr>
      <w:bookmarkStart w:id="207" w:name="__RefHeading___Toc5900622_2142443653"/>
      <w:bookmarkStart w:id="208" w:name="_Toc76"/>
      <w:bookmarkEnd w:id="206"/>
      <w:bookmarkEnd w:id="207"/>
      <w:r>
        <w:rPr>
          <w:rtl w:val="true"/>
        </w:rPr>
        <w:t>البحث الرابع</w:t>
      </w:r>
      <w:r>
        <w:rPr>
          <w:rtl w:val="true"/>
        </w:rPr>
        <w:t xml:space="preserve">: </w:t>
      </w:r>
      <w:r>
        <w:rPr>
          <w:rtl w:val="true"/>
        </w:rPr>
        <w:t>التزاحم</w:t>
      </w:r>
      <w:bookmarkEnd w:id="208"/>
    </w:p>
    <w:p>
      <w:pPr>
        <w:pStyle w:val="Heading5"/>
        <w:numPr>
          <w:ilvl w:val="4"/>
          <w:numId w:val="1"/>
        </w:numPr>
        <w:rPr/>
      </w:pPr>
      <w:bookmarkStart w:id="209" w:name="__RefHeading___Toc5900624_2142443653"/>
      <w:bookmarkStart w:id="210" w:name="_Toc77"/>
      <w:bookmarkEnd w:id="209"/>
      <w:r>
        <w:rPr>
          <w:rtl w:val="true"/>
        </w:rPr>
        <w:t>اشارة</w:t>
      </w:r>
      <w:bookmarkEnd w:id="210"/>
    </w:p>
    <w:p>
      <w:pPr>
        <w:pStyle w:val="BookText"/>
        <w:rPr/>
      </w:pPr>
      <w:r>
        <w:rPr>
          <w:rFonts w:ascii="Amiri" w:hAnsi="Amiri" w:eastAsia="Amiri" w:cs="Amiri"/>
          <w:color w:val="111111"/>
          <w:sz w:val="28"/>
          <w:sz w:val="28"/>
          <w:szCs w:val="28"/>
          <w:rtl w:val="true"/>
          <w:lang w:bidi="ar-SA"/>
        </w:rPr>
        <w:t>إذا عرفت معنى الورود على نحو العموم فلا بُدَّ من التعرض إلى التزاحم وما يرتبط به، فقد يقال بأنه من تطبيقات الورود، والكلام يقع في مقامين</w:t>
      </w:r>
      <w:r>
        <w:rPr>
          <w:rFonts w:eastAsia="Amiri" w:cs="Amiri" w:ascii="Amiri" w:hAnsi="Amiri"/>
          <w:color w:val="111111"/>
          <w:sz w:val="28"/>
          <w:szCs w:val="28"/>
          <w:rtl w:val="true"/>
          <w:lang w:bidi="ar-SA"/>
        </w:rPr>
        <w:t>:</w:t>
      </w:r>
    </w:p>
    <w:p>
      <w:pPr>
        <w:pStyle w:val="Heading5"/>
        <w:numPr>
          <w:ilvl w:val="4"/>
          <w:numId w:val="1"/>
        </w:numPr>
        <w:rPr/>
      </w:pPr>
      <w:bookmarkStart w:id="211" w:name="__RefHeading___Toc5900626_2142443653"/>
      <w:bookmarkStart w:id="212" w:name="_Toc78"/>
      <w:bookmarkEnd w:id="211"/>
      <w:r>
        <w:rPr>
          <w:rtl w:val="true"/>
        </w:rPr>
        <w:t>المقام الأول</w:t>
      </w:r>
      <w:r>
        <w:rPr>
          <w:rtl w:val="true"/>
        </w:rPr>
        <w:t xml:space="preserve">: </w:t>
      </w:r>
      <w:r>
        <w:rPr>
          <w:rtl w:val="true"/>
        </w:rPr>
        <w:t>خروج التزاحم عن التعارض الحقيقي ودخوله في الورود</w:t>
      </w:r>
      <w:r>
        <w:rPr>
          <w:rtl w:val="true"/>
        </w:rPr>
        <w:t>.</w:t>
      </w:r>
      <w:bookmarkEnd w:id="212"/>
    </w:p>
    <w:p>
      <w:pPr>
        <w:pStyle w:val="Heading6"/>
        <w:numPr>
          <w:ilvl w:val="5"/>
          <w:numId w:val="1"/>
        </w:numPr>
        <w:rPr/>
      </w:pPr>
      <w:bookmarkStart w:id="213" w:name="__RefHeading___Toc5900628_2142443653"/>
      <w:bookmarkStart w:id="214" w:name="_Toc79"/>
      <w:bookmarkEnd w:id="213"/>
      <w:r>
        <w:rPr>
          <w:rtl w:val="true"/>
        </w:rPr>
        <w:t>اشارة</w:t>
      </w:r>
      <w:bookmarkEnd w:id="214"/>
    </w:p>
    <w:p>
      <w:pPr>
        <w:pStyle w:val="BookText"/>
        <w:rPr/>
      </w:pPr>
      <w:r>
        <w:rPr>
          <w:rFonts w:ascii="Amiri" w:hAnsi="Amiri" w:eastAsia="Amiri" w:cs="Amiri"/>
          <w:color w:val="111111"/>
          <w:sz w:val="28"/>
          <w:sz w:val="28"/>
          <w:szCs w:val="28"/>
          <w:rtl w:val="true"/>
          <w:lang w:bidi="ar-SA"/>
        </w:rPr>
        <w:t>وقبل بيان ذلك لا بُدَّ من تعريف التزاحم وما يرتبط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تقدم في أوائل البحث أنّ التزاحم عبارة عن عدم قدرة المكلف على الجمع بين الخطابين المختلفين المتوجهين إليه في الإمتثال مع اجتماع شروط الحجية فيهما ثبوتاً وإثباتاً، فيلزم أن يكون ذلك اتفاقياً، وذلك لاشتراط القدرة في كل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والتعارض يختلفان ملاكاً ولكن قد يتوهم التعارض في مقام الإمتثال، ولدفع ذلك يتوقف ثبوت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بإمكان الترتب في الوجوبين المتزاحمين بأن يثبت الوجوب الآخر على تقدير عصيان الوجوب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الإلتزام بأنّ كل خطاب مقيد بقيد لبّي يمنع من التمسك بإطلاق الخطاب حال الإشتغال بالضد الواجب فيكون موضوع وجوب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يشتغل بالضد الواجب لها، وكذا في وجوب الإزالة</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تمّ هذان الشرطان خرجت موارد التزاحم عن مورد التعارض الحقيقي؛ لأنَّه بناءً على ذلك لا يقع أي تنافٍ بين الجعلين، بل يكون كلاهما ثابتين في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القادر على متعلقها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بنحو يُنتج حكمين مشروطين على نحو الترتب، وإنما التنافي في مرحلة فعلية التكليف حيث يستحيل فعلية كلا الموضوعين في حال امتثال المكلف لأنَّه بحكم وحدة القدرة التي يملكها إذا صرفها في أي واحد من الواجبين كان عاجزاً عن امتثال الآخر، وهذا ليس تعارض بين الدليلين، وهذه قضية واضحة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وإنَّما يكون الكلام في بيان الوجه لإثبات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الشرط الأول؛ فقد تقدم تحقيق الكلام فيه في مباحث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أن قلنا باستحالة الترتب فإنَّه يحصل التنافي بين الخطابين لأدائه إلى فعلية كلا المجعولين في فرض العصيان، وهو يستلزم سراية التنافي إلى الجعل واستحالة ثبوت الخطابين المشروطين بما هو كذلك، فيحصل التعارض بين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الشرط الثاني؛ فقد قيل في تقريبه الوجوه التالية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الخطابات الشرعية مقيدة بالقدرة التكوينية؛ إما من جهة حكم العقل بقبح تكليف العاجز، أو من جهة اقتضاء نفس التكليف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فبناءً على إمكان الترتب لا يلزم أي تنافٍ بين الجعلين لأنَّه لا محذور في ثبوت القضيتين المشروطتين بالقدرة، إلا أنه لا يكون المجعولان فعليين معاً لأنّ المكلف لا يقدر على امتثال كلا التكليفين حسب الفرض، فيكون أحدهما تعييناً أو تخييراً موجباً لعجزه عن امتثال الآخر تكويناً، فيكون انتفاء الحكم بانتفاء موضوعه، فلا يكون تعارضاً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على هذا الوجه بأنه</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أُخذت القدرة التكوينية في موضوع كل تكليف –حسب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مطلقاً؛ حدوثاً وبقاءً فيكون التكليف بالصلاة مثلاً مشروطاً بعدم العجز عنها وعدم صرف القدرة في الضد الآخر، وثبوت أمرٍ من هذا القبيل بالضدين المتزاحمين لا إشكال فيه؛ حيث لا محذور فيه ولكن لازمه ارتفاع التكليف وعدم تحقق العصيان لو اشتغل المكلف بضد الواجب ولو لم يكن واجباً، وهذا مِمّا لا يلتزم به أحد لأنّ مثله يكون تعجيز المكلف نفسه بعد القدرة على التكليف، فيكون عصياناً بلا إشكال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أُخذت القدرة في التكليف حدوثاً فقط فيصبح التكليف فعلياً بمجرد تحقق القدرة في الآن الأول، فلو صرف قدرته في غيره وعجزّ نفسه كان عاصياً، ولكن يلزم منه أن يكون الجعلان المشروطان بالقدرة بهذا المعنى أوسع من الجعلين المترتبين؛ حيث يكون موضوعهما محفوظاً حتى مع امتثال أحدهما، وهو مستحيل فيحصل التعارض بين الدليلين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اختيار الشق الأول، ولكن اللازم منه مردود بظواهر الأدلة العقلية والنقلية التي تدل على عدم جواز صرف القدرة بضد الواجب إذا لم يكن واجباً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كون الشرط هو القدرة التكوينية حدوثاً إلا أنه في موارد التزاحم لا تكون إلا قدرة واحدة على الجامع بين الواجبين تتعين في أحد الطرفين باختيار المكلف، فلا يكون إلا تكليف واحد فعلي في حقّ المكلف في موارد التزاحم، وأما التكليف الآخر فإنَّه يرتفع بامتثال الأول فلا يقع تعارض بين دليلي الجعلين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شرطية القدرة تكفي فيها القدرة على الجامع بين الواجب وغيره، ولذلك صحّ التكليف بأحد الضدين تعييناً ولا يشترط في القدرة عليه تعييناً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لو كان الشرط هو القدرة حدوثاً فهي محفوظة بلحاظ كلا المتزاحمين بنفس القدرة على الجامع بينهما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وإن أمكن فرضه ثبوتاً، ولكن لا دليل عليه إثباتاً فإنّ ظاهر دليل كل واحد من التكليفين هو القدرة عليه، لا تعلّقها بالجامع</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الخطاب كما هو مقيد لبّاً بالقدرة التكوينية فكذلك يكون مقيداً لبّاً بالقدرة الشرعية؛ بمعنى عدم كون العبد مشغولاً بضدّ واجب لا يقلّ أهمية عن الواجب المفروض لاستحالة إطلاق الأمر في أحد المتزاحمين، لفرض الإشتغال بالمزاحم الآخر </w:t>
      </w:r>
    </w:p>
    <w:p>
      <w:pPr>
        <w:pStyle w:val="BookText"/>
        <w:rPr/>
      </w:pPr>
      <w:r>
        <w:rPr>
          <w:rFonts w:ascii="Amiri" w:hAnsi="Amiri" w:eastAsia="Amiri" w:cs="Amiri"/>
          <w:color w:val="111111"/>
          <w:sz w:val="28"/>
          <w:sz w:val="28"/>
          <w:szCs w:val="28"/>
          <w:rtl w:val="true"/>
          <w:lang w:bidi="ar-SA"/>
        </w:rPr>
        <w:t>الذي لا يقل أهمية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يرتفع التنافي بين التكليفين فلا يحصل التعارض بين دليليهما لأنّ التكليف المستفاد من كل منهما مشروط بعدم الإشتغال بما لا يقل عنه في الأهمية؛ أي يكون مساوياً أو أهم، وإلا فإن فرض تساويهما معاً كان الجعلان معاً مشروطين بعدم الإشتغال بالآخر، فيكون الترتب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أحدهما أهم من الآخر كان جعله مطلقاً وجعل الآخر مشروطاً بعدم الإشتغال بالأول، فيكون الترتب من طرف واحد، ولا محذور في كلا الموردين بعد البناء على إمكان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الوجه يرجع إلى الوجه الأول بناءً على ما ذكرناه في توجيهه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 حال؛ فإنه بناءً على هذا يتضح وجه تحقق العصيان إذا صرف المكلف قدرته في ضدٍّ ليس بواجب أو واجب مرجوح؛ فإنّ التكليف قد أصبح فعلياً في حقه لأنّ موضوعه هو القادر تكويناً وشرعاً، واشتغاله بالضد غير الواجب لا يرفع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إنه يمكن إرجاع الوجوه الثلاثة إلى وجه واحد ولا حاجة إلى هذا التفصيل بعد الإحاطة بما أوردناه على الوجهين السابقين، فتدبر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فقد اعتُرض على جميع ما ذكر عند فصل باب التزاحم عن باب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على تلك الإعتراضات بوجوه، وهي لا تخلو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ذلك كله تطويل لا طائل تحته، ولا ثمرة علمية فيه؛ فإنّ الجميع متفقون على أنه لا تنافي في مورد التزاحم في مرحلة الدلالة ولا في مرحلة الجعل والتشريع، وأنّ التنافي قد يحصل من ناحية عدم قدرة المكلف على امتثال الحكمين معاً، ولا إشكال عند الجميع أنّ ذلك يحصل اتفاقاً لاشتراط القدرة في كل 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وحلّ هذه المشكلة يكون بالترتب وصرف القدرة في أحدهما تعييناً أو تخييراً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إنه لا مانع من التكليف بالمتزاحمين كالتكليف بالضدين عند عدم قدرة العبد على الجمع بينهما في الإمتثال؛ فالمجعول هو كلا الحكمين بإطلاقهما، ولا يجب امتثالهما معاً </w:t>
      </w:r>
    </w:p>
    <w:p>
      <w:pPr>
        <w:pStyle w:val="BookText"/>
        <w:rPr/>
      </w:pPr>
      <w:r>
        <w:rPr>
          <w:rFonts w:ascii="Amiri" w:hAnsi="Amiri" w:eastAsia="Amiri" w:cs="Amiri"/>
          <w:color w:val="111111"/>
          <w:sz w:val="28"/>
          <w:sz w:val="28"/>
          <w:szCs w:val="28"/>
          <w:rtl w:val="true"/>
          <w:lang w:bidi="ar-SA"/>
        </w:rPr>
        <w:t>بحكم العقل إلا لأحدهما تعييناً أو تخييراً، وقد عرفت آنفاً أنّ ثبوت الإطلاق لكل واحد من الخطأ الذي حصل عند البعض الذي توهّم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لنا القول أنّ الإطلاق والأمر لكل من الضدين له مراتب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القدرة على الآخر والعجز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إتيانه نفسه وعدم إتيانه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وجوب الآخر وعدم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وجوب امتثال الآخر وعدم 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إطلاقه بالنسبة إلى إمكان الجمع بين الإمتثالين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لم يتحقق الإطلاق بالنسبة إلى المراتب الأربع الأولى لم يكن الأمر منجزاً ليستحق على مخالفته العقاب فلم يمتنع تعلقه بالممتنع، والمفروض أنّ الأمر بالضدين لا إطلاق له بالنسبة إلى المرتبة الرابعة، وحينئذٍ يكون بيان الوظيفة موكولاً إلى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الأمرَ مجرداً عن الإطلاق المذكور ثابتٌ ما لم يدل دليل على تقييده في إحدى المراتب الأولى</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التزاحم يختلف عن التعارض في الملاك والخطاب والأثر لأنّ الأمر بالضدين إذا كان بنحو التنافي بأن يكون التضاد بينهما كلياً بحيث لا يجتمعان في مورد؛ كما إذا قام الدليل على وجوب صوم يوم الشك من شهر رمضان، وقام دليل آخر على وجوب إفطار ذلك اليوم؛ فإنَّه لا ريب في وقوع التعارض لحصول التكاذب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بنحو التنافي الجزئي بأن يجتمعان في بعض الموارد ويفترقان في بعض آخر؛ كما لو قام الدليل على وجوب إكرام العلماء، وقام دليل آخر على وجوب إهانة الفساق فإنَّه يحصل الأمر بالضدين؛ الإكرام والإهانة في مورد العالم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الأمر بإنقاذ الغريق والأمر بإطفاء الحريق فإنَّه لا تنافي بينهما في الجعل لأنّ لكل واحد من الدليلين </w:t>
      </w:r>
      <w:bookmarkStart w:id="215" w:name="pg15367_180983"/>
    </w:p>
    <w:p>
      <w:pPr>
        <w:pStyle w:val="BookText"/>
        <w:rPr/>
      </w:pPr>
      <w:bookmarkEnd w:id="215"/>
      <w:r>
        <w:rPr>
          <w:rFonts w:ascii="Amiri" w:hAnsi="Amiri" w:eastAsia="Amiri" w:cs="Amiri"/>
          <w:color w:val="111111"/>
          <w:sz w:val="28"/>
          <w:sz w:val="28"/>
          <w:szCs w:val="28"/>
          <w:rtl w:val="true"/>
          <w:lang w:bidi="ar-SA"/>
        </w:rPr>
        <w:t>إطلاق أو عموم يكشفان عن وجود الملاكين لهما أو المقتضيين لهما، فلم يكن بين الجعلين للحكمين أي تنافٍ إذ لا يلزم من تحققهما في نفسهما محذور أبداً بحيث لو فرض صدورهما منه كان ممتثلاً لهما، أو صدرا معاً من شخصين كانا ممتثلين ولكن التنافي بينهما يكون في مقام الإمتثال؛ إذ لا يمكن للعبد أن يأتي بهما دفعة واحدة لعدم القدرة إلا على واحد منهما؛ فمن هنا أصبح الدليلان من قبيل المتزاحمين فلا ربط لمسألة الأمر بالضدين بباب التعارض</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5900630_2142443653"/>
      <w:bookmarkStart w:id="217" w:name="_Toc80"/>
      <w:bookmarkEnd w:id="216"/>
      <w:r>
        <w:rPr>
          <w:rtl w:val="true"/>
        </w:rPr>
        <w:t>حكم المتزاحمين</w:t>
      </w:r>
      <w:bookmarkEnd w:id="217"/>
    </w:p>
    <w:p>
      <w:pPr>
        <w:pStyle w:val="BookText"/>
        <w:rPr/>
      </w:pPr>
      <w:r>
        <w:rPr>
          <w:rFonts w:ascii="Amiri" w:hAnsi="Amiri" w:eastAsia="Amiri" w:cs="Amiri"/>
          <w:color w:val="111111"/>
          <w:sz w:val="28"/>
          <w:sz w:val="28"/>
          <w:szCs w:val="28"/>
          <w:rtl w:val="true"/>
          <w:lang w:bidi="ar-SA"/>
        </w:rPr>
        <w:t>ومما ذكرنا يظهر ان للمتزاحمين أحكاماً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بينهما مع عدم المرجح لأحدهما؛ وهذا التخيير عقلي حيث إنّ العقل يحكم به للمتمكن من فعل أحدهما في مقام الإمتثال مع إرادة الشارع له لوجود المقتضي للإمتثال في كل واحد منهما وعدم المانع، إلا عن الجمع بخلاف خصال الكفارة فإنّ الشارع قد خيّر بينهما، ولا وجوب إلا لأحدهما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إستحقاق العقاب فيما لو تركهما معاً إذا قلنا بالترتب؛ لأنَّه بناء عليه يكون التكليف بالمتزاحمين هو وجوب أحدهما عند عصيان الآخر، فإذا تركهاستحق العقاب عليهما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نقل بالترتب فلا يكون العقاب إلا على ترك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وتنقيح الكلام في ذلك قد تقدم في بحث الترتب</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الحكم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الترتيب بين الأهم والمهم فإنَّ العقل يكشف من تحقق خطاب الأهم أنّ خطاب المهم غير منجز عليه إلا في حال عصيان خطاب الأهم تحصيلاً للمصلحة الملزمة في المهم بعد انحسار المزاحمة من الأهم الذي كان مزاحماً عن تحصيل تلك المصلحة، فيكون المقتضي لامتثاله موجوداً وهو فعلية حكمه والمانع من امتثاله مفقود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التفصيل في مباحث الترتب</w:t>
      </w:r>
      <w:r>
        <w:rPr>
          <w:rFonts w:eastAsia="Amiri" w:cs="Amiri" w:ascii="Amiri" w:hAnsi="Amiri"/>
          <w:color w:val="111111"/>
          <w:sz w:val="28"/>
          <w:szCs w:val="28"/>
          <w:rtl w:val="true"/>
          <w:lang w:bidi="ar-SA"/>
        </w:rPr>
        <w:t xml:space="preserve">. </w:t>
      </w:r>
      <w:bookmarkStart w:id="218" w:name="pg15367_180985"/>
    </w:p>
    <w:p>
      <w:pPr>
        <w:pStyle w:val="BookText"/>
        <w:rPr/>
      </w:pPr>
      <w:bookmarkEnd w:id="218"/>
      <w:r>
        <w:rPr>
          <w:rFonts w:ascii="Amiri" w:hAnsi="Amiri" w:eastAsia="Amiri" w:cs="Amiri"/>
          <w:color w:val="111111"/>
          <w:sz w:val="28"/>
          <w:sz w:val="28"/>
          <w:szCs w:val="28"/>
          <w:rtl w:val="true"/>
          <w:lang w:bidi="ar-SA"/>
        </w:rPr>
        <w:t>الحكم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تنجّز الخطاب بالآخر حين العلم به وتحقق النسيان أو الجهل بالآخر حتى لو كان المجهول هو الأرجح؛ لأنّ المانع عند العقل هو عدم تنجز المجهول، ومع عدم تنجزه للجهل به فيرتفع المانع عن تنجز الآخر، لما عرفت آنفاً من وجود الحكمين بشروطهما في موارد التزاحم، وإنما المانع من امتثالهما حكم العقل بعدم إمكانه؛ فإذا جهل أحدهما زال هذا الحكم العقلي ويتبدل حكمه بالإمتثال لما هو المعلوم لإحرازه وعدم تنجزه ما يزاحمه في امتثاله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بأنّ المهم حال المزاحمة بالأهم يكون فاقداً لشرط فعليته فيبقى خطاباً إنشائياً، ومجرد العلم به لا يخرجه عن إنشائيته إلى فعليته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المزاحمة بحسب الفرض كانت في مرحلة الإمتثال وهي مرتبة بعد مرتبة كمال الحكم وفعليته وتماميته، وإلا لم تكن مزاحمة في البين وإنما يزاحمه الأهم في مرتبة التنجز، ومع الجهل به لا يتنجز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لهذه الأحكام في مباحثنا الآتية</w:t>
      </w:r>
      <w:r>
        <w:rPr>
          <w:rFonts w:eastAsia="Amiri" w:cs="Amiri" w:ascii="Amiri" w:hAnsi="Amiri"/>
          <w:color w:val="111111"/>
          <w:sz w:val="28"/>
          <w:szCs w:val="28"/>
          <w:rtl w:val="true"/>
          <w:lang w:bidi="ar-SA"/>
        </w:rPr>
        <w:t>.</w:t>
      </w:r>
    </w:p>
    <w:p>
      <w:pPr>
        <w:pStyle w:val="Heading5"/>
        <w:numPr>
          <w:ilvl w:val="4"/>
          <w:numId w:val="1"/>
        </w:numPr>
        <w:rPr/>
      </w:pPr>
      <w:bookmarkStart w:id="219" w:name="__RefHeading___Toc5900632_2142443653"/>
      <w:bookmarkStart w:id="220" w:name="_Toc81"/>
      <w:bookmarkEnd w:id="219"/>
      <w:r>
        <w:rPr>
          <w:rtl w:val="true"/>
        </w:rPr>
        <w:t>المقام الثاني</w:t>
      </w:r>
      <w:r>
        <w:rPr>
          <w:rtl w:val="true"/>
        </w:rPr>
        <w:t xml:space="preserve">: </w:t>
      </w:r>
      <w:r>
        <w:rPr>
          <w:rtl w:val="true"/>
        </w:rPr>
        <w:t>مرجحات باب التزاحم</w:t>
      </w:r>
      <w:bookmarkEnd w:id="220"/>
    </w:p>
    <w:p>
      <w:pPr>
        <w:pStyle w:val="Heading6"/>
        <w:numPr>
          <w:ilvl w:val="5"/>
          <w:numId w:val="1"/>
        </w:numPr>
        <w:rPr/>
      </w:pPr>
      <w:bookmarkStart w:id="221" w:name="__RefHeading___Toc5900634_2142443653"/>
      <w:bookmarkStart w:id="222" w:name="_Toc82"/>
      <w:bookmarkEnd w:id="221"/>
      <w:r>
        <w:rPr>
          <w:rtl w:val="true"/>
        </w:rPr>
        <w:t>اشارة</w:t>
      </w:r>
      <w:bookmarkEnd w:id="222"/>
    </w:p>
    <w:p>
      <w:pPr>
        <w:pStyle w:val="BookText"/>
        <w:rPr/>
      </w:pPr>
      <w:r>
        <w:rPr>
          <w:rFonts w:ascii="Amiri" w:hAnsi="Amiri" w:eastAsia="Amiri" w:cs="Amiri"/>
          <w:color w:val="111111"/>
          <w:sz w:val="28"/>
          <w:sz w:val="28"/>
          <w:szCs w:val="28"/>
          <w:rtl w:val="true"/>
          <w:lang w:bidi="ar-SA"/>
        </w:rPr>
        <w:t>بعدما عرفت أنّ التزاحم خارج عن باب التعارض فلا تشمله المرجّحات المنصوصة في باب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الأصحاب مرجحات خاصة لباب التزاحم، وإن كان بعضها يرجع إلى عدم التزاحم، بل يمكن إرجاعها إلى باب الورود وهي</w:t>
      </w:r>
      <w:r>
        <w:rPr>
          <w:rFonts w:eastAsia="Amiri" w:cs="Amiri" w:ascii="Amiri" w:hAnsi="Amiri"/>
          <w:color w:val="111111"/>
          <w:sz w:val="28"/>
          <w:szCs w:val="28"/>
          <w:rtl w:val="true"/>
          <w:lang w:bidi="ar-SA"/>
        </w:rPr>
        <w:t>:</w:t>
      </w:r>
    </w:p>
    <w:p>
      <w:pPr>
        <w:pStyle w:val="Heading6"/>
        <w:numPr>
          <w:ilvl w:val="5"/>
          <w:numId w:val="1"/>
        </w:numPr>
        <w:rPr/>
      </w:pPr>
      <w:bookmarkStart w:id="223" w:name="__RefHeading___Toc5900636_2142443653"/>
      <w:bookmarkStart w:id="224" w:name="_Toc83"/>
      <w:bookmarkEnd w:id="223"/>
      <w:r>
        <w:rPr>
          <w:rtl w:val="true"/>
        </w:rPr>
        <w:t>المرجح الأول</w:t>
      </w:r>
      <w:r>
        <w:rPr>
          <w:rtl w:val="true"/>
        </w:rPr>
        <w:t xml:space="preserve">: </w:t>
      </w:r>
      <w:r>
        <w:rPr>
          <w:rtl w:val="true"/>
        </w:rPr>
        <w:t>ترجيح المشروط بالقدرة العقلية على المشروط بالقدرة الشرعية</w:t>
      </w:r>
      <w:bookmarkEnd w:id="22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أحد الحكمين قد أخذت القدرة في موضوعه شرعاً ولم يؤخذ في الآخر ذلك؛ قُدِّم الثاني عند التزاحم بينهما، كما لو دار الأمر على المكلف بين دفع ما عنده من المال وفاءً لدَينه أو صرفه في الحج الواجب عليه ولم يمكن له الجمع بينهما لأنّ المال لا يكفي إلا لأحدهما فإنَّه يقدم الذي قد أُخذ فيه القدرة العقلية دون ما أخذ فيه القدرة الشرعية؛ ففي المقام يقدَّم وفاء الدين على الحج لأنَّه قد أُخذ في موضوعه الإستطاعة وهي القدرة </w:t>
      </w:r>
    </w:p>
    <w:p>
      <w:pPr>
        <w:pStyle w:val="BookText"/>
        <w:rPr/>
      </w:pPr>
      <w:r>
        <w:rPr>
          <w:rFonts w:ascii="Amiri" w:hAnsi="Amiri" w:eastAsia="Amiri" w:cs="Amiri"/>
          <w:color w:val="111111"/>
          <w:sz w:val="28"/>
          <w:sz w:val="28"/>
          <w:szCs w:val="28"/>
          <w:rtl w:val="true"/>
          <w:lang w:bidi="ar-SA"/>
        </w:rPr>
        <w:t>الشرعية، لأنّ القدرة على الحج تنتفي مع وجوب ما يزيل القدرة عنه، فيرتفع الوجوب المشروط بها لقاعدة انتفاء المشروط بانتفاء شرطه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المشروط بالقدرة عقلاً فإنّ الحكم مقيد بها عقلاً فيكونموضوعه فعلياً مع فعليته، وهذ الأمر واضح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لا بُدَّ من بيان قضية وهي أنهم قد اختلفوا في المراد من القدرة الشرعية التي تكون دخيلة في موضوع الحكم الشرعي؛ فقال المحقق النائيني قدس سره </w:t>
      </w:r>
      <w:r>
        <w:rPr>
          <w:rStyle w:val="FootnoteAnchor"/>
          <w:rtl w:val="true"/>
        </w:rPr>
        <w:footnoteReference w:id="184"/>
      </w:r>
      <w:r>
        <w:rPr>
          <w:rFonts w:ascii="Amiri" w:hAnsi="Amiri" w:eastAsia="Amiri" w:cs="Amiri"/>
          <w:color w:val="111111"/>
          <w:sz w:val="28"/>
          <w:sz w:val="28"/>
          <w:szCs w:val="28"/>
          <w:rtl w:val="true"/>
          <w:lang w:bidi="ar-SA"/>
        </w:rPr>
        <w:t>أنّ القدرة الشرعية ما تكون دخيلة في ملاك الوجوب بحيث لا مصلحة ملزمة في متعلقه عند العجز عن الإتيان به، والقدرة العقلية هي المأخوذة في موضوع التكليف لأجل استحالة تكليف العاجز، لا لأجل عدم مقتضي التكليف وملاكه في حقّه، فهو فعليّ على وجه الإطلاق حتى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القدرة الشرعية هو القدرة التكوينية في قبال العجز التكويني الإضطراري؛ فإنّه لا موجب لترجيح المشروط بالقدرة العقلية على المشروط بالقدرة الشرعية لأنّ الملاك في كل واحد من الواجبين يكون فعلياً كما هو واضح، ومع فعلية الملاكين يكون اختيار أي واحد منهما تفويتاً للملاك الآخر، فهما من هذه الجهة على حدّ سواء</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كان المراد من القدرة الشرعية هو القدرة القابلة للعجز مطلقاً الشامل للعجز الواقع باختيار المكلف لاشتغاله بضد واجب؛ فيتمّ ما ذكر من ترجيح ما هو المشروط بالقدرة العقلية على المشروط بالقدرة الشرعية لأنّ الإشتغال بالأول لا يكون مفوتاً لملاك الآخر بل رافعاً لموضوعه، بخلاف العكس فإنَّه لم يفوت ملاك المشروط بالقدرة العقلية لفعلية ملاكه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يكون إطلاق الخطاب المشروط بالقدرة العقلية لحال الإشتغال بالمشروط بالقدرة الشرعية بهذا المعنى غير ساقط لتحقق تقييد لبيّ عام يقتضي تقييد موضوع كل </w:t>
      </w:r>
    </w:p>
    <w:p>
      <w:pPr>
        <w:pStyle w:val="BookText"/>
        <w:rPr/>
      </w:pPr>
      <w:r>
        <w:rPr>
          <w:rFonts w:ascii="Amiri" w:hAnsi="Amiri" w:eastAsia="Amiri" w:cs="Amiri"/>
          <w:color w:val="111111"/>
          <w:sz w:val="28"/>
          <w:sz w:val="28"/>
          <w:szCs w:val="28"/>
          <w:rtl w:val="true"/>
          <w:lang w:bidi="ar-SA"/>
        </w:rPr>
        <w:t>خطاب بعدم الإشتغال بضد واجب لا يكون ملاكه معلقاً على عدم الإشتغال بذلك المتعلق الذي يقل أهمية عن الضد الواجب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المراد من القدرة الشرعية القدرة هو القدرة المساوقة لعدم المانع التكويني وعدم المانع المولوي الشرعي ولو لم يكن مشتغلاً فعلاً بضد واجب بل مأموراً من قبل المولى بالإشتغال به؛ فإنَّه يتم الترجيح المذكور أيضاً لأنّ المشروط بالقدرة العقلية يكون بنفس فعليته وتنجزه رافعاً لموضوع الخطاب الآخر فيتحقق المانع الشرعي بذلك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يرجع إلى ما نذكره من المعنى، وحق القول إنّ ما ذكر أشبه بالفروض العقلية، وأما إذا رجعنا إلى العرف في التمييز بين القدرتين نرى أنهم يحكمون بأنّ القدرة التي جعلت ميزاناً في الترجيح هي القدرة الخاصة أي القدرة على مباشرة العمل؛ بمعنى تهيئة أسبابه التي يتمكن معها من إتيان العمل ومباشرته له، وهذا هو المناسب للإحتمال الثالث من القول الثاني، لا القدرة العامة التي هي عبارة عن التمّكن من إتيانالعمل وعدم العجز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القدرة التي يأخذها المولى في موضوع التكليف أو في مقدماته كالحج هي القدرة بالمعنى الأول أي القدرة الخاصة، وإلا فالقدرة بالمعنى الثاني معتبرة في كل تكليف، وشروطه بحكم العقل البديهي؛ فإن أخذها المولى كذلك يكون بلا وجه ولا تتحقق تلك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بعض الأصوليين في المقام لا يخلو من تعقيد وإشكال فراجع</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لو علمنا بالقدرة الشرعية فلا إشكال، وأما لو شككنا في كون القدرة شرعية أو عقلية؛ إما لعدم دليل من الخارج، أو عدم قرينة من لسان دليل الحكمين يقتضي ذلك، فلا محالة يشك في كون القدرة دخيلة في الملاك فتكون شرعية أم لا؛ والبحث فيه تارة؛ يكون بحسب الأصل ومقتضاه، وأخرى؛ يكون بحسب القاعدة ومقتضى إطلاق دليلي الحكمين؛ </w:t>
      </w:r>
    </w:p>
    <w:p>
      <w:pPr>
        <w:pStyle w:val="BookText"/>
        <w:rPr/>
      </w:pPr>
      <w:r>
        <w:rPr>
          <w:rFonts w:ascii="Amiri" w:hAnsi="Amiri" w:eastAsia="Amiri" w:cs="Amiri"/>
          <w:color w:val="111111"/>
          <w:sz w:val="28"/>
          <w:sz w:val="28"/>
          <w:szCs w:val="28"/>
          <w:rtl w:val="true"/>
          <w:lang w:bidi="ar-SA"/>
        </w:rPr>
        <w:t>فالبحث يقع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 الشك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الشك في كلا الخطابين، فلا يعلم أنّ القدرة فيهما شرعية أو عقلية، ومقتضى الأصول العملية في هذه الصورة هو التخيير وعدم ترجيح أحدهما على الآخر لأنّ الشك يرجع إلى سعة الخطاب، والمرجع فيه هو البراءة لأنَّه مع العلم بوجوب كل واحد منهما على تقدير عدم الإشتغال بالآخر يحصل الشك في وجوب كل منهما على تقدير الإشتغال بالآخر فيرجع الشك في سعة التكليف وهو مجرى البراءة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يحرز كون القدرة في أحد الخطابين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شرعية، ويشك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كالإزالة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أنها شرعية أم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الإحتياط في هذه الصورة لأنّ المكلف حين الإشتغال بالتكليف الذي يحتمل أن تكون القدرة فيها عقلية بالنسبة إليه يعلم بأنه لم يفوّت على المولى ملاكاً أصلاً لأنّ الخطاب الآخر قد افترض كون القدرة فيه شرعية، وأما إذا جاء بالآخر فيحتمل أنه قد فوّت على المولى ملاكاً كان فعلياً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بالتخيير في هذه الصورة أيضاً لأنّ الشك فيها يرجع في الحقيقة إلى الشك في سعة الخطاب المشكوك فيه نوعية القدرة المأخوذة فيه لحال الإشتغال بالآخر، وهو من الشك في أصل التكليف خطاباً وملاكاً مع عدم ما يوجب التنجيز، فيكون مجرىً للبراءة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القول هو الأولى بالقبول وإن كان الأول هو الموافق للإحتياط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عكس الثانية؛ بأن يحرز في أحدهما كون القدرة عقلية ويشك في الآخر كونها شرعية أم عقلية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الرجوع إلى البراءة أيضاً لأنّ المكلف يشك في كون القدرة خاصة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في بيان القدرة الشرعية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يحتاج إلى مزيد بيان، والمرجع فيه البراءة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 بالإحتياط بناءً على الإحتمال الثاني للقدرة في القول الثاني والبراءة على المعنى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ضعف المبنى ويضعف البناء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في جميع الصور الثلاث يكون المرجع هو البراءة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بحسب الأصل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الصور الثلاث من الشك تجري في المقام أيضاً، وفي جميع هذه الصور؛ بناء على ما اخترناه في تفسير القدرة الشرعية أنها قيد يشك في أخذه في التكليف، والمرجع فيه الإطلاق في نفيه كما هو الحال بالنسبة إلى جميع القيود المشكوكة؛ ففي الخطابين المتزاحمين المشكوك في نوعية القدرة فيهما أو في أحدهما؛ هو الحمل على كونها قدرة عقلية والرجوع إلى الإطلاق في نفي احتمال كونها شرعية فيتعين التخيير أو ترجيح أحدهما المعين وهو الذي احرز كون القدرة فيه عقلية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ذهب بعض الأصوليين</w:t>
      </w:r>
      <w:r>
        <w:rPr>
          <w:rStyle w:val="FootnoteAnchor"/>
          <w:rtl w:val="true"/>
        </w:rPr>
        <w:footnoteReference w:id="186"/>
      </w:r>
      <w:r>
        <w:rPr>
          <w:rFonts w:ascii="Amiri" w:hAnsi="Amiri" w:eastAsia="Amiri" w:cs="Amiri"/>
          <w:color w:val="111111"/>
          <w:sz w:val="28"/>
          <w:sz w:val="28"/>
          <w:szCs w:val="28"/>
          <w:rtl w:val="true"/>
          <w:lang w:bidi="ar-SA"/>
        </w:rPr>
        <w:t>إلى التفصيل بناءً على صور الشك الثلاثة المتقدمة فإنّ هناك ثلاث حالات، وخلاصة ما ذكره في المقام</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يؤخذ في موضوع أحدهما القدرة بالمعنى الثالث في القول الثاني فيتقيد الخطاب بعدم الأمر بالضد الآخر؛ وحينئذٍ لا بُدَّ من التمسك بإطلاق دليل الحكم غير المقيد لإثبات فعليته فيكون وارداً على الحكم الآخر لأنّ التقييد بهذا المعنى زائداً على ما يقتضيه المقيد اللبي المتصل بالخطاب فينفي بإطلاق الدليل؛ نظير ما ذكره بعضهم في تقديم وجوب الحج على وجوب الوفاء بمثل النذر والعهد والشرط؛ حيث ادّعى استفادة هذا النحو من التقييد من لسان أدلة وجوب الوفاء المقيدة بأن لا يكون مخالفاً مع كتاب </w:t>
      </w:r>
    </w:p>
    <w:p>
      <w:pPr>
        <w:pStyle w:val="BookText"/>
        <w:rPr/>
      </w:pPr>
      <w:r>
        <w:rPr>
          <w:rFonts w:ascii="Amiri" w:hAnsi="Amiri" w:eastAsia="Amiri" w:cs="Amiri"/>
          <w:color w:val="111111"/>
          <w:sz w:val="28"/>
          <w:sz w:val="28"/>
          <w:szCs w:val="28"/>
          <w:rtl w:val="true"/>
          <w:lang w:bidi="ar-SA"/>
        </w:rPr>
        <w:t>الله وشرطه، فإنّ العرف يفهم منه عدم الأمر بالخلاف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دليل وجوب الحج فإنَّه مطلق من هذه الجهة، فلا يصحّ هذ القول إلا على هذا الوجه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القدرة قيداً في لسان الدليلين معاً أو عدم أخذها في لسان شيء منهما؛ وفي هذه الحالة لا يمكن إثبات ترجيح أحد الخطابين على الآخر فلا بُدَّ من الرجوع إلى ما تقتضيه الأصول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القدرة قيداً في لسان أحد الدليلين دون الآخر؛ وقد حكموا في هذه الحالة بترجيح ما لم يؤخذ في لسان دليله قيد القدرة على ما أخذ فيه ذلك باعتبار أنّ ما أُخذ في لسان دليله القدرة تكون شرعية، وما لم يؤخذ فيه تكون القدرة 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حكمان؛ أحدهما ترجيح ما لم يؤخذ في لسان دليله القدرة، والآخر ما أخذ في لسان دليله القدرة الشرعية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الحكم الأول؛ فقد استدلوا عليه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المدلول الإلتزامي للخطاب بعد أن كان مدلوله المطابقي وهو التكليف مقيداً لبّاً بالقدرة، فلا يشمل حال العجز إلا أنّ مدلوله الإلتزامي وهو الكشف عن الملاك بما له إطلاق يشمل حال العجز، إذ لا دليل على تقييده بحال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بتطابق الدلالتين المطابقية والإلتزامية ذاتاً وحجة، فإذا سقطت الأولى عن الحجية لم يبقَ ملاك الحجية في الثانية</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صغرى وكبرى كما حققناه في محله إلا في التلازم في الوجود؛ فإنَّه لا إشكال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المقيد اللبّي المخرج لحال العجز يعتبر بمنزلة المخصص المتصل، وهو يمنع من انعقاد الدلالة المطابقية ذاتاً لا حجيةً فقط، والتبعية بين الدلالتين ذاتاً ووجوداً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العرف يرى أنّ إطلاق الخطاب تامٌّ ذاتاً وحجيةً إلا أنه لم يتنجز الإمتثال في حالات العجز، وهو لا يمنع عن فعلية ملاك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بلحاظ محمولها الثاني؛ وهو الملاك كما ذكره المحقق النائيني قدس سره </w:t>
      </w:r>
      <w:r>
        <w:rPr>
          <w:rStyle w:val="FootnoteAnchor"/>
          <w:rtl w:val="true"/>
        </w:rPr>
        <w:footnoteReference w:id="187"/>
      </w:r>
      <w:r>
        <w:rPr>
          <w:rFonts w:ascii="Amiri" w:hAnsi="Amiri" w:eastAsia="Amiri" w:cs="Amiri"/>
          <w:color w:val="111111"/>
          <w:sz w:val="28"/>
          <w:sz w:val="28"/>
          <w:szCs w:val="28"/>
          <w:rtl w:val="true"/>
          <w:lang w:bidi="ar-SA"/>
        </w:rPr>
        <w:t>من أنّ للمادة محمولين في عرض واحد؛ أحدهما الحكم والخطاب، الآخر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إطلاق المادة في الحكم يشمل حالاتها كذلك يقتضي بإطلاق المادة في الملاك ليعمّ تمام مواردها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اللّبي المذكور يقيّد المحمول الأول فلا يثبت في حال العجز، ولكن الملاك يبقى على إطلاقه ليثبت في حال 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بعيد عن فهم العرف حيث لا يرى في الخطاب إلا دلالته على الحكم فقط، فليس للمادة إلا محمول واحد وهو غير ثابت في حال العجز، وأما الملاك فإنَّه يستكشف بالدلالة الإلتزامية العقلية؛ فقد يكون ثابتاً حتى بعد انتفاء الحكم كما ذكرناه في الفقه</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الحكم الثاني؛ وهو أنّ كل ما أخذ في دليله القدرة تكون القدرة شرعية، فهو صحيح على ما اخترناه من أنها قدرة خاصة سواء كان اللسان عنوان القدرة أم الاستطاعة أم غيرهما؛ إذ المناط هو استفادة العرف كونها قدرة خاصة دخيلة في تحقق العمل ومباشرته بتهيئة أسبابه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السيد الصدر قدس سره وغيره من الإشكال على ذلك إنَّما هو تبعيد للمسافة وخروج عن الذوق العرفي، بل هي مجرد فروض عقلية لا تخفى على من راجع كلامه قدس سره في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إنهم ذكروا خصائص لهذه القدرة الشرعية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الشرعية إذا أخذت في موضوع التكليف أو أخذت في شرائطه كالحج كانت شرطَ الوجوب، فلا يجب تحصيلها كما لا يجب العمل بها عند عدم حصولها كما هو المعروف بين الأصوليين والفقهاء، بخلاف ما إذا لم تكن القدرة شرعية بأن لا تؤخذ في موضوع التكليف ولا في شرائطه كانت من شرائط وجوده، فيجب تحصيلها وإتيان 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قالوا بأنه لا يجب على المكلف قبول الهدية التي تكفي لحجه ولا يجب عليه استيفاء الدين كذلك، بخلاف ما لو كان له دين فإنَّه يجب عليه استيفاء دينه لوفاء الدين الذي عليه، وغير ذلك من الفروع المذكورة في الفقه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القدرة المذكورة التي أخذت في موضوع التكليف لا بُدَّ أن تكون قبل وجود التكليف؛ فالقدرة على الحج لا بُدَّ أن تكون قبل وجود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لا يخفى أنّ محلّ الكلام في المقام فيما إذا حصل واجب فعلي قبل القدرة الشرعية التي أخذت في موضوع الواجب الآخر ثم حصلت له هذه القدرة الشرعية؛ كما إذا كان عليه وجوب وفاء الدين ثم حصل له المال بحيث لو لم يكن عليه وجوب الدين لكان عليه الحج؛ فيقع البحث في وقوع التزاحم بينهما أو الرجوع إلى مرجحات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حصلت القدرة الشرعية قبل أن يتحقق الواجب الآخر فيما لو استطاع للحج وبعد تحققها ودخول وقت الحج استحق دين عليه، أو وجبت دية عليه فإنَّه لا ريب في تحقق المزاحمة بينهما</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محل الكلام ما إذا كان وجوب الواجب فعلاً فيما لو كانت له قدرة لا يمكن صرفها إلا فيه أو في الحج يكون وجوب الحج مزاحماً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عرفت ذلك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وجوب الواجب كوفاء الدين الذي لم تؤخذ القدرة في موضوعه هو المقدّم لأنَّها بوجوبه لرفع القدرة التي هي من شرائط الحج تكون مقدمة في ذلك الواجب فيجب صرفها فيه لفعليته، بخلاف الحج حيث لم يكن في هذه الحال واجباً عليه حتى لو دخل وقته لأنّ القدرة منعت من صرفها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قالوا بأنه لو كان عنده نصاب الزكاة وقد استحق عليه الدين فعلاً لم تجب عليه الزكاة إذا كان الدين مِمّا يوجب نقص المال عن النصاب لأنَّه يعتبر في الزكاة التمكن من التصرف في النصاب بعد بلوغه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وللمقام أمثلة كثيرة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وعمدة الكلام؛ إنّ ما أُخذت القدرة فيه عند دخول وقته لم يكن واجباً عليه لارتفاع موضوعه وهو القدرة الشرعية لمنع صرفها فيه، ولعل السرّ يرجع إلى أنّ أخذ القدرة قيداً في واجب كالحج يكشف عن دخلهما في موضوعه ومصلحته، وعدم أخذها في الحكم الآخر كالوفاء بالدَّين يكشف عن دخلها في موضوعه ومصلحته؛فإذا تحقق التزاحم بينهما فإنّ ما لم تؤخذ القدرة في موضوعه يكون واجداً لموضوعه ومصلحته قطعاً، والآخر لم يعلم تحقق موضوعه ووجدانه للمصلحة، والعقل يرجح الأخذ بما هو معلوم الموضوع على ما هو مشكوك الموضوع، وقد عرفت ما يتعلق بذلك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قد وقع البحث في أنّ هذا المرجح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تقديم غير المشروط بالقدرة الشرعية على المشروط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يشمل صورة ما إذا كان المشروط بالقدرة الشرعية أهم ملاكاً من غير المشروط بها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هو الإطلاق؛ لأنّ الخطاب المرجوح ملاكاً رافع لموضوع الآخر فيكون وارداً عليه بنفس فعليته، فلا يكون في الآخر ملاك حتى يبحث في تقديمه عليه</w:t>
      </w:r>
      <w:r>
        <w:rPr>
          <w:rFonts w:eastAsia="Amiri" w:cs="Amiri" w:ascii="Amiri" w:hAnsi="Amiri"/>
          <w:color w:val="111111"/>
          <w:sz w:val="28"/>
          <w:szCs w:val="28"/>
          <w:rtl w:val="true"/>
          <w:lang w:bidi="ar-SA"/>
        </w:rPr>
        <w:t xml:space="preserve">. </w:t>
      </w:r>
      <w:bookmarkStart w:id="225" w:name="pg15367_181003"/>
    </w:p>
    <w:p>
      <w:pPr>
        <w:pStyle w:val="Heading6"/>
        <w:numPr>
          <w:ilvl w:val="5"/>
          <w:numId w:val="1"/>
        </w:numPr>
        <w:rPr/>
      </w:pPr>
      <w:bookmarkStart w:id="226" w:name="__RefHeading___Toc5900638_2142443653"/>
      <w:bookmarkStart w:id="227" w:name="_Toc84"/>
      <w:bookmarkEnd w:id="225"/>
      <w:bookmarkEnd w:id="226"/>
      <w:r>
        <w:rPr>
          <w:rtl w:val="true"/>
        </w:rPr>
        <w:t>المرجح الثاني</w:t>
      </w:r>
      <w:r>
        <w:rPr>
          <w:rtl w:val="true"/>
        </w:rPr>
        <w:t xml:space="preserve">: </w:t>
      </w:r>
      <w:r>
        <w:rPr>
          <w:rtl w:val="true"/>
        </w:rPr>
        <w:t>ترجيح المضيق</w:t>
      </w:r>
      <w:bookmarkEnd w:id="227"/>
    </w:p>
    <w:p>
      <w:pPr>
        <w:pStyle w:val="BookText"/>
        <w:rPr/>
      </w:pPr>
      <w:r>
        <w:rPr>
          <w:rFonts w:ascii="Amiri" w:hAnsi="Amiri" w:eastAsia="Amiri" w:cs="Amiri"/>
          <w:color w:val="111111"/>
          <w:sz w:val="28"/>
          <w:sz w:val="28"/>
          <w:szCs w:val="28"/>
          <w:rtl w:val="true"/>
          <w:lang w:bidi="ar-SA"/>
        </w:rPr>
        <w:t>بأن يكون أحد الواجبين المتزاحمين مضيقاً والآخر موسعاً؛ فإنّ الترجيح يكون للأول كما إذا وجب عليه صلاة الكسوف الجزئي أول الزوال فإنَّه يقدم الفرد الواجب من صلاة الكسوف الجزئي على الفرد الواجب من صلاة الظهر، مع أنّ كل واحدة منهما واجدة لملاك الوجوب وموضوعَ الوجوب تامٌّ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ودليله واضح، لأنَّ بإتيانه لصلاة الكسوف لم يفوت واجباً عليه بخلاف ما لو صلى الظهر، فإنَّه يفوت عليه صلاة الكسوف في وقتها لغرض كونه جزئياً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هذا الباب التزاحم بين إزالة النجاسة عن المسجد الواجب فوراً وبين الصلاة فيه مع سعة الوقت، ولو انعكس الأمر بأن كانت الصلاة في آخر وقتها فتقدَّم الصلاة حينئذٍ</w:t>
      </w:r>
      <w:r>
        <w:rPr>
          <w:rFonts w:eastAsia="Amiri" w:cs="Amiri" w:ascii="Amiri" w:hAnsi="Amiri"/>
          <w:color w:val="111111"/>
          <w:sz w:val="28"/>
          <w:szCs w:val="28"/>
          <w:rtl w:val="true"/>
          <w:lang w:bidi="ar-SA"/>
        </w:rPr>
        <w:t>.</w:t>
      </w:r>
    </w:p>
    <w:p>
      <w:pPr>
        <w:pStyle w:val="Heading6"/>
        <w:numPr>
          <w:ilvl w:val="5"/>
          <w:numId w:val="1"/>
        </w:numPr>
        <w:rPr/>
      </w:pPr>
      <w:bookmarkStart w:id="228" w:name="__RefHeading___Toc5900640_2142443653"/>
      <w:bookmarkStart w:id="229" w:name="_Toc85"/>
      <w:bookmarkEnd w:id="228"/>
      <w:r>
        <w:rPr>
          <w:rtl w:val="true"/>
        </w:rPr>
        <w:t>المرجح الثالث</w:t>
      </w:r>
      <w:r>
        <w:rPr>
          <w:rtl w:val="true"/>
        </w:rPr>
        <w:t xml:space="preserve">: </w:t>
      </w:r>
      <w:r>
        <w:rPr>
          <w:rtl w:val="true"/>
        </w:rPr>
        <w:t>ترجيح الأسبق زماناً</w:t>
      </w:r>
      <w:r>
        <w:rPr>
          <w:rtl w:val="true"/>
        </w:rPr>
        <w:t>.</w:t>
      </w:r>
      <w:bookmarkEnd w:id="229"/>
    </w:p>
    <w:p>
      <w:pPr>
        <w:pStyle w:val="BookText"/>
        <w:rPr/>
      </w:pPr>
      <w:r>
        <w:rPr>
          <w:rFonts w:ascii="Amiri" w:hAnsi="Amiri" w:eastAsia="Amiri" w:cs="Amiri"/>
          <w:color w:val="111111"/>
          <w:sz w:val="28"/>
          <w:sz w:val="28"/>
          <w:szCs w:val="28"/>
          <w:rtl w:val="true"/>
          <w:lang w:bidi="ar-SA"/>
        </w:rPr>
        <w:t>وذلك فيما إذا كان أحد الواجبين المتزاحمين أسبق زماناً من الآخر بأن يكون وقت امتثاله سابق على وقت امتثال الآخر؛ وقد ذكروا أن التقديم يكون للأسبق زماناً وترجيحه على المتأخر زماناً، واستدل عليه بأنّ خطاب الأسبق يكون فعلياً قبل فعلية مزاحمه، فتركه غير معذور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امتثل الأسبق فإنَّه لا يبقى معه مجال لفعلية الخطاب المتأخر حيث ترتفع القدرة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لم يكن شرط صحة امتثال المتأخر إتيان الأول كالظهر والعصر فإنَّه لا إشكال حينئذٍ؛ ومثال ذلك ما لو دار أمره بين الركوع في الركعة الأولى أو الثانية، وكذا القيام في الأولى أو الثانية فإنَّه يقدم الركوع في الأولى لفعلية وجوبه، وبإتيانه لم يبق له قدرة على الثاني في وقته</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استشكل بعض الأصوليين</w:t>
      </w:r>
      <w:r>
        <w:rPr>
          <w:rStyle w:val="FootnoteAnchor"/>
          <w:rtl w:val="true"/>
        </w:rPr>
        <w:footnoteReference w:id="188"/>
      </w:r>
      <w:r>
        <w:rPr>
          <w:rFonts w:ascii="Amiri" w:hAnsi="Amiri" w:eastAsia="Amiri" w:cs="Amiri"/>
          <w:color w:val="111111"/>
          <w:sz w:val="28"/>
          <w:sz w:val="28"/>
          <w:szCs w:val="28"/>
          <w:rtl w:val="true"/>
          <w:lang w:bidi="ar-SA"/>
        </w:rPr>
        <w:t xml:space="preserve">في مرجحية الأسبقية لأنّ الواجبين المتزاحمين؛ إمّا أنْ تكون القدرة مأخوذة فيهما عقلاً، وإمّا أنْ تكون مأخوذة شرعاً بأن يكونا مشروطين </w:t>
      </w:r>
    </w:p>
    <w:p>
      <w:pPr>
        <w:pStyle w:val="BookText"/>
        <w:rPr/>
      </w:pPr>
      <w:r>
        <w:rPr>
          <w:rFonts w:ascii="Amiri" w:hAnsi="Amiri" w:eastAsia="Amiri" w:cs="Amiri"/>
          <w:color w:val="111111"/>
          <w:sz w:val="28"/>
          <w:sz w:val="28"/>
          <w:szCs w:val="28"/>
          <w:rtl w:val="true"/>
          <w:lang w:bidi="ar-SA"/>
        </w:rPr>
        <w:t>بالقدرة الشرعية، أو تكون القدرة مطلقة فيهما؛ وعلى الأول لا ترجيح بالأسبقية لأنّ كلا الخطابين مقيد لبّاً بقيد واحد، وهو عدم الإشتغال بضدّ واجب فعلي ملاكه مساوٍ أو أهم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فكما يكون الإتيان بالأسبق زماناً رافعاً لفعلية الخطاب المتأخر كذلك يكون الإتيان بالمتأخر في زمانه رافعاً لفعلية الخطاب المتقدم وهو معنى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الفرض الثاني فقد يتوهم الترجيح لأنّ القدرة الشرعية التي لها الدخل في الملاك والفعلية من حقّ الأسبق، بخلاف المتأخر لأنّ الإتيان بالأسبق يرفع القدرة على الواجب المتأخر في ظرفه، بخلاف الواجب المتأخر فإنَّه لا يرفع القدرة على الأسبق في الزمان المتقدم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غير تام لأنّ الواجب المتأخر إن فرض أنّ ملاكه مشروط بالقدرة على الواجب في ظرف امتثاله بالخصوص فيكون ارتفاع فعلية الخطاب المتأخر بامتثال المتقدم وإن كان ثابتاً، إلا أنه ليس من باب ترجيح أحد المتزاحمين بما هما واجبين على الآخر، بل باعتبار قيد خاص في أحد الخطابين بنحو يرتفع بإتيان الفعل المتقدم ولو لم يكن واجباً وهو خارج عن محل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فرض أنه مشروط بمطلق القدرة المحفوظة مع الإشتغال بالضدّ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 في موارد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القدرة كما هي فعلية في حق الواجب للأسبق زماناً، كذلك هي فعلية في حق المتأخر زماناً؛ إذ يمكن للمكلف أن يحفظ قدرته للواجب المتأخر بترك المتقدم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والصحيح؛ هو القول بأنه يكفي السبق واللحوق في الفعلية للواجبين والترجيح للسابق زماناً بحكم العقلاء بأنّ إتيانه رافع لفعلية المتأخر زماناً لانتفاء القدرة عليه، سواء كانت القدرة شرعية أم عقلية أم مطلق القدرة، وإن كانت بحسب الفروض العقلية تخرج عن </w:t>
      </w:r>
      <w:bookmarkStart w:id="230" w:name="pg15367_181006"/>
    </w:p>
    <w:p>
      <w:pPr>
        <w:pStyle w:val="BookText"/>
        <w:rPr/>
      </w:pPr>
      <w:bookmarkEnd w:id="230"/>
      <w:r>
        <w:rPr>
          <w:rFonts w:ascii="Amiri" w:hAnsi="Amiri" w:eastAsia="Amiri" w:cs="Amiri"/>
          <w:color w:val="111111"/>
          <w:sz w:val="28"/>
          <w:sz w:val="28"/>
          <w:szCs w:val="28"/>
          <w:rtl w:val="true"/>
          <w:lang w:bidi="ar-SA"/>
        </w:rPr>
        <w:t>المتفاهم العرفي كما ذكره الأصوليون</w:t>
      </w:r>
      <w:r>
        <w:rPr>
          <w:rStyle w:val="FootnoteAnchor"/>
          <w:rtl w:val="true"/>
        </w:rPr>
        <w:footnoteReference w:id="189"/>
      </w:r>
      <w:r>
        <w:rPr>
          <w:rFonts w:ascii="Amiri" w:hAnsi="Amiri" w:eastAsia="Amiri" w:cs="Amiri"/>
          <w:color w:val="111111"/>
          <w:sz w:val="28"/>
          <w:sz w:val="28"/>
          <w:szCs w:val="28"/>
          <w:rtl w:val="true"/>
          <w:lang w:bidi="ar-SA"/>
        </w:rPr>
        <w:t>في وجه ترجيح الأسبق زماناً، هو الأولى بالقبول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ذلك فقد يخرج عن هذا المورد فيما إذا كان المتأخر زماناً أهم؛ كما إذا دار الأمر بين بذل المال فعلاً للوضوء وبين بذله بعد يوم لحفظ النفس أو العرض قُدِّم حفظ النفس أو العرض، وإن كان متأخراً زماناً لحكم العقل باستحقاق العقاب على تفويت الواجب الأهم بتفويت القدرة عليه كما يقال في وجوب المعرفة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انه يتعين الترجيح للأسبق زماناً فيما إذا كان يحتمل فوات الواجب المتأخر زماناً بعجزٍ أو موتٍ أو نحو ذلك؛ فإنَّه مع وجود هذا الإحتمال يصح القول بلزوم تقديم الأسبق والمبادرة إليه تمسكاً بإطلاق خطابه لإثبات فعليته وتنجزه</w:t>
      </w:r>
      <w:r>
        <w:rPr>
          <w:rFonts w:eastAsia="Amiri" w:cs="Amiri" w:ascii="Amiri" w:hAnsi="Amiri"/>
          <w:color w:val="111111"/>
          <w:sz w:val="28"/>
          <w:szCs w:val="28"/>
          <w:rtl w:val="true"/>
          <w:lang w:bidi="ar-SA"/>
        </w:rPr>
        <w:t>.</w:t>
      </w:r>
    </w:p>
    <w:p>
      <w:pPr>
        <w:pStyle w:val="Heading6"/>
        <w:numPr>
          <w:ilvl w:val="5"/>
          <w:numId w:val="1"/>
        </w:numPr>
        <w:rPr/>
      </w:pPr>
      <w:bookmarkStart w:id="231" w:name="__RefHeading___Toc5900642_2142443653"/>
      <w:bookmarkStart w:id="232" w:name="_Toc86"/>
      <w:bookmarkEnd w:id="231"/>
      <w:r>
        <w:rPr>
          <w:rtl w:val="true"/>
        </w:rPr>
        <w:t>المرجح الرابع</w:t>
      </w:r>
      <w:r>
        <w:rPr>
          <w:rtl w:val="true"/>
        </w:rPr>
        <w:t xml:space="preserve">: </w:t>
      </w:r>
      <w:r>
        <w:rPr>
          <w:rtl w:val="true"/>
        </w:rPr>
        <w:t>ترجيح الواجب المعين على الواجب المخيّر</w:t>
      </w:r>
      <w:bookmarkEnd w:id="232"/>
    </w:p>
    <w:p>
      <w:pPr>
        <w:pStyle w:val="BookText"/>
        <w:rPr/>
      </w:pPr>
      <w:r>
        <w:rPr>
          <w:rFonts w:ascii="Amiri" w:hAnsi="Amiri" w:eastAsia="Amiri" w:cs="Amiri"/>
          <w:color w:val="111111"/>
          <w:sz w:val="28"/>
          <w:sz w:val="28"/>
          <w:szCs w:val="28"/>
          <w:rtl w:val="true"/>
          <w:lang w:bidi="ar-SA"/>
        </w:rPr>
        <w:t>كما إذا وجب عليه وفاء الدين وكان عليه إحدى الكفارات الثلاث، وليس عنده من المال إلا ما يكفي لوفاء الدين أو الإطعام أو عتق رقبة؛ فإنَّه يقدم الوفاء للدين لأنَّه بارتكابه لا يحصل مخالفة المولى، بخلاف ما إذا أطعم أو أعتق فإنَّه يلزم المخالفة لوجوب الوفاء</w:t>
      </w:r>
      <w:r>
        <w:rPr>
          <w:rFonts w:eastAsia="Amiri" w:cs="Amiri" w:ascii="Amiri" w:hAnsi="Amiri"/>
          <w:color w:val="111111"/>
          <w:sz w:val="28"/>
          <w:szCs w:val="28"/>
          <w:rtl w:val="true"/>
          <w:lang w:bidi="ar-SA"/>
        </w:rPr>
        <w:t>.</w:t>
      </w:r>
    </w:p>
    <w:p>
      <w:pPr>
        <w:pStyle w:val="Heading6"/>
        <w:numPr>
          <w:ilvl w:val="5"/>
          <w:numId w:val="1"/>
        </w:numPr>
        <w:rPr/>
      </w:pPr>
      <w:bookmarkStart w:id="233" w:name="__RefHeading___Toc5900644_2142443653"/>
      <w:bookmarkStart w:id="234" w:name="_Toc87"/>
      <w:bookmarkEnd w:id="233"/>
      <w:r>
        <w:rPr>
          <w:rtl w:val="true"/>
        </w:rPr>
        <w:t>المرجح الخامس</w:t>
      </w:r>
      <w:r>
        <w:rPr>
          <w:rtl w:val="true"/>
        </w:rPr>
        <w:t xml:space="preserve">: </w:t>
      </w:r>
      <w:r>
        <w:rPr>
          <w:rtl w:val="true"/>
        </w:rPr>
        <w:t>ترجيح ما ليس له بدل على ما له بدل</w:t>
      </w:r>
      <w:r>
        <w:rPr>
          <w:rtl w:val="true"/>
        </w:rPr>
        <w:t>.</w:t>
      </w:r>
      <w:bookmarkEnd w:id="2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وذلك فيما إذا كان أحد الواجبين فرداً لواجب لا بدل له إضطراري، والآخر له بدل إضطراري؛ وقد مثلوا لذلك بما إذا وجب عليه إزالة النجاسة عن بدنه ووجب عليه الوضوء للصلاة وليس عنده من الماء ما يكفيه لهما معاً؛ فقالوا أنه يقدّم ما لا بدل له على ما له بدل، فيصرف الماء في تطهير البدن وإتيان الآخر ببدله وهو التيمم؛ لأنَّه مع تقديم الأول لا يفوت على المكلف واجب، بخلاف ما إذا ارتكب الثاني فإنَّه يفوت الآخر منه دون أن يتداركه ببدل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ناقش بعض الأصوليون في أصل المقام وبعضهم في المثال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والتحقيق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أحرزنا أهمية أحدهما عند المشرع فلا إشكال في تقديم الأهم على الآخر كما إذا دار الأمر بين صرف الماء في حفظ النفس المحترمة وبين صرفه في الوضوء أو الغسل؛ قُدّم الأهم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نحرز الأهمية سواء أحرزنا تساويهما في الشرع بأن أحرزنا احتمال الأهمية في كل واحد منهما كما هو مفروض الكلام؛ كما في مثال دوران الأمر بين إزالة النجاسة والوضوء فإنّ العقل في مقام الإمتثال يقدم ما ليس له البدل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الواضح أنّ التزاحم بين الواجبين يوجب منع امتثال أحدهما من الإتيان بالآخر فيكون بينهما تمانع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فالمحكمّ هو العقل حينئذٍ وهو يحكم بتقديم ما ليس له البدل لأنّ الشارع قد أمر بترك ما له البدل عند المنع منه إلى بدل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المقام يدخل في موارد الأمر بين التعيين والتخيير في مقام الإمتثال عند العقل لاحتمال تعيين ما ليس له البدل على الآخر لعدم قيام بدل له مقامه، ولا يحتمل تعيّن ما له البدل عليه لتساويهما في المصلحة أو تساويهما في احتمال الأهمية، فإنّ العقل يحكم في مقام الإمتثال بتقديم ما ليس له البدل كذلك</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ذكرناه يظهر الجواب عما استشكله بعض الأصوليين على ذلك بأنّ الكلام فيما له بدل طولي الذي يكون متفرعاً على العجز من الإتيان بالمبدل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ومنالواضح أنّ الأمر يقتضي متعلقه بالخصوص، ولو كان له بدل طولي أنما يقتضي متعلقه بالقياس إلى بدله العرضي كما في الواجب التخييري؛ فلو فرض أنّ لأحد الواجبين بدلاً عرضياً لا يزاحم الواجب الآخر كان ذلك خروجاً عن باب التزاحم</w:t>
      </w:r>
      <w:r>
        <w:rPr>
          <w:rFonts w:eastAsia="Amiri" w:cs="Amiri" w:ascii="Amiri" w:hAnsi="Amiri"/>
          <w:color w:val="111111"/>
          <w:sz w:val="28"/>
          <w:szCs w:val="28"/>
          <w:rtl w:val="true"/>
          <w:lang w:bidi="ar-SA"/>
        </w:rPr>
        <w:t xml:space="preserve">. </w:t>
      </w:r>
      <w:bookmarkStart w:id="235" w:name="pg15367_181010"/>
    </w:p>
    <w:p>
      <w:pPr>
        <w:pStyle w:val="BookText"/>
        <w:rPr/>
      </w:pPr>
      <w:bookmarkEnd w:id="235"/>
      <w:r>
        <w:rPr>
          <w:rFonts w:ascii="Amiri" w:hAnsi="Amiri" w:eastAsia="Amiri" w:cs="Amiri"/>
          <w:color w:val="111111"/>
          <w:sz w:val="28"/>
          <w:sz w:val="28"/>
          <w:szCs w:val="28"/>
          <w:rtl w:val="true"/>
          <w:lang w:bidi="ar-SA"/>
        </w:rPr>
        <w:t xml:space="preserve">ولا يخفى أنّ هذا الإيراد خارج عن موارد البحث بعد البيان الذي ذكرناه من الوجهين السابقين، فما بنى عليه السيد الصدر قدس سره </w:t>
      </w:r>
      <w:r>
        <w:rPr>
          <w:rStyle w:val="FootnoteAnchor"/>
          <w:rtl w:val="true"/>
        </w:rPr>
        <w:footnoteReference w:id="190"/>
      </w:r>
      <w:r>
        <w:rPr>
          <w:rFonts w:ascii="Amiri" w:hAnsi="Amiri" w:eastAsia="Amiri" w:cs="Amiri"/>
          <w:color w:val="111111"/>
          <w:sz w:val="28"/>
          <w:sz w:val="28"/>
          <w:szCs w:val="28"/>
          <w:rtl w:val="true"/>
          <w:lang w:bidi="ar-SA"/>
        </w:rPr>
        <w:t>يكون من لزوم ما لا يلزم</w:t>
      </w:r>
      <w:r>
        <w:rPr>
          <w:rFonts w:eastAsia="Amiri" w:cs="Amiri" w:ascii="Amiri" w:hAnsi="Amiri"/>
          <w:color w:val="111111"/>
          <w:sz w:val="28"/>
          <w:szCs w:val="28"/>
          <w:rtl w:val="true"/>
          <w:lang w:bidi="ar-SA"/>
        </w:rPr>
        <w:t>.</w:t>
      </w:r>
    </w:p>
    <w:p>
      <w:pPr>
        <w:pStyle w:val="Heading6"/>
        <w:numPr>
          <w:ilvl w:val="5"/>
          <w:numId w:val="1"/>
        </w:numPr>
        <w:rPr/>
      </w:pPr>
      <w:bookmarkStart w:id="236" w:name="__RefHeading___Toc5900646_2142443653"/>
      <w:bookmarkStart w:id="237" w:name="_Toc88"/>
      <w:bookmarkEnd w:id="236"/>
      <w:r>
        <w:rPr>
          <w:rtl w:val="true"/>
        </w:rPr>
        <w:t>المرجح السادس</w:t>
      </w:r>
      <w:r>
        <w:rPr>
          <w:rtl w:val="true"/>
        </w:rPr>
        <w:t xml:space="preserve">: </w:t>
      </w:r>
      <w:r>
        <w:rPr>
          <w:rtl w:val="true"/>
        </w:rPr>
        <w:t>الترجيح بالأهمية</w:t>
      </w:r>
      <w:r>
        <w:rPr>
          <w:rtl w:val="true"/>
        </w:rPr>
        <w:t>.</w:t>
      </w:r>
      <w:bookmarkEnd w:id="237"/>
    </w:p>
    <w:p>
      <w:pPr>
        <w:pStyle w:val="Heading6"/>
        <w:numPr>
          <w:ilvl w:val="5"/>
          <w:numId w:val="1"/>
        </w:numPr>
        <w:rPr/>
      </w:pPr>
      <w:bookmarkStart w:id="238" w:name="__RefHeading___Toc5900648_2142443653"/>
      <w:bookmarkStart w:id="239" w:name="_Toc89"/>
      <w:bookmarkEnd w:id="238"/>
      <w:r>
        <w:rPr>
          <w:rtl w:val="true"/>
        </w:rPr>
        <w:t>اشارة</w:t>
      </w:r>
      <w:bookmarkEnd w:id="239"/>
    </w:p>
    <w:p>
      <w:pPr>
        <w:pStyle w:val="BookText"/>
        <w:rPr/>
      </w:pPr>
      <w:r>
        <w:rPr>
          <w:rFonts w:ascii="Amiri" w:hAnsi="Amiri" w:eastAsia="Amiri" w:cs="Amiri"/>
          <w:color w:val="111111"/>
          <w:sz w:val="28"/>
          <w:sz w:val="28"/>
          <w:szCs w:val="28"/>
          <w:rtl w:val="true"/>
          <w:lang w:bidi="ar-SA"/>
        </w:rPr>
        <w:t>والبحث فيه تارة؛ من حيث الفروض المتصورة من الأهمية، وأخرى؛ من حيث طرق إثبات الأهمية، وثالثة في سريان الترجيح بالأهمية إلى المشروطين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فالكلام يقع في جهات ثلاث</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5900650_2142443653"/>
      <w:bookmarkStart w:id="241" w:name="_Toc90"/>
      <w:bookmarkEnd w:id="240"/>
      <w:r>
        <w:rPr>
          <w:rtl w:val="true"/>
        </w:rPr>
        <w:t>الجهة الأولى</w:t>
      </w:r>
      <w:r>
        <w:rPr>
          <w:rtl w:val="true"/>
        </w:rPr>
        <w:t xml:space="preserve">: </w:t>
      </w:r>
      <w:r>
        <w:rPr>
          <w:rtl w:val="true"/>
        </w:rPr>
        <w:t>في الفروض المتصورة</w:t>
      </w:r>
      <w:bookmarkEnd w:id="241"/>
    </w:p>
    <w:p>
      <w:pPr>
        <w:pStyle w:val="BookText"/>
        <w:rPr/>
      </w:pPr>
      <w:r>
        <w:rPr>
          <w:rFonts w:ascii="Amiri" w:hAnsi="Amiri" w:eastAsia="Amiri" w:cs="Amiri"/>
          <w:color w:val="111111"/>
          <w:sz w:val="28"/>
          <w:sz w:val="28"/>
          <w:szCs w:val="28"/>
          <w:rtl w:val="true"/>
          <w:lang w:bidi="ar-SA"/>
        </w:rPr>
        <w:t>وهي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ثبت أنّ أحد الواجبين المتزاحمين أهم من الآخر فلا إشكال في تقديمه على الآخر؛ كما إذا دار الأمر بين إنقاذ الإمام وإنقاذ شخص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الإستدلال عليه بأحد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العقل بلزوم تقديم خطاب معلوم الأهمية على الآخر لأنّ تركه يوجب تفويت الملاك المولوي المنجز من دون عذر، وتحصيل ملاك المهم لا يكون عذراً لتفويت ما في الملاك الآخر من الزيادة بخلاف 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دائر بالنسبة إلى الملاك وروح الحكم بين تحصيل الملاك الأقل أو الأكثر في مقام الإمتثال، والعقل يحكم بلزوم تحصيل الملاك الأكثر بعد تنجزه بالعلم فلا يجوز تفويته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من الملاك هو ما يهتم به المولى من المصلحة وغيرها والتي تدخل في العهدة وتتنجز بحكم العقل، لا مجرد المصلحة الواقعية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وهذا الوجه صحيح، ولكنه موقوف على أن يكون الملاك فعلياً على كل حال حتى في حال الإشتغال بالمهم، وأما إذا كان ملاك الأهم تعليقياً؛ أي مشروطاً بالقدرة الشرعية على المهم، أو احتمل ذلك فلا يكون الإتيان بالمهم تفويتاً لملاك الأهم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وجود القيد اللبّي العام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عدم الإشتغال بضدّ واجب لا يقل أهمية عن المتعلق؛ وهذ القيد ينطبق على الإشتغال بالأهم بالنسبة إلى المهم فيكون رافعاً لموضوع وجوب المهم، ولكنه لا ينطبق على الإشتغال بالمهم لأنَّه اشتغل بواجب أقل أهمية كما هو المفروض فيبقى إطلاق دليل الأهمعلى حاله، ولا ملزم عقلاً بتقييده بحال عدم الإشتغال بالمهم وهذا يعني أنّ امتثال وجوب الأهم يرفع موضوع وجوب المهم دون العكس، فيكون دليل الأهم وارداً على دليل المهم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بأنّ إطلاق خطاب الأهم في فرض الإشتغال بالمهم إنَّما يمكن التمسك به إذا كان ملاك الأهم فعلياً حتى حين الإشتغال بالمهم؛ أي مشروطاً بالقدرة العقلية، وأما إذا كان مشروطاً بالقدرة الشرعية فلا يكون فعلياً حتى الإشتغال بالمهم، والعلم بالأهمية لا دخل له في تعيين القدرة لكونها عقلية أو شرعية في الأهم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إطلاق الخطاب أيضاً لا يثبت كون القدرة عقلية في الواجب إلا بالقياس إلى واجب آخر ثبت كون القدرة فيه شرعية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لنا إثبات كون ملاك الأهم فعلياً في فرض الإشتغال بالمهم حتى يكون الإشتغال بالأهم رافعاً لموضوع المهم</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التوهم مردود بأنه يمكن إثبات كون ملاك الأهم فعلياً في فرض الإشتغال بالمهم؛ أي كون القدرة فيه عقلية بالقياس إلى المهم بنفس إطلاق الخطاب، لأنّ القيد اللبّي مشروط بأمرين هما؛ أن لا يقل عنه في الأهمية، وأن يكون ملاكه محفوظاً حين الإشتغال بالواجب؛ فإذا انتفى أحدهما كفى ذلك في التمسك بإطلاق الخطاب لفرض الإشتغال به </w:t>
      </w:r>
    </w:p>
    <w:p>
      <w:pPr>
        <w:pStyle w:val="BookText"/>
        <w:rPr/>
      </w:pPr>
      <w:r>
        <w:rPr>
          <w:rFonts w:ascii="Amiri" w:hAnsi="Amiri" w:eastAsia="Amiri" w:cs="Amiri"/>
          <w:color w:val="111111"/>
          <w:sz w:val="28"/>
          <w:sz w:val="28"/>
          <w:szCs w:val="28"/>
          <w:rtl w:val="true"/>
          <w:lang w:bidi="ar-SA"/>
        </w:rPr>
        <w:t>إذ لا موجب لتقييد زائد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يعلم بانتفاء الشرط الأول في المهم، فالمقيد اللبّي غير منطبق عليه فيصحّ التمسك بإطلاق خطاب الأهم لغرض الإشتغال بالمهم وبه تثبت فعليته خطاباً وملاكاً ويتم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191"/>
      </w:r>
      <w:r>
        <w:rPr>
          <w:rFonts w:ascii="Amiri" w:hAnsi="Amiri" w:eastAsia="Amiri" w:cs="Amiri"/>
          <w:color w:val="111111"/>
          <w:sz w:val="28"/>
          <w:sz w:val="28"/>
          <w:szCs w:val="28"/>
          <w:rtl w:val="true"/>
          <w:lang w:bidi="ar-SA"/>
        </w:rPr>
        <w:t>من أنّ التكليف بالأهم بما هو كذلك يصلح أن يكون معجزاً مولوياً للمكلف عن الطرف الآخر دون العكس، فتكون نسبة الأهم إلى غيره كنسبة الواجب إلى المستحب أو 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يمكن أن يكون المباح أو المستحب مزاحماً للواجب كذلك لا يمكن أن يكون المهم مزاحماً للأهم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الوجه إن أمكن إرجاعه إلى الوجه الأول فلا بأس به كما هو الظاهر، وإلا ففيه خفاء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ترجيح محتمل الأهمية على غيره وقد ذكروا في توجيهه أحد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ذكرته مدرسة المحقق النائيني قدس سره كما في بعض التقريرات</w:t>
      </w:r>
      <w:r>
        <w:rPr>
          <w:rStyle w:val="FootnoteAnchor"/>
          <w:rtl w:val="true"/>
        </w:rPr>
        <w:footnoteReference w:id="192"/>
      </w:r>
      <w:r>
        <w:rPr>
          <w:rFonts w:ascii="Amiri" w:hAnsi="Amiri" w:eastAsia="Amiri" w:cs="Amiri"/>
          <w:color w:val="111111"/>
          <w:sz w:val="28"/>
          <w:sz w:val="28"/>
          <w:szCs w:val="28"/>
          <w:rtl w:val="true"/>
          <w:lang w:bidi="ar-SA"/>
        </w:rPr>
        <w:t>من أنه بناء على التخيير العقلي عند تزاحم الواجبين المتساويين والإلتزام بالترتبمن الجانبين؛ فإذا علمنا بأهمية أحدهما دون الآخر فقد علمنا بسقوط الإطلاق عن الآخر، وباشتراطه بعدم الإتيان بمتعلق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يحتمل أهميته فلم يحرز سقوط إطلاقه فلا بُدَّ من الأخذ به، وعلى هذا الأساس يقدَّم محتمل الأهمية على غيره في مقام المزاحمة</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التمسك بالعام في الشبهة المصداقية؛ إذ مع احتمال المساواة في الأهمية لا يمكن لنا التمسك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مناقشته كما يأتي إنْ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الإشتغال العقلية؛ لأنَّه مع الإتيان بمحتمل الأهمية يعلم بسقوط الخطاب الآخر، لأنَّه مقيد بعدم الإشتغال بالمساوي أو الأهم، ومحتمل الأهمية لا بُدَّ أن يكون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الإتيان بغير محتمل الأهمية فإنَّه لا يعلم بسقوط خطاب محتمل الأهمية لعدم إحراز كون ما أُتي به مساوياً فيكون المورد من موارد الشك في السقوط فالمرجع هو أصالة الإشتغال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الشك في السقوط الذي هو مورد أصل الإشتغال هو الشك الحاصل من الشك في الإمتثال بعد العلم بثبوته، والمقام ليس كذلك؛ فإنّ الشك يكون في سعة دائرة القيد المأخوذ في موضوع خطاب محتمل الأهمية من أول الأمر، فيرجع إلى الشك في التكليف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بأصالة الإشتغال بتقريب آخر؛ وهو إنّ عدم الإشتغال بكلٍّ منهما مفوّت لغرض لزومي للمولى، ولكن هذا التفويت إذا انطبق على تفويت غير محتمل الأهمية بالإشتغال بمحتمل الأهمية فهو تفويت معذور فيه من قبل المولى، وفي غيره لا يعلم بالمعذورية لعدم إحراز المساواة، والعقل يحكم بالأول</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إنّ هذا الوجه يمكن إرجاعه إلى الوجه الأول وإثبات إطلاق محتمل الأهمية من دون أن يكون من التمسك بالعام في الشبهة المصداقية؛ وذلك لأنّ رفع اليد عن الإطلاق لا يصحّ إلا بمقدار ما تمّ البرهان عليه، والمفروض أنّ القيد العام في كل خطاب هو عدم الإشتغال بضدٍّ واجب معلوم المساواة أو معلوم الأهمية أو محتملها، وعليه يكون الإشتغال بمحتمل الأهمية رافعاً لموضوع الخطاب الآخر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أنه لا حاجة إلى الإستدلال بإدراج المقام في مسألة الدوران بين التعيين والتخيير؛ فإنَّه تطويل للمسافة</w:t>
      </w:r>
      <w:r>
        <w:rPr>
          <w:rFonts w:eastAsia="Amiri" w:cs="Amiri" w:ascii="Amiri" w:hAnsi="Amiri"/>
          <w:color w:val="111111"/>
          <w:sz w:val="28"/>
          <w:szCs w:val="28"/>
          <w:rtl w:val="true"/>
          <w:lang w:bidi="ar-SA"/>
        </w:rPr>
        <w:t xml:space="preserve">. </w:t>
      </w:r>
      <w:bookmarkStart w:id="242" w:name="pg15367_181017"/>
    </w:p>
    <w:p>
      <w:pPr>
        <w:pStyle w:val="BookText"/>
        <w:rPr/>
      </w:pPr>
      <w:bookmarkEnd w:id="242"/>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بقوة احتمال الأهمية؛ والمراد به أنّ إحتمال الأهمية في أحد الواجبين المتزاحمين أقوى منه في الآخر فيقدَّم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نفس ما ذكرناه في محتمل الأهمية، وذلك للقيد الذي ذكرناه آنفاً وتوسعته بما يشمل المقام؛ أي الإشتغال بما يعلم أنه إما مساوٍ أو أهم أو يحتمل فيه الأهمية؛ مساوياً في الآخر أو أقوى منه، فإذا اشتغل بما يكون احتمال الأهمية أضعف من احتمالها في الآخر فلا ضرورة لسقوط إطلاق ذلك الخطاب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جميع ذلك يظهر أنه في موارد احتمال الأهمية أو قوة احتمالها في أحد الخطابين يحكم العقل ببقاء إطلاق الخطاب وعدم تفويت ملاك الأهم أو محتمله أو ما فيه قوة الإحتمال</w:t>
      </w:r>
      <w:r>
        <w:rPr>
          <w:rFonts w:eastAsia="Amiri" w:cs="Amiri" w:ascii="Amiri" w:hAnsi="Amiri"/>
          <w:color w:val="111111"/>
          <w:sz w:val="28"/>
          <w:szCs w:val="28"/>
          <w:rtl w:val="true"/>
          <w:lang w:bidi="ar-SA"/>
        </w:rPr>
        <w:t>.</w:t>
      </w:r>
    </w:p>
    <w:p>
      <w:pPr>
        <w:pStyle w:val="Heading6"/>
        <w:numPr>
          <w:ilvl w:val="5"/>
          <w:numId w:val="1"/>
        </w:numPr>
        <w:rPr/>
      </w:pPr>
      <w:bookmarkStart w:id="243" w:name="__RefHeading___Toc5900652_2142443653"/>
      <w:bookmarkStart w:id="244" w:name="_Toc91"/>
      <w:bookmarkEnd w:id="243"/>
      <w:r>
        <w:rPr>
          <w:rtl w:val="true"/>
        </w:rPr>
        <w:t>الجهة الثانية</w:t>
      </w:r>
      <w:r>
        <w:rPr>
          <w:rtl w:val="true"/>
        </w:rPr>
        <w:t xml:space="preserve">: </w:t>
      </w:r>
      <w:r>
        <w:rPr>
          <w:rtl w:val="true"/>
        </w:rPr>
        <w:t>طرق إثبات الأهمية</w:t>
      </w:r>
      <w:r>
        <w:rPr>
          <w:rtl w:val="true"/>
        </w:rPr>
        <w:t>.</w:t>
      </w:r>
      <w:bookmarkEnd w:id="244"/>
    </w:p>
    <w:p>
      <w:pPr>
        <w:pStyle w:val="BookText"/>
        <w:rPr/>
      </w:pPr>
      <w:r>
        <w:rPr>
          <w:rFonts w:ascii="Amiri" w:hAnsi="Amiri" w:eastAsia="Amiri" w:cs="Amiri"/>
          <w:color w:val="111111"/>
          <w:sz w:val="28"/>
          <w:sz w:val="28"/>
          <w:szCs w:val="28"/>
          <w:rtl w:val="true"/>
          <w:lang w:bidi="ar-SA"/>
        </w:rPr>
        <w:t>وهي كثيرة ترجع إلى الاستظهارات العرفية في لسان الدليل والمناسبات والنكات التي تختلف من مقام إلى مقام، وأهمها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الخطاب الشامل لصورة الإشتغال بالواجب الآخر؛ والذي يكشف عن أهمية ملاكه ورجحانه على ملاك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الطريق يختص بما إذا كان دليل الخطاب لفظياً ودليل الخطاب الآخر لبّياً لا إطلاق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من التمسك بالعام في الشبهة المصداقية لمخصّصه اللبّي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الجواب عنه بأنّ الإطلاق إذا استفيد من اللفظ ولم يكن مجملاً من هذه الناحية فيؤخذ به، بخلاف الآخر الذي لم يثبت له إطلاق فيؤخذ فيه بالقدر المتيقن، وفي غير هذه الصورة يشكل الإعتماد على الإطلاق في تعيين الأهمية</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الدليل؛ وهو على أنحاء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فتارة؛ يكون أحدهما دالاً على شدة اهتمام المولى بمتعلقه بتعظيم شأنه؛ كالصلاة التي ورد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عمود الدين، إن قُبلت قُبل ما سواها وأن رُدّت رُدّ </w:t>
      </w:r>
    </w:p>
    <w:p>
      <w:pPr>
        <w:pStyle w:val="BookText"/>
        <w:rPr/>
      </w:pPr>
      <w:r>
        <w:rPr>
          <w:rFonts w:ascii="IRNazanin" w:hAnsi="IRNazanin" w:eastAsia="IRNazanin"/>
          <w:color w:val="111111"/>
          <w:sz w:val="28"/>
          <w:sz w:val="28"/>
          <w:szCs w:val="28"/>
          <w:rtl w:val="true"/>
          <w:lang w:bidi="fa-IR"/>
        </w:rPr>
        <w:t>ما سواها</w:t>
      </w:r>
      <w:r>
        <w:rPr>
          <w:rFonts w:eastAsia="IRNazanin" w:cs="IRNazanin"/>
          <w:color w:val="111111"/>
          <w:sz w:val="28"/>
          <w:szCs w:val="28"/>
          <w:rtl w:val="true"/>
          <w:lang w:bidi="fa-IR"/>
        </w:rPr>
        <w:t>)</w:t>
      </w:r>
      <w:r>
        <w:rPr>
          <w:rStyle w:val="FootnoteAnchor"/>
          <w:rtl w:val="true"/>
        </w:rPr>
        <w:footnoteReference w:id="1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بتشديد العقاب الدنيوي أو الأخروي على تركه؛ كحفظ النفس المحترمة، وثالثة؛ بشدة الحثّ على طلبه وتأكيد إرادته ووجوبه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إستفادة الأهمية من الأدلة الثانوية التي تتكفل أحكام ذلك الواجب؛ مثل ما ورد في حق الصلاة من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 بحال</w:t>
      </w:r>
      <w:r>
        <w:rPr>
          <w:rFonts w:eastAsia="Amiri" w:cs="Amiri" w:ascii="Amiri" w:hAnsi="Amiri"/>
          <w:color w:val="111111"/>
          <w:sz w:val="28"/>
          <w:szCs w:val="28"/>
          <w:rtl w:val="true"/>
          <w:lang w:bidi="ar-SA"/>
        </w:rPr>
        <w:t>)</w:t>
      </w:r>
      <w:r>
        <w:rPr>
          <w:rStyle w:val="FootnoteAnchor"/>
          <w:rtl w:val="true"/>
        </w:rPr>
        <w:footnoteReference w:id="194"/>
      </w:r>
      <w:r>
        <w:rPr>
          <w:rFonts w:ascii="Amiri" w:hAnsi="Amiri" w:eastAsia="Amiri" w:cs="Amiri"/>
          <w:color w:val="111111"/>
          <w:sz w:val="28"/>
          <w:sz w:val="28"/>
          <w:szCs w:val="28"/>
          <w:rtl w:val="true"/>
          <w:lang w:bidi="ar-SA"/>
        </w:rPr>
        <w:t>فإنَّه يستفاد منه أنّ الصلاة الأعم من الإختيارية والإضطرارية أهم من غيرها الذي لم يرد فيه ذلك، فقد اهتم المولى بملاكاتها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 المركوزة في الذهن العرفي بحيث تجعل ظهوراً عرفياً للخطاب الشرعي؛ ويكثر هذا في الأدلة المتكفلة لبيان أحكامٍ مركوزة عند العقلاء؛ نظير حرمة الغصب ووجوب حفظ النفس</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المحترمة عند التزاحم بينهما، فإنَّه لا إشكال في لزوم حفظ النفس المحترمة ولو أدى إلى إتلاف شيء من ماله أو التصرف فيه من دون إذنه لأنّ حفظ مال الغير وملاكه يعتبر من شؤون حفظ نفس الغير ومن تبعاته، فلا يعقل أن يكون مزاحماً لحفظ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الإرتكاز العرفي هو الذي يعطي لدليل وجوب حفظ النفس المحترمة ظهوراً في أهمية ملاكه، فيرجّح خطابه على خطاب حرمة الغصب</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كثرة النصوص على الحكم من قبل الشرع؛ فإنَّه يدل على مزيد اهتمام الشارع به وبملاكه، بشرط أن تنحصر النكتة في هذا الأمر فإنّ أكثر النصوص في أحد </w:t>
      </w:r>
      <w:bookmarkStart w:id="245" w:name="pg15367_181022"/>
    </w:p>
    <w:p>
      <w:pPr>
        <w:pStyle w:val="BookText"/>
        <w:rPr/>
      </w:pPr>
      <w:bookmarkEnd w:id="245"/>
      <w:r>
        <w:rPr>
          <w:rFonts w:ascii="Amiri" w:hAnsi="Amiri" w:eastAsia="Amiri" w:cs="Amiri"/>
          <w:color w:val="111111"/>
          <w:sz w:val="28"/>
          <w:sz w:val="28"/>
          <w:szCs w:val="28"/>
          <w:rtl w:val="true"/>
          <w:lang w:bidi="ar-SA"/>
        </w:rPr>
        <w:t>الحكمين لها مناشئ متعددة؛ منها كون الحكم محلاً للإبتلاء أكثر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كونه ما يغفل عادةً، أو كونه مورداً لسؤال الرواة كثيراً وغير ذلك من المناشئ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حصل لنا الإطمئنان بوجه من الوجوه بعدم وجود منشأ للأكثرية سوى كون الحكم له من الأهمية عند الشارع كان ذلك من موجبات ترجيحه على الآخر إن لم يكن مانع في البين</w:t>
      </w:r>
      <w:r>
        <w:rPr>
          <w:rFonts w:eastAsia="Amiri" w:cs="Amiri" w:ascii="Amiri" w:hAnsi="Amiri"/>
          <w:color w:val="111111"/>
          <w:sz w:val="28"/>
          <w:szCs w:val="28"/>
          <w:rtl w:val="true"/>
          <w:lang w:bidi="ar-SA"/>
        </w:rPr>
        <w:t>.</w:t>
      </w:r>
    </w:p>
    <w:p>
      <w:pPr>
        <w:pStyle w:val="Heading6"/>
        <w:numPr>
          <w:ilvl w:val="5"/>
          <w:numId w:val="1"/>
        </w:numPr>
        <w:rPr/>
      </w:pPr>
      <w:bookmarkStart w:id="246" w:name="__RefHeading___Toc5900654_2142443653"/>
      <w:bookmarkStart w:id="247" w:name="_Toc92"/>
      <w:bookmarkEnd w:id="246"/>
      <w:r>
        <w:rPr>
          <w:rtl w:val="true"/>
        </w:rPr>
        <w:t>الجهة الثالثة</w:t>
      </w:r>
      <w:r>
        <w:rPr>
          <w:rtl w:val="true"/>
        </w:rPr>
        <w:t xml:space="preserve">: </w:t>
      </w:r>
      <w:r>
        <w:rPr>
          <w:rtl w:val="true"/>
        </w:rPr>
        <w:t>في سريان الترجيح بالأهمية إلى المشروطين بالقدرة الشرعية</w:t>
      </w:r>
      <w:r>
        <w:rPr>
          <w:rtl w:val="true"/>
        </w:rPr>
        <w:t>.</w:t>
      </w:r>
      <w:bookmarkEnd w:id="24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عرفت أنه لا إشكال في الترجيح بالأهمية، كما لا إشكال في ذلك إذا كان في الحكمين المتزاحمين المشروطين بالقدرة العقلية وكذلك الحال في المشروطين بالقدرة الشرعية، وإن اختار المحقق النائيني قدس سره عدم الترجيح بالأهمية في المشروطين بالقدرة الشرعية لأنّ الأهمية إنَّما توجب التقديم فيما إذا كان كل من الملاكين تاماً وفعلياً، وفي المشروطين بالقدرة الشرعية يكون كل من الملاكين موقوفاً على القدرة على تحصيله فلا محالة يكون أحد الملاكين غير ثابت في نفسه لاستحالة ثبوت كلا الملاكين مع عدم ثبوت القدرتين، فلا يعلم إنّ ما لم يثبت من الملاك هل هو الأهم على تقدير وجوده أو غيره؛ فلم يكن الدوران بين تفويت الملاك الأضعف وبين تفويت الملاك الأقوى ليتعين بحكم العقل تفويت الأضعف، بل الدوران في أصل ثبوت الملاك وأنه واقعاً هل هو الأضعف أو الأقوى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لترجيح احتمال كونه الأقوى على احتمال كونه الأضعف كما هو الحال في باب التعارض فيما إذا دلّ دليل على ثبوت ملاك وجوبي شديد والآخر دلّ على ملاك إستحبابي، وعلمنا بكذب أحد الدليلين؛ فإنَّه لا يقدَّم دليل الوجوب على دليل الإستحباب، فكذلك المقام فإنه لا يقدَّم احتمال الملاك الأقوى على احتمال الملاك الأضعف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باب التزاحم يختلف عن باب التعارض الذي يعلم إجمالاً بكذب أحد الدليلين كما تقدم، ولكن التزاحم ليس كذلك حتى في مثل المشروطين بالقدرة الشرعية؛ وذلك للعلم بفعلية الملاك الأهم في المقام لأنَّه ثابت على تقدير القدرةعقلاً وشرعاً بدليل وجوب الأهم بلا معارض، إذ لا مانع عقلي ولا شرعي من الإتيان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فالمقتضي وهو نفس تقدير القدرة عقلاً وشرعاً محرزٌ وجداناً، أما انتفاء المانع العقلي فهو واضح، وأما المانع الشرعي فلأنّ ما يتصور كونه مانعاً شرعياً هو الأمر التعييني بالآخر فهو غير محتمل لوضوح عدم المعيِّن له، فالأمر دائر بين التخيير وتعيين الأهم، وأما تعيين غيره فهو غير محتمل؛ فالقدرة على الأهم عقلاً وشرعاً تامة فيتمّ ملاكه وخطابه ويكون بذلك معجزاً مولوياً عن الوجوب الآخر ورافعاً لملاكه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السيد الصدر قدس سره </w:t>
      </w:r>
      <w:r>
        <w:rPr>
          <w:rStyle w:val="FootnoteAnchor"/>
          <w:rtl w:val="true"/>
        </w:rPr>
        <w:footnoteReference w:id="195"/>
      </w:r>
      <w:r>
        <w:rPr>
          <w:rFonts w:ascii="Amiri" w:hAnsi="Amiri" w:eastAsia="Amiri" w:cs="Amiri"/>
          <w:color w:val="111111"/>
          <w:sz w:val="28"/>
          <w:sz w:val="28"/>
          <w:szCs w:val="28"/>
          <w:rtl w:val="true"/>
          <w:lang w:bidi="ar-SA"/>
        </w:rPr>
        <w:t>بأنه؛ إن كان المراد بالقدرة الشرعية عدم الإشتغال بواجب آخر فما ذكره المحقق النائيني قدس سره من عدم الترجيح بالأهمية صحيح، لأنّ كل واحد من الخطابين مشروط بحسب الفرض ملاكاً وخطاباً بعدم الإشتغال بواجب آخر، ويكون الإشتغال بكل منهما رافعاً لوجوب الآخر ملاكاً وخطاباً، فيكون التوارد من الطرفين وهو بمعنى التخيير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المعنى غير ما أفاده المحقق النائيني قدس سره من قياس المقام على موارد التعارض واحتمال وجود الملاك الأهم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يكون المراد بالقدرة الشرعية هو عدم العجز المولوي؛ بمعنى عدم الأمر بالخلاف المقتضي لصرف القدرة إليه تعييناً فيكون الأمر التعييني بالخلاف المنجز على المكلف معجزاً مولوياً فيتم الترجيح بالأهمية في المقام أيضاً؛ إذ الأهم يكون ملاكه فعلياً على كل </w:t>
      </w:r>
    </w:p>
    <w:p>
      <w:pPr>
        <w:pStyle w:val="BookText"/>
        <w:rPr/>
      </w:pPr>
      <w:r>
        <w:rPr>
          <w:rFonts w:ascii="Amiri" w:hAnsi="Amiri" w:eastAsia="Amiri" w:cs="Amiri"/>
          <w:color w:val="111111"/>
          <w:sz w:val="28"/>
          <w:sz w:val="28"/>
          <w:szCs w:val="28"/>
          <w:rtl w:val="true"/>
          <w:lang w:bidi="ar-SA"/>
        </w:rPr>
        <w:t>حال لثبوت القدرة عليه عقلاً وعدم المنجز للخلاف شرعاً بعد تقييد خطابه بالقدرة عقلاً وشرعاً بالمعنى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بالمعجز المولوي واقع الأمر التعييني بالخلاف؛ فإذا أُريد الأمر بالخلاف الناشئ عن مقتضى ملاكي التعيين ثم الترجيح بالأهمية أيضاً لأن الخطاب المهم لا يحتمل في حقه تعيين ينشأ من ملاك تعييني؛ فيكون إطلاق وجوب الأهم رافعاً لموضوع وجوب المهم خطاباً وملاكاً باعتباره معجزاً مولوياً وأمراً تعييناً بالخلاف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أُريد الأمر بالخلاف ولو من دون مقتضٍ ملاكي لتعيينه فلا يتم هذا الترجيح فإنَّه كما يحتمل ثبوتاً ذلك أي جعل الوجوب التعييني للأهم وجعل الإطلاق للأمر بالأهم؛ كذلك يحتمل جعل خطابين مشروطين بعدم الإشتغال بالآخر أو جعل الإطلاق للأمر بالمهم ولو من باب اختيار أحد الجعلين المتساويين وترجيحه على الآخر بلا مرجح؛ من دون محذور عقلي لارتفاع أصل ملاك الأهم بحسب الفرض كما في المقام، فلا يصحّ التمسك بإطلاق خطاب الأهم حال الإشتغال بالمهم، كما لا يصحّ العكس أيضاً لأنَّه من التمسك بالعام فيالشبهة المصداقية، وفي هذ الفرض يتم فرض المحقق النائيني قدس سره من احتمال وجود الملاك الأهم نظير موارد التعارض</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كون القدرة المأخوذة في الواجبين عقلية أو تكون شرعية؛ فإنّ العرف يرى أنّ للأهمية دخل في ترجيح أحدهما على الآخر، وإنَّما الفرق بينهما هو أنّ في الخطابين المشروطين بالقدرة العقلية يكون الخطاب تامّاً ملاكاً وفعلاً، وفي المشروطين بالقدرة الشرعية التي يكون ملاك جعلها لكونها الوسيلة لإتيان العمل ومباشرته؛ فإذا كان في أحدهما الأهمية يحكم العرف بأنه المتقدم على الآخر، وباختياره يسقط الخطاب الآخر المهم ملاكاً وفعلاً</w:t>
      </w:r>
      <w:r>
        <w:rPr>
          <w:rFonts w:eastAsia="Amiri" w:cs="Amiri" w:ascii="Amiri" w:hAnsi="Amiri"/>
          <w:color w:val="111111"/>
          <w:sz w:val="28"/>
          <w:szCs w:val="28"/>
          <w:rtl w:val="true"/>
          <w:lang w:bidi="ar-SA"/>
        </w:rPr>
        <w:t xml:space="preserve">. </w:t>
      </w:r>
      <w:bookmarkStart w:id="248" w:name="pg15367_181028"/>
    </w:p>
    <w:p>
      <w:pPr>
        <w:pStyle w:val="Heading6"/>
        <w:numPr>
          <w:ilvl w:val="5"/>
          <w:numId w:val="1"/>
        </w:numPr>
        <w:rPr/>
      </w:pPr>
      <w:bookmarkStart w:id="249" w:name="__RefHeading___Toc5900656_2142443653"/>
      <w:bookmarkStart w:id="250" w:name="_Toc93"/>
      <w:bookmarkEnd w:id="248"/>
      <w:bookmarkEnd w:id="249"/>
      <w:r>
        <w:rPr>
          <w:rtl w:val="true"/>
        </w:rPr>
        <w:t>حكم التزاحم في حالة عدم الترجيح</w:t>
      </w:r>
      <w:bookmarkEnd w:id="250"/>
    </w:p>
    <w:p>
      <w:pPr>
        <w:pStyle w:val="BookText"/>
        <w:rPr/>
      </w:pPr>
      <w:r>
        <w:rPr>
          <w:rFonts w:ascii="Amiri" w:hAnsi="Amiri" w:eastAsia="Amiri" w:cs="Amiri"/>
          <w:color w:val="111111"/>
          <w:sz w:val="28"/>
          <w:sz w:val="28"/>
          <w:szCs w:val="28"/>
          <w:rtl w:val="true"/>
          <w:lang w:bidi="ar-SA"/>
        </w:rPr>
        <w:t>لا ريب عند فقد المرجّحات وفرض التساوي بين المتزاحمين يثبت التخيير بينهما، ولكن وقع الكلام في كونه تخييراً عقلياً أو تخييراً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بالتخيير العقلي؛ وجود خطابين شرعيين تعيينيين كلٍّ منهما مشروط بعدم امتثال الآخر، وإنما يتخير بينهما في مقام الإمتثال بحكم 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بالتخيير الشرعي؛ وجود خطاب واحد تخييري بدلاً من خطابين مشروطين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الثمرة من هذا البحث في وحدة العقاب وتعدده؛ فإنَّه بناءً على كونه تخييراً عقلياً يتعدد العقاب على العاصي بتركهما معاً لأنَّه عصى خطابين شرعيين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بناءً على التخيير الشرعي فلا يكون عاصياً إلا لخطاب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الكلام أن يكون في 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كون التخيير عقلياً أو شرعياً؛ والظاهر كونه تخييراً عقلياً مطلقاً؛ سواء كان الخطاب مشروطاً بالقدرة الشرعية؛ أي يكون الإشتغال بالضد الواجب رافعاً للملاك والخطاب معاً أم كان مشروطاً بالقدرة العقلية</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عليه؛ ظاهر دليل كل واحد من الحكمين المتزاحمين في كون الخطاب فيهما تعيينياً، ولكنه؛ إما مقيد بالقدرة الشرعية أو بالقيد اللبّي الذي تقدم بيانه، ومن المعلوم أنّ كل واحد منهما في فرض عدم الإشتغال بالآخر يكون مقدوراً، فيكون إطلاقه ثابتاً وهو يقتضي كونه تعينيياً ملاكاً وخطاباً فلا موجب لرفع اليد عنه وفرض وجود ملاك واحد في الجامع بينهما كما ذكره المحقق النائيني قدس سره </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وعليه؛ فلو ترك المكلف امتثال الخطابين معاً يكون مخالفاً لتطبيقين فعليين في حقه ومفوتاً لملاكين ثابتين للمولى، بخلاف ما إذا امتثل أحدهما فإنَّه يكون رافعاً لموضوع التكليف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بناءً على إنكار الترتب والقول باستحالته يقع التعارض بين الخطابين الظاهرين في التعيينية في مورد التزاحم، فإذا علم ثبوت التكليف في الجملة وعدم سقوطه يندرج المقام في الشبهة الحكمية؛ حيث يحتمل وجود تكليف واحد متعلق بالجامع، أو تكليف يتعلق بهذا تعييناً، فلا بُدَّ من الرجوع إلى ما تقتضيه الأصول العملية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تعدد العقاب ووحدته، وقد عرفت أنهم ذكروا بأنه إذا كان التخيير عقلياً يتعدد العقاب على التارك لهما معاً، ووحدته إذا كان شرعياً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كلية في ذلك لأنّ هناك عدة مسالك في تشخيص ما هو الميزان في تحقق العصيان وصحة العقوبة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الميزان في صحة العقوبة هو القدرة على الإمتثال، فإذا لم يكن الإمتثال مقدوراً لا يصحّ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المسلك هو الذي اتخذه القائلون باستحالة الترتب وجعلوه نقضاً على نظرية الترتب، لأنَّها تستلزم العقوبة على أمر غير اختياري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يكون في مورد التزاحم إلا خطاب واحد وعقوبة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المسلك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الميزان هو القدرة على التخلّص من المخالفة؛ سواء كان ذلك بالإمتثال أم برفع الموضوع، وبذلك تصحّ العقوبة وتتعدد في مورد التزاحم إذا كان التخيير عقلياً لأنّ التخلّص والفرار من مخالفة كلا الوجوبين المترتبين مقدور للمكلف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القدرة الشرعية بمعنى عدم دخول الإشتغال بواجب آخر في الملاك، فهناك ملاكان فعليان على تقدير تركهما معاً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المسلك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الميزان هو أن لا يفوّت على المولى ملاكاً لزومياً يهتم به؛ إذ لا موضوعية للخطاب بما هو جعل وتشريع في نظر العقل الذي هو الحاكم المطلق في باب </w:t>
      </w:r>
      <w:bookmarkStart w:id="251" w:name="pg15367_181032"/>
    </w:p>
    <w:p>
      <w:pPr>
        <w:pStyle w:val="BookText"/>
        <w:rPr/>
      </w:pPr>
      <w:bookmarkEnd w:id="251"/>
      <w:r>
        <w:rPr>
          <w:rFonts w:ascii="Amiri" w:hAnsi="Amiri" w:eastAsia="Amiri" w:cs="Amiri"/>
          <w:color w:val="111111"/>
          <w:sz w:val="28"/>
          <w:sz w:val="28"/>
          <w:szCs w:val="28"/>
          <w:rtl w:val="true"/>
          <w:lang w:bidi="ar-SA"/>
        </w:rPr>
        <w:t>الطاعة والعصيان، وإنما هو مجرد طريق لإبراز اهتمام المولى بالملاك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يتحقق العصيان بتفويت ملاك لزومي للمولى إذا استكشفه العبد عن طريق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لا يتعدد العقاب على العاصي في موارد القدرة العقلية سواء كان هناك خطاب واحد بالجامع أم خطابين مشروطين، فإنّ أحد الملاكين فواته قهري في المقام على كل حال وليس بتفويت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المشروطين بالقدرة الشرعية إذا كان الملاك بمقدار القدرة لا أكثر، فليس في هذه الحالة إلا قدرة واحدة وملاك واحد، فلا تكون إلا عقوبة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والمعروف بينهم هو المسلك الثاني، بينما اختار بعضهم المسلك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المقياس في تعدد العقوبة ووحدتها لا يرتبط بكون التخيير عقلياً أو شرعياً وإنما يرتبط بأمور أخرى</w:t>
      </w:r>
      <w:r>
        <w:rPr>
          <w:rFonts w:eastAsia="Amiri" w:cs="Amiri" w:ascii="Amiri" w:hAnsi="Amiri"/>
          <w:color w:val="111111"/>
          <w:sz w:val="28"/>
          <w:szCs w:val="28"/>
          <w:rtl w:val="true"/>
          <w:lang w:bidi="ar-SA"/>
        </w:rPr>
        <w:t>.</w:t>
      </w:r>
    </w:p>
    <w:p>
      <w:pPr>
        <w:pStyle w:val="Heading6"/>
        <w:numPr>
          <w:ilvl w:val="5"/>
          <w:numId w:val="1"/>
        </w:numPr>
        <w:rPr/>
      </w:pPr>
      <w:bookmarkStart w:id="252" w:name="__RefHeading___Toc5900658_2142443653"/>
      <w:bookmarkStart w:id="253" w:name="_Toc94"/>
      <w:bookmarkEnd w:id="252"/>
      <w:r>
        <w:rPr>
          <w:rtl w:val="true"/>
        </w:rPr>
        <w:t>تنبيهات باب التزاحم</w:t>
      </w:r>
      <w:bookmarkEnd w:id="253"/>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في بداية البحث أنّ التزاحم بين الخطابين عبارة عن عدم قدرة المكلف على الجمع بين الخطابين المختلفين المتوجهين إليه في مقام الإمتثال بعد اجتماع شروط الحجية فيهما ثبوتاً؛ فيلزم أن يكون ذلك اتفاقياً لاشتراط القدرة في كل تكليف، وإلا فلو كان التضاد بين الحكمين في الإمتثال دائمياً لأصبح من موارد التعارض بين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جعلوا ذلك من شروط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في الضدين اللذين لا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غيره ففيه غموض</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توضيح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التضاد الدائمي بين المتعلقين تارةً؛ يكون في فرض عدم وجود ضد ثالث لهما، وأخرى؛ يكون في فرض وجوده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الفرض الأول فلا غموض في وقوع التعارض بين الحكمين لأنَّه لا يعقل التكليف بهما معاً؛ لا جمعاً، لاستلزامه الجمع بين </w:t>
      </w:r>
    </w:p>
    <w:p>
      <w:pPr>
        <w:pStyle w:val="BookText"/>
        <w:rPr/>
      </w:pPr>
      <w:r>
        <w:rPr>
          <w:rFonts w:ascii="Amiri" w:hAnsi="Amiri" w:eastAsia="Amiri" w:cs="Amiri"/>
          <w:color w:val="111111"/>
          <w:sz w:val="28"/>
          <w:sz w:val="28"/>
          <w:szCs w:val="28"/>
          <w:rtl w:val="true"/>
          <w:lang w:bidi="ar-SA"/>
        </w:rPr>
        <w:t>الضدين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بدلاً، بأن يشرط أحدهما أو كلاهما بعدم الآخر لأنَّه من تحصيل الحاصل لأنّ وجود أحدهما على تقدير ترك الآخر ضروري فيكون أحد التكليفين لغواً، إلا أن يقال بأنه لا لغوية في الجعل والتشريع إذا كان فيه مصلحة ولو في جعله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الفرض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وجود ضد ثالث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تجب الصلاة عند طلوع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المشي عند طلوع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فإنهما ضدان لهما ثالث، فهل يعاملان معاملة المتزاحمين اتفاقاً فلا يكون بينهما التعارض لأن كل واحد منهما مقيد لبّاً بعدم الإشتغال بالمساوي أو الأهم، فإذا لم يفرض الأهمية فيهما معاً؛ فإما أن يكونا متساويين في الملاك فيكون الترتب من الجانبين، وإما أن يكون أحدهما أهم فيكون الترتب من أحد الجانبين أو يقع التعارض بينهما</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اختار المحقق النائيني قدس سره </w:t>
      </w:r>
      <w:r>
        <w:rPr>
          <w:rStyle w:val="FootnoteAnchor"/>
          <w:rtl w:val="true"/>
        </w:rPr>
        <w:footnoteReference w:id="197"/>
      </w:r>
      <w:r>
        <w:rPr>
          <w:rFonts w:ascii="Amiri" w:hAnsi="Amiri" w:eastAsia="Amiri" w:cs="Amiri"/>
          <w:color w:val="111111"/>
          <w:sz w:val="28"/>
          <w:sz w:val="28"/>
          <w:szCs w:val="28"/>
          <w:rtl w:val="true"/>
          <w:lang w:bidi="ar-SA"/>
        </w:rPr>
        <w:t>الإفتراض الثاني، واختار آخرون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التعارض يقع بين إطلاق الخطابين لا بين أصلهما لأنّ ثبوت كل منهما مشروطٌ بعدم الإشتغال بالآخر لا محذور فيه بعد إمكان الترتب، وإنَّما يقع التعارض بين إطلاق الخطابين؛ لأنَّه بعد ثبوت الإطلاق في كل من الخطابين عرفاً حتى في حال الإشتغال بالآخر سوف يكون معارضاً مع إطلاق الآخر فلا بُدَّ من تطبيق قواعد التعارض بين الإطلاقين، فإن ثبت ترجيحٌ لأحدهما كان مطلقاً والآخر مشروطاً بعدم الإتيان به، وإلا فيتساقطان ويثبت بهما حكمان مشروطان على نحو الترتب من الطرفين بعد فرض عدم التعارض بين أصل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توجيه كلام المحقق النائيني قدس سره من وقوع الترتب من أحد الجانبين إذا ثبتت أهمية أحدهما فلا نزاع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التزاحم خارج عن التعارض الحقيقي إذا تحقق بين الحكمين المتزاحمين ترتب مطلقاً من جانب أو من الجانبين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قالوا بأنه بناءً على إمكان الترتب خرجت موارد التزاحم عن التعارض الحقيقي، وإلا فهي داخلة فيه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أمكن الترتب في مورد المتزاحمين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يمكن الترتب فلا يكون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بعضهم</w:t>
      </w:r>
      <w:r>
        <w:rPr>
          <w:rStyle w:val="FootnoteAnchor"/>
          <w:rtl w:val="true"/>
        </w:rPr>
        <w:footnoteReference w:id="198"/>
      </w:r>
      <w:r>
        <w:rPr>
          <w:rFonts w:ascii="Amiri" w:hAnsi="Amiri" w:eastAsia="Amiri" w:cs="Amiri"/>
          <w:color w:val="111111"/>
          <w:sz w:val="28"/>
          <w:sz w:val="28"/>
          <w:szCs w:val="28"/>
          <w:rtl w:val="true"/>
          <w:lang w:bidi="ar-SA"/>
        </w:rPr>
        <w:t>أنه يشترط في إمكان الترتب أمران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أحد الخطابين مشروطاً بالقدرة الشرعية إذا أُريد منها عدم الأمر بالخلاف؛ إذ لو كان كذلك فإنَّه يستحيل ثبوت الترتب لأنّ الشرط هو عدم نفس الأمر الآخر وهو غير محفوظ حتى لو لم يشتغل بالمنافي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ترك أحدهما مساوقاً مع تحقق الآخر كما في الضدين اللذين لا ثالث لهما، وإلا كان الأمر به ولو مشروطاً بعدم الآخر مستحيلاً لأنَّه من طلب الحاصل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والصحيح؛ إنه لا حاجة إلى اعتبار هذين الشرطين في إمكان الترتب بعد توفر مقوماته؛ أما الأول؛ فلأنَّه مبنيّ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 المراد من القدرة الشرعية عدم الأمر بالخلاف، وقد عرفت أنه لا وجه 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 طلب الحاصل إنَّما يكون مستحيلاً إذا كان الغرض من الطلب البعث، وأما إذا كان لغرض صحيح عقلائي بنفس الطلب فلا يكون مستحيلاً كما بيّناه في بحث الأوامر</w:t>
      </w:r>
      <w:r>
        <w:rPr>
          <w:rFonts w:eastAsia="Amiri" w:cs="Amiri" w:ascii="Amiri" w:hAnsi="Amiri"/>
          <w:color w:val="111111"/>
          <w:sz w:val="28"/>
          <w:szCs w:val="28"/>
          <w:rtl w:val="true"/>
          <w:lang w:bidi="ar-SA"/>
        </w:rPr>
        <w:t xml:space="preserve">. </w:t>
      </w:r>
      <w:bookmarkStart w:id="254" w:name="pg15367_181037"/>
    </w:p>
    <w:p>
      <w:pPr>
        <w:pStyle w:val="Heading6"/>
        <w:numPr>
          <w:ilvl w:val="5"/>
          <w:numId w:val="1"/>
        </w:numPr>
        <w:rPr/>
      </w:pPr>
      <w:bookmarkStart w:id="255" w:name="__RefHeading___Toc5900660_2142443653"/>
      <w:bookmarkStart w:id="256" w:name="_Toc95"/>
      <w:bookmarkEnd w:id="254"/>
      <w:bookmarkEnd w:id="255"/>
      <w:r>
        <w:rPr>
          <w:rtl w:val="true"/>
        </w:rPr>
        <w:t>الموارد الخارجة عن باب التزاحم</w:t>
      </w:r>
      <w:bookmarkEnd w:id="256"/>
    </w:p>
    <w:p>
      <w:pPr>
        <w:pStyle w:val="BookText"/>
        <w:rPr/>
      </w:pPr>
      <w:r>
        <w:rPr>
          <w:rFonts w:ascii="Amiri" w:hAnsi="Amiri" w:eastAsia="Amiri" w:cs="Amiri"/>
          <w:color w:val="111111"/>
          <w:sz w:val="28"/>
          <w:sz w:val="28"/>
          <w:szCs w:val="28"/>
          <w:rtl w:val="true"/>
          <w:lang w:bidi="ar-SA"/>
        </w:rPr>
        <w:t>وكيف كان؛ فقد ذكر المحقق النائيني قدس سره موارد إدّعى استحالة الترتب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خروجها من باب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أحدهما مشروطاً بالقدرة الشرعية إذ لا يكون فيه ملاك حينئذٍ حتى يعقل الأمر به ولو مترتباً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وأشكل عليه السيد الخوئي قدس سره </w:t>
      </w:r>
      <w:r>
        <w:rPr>
          <w:rStyle w:val="FootnoteAnchor"/>
          <w:rtl w:val="true"/>
        </w:rPr>
        <w:footnoteReference w:id="199"/>
      </w:r>
      <w:r>
        <w:rPr>
          <w:rFonts w:ascii="Amiri" w:hAnsi="Amiri" w:eastAsia="Amiri" w:cs="Amiri"/>
          <w:color w:val="111111"/>
          <w:sz w:val="28"/>
          <w:sz w:val="28"/>
          <w:szCs w:val="28"/>
          <w:rtl w:val="true"/>
          <w:lang w:bidi="ar-SA"/>
        </w:rPr>
        <w:t>بأنه دور؛ إذ الملاك يستكشف بالخطاب فهو موقوف عليه في مقام الإثبات، فلو كان الخطاب الترتبي يُستكشف بالملاك وموقوفاً على إحرازه لزم الدور ولزم بطلان الترتب في جميع الموارد؛ إذ لا علم لنا بالملاك فيها جميعاً إلا من ناحية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ممنوع كبرى وصغرى كما ذكرناه مراراً في الفقه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السيد الصدر قدس سره </w:t>
      </w:r>
      <w:r>
        <w:rPr>
          <w:rStyle w:val="FootnoteAnchor"/>
          <w:rtl w:val="true"/>
        </w:rPr>
        <w:footnoteReference w:id="200"/>
      </w:r>
      <w:r>
        <w:rPr>
          <w:rFonts w:ascii="Amiri" w:hAnsi="Amiri" w:eastAsia="Amiri" w:cs="Amiri"/>
          <w:color w:val="111111"/>
          <w:sz w:val="28"/>
          <w:sz w:val="28"/>
          <w:szCs w:val="28"/>
          <w:rtl w:val="true"/>
          <w:lang w:bidi="ar-SA"/>
        </w:rPr>
        <w:t>أورد على ما ذكره المحقق النائيني قدس سره من أنّ القدرة الشرعية الدخيلة في الملاك؛ إن أُريد منها دخل عدم وجود المانع الشرعي، أي الأمر بالخلاف في الملاك فلا يعقل الترتب لا لعدم إحراز الملاك في المرتبةالسابقة حتى يلزم الدور، بل لانتفاء التكليف ملاكاً وخطاباً بانتفاء شرطه وهو القدرة بالمعنى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بها دخل عدم الإشتغال بالواجب في الملاك كان الترتب معقولاً لتحقق الشرط بترك الإشتغال بالآخر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القدرة الشرعية بالمعنى العرفي الذي تقدم بيانه في الواجب الذي اشترطت فيه هذه القدرة تنتفي عند ابتلائها بالواجب المزاحم، فلا يمكن تحقق الترتب على ما ذكره المحقق النائيني قدس سره كما هو واضح</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بحسب الكبرى الكلية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بالنسبة إلى الصغريات والتطبيقات؛ فإنها تختلف بحسب القرائن والمناسبات فقد يثبت الترتب في بعض الموارد التي أخذ في متعلقها القدرة الشرعية، ونذكر بعضاً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تحقق التزاحم بين الوضوء وواجب آخر أهم يقتضي صرف الماء فيه؛ كما إذا توقف نجاة نفس محترمة عليه، فقد حكم المحقق النائيني قدس سره </w:t>
      </w:r>
      <w:r>
        <w:rPr>
          <w:rStyle w:val="FootnoteAnchor"/>
          <w:rtl w:val="true"/>
        </w:rPr>
        <w:footnoteReference w:id="201"/>
      </w:r>
      <w:r>
        <w:rPr>
          <w:rFonts w:ascii="Amiri" w:hAnsi="Amiri" w:eastAsia="Amiri" w:cs="Amiri"/>
          <w:color w:val="111111"/>
          <w:sz w:val="28"/>
          <w:sz w:val="28"/>
          <w:szCs w:val="28"/>
          <w:rtl w:val="true"/>
          <w:lang w:bidi="ar-SA"/>
        </w:rPr>
        <w:t>بسقوط وجوب الوضوء والإنتقال إلى التيمم؛ فلو توضأ بالماء بطل وضوءه لكونه مشروطاً بالقدرة الشرعية وهي منتفية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إنّ ما يمكن أن يذكر لكون القدرة شرعية هو أحد تقريبين لا يمكن الإعتماد على أيّ منهما؛</w:t>
      </w:r>
    </w:p>
    <w:p>
      <w:pPr>
        <w:pStyle w:val="BookText"/>
        <w:rPr/>
      </w:pPr>
      <w:r>
        <w:rPr>
          <w:rFonts w:ascii="Amiri" w:hAnsi="Amiri" w:eastAsia="Amiri" w:cs="Amiri"/>
          <w:color w:val="111111"/>
          <w:sz w:val="28"/>
          <w:sz w:val="28"/>
          <w:szCs w:val="28"/>
          <w:rtl w:val="true"/>
          <w:lang w:bidi="ar-SA"/>
        </w:rPr>
        <w:t>أحدهما؛ كون الوضوء مِمّا له بدل وهو التيمم، وكل ما له بدل يكون مشروطاً بالقدرة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كلية فيه، فلا يمكن استفادة ذلك من مجرد وجود البدل للواجب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إنّ المستفاد من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تَجِدُوا مَاءً فَتَيَمَّمُوا صَعِيدًا طَيِّبًا</w:t>
      </w:r>
      <w:r>
        <w:rPr>
          <w:rFonts w:eastAsia="Amiri" w:cs="Amiri" w:ascii="Amiri" w:hAnsi="Amiri"/>
          <w:color w:val="111111"/>
          <w:sz w:val="28"/>
          <w:szCs w:val="28"/>
          <w:rtl w:val="true"/>
          <w:lang w:bidi="ar-SA"/>
        </w:rPr>
        <w:t>)</w:t>
      </w:r>
      <w:r>
        <w:rPr>
          <w:rStyle w:val="FootnoteAnchor"/>
          <w:rtl w:val="true"/>
        </w:rPr>
        <w:footnoteReference w:id="202"/>
      </w:r>
      <w:r>
        <w:rPr>
          <w:rFonts w:ascii="Amiri" w:hAnsi="Amiri" w:eastAsia="Amiri" w:cs="Amiri"/>
          <w:color w:val="111111"/>
          <w:sz w:val="28"/>
          <w:sz w:val="28"/>
          <w:szCs w:val="28"/>
          <w:rtl w:val="true"/>
          <w:lang w:bidi="ar-SA"/>
        </w:rPr>
        <w:t>هو التفصيل بين الوضوء والتيمم، وأنّ الأخير إنَّما يجب في فرض عدم وجدان الماء، والتفصيل قاطع للشركة فيكون موضوع الوضوء هو الواجد الماء</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المراد من وجدان الماء ليس وجوده الخارجي، بل القدرة على استعماله ولو بقرينة ذكر المرض مع السفر في الآية المباركة فإنَّه يدل على أنّ الميزان في الوضوء هو القدرة وعدم المشقة، وهو معنى القدرة الشرعية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يستفاد من الآية الكريمة كون القدرة في الوضوء شرعية، وإنما أُخذ في الآية الكريمة عنوان عدم وجدان الماء، وهو كناية عن العجز وعدم القدرة على الوضوء بتوسعة من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التفصيل في الآية لبيان الوظيفة العملية في مقام الإمتثال، وليس لها ظهور في التفصيل من حيث الحكم والخطاب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الكلام يطلب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الأمر الترتبي في الوضوء محفوظ في موارد المزاحمة مع تكليف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الوضوء حراماً لكونه تصرفاً في مال الغير بغير إذنه؛ فإنَّه بناءً على امتناع الترتب يدخل في باب التعارض، وأما بناءً على إمكانه فمع عدم المندوحة يكون من التزاحم بين التكليفيين إلا إذا كانت القدرة المأخوذة في الوضوء شرعية فيكون باطلاً لعدم إمكان الأمر به ولو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مندوحة فالأمر بالوضوء فعليٌّ على كلِّ حال لأنّ ملاكه المشروط بالقدرة الشرعية فعليّ، وحينئذٍ؛ فإن قيل بعدم التزاحم بين الواجب الموسع والمضيّق بحيث يمكن الأمر بالجامع الذي ينطبق على الفرد المزاحم لتكليف أهم صحّ الوضوء بالأمر العرضي، والأصحّ هو الوضوء بالأمر الترتبي بذلك الفرد لكون الملاك فعلياً على كل حال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عليه بأنّ الوضوء إن اشترط فيه القدرة الشرعية بالمعنى الذي يستحيل معه الأمر بالترتب فالأمر واضح، وأما إذا كانت القدرة الشرعية المأخوذة فيه بمعنى القدرة التكوينية أو عدم الإشتغال بالضد الواجب الأهم فالوضوء صحيح بالخطاب الترتبي، وإن أُريد بها عدم وجود حكم شرعي على خلافه فالظاهر بطلانه لأنّ ظاهر الأمر بشيء </w:t>
      </w:r>
    </w:p>
    <w:p>
      <w:pPr>
        <w:pStyle w:val="BookText"/>
        <w:rPr/>
      </w:pPr>
      <w:r>
        <w:rPr>
          <w:rFonts w:ascii="Amiri" w:hAnsi="Amiri" w:eastAsia="Amiri" w:cs="Amiri"/>
          <w:color w:val="111111"/>
          <w:sz w:val="28"/>
          <w:sz w:val="28"/>
          <w:szCs w:val="28"/>
          <w:rtl w:val="true"/>
          <w:lang w:bidi="ar-SA"/>
        </w:rPr>
        <w:t>مشروطاً بعدم المنافي المولوي أن لا يوجد منافٍ مولوي حين الإتيان به حدوثاً وبقاءً؛ فيكون المستفاد من دليل شرطية القدرة بهذا المعنى أنّ الأمر بالوضوء لا يجتمع مع فعلية الحكم المنافي لأنَّه يكون معلقاً على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الحق ما ذكرناه من أنّ جميع ذلك مبني على فرضيات أصولية لم يقم دليل عليها، بل إنّ بطلان الوضوء في المقام يرجع إلى الإرتكاز العرفي لأنه لا يمكن التقرب بما هو مبغوض لدى المولى على التفصيل الذي ذكرناه في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المتزاحمان طوليين في عمود الزمان مع كون المتأخر هو الأهم والقدرة فيهما عقلية؛ فقد ذهب المحقق النائيني قدس سره إلى استحالة الأمر بالمتقدم فيهما ولو بنحو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القدرة شرعية فيهما فقد ذكر قدس سره أنه لا ترجيح فيهما أبداً لا بالأهمية ولا بغيرها من المرجّحات فيكون التخيير حينئذٍ شرعياً لوجود قدرة على الجامع وملاك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في أحدهما عقلية وفي الآخر شرعية فقد تقدم أيضاً عدم إمكان الترتب عنده قدس سره في القدرة الشرعية فلا يوجد إلا تكليف مطلق مشروط بالقدرة العقلية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جميع الصور الثلاثة ذهب إلى استحالة الترتب فيهما، وقد تقدم الكلام في الصورة الثانية؛ أي المشروطين بالقدرة الشرعية، والصورة الثالثة؛ أي الإختلاف بينهما في القدرة الشرعية والعقلية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الأولى؛ وهي المشروطين بالقدرة العقلية، فقد استدل على استحالة الترتب فيها بوجوه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الأمر بالمتقدم مشروطاً بعدم الإتيان بالخطاب المتأخر وهو مستحيل لأنَّه يستلزم الشرط المتأخر وهو غير معقول، مضافاً إلى أنه لا يكفي هذا التقييد لدفع المنافاة بينه وبين خطاب وجوب حفظ القدرة للواجب المتأخر الأهم</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بعدم تعقّب امتثال الأهم، والتعقب شرط مقارن عنده قدس سره وبه حاول تصحيح ما ثبت في الفقه مِمّا ظاهره الإناطة بالشرط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مستحيل </w:t>
      </w:r>
    </w:p>
    <w:p>
      <w:pPr>
        <w:pStyle w:val="BookText"/>
        <w:rPr/>
      </w:pPr>
      <w:r>
        <w:rPr>
          <w:rFonts w:ascii="Amiri" w:hAnsi="Amiri" w:eastAsia="Amiri" w:cs="Amiri"/>
          <w:color w:val="111111"/>
          <w:sz w:val="28"/>
          <w:sz w:val="28"/>
          <w:szCs w:val="28"/>
          <w:rtl w:val="true"/>
          <w:lang w:bidi="ar-SA"/>
        </w:rPr>
        <w:t>أيضاً لأنَّه لا يدفع المحذور الثاني في الوجه الأول، مضافاً إلى أنّ هذا التقييد بهذا القيد يحتاج إلى دليل وهو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بعصيان خطاب وجوب حفظ القدرة وهو شرط مقارن، وهذا مستحيل أيضاً؛ لأنّ عصيان وجوب حفظ القدرة؛ إما أن يكون بنفس الواجب المتقدم أو بفعل آخر مضادٍّ لهما لو فرض وجوده، والتقييد بكليهما غير معقول إذ الأول يلزم منه طلب الحاصل، والثاني طلب الضدين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بالعزم على عصيان الواجب المتأخر وهو شرط مقارن أيضاً، وهو أيضاً مستحيل لعدم إمكان الأمر الترتبي مشروطاً بالعزم على العصيان كما تقدم بيانه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هذه الوجوه الأربعة ذكر أنه يستحيل الأمر بالتقدم ولو بنحو الترتب في المتزاحمين الطوليين في عمود الزمان مع كون المتأخر هو الأهم والقدرة فيهما عقلية وليس في البين إلا أمر واحد بالأهم</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جميع الوجه الأربعة مبنية على استحالة الشرط المتأخر ولكن الصحيح أنه لا استحالة فيه كما هو محقق في محله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على ما ذكره في الوجه الأول من بقاء المضادة بين الأمر الترتبي وبين خطاب وجوب حفظ القدرة للواجب المتأخر؛ إن وجوب حفظ القدرة حكم عقلي لا خطاب شرعي وذلك لأنّ العقل يحكم باستحقاق العقاب على تفويت الواجب الأهم بتفويت القدرة عليه، وعليه يحكم العقل بلزوم إطاعة التكليف الأهم وهو ليس حكماً آخر وراء التكليف الأهم حتى يلزم محركية زائدة، وحينئذٍ لا منافاة بين محركية الخطاب الأهم المطلق مع محركية الأمر الترتيبي كما تقدم بيانه في بحوث الضدّ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فرض التنزّل وقبول كون وجوب حفظ القدرة خطاب شرعي وليس حكماً عقلياً بلزوم الطاعة فلا ريب أنه حكم طريقي محض للحفاظ على الواجب الأهم فليس لها محركية حتى تكون منافية مع محركية الأمر الترتبي بالضدّ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الجواب عن الوجوه الأخرى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يتضح أنّ الترتب في المقام معقول فيندرج في باب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وقع التزاحم بين الواجب والحرام؛ كما لو توقف الواجب على فعل ذلك الحرام وكان الواجب هو الأهم ملاكاً فإنَّه لا يعقل جعل الخطاب التحريمي على المقدمة المحرمة ولو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المورد مبني على الأقوال في وجوب مقدمة الواجب؛ فإنَّه بناءً على عدم وجوبها أو وجوب المقدمة الموصلة فقط فإنَّه يمكن جعل الخطاب التحريمي على المقدمة بنحو الترتب بأن تحرم على تقدير عدم الإتيان بالواجب الأهم</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بناءً على وجوب مطلق المقدمة واستحالة تخصيص الوجوب بالموصلة فقط كما اختاره المحقق الخراساني قدس سره </w:t>
      </w:r>
      <w:r>
        <w:rPr>
          <w:rStyle w:val="FootnoteAnchor"/>
          <w:rtl w:val="true"/>
        </w:rPr>
        <w:footnoteReference w:id="203"/>
      </w:r>
      <w:r>
        <w:rPr>
          <w:rFonts w:ascii="Amiri" w:hAnsi="Amiri" w:eastAsia="Amiri" w:cs="Amiri"/>
          <w:color w:val="111111"/>
          <w:sz w:val="28"/>
          <w:sz w:val="28"/>
          <w:szCs w:val="28"/>
          <w:rtl w:val="true"/>
          <w:lang w:bidi="ar-SA"/>
        </w:rPr>
        <w:t>فإنَّه يستحيل جعل الحرمة للمقدمة على كل حال لأنّ جعلها ولو مشروطاً منافٍ مع عدم إمكان تخصيص وجوبها بالموصلة، فلا محالة يقع التعارض بين دليل حرمة المقدمة ودليل وجوب ذيها، فيكون من باب التعارض لا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يتضح أنه لا مجال للخطاب الترتبي التحريمي بالمقدمة المحرمة على جميع المسالك في وجوب المقدمة؛ فهو إما خطاب تحريمي مطلق فلا تزاحم ولا تعارض، أو خطاب تحريمي معارض مع الأمر بذي 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يختص ذلك بالمقام، بل يجري في تمام موارد التزاحم بين الواجب والحرام مع كون الواجب أهم ولو لم يكن الحرام مقدمة </w:t>
      </w:r>
    </w:p>
    <w:p>
      <w:pPr>
        <w:pStyle w:val="BookText"/>
        <w:rPr/>
      </w:pPr>
      <w:r>
        <w:rPr>
          <w:rFonts w:ascii="Amiri" w:hAnsi="Amiri" w:eastAsia="Amiri" w:cs="Amiri"/>
          <w:color w:val="111111"/>
          <w:sz w:val="28"/>
          <w:sz w:val="28"/>
          <w:szCs w:val="28"/>
          <w:rtl w:val="true"/>
          <w:lang w:bidi="ar-SA"/>
        </w:rPr>
        <w:t>للواجب أو بين الحرامين فإنَّه لا حاجة فيها إلى الترتب، وإن كان في المقام بحوث ومناقشات يطول الكلام بذكرها ولا فائدة في بيانها، ولا بدَّ من الرجوع إلى العرف في تحديد الحكم في المقام وأمثاله وقد ذكره الفقهاء في موارد متعددة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اجتماع الأمر والنهي؛ فإنَّه بناءً على الجواز وعدم المندوحة يقع التزاحم بينهما، فإذا كان النهي أهم ملاكاً لم ينعقد إطلاق الأمر في مورد النهي لاستلزامه التكليف بغير المقدور، ولكن هل يبقى بنحو الترتب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غصبت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لا يمكن ذلك؟ ذهب المحقق النائيني قدس سره </w:t>
      </w:r>
      <w:r>
        <w:rPr>
          <w:rStyle w:val="FootnoteAnchor"/>
          <w:rtl w:val="true"/>
        </w:rPr>
        <w:footnoteReference w:id="204"/>
      </w:r>
      <w:r>
        <w:rPr>
          <w:rFonts w:ascii="Amiri" w:hAnsi="Amiri" w:eastAsia="Amiri" w:cs="Amiri"/>
          <w:color w:val="111111"/>
          <w:sz w:val="28"/>
          <w:sz w:val="28"/>
          <w:szCs w:val="28"/>
          <w:rtl w:val="true"/>
          <w:lang w:bidi="ar-SA"/>
        </w:rPr>
        <w:t>إلى الثاني، وذهب آخرون إلى الأول بتقريب أنه بناءً على القول بجواز اجتماع الأمر والنهي باعتبار أنّ تعدد العنوان يوجب تعدد المعنون خارجاً دخل المقام في موردالتزاحم بين واجب ملازم مع الحرام خارجاً، فلا إشكال في الأمر الترتبي فيه إذا لم يكن ارتكاب الحرام مساوقاً مع تحقق الواجب، وإلا فلا يجري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قيل بكفاية تعدد العنوان في جواز الإجتماع لدفع غائلة الإستحالة ولو كان المعنون واحداً وأمثاله من المسالك التي لا ترى تعدد المعنون خارجاً؛ فقد يقال بمنع الأمر الترتبي لأحد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عصيان الحرام سوف يكون بنفس الصلاة أو المشي مثلاً لأنّ المعنون واحد حسب الفرض فيستحيل أن يؤثر في الصلاة مشروطاً بالغصب على نحو الترتب لأنَّه يستلزم إما طلب الحاصل كما في الصلاة، أو طلب الضدين كما في المشي</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مركب من جامع الحركة، وكونها صلاة وعصيان الخطاب التحريمي إنَّما يكون بالحركة في المغصوب التي هي التصرف فيه، فيرجع الأمر الترتبي بالصلاة </w:t>
      </w:r>
    </w:p>
    <w:p>
      <w:pPr>
        <w:pStyle w:val="BookText"/>
        <w:rPr/>
      </w:pPr>
      <w:r>
        <w:rPr>
          <w:rFonts w:ascii="Amiri" w:hAnsi="Amiri" w:eastAsia="Amiri" w:cs="Amiri"/>
          <w:color w:val="111111"/>
          <w:sz w:val="28"/>
          <w:sz w:val="28"/>
          <w:szCs w:val="28"/>
          <w:rtl w:val="true"/>
          <w:lang w:bidi="ar-SA"/>
        </w:rPr>
        <w:t>مشروطاً بالغصب إلى الأمر بالحركة الصلاتية في المغصوب على تقدير الحركة فيه، وهذا يعني الأمر بضمّ الجزء الثاني على تقدير تحقق الجزء الأول؛ أي الأمر بالحركة الصلاتية على تقدير أصل الحركة، لا الأمر بالصلاة التي هي عبارة عن مجموع الجزئين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خلاف ظاهر الدليل فلا يمكن التمسك به لإثبات الأمر الترتبي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على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ما يتقيد به الأمر الترتبي إنَّما هو عصيان الخطاب الآخر الذي هو الجامع بين الحركة الصلاتية في الغصب والحركة غير الصلاتية فيه، ومن الواضح أنّ التقييد بالجامع بنحو صرف الوجود لا يستلزم التقييد بكل فرد من أفراده، ولا يسري إلى مصاديقه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الأمر عبادياً فإنَّه ينشأ محذور عدم إمكان التقرب بالفعل الحرام ولو كان مصداقاً لعنوان 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هذا محذور آخر لا ربط له بالمهم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ردّه بأنّ الإتحاد العرفي بين الفرد الواجب والحرام يجعل الأمر الترتبي غير مقبول عرفاً وإن امكن تصويره ثبوتاً وبحسب الدقة كما حرره البعض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الأمر بأصل الحركة في ضمن الصلاة أمر ضمني، والأمر الضمني يكون محركيته وتحصيله ضمنياً؛ أي في ضمن تحصيل الكل، وما هو الشرط المفروض حصوله إنَّما هو الحركة الإستقلالية أي ذات الحركة، فلا يلزم تحصيل الحاصل من طلب الحركة الضمنية على تقدير أصل الحركة</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طلب الحاصل إنَّما يكون غير معقول إذا كان في الأمور الخارجية وأما الأمور الإعتبارية مثل التكليف ونحوه فلا دليل على امتناعه، إذ يمكن أن يتعلق به الخطاب والإنشاء بدواعٍ متعددة ولا استهجان فيه؛ ففي المقام يصحّ تعلّقالخطاب بالحركة الصلاتية على تقدير أصل الحركة، ولا يستلزم منه استهجان واستحالة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ومما ذكرناه يظهر أنه لا يمكن تصوير الأمر الترتبي بالنظر العرفي في موارد اجتماع الأمر والنهي لا سيما إذا كان الأمر عبادياً لما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يصحّ فيما إذا لم يستهجنه الذوق العرفي فلا بُدَّ من ملاحظة المناسبات في موارد اجتماع الأمر والنهي فليست لنا قاعدة كلية في المنع أو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نقول في موارد التزاحم بين الواجب والحرام، أو بين محرّمين أننا لا نحتاج إلى التحفّظ على الخطاب التحريمي إلى مبنى إمكان الترتب، بل يكفي فيها ثبوت الحرمة مطلقاً مع تقييد الحرام بالحصة الخاصة المقرونة بترك مزاحمه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التزاحم بين الواجبات الضمنية، كما إذا وقع التضاد بين جزئين من مركب إرتباطي؛ وقد ذهب المحقق النائيني قدس سره </w:t>
      </w:r>
      <w:r>
        <w:rPr>
          <w:rStyle w:val="FootnoteAnchor"/>
          <w:rtl w:val="true"/>
        </w:rPr>
        <w:footnoteReference w:id="205"/>
      </w:r>
      <w:r>
        <w:rPr>
          <w:rFonts w:ascii="Amiri" w:hAnsi="Amiri" w:eastAsia="Amiri" w:cs="Amiri"/>
          <w:color w:val="111111"/>
          <w:sz w:val="28"/>
          <w:sz w:val="28"/>
          <w:szCs w:val="28"/>
          <w:rtl w:val="true"/>
          <w:lang w:bidi="ar-SA"/>
        </w:rPr>
        <w:t>إلى عدم الفرق بينهما وبين الواجبات الإستقلالية والرجوع إلى قواعد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غيره إلى أنّ التزاحم بين الواجبات الضمنية الإرتباطية يوجب وقوع التعارض بين أدلتها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عليه بوجوه عديدة نذكر المهم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الواجبات الإرتباطية تكون وجوباتها إرتباطية أيضاً فتكون مجعولة بجعل واحد متعلق بالمركب لا بجعول متعددة، وهذا الجعل الواحد يشترط فيه ما يشترط في كل تكليف من القدرة على مجموع متعلقه؛ فإذا وقع التضاد بين جزئين من هذا المجموع لم يعد مقدوراً للمكلف فيسقط الأمر به، فإذا لم يقم دليل على وجوب سائر الأجزاء في فرض العجز عن بعضها فلا يمكن إثبات وجوبها بدليل الأمر الأول</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إن قام دليل على عدم سقوط الواجب كلياً، كما في الصلاة من أنها لا تترك بحال فيدور الأمر بين التكليف بسائر الأجزاء مع الجامع بين الجزئين المتزاحمين، أو بها مع </w:t>
      </w:r>
    </w:p>
    <w:p>
      <w:pPr>
        <w:pStyle w:val="BookText"/>
        <w:rPr/>
      </w:pPr>
      <w:r>
        <w:rPr>
          <w:rFonts w:ascii="Amiri" w:hAnsi="Amiri" w:eastAsia="Amiri" w:cs="Amiri"/>
          <w:color w:val="111111"/>
          <w:sz w:val="28"/>
          <w:sz w:val="28"/>
          <w:szCs w:val="28"/>
          <w:rtl w:val="true"/>
          <w:lang w:bidi="ar-SA"/>
        </w:rPr>
        <w:t>أحدهما تعييناً؛ وهذه شبهة حكمية في أصل التكليف وليس من باب التزاحم فلا بُدَّ من الرجوع إلى الأصول والقواعد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كون الواجبات الإرتباطية لها وجوبات متعددة إرتباطية أيضاً أول الكلام؛ فإنّ الوجوب في الواجبات الإرتباطية واحد إنبساطي على جميع الأجزاء فإذا تعذّر أحد الأجزاء لا يضرّ ذلك بأصل الوجوب، ولا حاجة إلى دليل آخر لثبوته بالنسبة إلى سائر الأجزاء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بأنّ عدم سقوط الميسور عند تعسر بعض الأجزاء موافق للقاعدة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لازم التزاحم بين الواجبين الإستقلاليين هو فعلية إيجابهما عند تركهما معاً لفعلية شرط كلا الوجوبين، وهذا اللازم يستحيل تحققه في الواجبينالضمنيين فيستحيل ملزومه وهو التزاحم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استحالة اللازم؛ أنّ الوجوبين في المقام جزءان تحليليان من وجوب واحد، فإذا فرض أنّ المكلف تركهما كليهما كان شرط كلا الأمرين الضمنيين فعلياً وبالتالي يصبح الأمر بالمركب كله فعلياً، وهذا معناه ثبوت أمر إستقلالي واحد يطلب فيه الجمع بين المتضادين وهو محال؛ لأنَّه من طلب الجمع بين الضدين لا الجمع في الطلب كما هو كذلك في الطلبين الإستقلاليين المتزاحمين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ردّ هذ الوجه وغيره من الوجوه التي استدل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افتراض تعلّق الأمر ابتداءً بعنوان ما هو المقدور من أجزاء المركب، وهو عنوان جامع ينطبق على مجموع الأجزاء إذا كانت كلها مقدورة وعلى المقدور منها إذا كان بعضها غير مقدور تعينيياً؛ فإذا وقع التزاحم بين اثنين منهما يكون ترك كل واحد منهما محقِّقاً للقدرة على الآخر فيكون مقدوراً فيكون هو الواجب</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معنى قولهم أنّ كلاً منهما منوط بترك الآخر كما في الواجبين الإستقلاليين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 بأنّ أدلة الأجزاء والشرائط ظاهرة في الإرشاد إلى الجزئية والشرطية ولو كانت بلسان الأمر أو النهي، وهذا المفاد لا يجري فيه التزاحم أصلاً؛ إذ ليس مفادها حكماً تكليفياً يستحيل ثبوته للمتزاحمين معاً حتى نفتش عن المقيد اللبّي له، فيكون مقتضى إطلاقها لحال العجز يعني ثبوت الجزئية والشرطية فيه، فيلزم سقوط التكليف الإستقلالي بالمجموع رأساً، ولو فرض العلم من الخارج بعدم سقوطه يقع التعارض بين إطلاق دليلي الجزئين المتزاحمين لفرض العلم بانتفاء أحد الجزئين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جميع ما ذكر في المقام بعيد عن روح الواجب الضمني فإنّ الوجوب المتعلق بالمركب من الأجزاء والشرائط هو وجوب واحد ينبسط على أجزاء المركب فليس لها وجوب آخر غير الوجوب الإنبساطي المتعلق بالكلّ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يكون حكمُ الأجزاء حكمَ الكل؛ فما يجري في الواجب الإستقلالي يجري في الواجب الضمني، وإنما استفدنا الضمنية من الأدلة التي تعلقت بالأجزاء والشرائط فهي وإن كان لسانها لسان الإرشاد إلى الجزئية أو الشرطية ولكن لا تخرج الأجزاء والشرائط عن كونها من ضمن الكل الذي تعلق به الوجوب الذي انبسط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بأنّ تعسّر بعض تلك الأجزاء لا يوجب سقوط أصل الوجوب المتعلق بالكل المنبسط على بقية الأجزاء إلا إذا دلّ دليل على سقوطه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أدلة الأجزاء والشرائط تثبت الشرطية والجزئية للمركب وتجعلها في ضمن المركب الذي تعلق به الوجوب الإنبساطي</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لا بُدَّ من التماس المقيّد اللبّي كما يلتمس بالنسبة إلى الواجب الإستقلالي، فما ذكره المحقق النائيني قدس سره هو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التزاحم بين الواجب الموسع والواجب 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نُسب إلى المحقق الثاني قدس سره </w:t>
      </w:r>
      <w:r>
        <w:rPr>
          <w:rStyle w:val="FootnoteAnchor"/>
          <w:rtl w:val="true"/>
        </w:rPr>
        <w:footnoteReference w:id="206"/>
      </w:r>
      <w:r>
        <w:rPr>
          <w:rFonts w:ascii="Amiri" w:hAnsi="Amiri" w:eastAsia="Amiri" w:cs="Amiri"/>
          <w:color w:val="111111"/>
          <w:sz w:val="28"/>
          <w:sz w:val="28"/>
          <w:szCs w:val="28"/>
          <w:rtl w:val="true"/>
          <w:lang w:bidi="ar-SA"/>
        </w:rPr>
        <w:t>القول بعدم جريان التزاحم فيهما؛ لإمكان الأمر بالواجب الموسع المزاحم مع الواجب المضيق في عرض واحد بلا حاجة إلى تقييد أحدهما بعدم الإتيان بالآخر، مستدلاً عليه بأنّ الواجب الموسع يرجع إلى إيجاب الجامع بين الأفراد الطولية والإتيان بهذا الجامع مع الواجب المضيق جمعاً مقدور فلا يلزم من الآمر بهما في عرض واحد المحال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نوقش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النائيني قدس سره </w:t>
      </w:r>
      <w:r>
        <w:rPr>
          <w:rStyle w:val="FootnoteAnchor"/>
          <w:rtl w:val="true"/>
        </w:rPr>
        <w:footnoteReference w:id="207"/>
      </w:r>
      <w:r>
        <w:rPr>
          <w:rFonts w:ascii="Amiri" w:hAnsi="Amiri" w:eastAsia="Amiri" w:cs="Amiri"/>
          <w:color w:val="111111"/>
          <w:sz w:val="28"/>
          <w:sz w:val="28"/>
          <w:szCs w:val="28"/>
          <w:rtl w:val="true"/>
          <w:lang w:bidi="ar-SA"/>
        </w:rPr>
        <w:t>من أنّ القدرة شرط في كل تكليف من باب حكم العقل بقبح تكليف العاجز، فإذا كان الخطاب بنفسه يتطلب اختصاص متعلقه بالحصة المقدورة لأنَّه مفاد البعث والزجر وهو لا يعقل نحو غير المقدور؛ فلا بُدَّ أن يكون متعلق الأمر حينئذٍ مقيداً بالحصة المقدورة عقلاً وشرعاً من أفراده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 أنه لا إطلاق في الواجب الموسع للفرد المزاحم لعدم القدرة عليه شرعاً، وهو معنى عدم إمكان الأمر به في عرض الأمر بالواجب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الأمر به بنحو الترتب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التكليف من الأمور الإعتبارية التي يعتبرها الشارع على المكلفين، وإنما يبرزه بمبرز خارجي مثل الإنشاء ونحوه، وهذا الإعتبار لا يقتضي الإختصاص بالحصة المقدورة وإنما العقل يعتبرها شرطاً من لزوم الإمتثال والطاعة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كون الخطاب بداعي الباعثية والتحريك ولكنه لا يتطلب أكثر من مقدورية ما تعلق به الحكم، والمتعلق في الواجب الموسع هو الجامع بين الأفراد، والجامع بين الفرد المقدور وغير المقدور يكون مقدوراً ولا موجب لتقييده بالفرد غير المقدور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المتعلق في كل خطاب هو الطبيعة الكلية؛ فإذا تحققت في ضمن أي فرد كان امتثالاً للتكليف لا محالة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بناءً على القول بالواجب المعلق وإمكان تقديم زمان الوجوب على زمان الواجب فإنّ الأمر بالواجب الموسع يكون فعلياً حتى زمان المزاحمة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هو زمان الواجب المضيق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كون متعلقه استقبالياً لأنَّه غير مقدور شرعاً بالفعل، وإنما يصبح مقدوراً في الزمان الثاني، فلا معنى للمزاحمة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وأُجيب عنه باستحالة الواجب المعلق، وذلك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يستبطن المحركية والباعثية فيقتضي التحركُ والإنبعاث التضايفَ بينهما، أو المحركية والباعثية ملازمة في الإمكان والإمتناع لإمكان الإنبعاث وامتناعه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هو أنّ إمكانية البعث تلازم إمكانية الإنبعاث لا التلازم خارجاً إذ يمكن أن يتحقق بعث ولا يكون انبعاث خارجاً كما في العاصين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مورد الواجب المعلّق لا إمكانية للإنبعاث خارجاً فلا يكون البعث ممكناً</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الوجه غير تام؛ لأنّ الجعل كما عرفت أمر اعتباري لا يتوقف ثبوته على إمكانية الإنبعاث، والعرف يفهم من الخطاب المولوي جعل فعل في ذمة العبد سواء كان بداعي البعث أم بدواعٍ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والإنبعاث أمر طبيعي حاصل في العبد بمقتضى عبوديته وحكم العقل بالإطاعة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الواجب المعلق يستلزم أن يكون الحكم مشروطاً بشرط متأخر، فإنَّه باعتبار تأخُّر زمان الواجب عن زمان الوجوب في الواجب المعلق لا محالة يكون مجيء ذلك الزمان شرطاً في صحة جعل الوجوب المتقدم فيكون مستحيلاً بناء على استحالة الشرط المتأخر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الشرط هو التعلق بالأمر المتأخر الذي هو شرط مقارن أمكن جعله ثبوتاً، ولكنه خلاف ظاهر الدليل على شرطية نفس الزمان المتأخر في الواجب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صحيح أيضاً لمعقولية الشرط المتأخر، ودليل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شرطية القدرة وتقييد الخطاب به في المقام كانت بحكم العقل بقبح تكليف العاجز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قبح في التكليف بالجامع من أول الأمر بعد ثبوت القدرة عليه في الزمان المتأخر، فيتمسك بإطلاق الخطاب لإثبات الوجوب في المقام لإمكانه ولو على وجه كون الشرط هو تعقّب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الصحيح ما ذهب إليه المحقق الثاني قدس سره من عدم التزاحم بين الواجب الموسع والمضيق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حتى الآن إنَّما يتعلق بموارد التزاحم بين الخطابين فيما إذا كان الخطاب في كل واحد منها تاماً من حيث الفعلية والتنجّز، وأما إذا وقع التزاحم في مورد يفرض الجهل بأحدهما فقد يتصور وقوع التعارض بين الخطابين لاستحالة ثبوتهما معاً واقعاً فلا بُدَّ من انتفاء أحدهما؛ من دون فرق بين علم المكلف وجهله فيكون نظير موارد اجتماع الأمر والنهي بناءً على الإمتناع وتغليب جانب الأمر بلا فرق بين العلم بالحرمة أو الجهل بها</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بناءً على استحالة الترتب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إذا قلنا بإمكان الترتب فقد ورد في بعض تقريرات المحقق النائيني قدس سره </w:t>
      </w:r>
      <w:r>
        <w:rPr>
          <w:rStyle w:val="FootnoteAnchor"/>
          <w:rtl w:val="true"/>
        </w:rPr>
        <w:footnoteReference w:id="208"/>
      </w:r>
      <w:r>
        <w:rPr>
          <w:rFonts w:ascii="Amiri" w:hAnsi="Amiri" w:eastAsia="Amiri" w:cs="Amiri"/>
          <w:color w:val="111111"/>
          <w:sz w:val="28"/>
          <w:sz w:val="28"/>
          <w:szCs w:val="28"/>
          <w:rtl w:val="true"/>
          <w:lang w:bidi="ar-SA"/>
        </w:rPr>
        <w:t>من أنّ الترتب إنَّما يعقل فيما إذا كان الخطاب المترتب عليه واصلاً للمكلف ومنجزاً عليه، فلو لم يكن كذلك لم يكن موقع للخطاب الترتبي؛ إما لأنَّه لا يتحقق العصيان للخطاب المترتب عليه الذي هو شرط للخطاب المترتب لأنّ المفروض عدم تنجزه، وإما لأجل عدم إمكان تحقق العلم بالخطاب المترتب لعدم العلم بما هو موضوعه من كونه عاصياً للخطاب المترتب عليه لأنّ العلم بالعصيان فرع العلم بالتكليف والمفروض أنه 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كل الحالات إنه يرجع التزاحم في مورد الجهل بأحد الخطابين إلى وقوع التعارض بين الخطابين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صحة الترتب في مفروض المقام، ولا تصل النوبة إلى التعارض بين الخطابين، ولا يصحّ قياسه بموارد اجتماع الأمر والنهي بناءً على الإمتناع فيصحّ التمسك بالخطابين الواصل منهما حتى لو قلنا باستحالة الترتب فضلاً عن القول بإمكانه، وذلك لأنّ محذور الإمتناع في مسألة اجتماع الأمر والنهي المستوجب للتنافي بين الحكمين يرجع إلى مبادئ الحكم من الحب والبعض والإرادة والكراهة؛ إذ بناءً على امتناع الإجتماع يستحيل اجتماع الكراهة والإرادة على موضوع واحد، ولا نظر له إلى مرحلة الإمتثال وتحرك المكلف إلى الطاعة فإنّ الإستحالة بناءً على صحتها ثابتة سواء وصل الحكم إلى المكلف أم لا</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امتناع الترتب في المقام فإنه يرجع إلى أنّ الحكم يستتبع التحريك إلى الإمتثال، والتحريك نحو امتثال الضدين معاً غير معقول، ومع قطع النظر عن ذلك فلا محذور من إرادتهما إذ لا يلزم اجتماع الضدين أو المثلين؛ مع أنّ مبادئ الحكم من الحب والبغض هي أمور تكوينية لا ضير في تعلقها بالضدين فتكون النكتة في المحذور منحصرة في هذا الباب </w:t>
      </w:r>
    </w:p>
    <w:p>
      <w:pPr>
        <w:pStyle w:val="BookText"/>
        <w:rPr/>
      </w:pPr>
      <w:r>
        <w:rPr>
          <w:rFonts w:ascii="Amiri" w:hAnsi="Amiri" w:eastAsia="Amiri" w:cs="Amiri"/>
          <w:color w:val="111111"/>
          <w:sz w:val="28"/>
          <w:sz w:val="28"/>
          <w:szCs w:val="28"/>
          <w:rtl w:val="true"/>
          <w:lang w:bidi="ar-SA"/>
        </w:rPr>
        <w:t>بمرحلة الجعل، وما يستتبعه من التحريك نحو الإمتثال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يمكن القول بأنه هل يجري في موارد الجهل بأحد الحكمين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أنّ هذا المحذور غير جارٍ في موارد الجهل بأحد الحكمين المتزاحمين وعدم تنجزه؛ إما لأنّ الحكم من الإعتباريات وهو يشمل موارد العجز، غاية الأمر أنّ العقل لا يحكم بالطاعة فيها فلا محذور من تعقّل الأمر بالضدين مطلقاً مع حكم العقل بعدم لزوم الطاعة لأكثر من واحد منهما، فإذا كان التكليف الأهم غير منجز حكَمَ العقل بتنجز التكليف المهم ولزوم امتثاله فلا إشكال 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القول بأنّ التكاليف تختص بموارد القدرة على الإمتثال وعدم ثبوتها في موارد العجز لقبح تكليف العاجز، لكونه إحراجاً له على العصيانفالأمر واضح أيضاً؛ لأنَّه مع عدم تنجّز أحد التكليفين فلا يلزم أي إحراج من إطلاق الآخر للمكلف على العصيان</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قلنا بأنّ التكليف إنَّما هو بداعي البعث والتحريك فلا يشمل إلا موارد إمكان الإنبعاث خارجاً، والضدان لا يمكن الإنبعاث إليهما فلا بُدَّ من تقييد إطلاق أحد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أنه ليس المقصود من داعي البعث هو البعث الفعلي، وإلا لزم عدم تكليف الجاهل أو اختصاص التكليف بما إذا كان مطيعاً ومنقاداً، بل يكون المراد الإنبعاث الإقتضائي حيث لا مانع عقلاً وشرعاً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يعقل ثبوته في كلا الضدين في موارد عدم تنجز أحدهما؛ إذ لا يلزم من إطلاق الأمر في كل منهما مشروطاً بعدم تنجز الآخر أي محذور في الداعويتين لا ذاتاً ولا عرضاً، وعلى هذا فلا موجب لرفع اليد عن إطلاق الخطاب الواصل في فرض عدم تنجز الخطاب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هنا يتجه القول لتصحيح الضدّ العبادي عند القائلين باستحالة الترتب فيما إذا كان التكليف الأهم مجهولاً، بينما يحكم بالبطلان في موارد الإجتماع بناءً على الإمتناع ولو كانت الحرمة مجهولة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جميع ذلك يظهر وجه النقاش فيما ذكره المحقق النائيني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ذكره في التزاحم الحقيقي بين الخطابين الذي يكون خارجاً عن باب التعارض، وأما تطبيق ذلك في الأحكام الفقهية فإنّ موارده في الفقه كثيرة فراجع وتأمل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هناك قسماً آخر من التزاحم يكون من باب التعارض قد اصطلح عليه المحقق الخراساني قدس سره </w:t>
      </w:r>
      <w:r>
        <w:rPr>
          <w:rStyle w:val="FootnoteAnchor"/>
          <w:rtl w:val="true"/>
        </w:rPr>
        <w:footnoteReference w:id="209"/>
      </w:r>
      <w:r>
        <w:rPr>
          <w:rFonts w:ascii="Amiri" w:hAnsi="Amiri" w:eastAsia="Amiri" w:cs="Amiri"/>
          <w:color w:val="111111"/>
          <w:sz w:val="28"/>
          <w:sz w:val="28"/>
          <w:szCs w:val="28"/>
          <w:rtl w:val="true"/>
          <w:lang w:bidi="ar-SA"/>
        </w:rPr>
        <w:t>بالتزاحم بين مقتضيات الأحكام وملاكاتها في مقام التأثير ولا بأس بالإشارة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التزاحم الملاكي؛ وقد عرفه جمع من الأصوليين بأنه التنافي بين مقتضيات الأحكام وملاكاتها في مقام التأثير؛ فإنّ الأحكام والقوانين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 هو 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تابعة للمصالح والمفاسد قوةً وضعفاً، فهي قد تتزاحم في نظر المشرِّع للأحكام والمقنِّن للقوانين فيكون الحكم والقانون تابعاً للأرجح منها عنده، ويكون مانعاً عن حكمه على طبق المرجوح منهما، ومع التساوي عنده يتساقط الحكمان ويخير المشرع بين مقتضييهما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التزاحم الملاكي إنَّما يتحقق في الموارد التي لا يمكن فيها فعلية الحكمين معاً ولو بنحو الترتب كموارد اجتماع الأمر والنهي بناءً على الإمتناع، ونذكر موردين من تلك الموارد</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التضاد بين الواجبين بحيث يكون ترك أحدهما مساوقاً مع فعل الآخر بحيث لا يمكن الأمر الترتبي فيها كما تقدم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التضاد الدائمي بين الخطابين بناءً على مسلك المشهور من وقوع التعارض فيها بين أصل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هذين الموردين وغيرهما إذا أحرز الملاك في الحكمين فسيقع التزاحم الملاكي بينهما بالكيفية التي ذكرناها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توضيح الفرق بين التزاحم الحقيقي والتزاحم الملاكي من وجوه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التزاحم الحقيقي الإصطلاحي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من تعريفه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التنافي بين الحكمين في مقام العمل ومرحلة الإمتثال دون الملاك ولذا قد يكون بين فردين من واجب واحد، بخلاف التزاحم الملاكي فإنَّه يكون في عالم التشريع ومرحلة التكوين للحكم والجعل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تكن أي منافاة بين الحكمين المتزاحمين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التزاحم الحقيقي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عالم الجعل، بل كل منهما ثابت على موضوعه المقدّر الوجود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القادر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محذور، وإنما التنافي يكون في مرحلة امتثالهما بحيث يكون امتثال أحدهما رافعاً لموضوع الآخر فلا يكون فعلياً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التزاحم الملاكي فإنّ التنافي يكون بين الجعلين؛ إما من جهة وحدة موضوعهما المستلزم لاجتماع الضدين، وإما من جهة كون عصيان أحدهما مساوقاً مع حصول متعلق الآخر المستلزم لطلب الحاصل؛ وكلاهما مستحيل، فيبقى محذور استحالة اجتماع الحكمين المتضادين أو استحالة طلب الحاصل على كل حالة حتى على فرض اشتراط أحدهما بعصيان الآخر بخلاف التزاحم الحقيقي الذي يرتفع المحذور بهذا الشرط كما عرفت</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بناءً على ما تقدم يكون التكاذب في التزاحم الملاكي بين الدليلين؛ لأنّ الدليل يدل على الجعل للحكم، والحال أنّ المجعول هو واحد والوظيفة فيه هو الرجوع لما </w:t>
      </w:r>
    </w:p>
    <w:p>
      <w:pPr>
        <w:pStyle w:val="BookText"/>
        <w:rPr/>
      </w:pPr>
      <w:r>
        <w:rPr>
          <w:rFonts w:ascii="Amiri" w:hAnsi="Amiri" w:eastAsia="Amiri" w:cs="Amiri"/>
          <w:color w:val="111111"/>
          <w:sz w:val="28"/>
          <w:sz w:val="28"/>
          <w:szCs w:val="28"/>
          <w:rtl w:val="true"/>
          <w:lang w:bidi="ar-SA"/>
        </w:rPr>
        <w:t>يقرره المولى من جعل الحكم بيده لا بيد غيره، وهذا بخلاف التزاحم الحقيقي فإنَّه ليس فيه تعارض بين الدليلين المتكفلين لهما، لأنّ الدليل مفاده الجعل لا فعلية المجعول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تقدم؛ لا حاجة في موارد التزاحم الحقيقي إلى بذل عناية من المولى في ترجيح أحد الحكمين على الآخر أو التخيير بينهما؛ لأنَّه ليس من وظيفة المولى تحديد موضوع الجعل، وما هو المرتفع والثابت منه، والعقل هو الذي يشخص ذلك، بخلاف التزاحم الملاكي فإنَّه لا بُدَّ للمولى من تعيين الوظيفة إذا أُريد ترجيح أحد الحكمين على الآخر لأنّ جعل الحكم بيده من وظيفته تحديده إطلاقاً أو تقييداً، وليس للعقل شأن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معرفة هذه الفروق يقع الكلام في المقام من جهات</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الجهة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التزاحم الملاكي إنَّما يمكن قبوله بناءً على ما هو معروف من تبعية الأحكام الإلهية للمصالح والمفاسد، بل قيل إنه مذهب العدلية وعليه يدور وضع القوانين الوضعية أيضاً، فلا يكون مشرِّعاً إلا أن تكون أحكامه تابعةللمصالح والمفاسد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ولكن بناء على ما هو الأصح من أن تصحيح الجعل والتشريع في الأحكام الإلهية إنما يكون من أجل تصحيح طاعة العباد لربهم وتحديد رسم العبودية لخالقهم بعد حكم العقل بأصل الطاعة، ويدل عليه بعض النصوص؛ ففي وصية الإمام الكاظم علیه السلام المعروفة لهشام؛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هِشَامُ؛ نَصْبُ الْحَقِّ لِطَاعَةِ الله‌</w:t>
      </w:r>
      <w:r>
        <w:rPr>
          <w:rStyle w:val="FootnoteAnchor"/>
          <w:rtl w:val="true"/>
        </w:rPr>
        <w:footnoteReference w:id="2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نَجَاةَ إِلَّا بِالطَّاعَةِ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والطَّاعَةُ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 بِالتَّعَلُّمِ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والتَّعَلُّمُ بِالْعَقْل</w:t>
      </w:r>
      <w:r>
        <w:rPr>
          <w:rFonts w:eastAsia="Amiri" w:cs="Amiri" w:ascii="Amiri" w:hAnsi="Amiri"/>
          <w:color w:val="111111"/>
          <w:sz w:val="28"/>
          <w:szCs w:val="28"/>
          <w:rtl w:val="true"/>
          <w:lang w:bidi="ar-SA"/>
        </w:rPr>
        <w:t>)</w:t>
      </w:r>
      <w:r>
        <w:rPr>
          <w:rStyle w:val="FootnoteAnchor"/>
          <w:rtl w:val="true"/>
        </w:rPr>
        <w:footnoteReference w:id="2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وغيرها من النصوص التي تدل على أنّ غاية </w:t>
      </w:r>
    </w:p>
    <w:p>
      <w:pPr>
        <w:pStyle w:val="BookText"/>
        <w:rPr/>
      </w:pPr>
      <w:r>
        <w:rPr>
          <w:rFonts w:ascii="Amiri" w:hAnsi="Amiri" w:eastAsia="Amiri" w:cs="Amiri"/>
          <w:color w:val="111111"/>
          <w:sz w:val="28"/>
          <w:sz w:val="28"/>
          <w:szCs w:val="28"/>
          <w:rtl w:val="true"/>
          <w:lang w:bidi="ar-SA"/>
        </w:rPr>
        <w:t>التشريع هي تحديد مسار عبودية العباد وتصحيح الطاعة ورقيّ العبد في مدارج الكمال والوصول إلى درجات القرب إلى المعبود الحق، وأما سائر التشريعات الوضعية فإنّ النظر المادي هو المحكّم فيها؛ فقد جعلوا المصالح والمفاسد محطّ نظرهم في وضع القوانين وتشريعاتهم، ولا يصحّ قياس التشريع الإلهي الذي هو أسمى من كل تشريع من كل الجهات؛ على تلك التشريعات المادية التي هي محدودة بالحدود الإمكانية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والبحث في ذلك نفيس، وبناءً على هذه النظرية الرصينة فلا تزاحم بين ملاكات الأحكام الشرعية إلا التزاحم الإصطلاحي الذي يكون في مقام الإمتثال والعمل، ولا تكاذب فيه بين الدليلين، ولا يتوقف هذا التزاحم على إحراز الملاك لكل واحد من الحكمين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ويضاف إلى ذلك إنه على فرض قبول أنّ التزاحم الملاكي إنَّما هو من شؤون المشرِّع والمقنِّن فهو الذي شرع الحكم على طبق الملاكات؛ فإذا تعارضت وتزاحمت فهو الذي يختار الأهم منها، وإلا فله الخيار، وليس للمكلفين دخل في هذا الأمر أبداً فإنّ المراد بالبحث في التزاحم الملاكي هو تعيين وظيفة المشرِّع والمقنِّن، فليس ذلك من شؤون علم الأصول ولا يرتبط به، بل لذلك قواعد وضوابط يعرفها المشرِّع والمقنِّن ولا يمكن تخطّيها فإنَّه لا بُدَّ من ملاحظتها بما يرجع إلى صلاح الفرد أو الأمة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لنا أنّ ما ذكروه في المقام قابل للمناقشة وأنه خارج عن بحوث علم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 اكتشاف الملاكين في مورد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لذلك طرقاً، وهي</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يقوم دليل من الخارج على وجود الملاك في كل واحد من الحكمين في مورده ولو في بعض الحالات؛ كما يستكشف وجود ملاك وجوب الجهر ووجوب الإخفات عند الجهل أو النسيان، ووجوب القصر والتمام عندهما لإجزاء أحدهما </w:t>
      </w:r>
    </w:p>
    <w:p>
      <w:pPr>
        <w:pStyle w:val="BookText"/>
        <w:rPr/>
      </w:pPr>
      <w:r>
        <w:rPr>
          <w:rFonts w:ascii="Amiri" w:hAnsi="Amiri" w:eastAsia="Amiri" w:cs="Amiri"/>
          <w:color w:val="111111"/>
          <w:sz w:val="28"/>
          <w:sz w:val="28"/>
          <w:szCs w:val="28"/>
          <w:rtl w:val="true"/>
          <w:lang w:bidi="ar-SA"/>
        </w:rPr>
        <w:t>عن الآخر، وكما ورد أنّ الصلاة لا تترك بحال؛ فإنَّه يستفاد منه أنّ ملاك وجوبها مقدَّم على كل حال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الإلتزامية؛ فإنّ الدليل كما يدلّ بالدلالة المطابقية على الحكم الشرعي كالوجوب وغيره فهو يدل أيضاً بالدلالة الإلتزامية العقلية على تحقق الملاك تبعاً لنظرية تبعية الأحكام للمصالح والمفاسد؛ فإذا تعارض الدليلان فإنهما يتساقطان في الدلالة المطابقية، ولكن تبقى دلالتهما الإلتزامية على حالها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أصل هذه النظرية موضع نقاش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المطابقية إذا سقطت فلا بُدَّ أن تسقط الدلالة الإلتزامية لأنّ ثبوتها وبقائها إنَّما يكون بأحد طرق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 الخطاب؛ والمفروض سقوطه، وإما دليل خارجي؛ والمفروض عدمه، وإما الإستصحاب؛ وهو غير جارٍ لاحتمال كون الملاك ما دام مقيداً بوجود الخطاب لا يكون مطلقاً ودائمياً حتى مع سقوط الخطاب</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يشك في أصل موضوع الإستصحاب فلا يجري، والقولُ بأنّ التعارض إنَّما أزال الدلالة المطابقية في الحجية، والدلالة الإلتزامية إنَّما تتبع الدلالة المطابقية في الوجود لا في الحجية؛ فاسدٌ، وهو أول الكلام ويحتاج إلى دليل، وقد عرفت عدم إمكان إثبات الدلالة الإلتزامية التي هي تابعة للدلالة المطابقية وجوداً وحجةً لأنّ أدلة الحجية إنَّما شملتها بواسطة الدلالة المطابقية؛ فإذا خرجت عن الحجية سقطت الدلالة الإلتزامية عنها إلا إذا حكم العرف بثبوتها فيتبع ذلك المورد فقط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لإثبات الملاك في موارد العجز الدال على كون القدرة عقلية في الخطاب، وقد ذكر ذلك المحقق النائيني قدس سره </w:t>
      </w:r>
      <w:r>
        <w:rPr>
          <w:rStyle w:val="FootnoteAnchor"/>
          <w:rtl w:val="true"/>
        </w:rPr>
        <w:footnoteReference w:id="212"/>
      </w:r>
      <w:r>
        <w:rPr>
          <w:rFonts w:ascii="Amiri" w:hAnsi="Amiri" w:eastAsia="Amiri" w:cs="Amiri"/>
          <w:color w:val="111111"/>
          <w:sz w:val="28"/>
          <w:sz w:val="28"/>
          <w:szCs w:val="28"/>
          <w:rtl w:val="true"/>
          <w:lang w:bidi="ar-SA"/>
        </w:rPr>
        <w:t>وذهب إلى أنّ للمادة محمولين عرضيين؛ أحدهما الحكم، والآخر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لا يعقل ثبوته في موارد اجتماع الأمر والنهي والحكمين المتضادين إنَّما هو إطلاق المادة بلحاظ المحمول الأول دون المحمول الثاني فلا موجب لرفع اليد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فيما سبق عدم تمامية ذلك فراجع، وهو يرجع إلى السابق وقد عرفت فساده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بإطلاق المادة بوجه آخر لإثبات المصلحة المقتضية، كما ذكره المحقق الإصفهاني قدس سره </w:t>
      </w:r>
      <w:r>
        <w:rPr>
          <w:rStyle w:val="FootnoteAnchor"/>
          <w:rtl w:val="true"/>
        </w:rPr>
        <w:footnoteReference w:id="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إذا كان في مقام بيان الحكم الحقيقي الفعلي فإنَّه يكون في مقام بيان تمام موضوع حكمه، والمفروض</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تقييد حكمه لفظاً بعدم الإتحاد مع الغصب في مورد الإجتماع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تقييده من حيث أنه موضوع الحكم الفعلي بعدم الإتحاد مع الحكم المضاد عقلاً لا يوجب تقييد المادة مولوياً، فتمام موضوع الحكم هو نفس طبيعة الصلاة المطلقة، وإن لم يكن لها حكم عقلاً إذا اتحدت مع الحكم المضاد أو لمانع آخر مثل الجهل أو النسيان، فتكون المصلحة قائمة بذات الصلاة المطلقة في جميع الأحوال، ولا يمكن الإعتماد في تقييد الموضوع على القرينة العقلية البرهانية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وبهذه الطريقة يمكن إحراز الملاك في موارد التزاحم الملاكي بين إطلاق الخطابين لا أصلهما في موارد اجتماع الأمر والنهي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الملاكات على فرض القبول إنَّما يمكن إثباتها بتعلق الخطاب بموضوعاتها، وبعد زوال الحكم لا يمكن إثبات الملاك بطريق آخر، فلا ريب في زوال الملاكات بزوال الأحكام، والتفصيل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الثمرة في معرفة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الإحاطة بما ذكرناه يتضح أنه لا ثمرة في معرفة الملاك لأنّ الثمرة؛ إن كانت في أصل تشريع الحكم فقد عرفت أنه تابع لنظرية تبعية الأحكام للأغراض والمصالح وقد تقدم عدم صحتها، مع أنه من شؤون المشرِّع والمقنِّن، وليس للمكلفين فيه دخل إذ ليس للعبد فائدة في معرفة الملاك أو معرفة الراجح منه؛ لا سيما أنّ الأمر عند العبد يعود إلى التعارض في الأدلة فيؤخذ بالأقوى دلالة وإن كان أرجح ملاكاً، كما يؤخذ بالأقوى سنداً، وإن كان أضعف ملاكاً والعبد إنَّما يعمل ما يقرره المولى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الثمرة ترجع إلى العبد عند سقوط الخطاب وزوال الأمر في مورد العبادات وجواز إتيانها بداعي الملاك كما عن بعض المحققين من الفقهاء والأصوليين</w:t>
      </w:r>
      <w:r>
        <w:rPr>
          <w:rStyle w:val="FootnoteAnchor"/>
          <w:rtl w:val="true"/>
        </w:rPr>
        <w:footnoteReference w:id="214"/>
      </w:r>
      <w:r>
        <w:rPr>
          <w:rFonts w:ascii="Amiri" w:hAnsi="Amiri" w:eastAsia="Amiri" w:cs="Amiri"/>
          <w:color w:val="111111"/>
          <w:sz w:val="28"/>
          <w:sz w:val="28"/>
          <w:szCs w:val="28"/>
          <w:rtl w:val="true"/>
          <w:lang w:bidi="ar-SA"/>
        </w:rPr>
        <w:t>حيث ذهبوا إلى تصحيح العبادة بقصد ملاكها ومصلحتها وإن سقط الخطاب وزال الأمر؛ إما لابتلاءه بالضد كالصلاة إذا زاحمها إحياء النفس، وإما من أجل اجتماعه مع النهي كالصلاة في الدار المغصوبة وتقديم جانب النهي عند النسيان أو الجهل بالحكم عن قصور، وإما عند الإضطرار لمخالفته النهي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هذه الموارد قالوا بأنّ الأمر الصلاتي وإن زال ولكن يمكن إتيان الصلاة بداعي الملاك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طريق لاكتشاف الملاك بعد سقوط الخطاب، فلا يمكن التقرّب بالعبادة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كفاية قصد الملاك في صحة الطاعة وتحقق العبادة والتقرب إليه تعالى ما لم يكن في ذاته عبادة، فإنّ المصلحة والملاك فيه لم تكن عائدة إلى الله تعالى، فلا يوجب قصد الملاك التقرب والعبودبة 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خرج عن ذلك فيما إذا كانت المصلحة والملاك عائدة إلى الله تعالى لأنّ العمل بذاته عبادة كالسجود، فحقيقته الخضوع لله تعالى فلا حاجة إلى قصد الملاك حينئذٍ إلا أن يكون مانعاً من التقرب به إليه عَزَّ وَجَلَّ كالرياء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فرض التنزّل وقبول ذلك، ولكن ليس كل مقرّب يكون محصّلاً للغرض فلعلّ المحصّل له هو التقرّب بأمره تعالى دون التقرّب بمصلحته ومناطه، إلا أن يقال بأنّ مع فرض الشك يكون مقتضى الأصل هو الإشتغال كما ذهب إليه بعض المحققين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 مردود بأنّ الأصل يقتضي عدم اعتبار قصد الملاك بعد الشك في أصل وجوده أو الشك في مقربيته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يتوهم بأن ذلك ينافي ما عليه المشهور من صحة عبادة الجاهل بالغصب موضوعاً، بل حكماً إن كان قاصراً مع ذهابهم إلى امتناع اجتماع الأمر والنهي، وليس ذلك إلا من أجل إحراز بقاء الملاك وكفاية قصده في صحة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الجواب عنه من وجوه</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توجيه فتوى المشهور بصحة الصلاة عند الجهل بالغصب بناءً على ذهابهم إلى إجزاء الأمر الظاهري عن الواقعي؛ وهو وإن كان على خلاف القاعدة إلا أنه لا مانع منه مع قيام الدليل عليه، وهو دل على صحة الصلاة في الساتر المباح ظاهراً؛ مثل ما جاء عَنْ أَمِيرِ الْمُؤْمِنِينَ علیه السلام فِي وَصِيَّتِهِ لِكُمَيْلٍ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كُمَيْلُ؛ أنْظُرْ فِي مَا تُصَلِّي وعَلَى مَا تُصَلِّي؛ إِنْ لَمْ يَكُنْ مِنْ وَجْهِهِ وحِلِّهِ فَلَا قَبُولَ</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فإن ظاهره أنّ مجرد كون ما يصلي فيه حلّ كافٍ في الصحة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التمسك بعموم حديث أو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جريانها في مثل المورد حتى لو قلنا بعدم ثبوت الأمر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المنافاة الحاصلة بين الأمر والنهي تكون في مورد وجودهما ولو من جهة الإطلاق، ومن المعلوم أنه لا نهي في مرتبة الجهل بالحكم؛ إذ لا إطلاق له بالنسبة إلى المرتبة المتأخرة عن مرتبة الجعل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مرتبة العلم بالحكم والجهل به متأخرة عن مرتبة الجعل لأنّ موضوعهما الحكم فلو لم يكمل الحكم لم يتعلقا به؛ بلا فرق بين الجهل بالحكم والجهل بالموضوع وإن كان مورد فتوى المشهور هو الثاني، لأنّ الجاهل بالغصب أيضاً يرجع إلى جهله بالحكم الناشيء من الجهل بموضوعه، فلا يمكن أن يدخل الجاهل مطلقاً تحت إطلاق النهي عن الغصب فيبقى إطلاق الأمر بالنسبة إليه سليماً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عمدة الوجه في بطلان العبادة في المقام يرجع إلى عدم إمكان التقرب بالمبغوض، ومع الجهل بالحرمة يتأتى منه قصد القربة إلا أن يقال بأنّ المبغوضية الواقعية كافية في البطلان ولو لم يعلم بها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مردود بأنّ المبغوضية الواقعية مع العذر في ارتكابها لا تؤثر في البطلان إذا تحقق منه قصد القربة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والتفصيل مذكور في الفقه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التزاحم الملاكي</w:t>
      </w:r>
    </w:p>
    <w:p>
      <w:pPr>
        <w:pStyle w:val="BookText"/>
        <w:rPr/>
      </w:pPr>
      <w:r>
        <w:rPr>
          <w:rFonts w:ascii="Amiri" w:hAnsi="Amiri" w:eastAsia="Amiri" w:cs="Amiri"/>
          <w:color w:val="111111"/>
          <w:sz w:val="28"/>
          <w:sz w:val="28"/>
          <w:szCs w:val="28"/>
          <w:rtl w:val="true"/>
          <w:lang w:bidi="ar-SA"/>
        </w:rPr>
        <w:t xml:space="preserve">إختلف الأصوليون في هذه الأحكام؛ فذهب المحقق النائيني قدس سره </w:t>
      </w:r>
      <w:r>
        <w:rPr>
          <w:rStyle w:val="FootnoteAnchor"/>
          <w:rtl w:val="true"/>
        </w:rPr>
        <w:footnoteReference w:id="216"/>
      </w:r>
      <w:r>
        <w:rPr>
          <w:rFonts w:ascii="Amiri" w:hAnsi="Amiri" w:eastAsia="Amiri" w:cs="Amiri"/>
          <w:color w:val="111111"/>
          <w:sz w:val="28"/>
          <w:sz w:val="28"/>
          <w:szCs w:val="28"/>
          <w:rtl w:val="true"/>
          <w:lang w:bidi="ar-SA"/>
        </w:rPr>
        <w:t>إلى إلحاق التزاحم الملاكي بباب التعارض بين الدليلين، فلا بُدَّ من تطبيق قواعد التعارض عليها ولم تلاحظ مرجحات التزاحم الحقيقي ومدى تأثيرها عليه</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آخرون إلى التفصيل بين المرجّحات في باب التزاحم الحقيقي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إنَّه بعد ما عرفت من عدم قبول التزاحم الملاكي من أساسه فلا تصل النوبة إلى المرجّحات في باب التزاحم الحقيقي أو مرجحات باب التعارض، إذ بعد سقوط الخطاب لا يمكن إتيان العمل العبادي بداعي الملاك إلا إذا دلّ دليل خاص عليه فلا بُدَّ من ملاحظة دلالته، فقد يستفاد منها أهمية حكم على آخر فعند التزاحم الملاكي يثبت الأهم بدليل 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بعض بدخول التزاحم الحكمي في باب التعارض لأنَّه يرجع إلى التعارض بين إطلاق الخطابين فيندرج تحت قواعده من الترجيح بحسب الدلالة أو السند أو التساقط عند فقد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تمامية ذلك؛ أما المرجّحات الدلالية وإن كان انطباقها بحسب الظاهر في مورد التزاحم الملاكي ولكن الكلام في أنّ مجرد أقوائية أحد الخطابين ملاكاً من الآخر هل يكون موجباً لترجيح دلالي جديد فيجمع على أساسه بين الخطابين أم لا يكون كذلك، ذهب صاحب الكفاية قدس سره إلى الأول؛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ملاحظة مرجحات باب المعارضة لو لم يوفق بينهما بحمل أحدهما على الحكم الإقتضائي بملاحظة مرجحات باب المزاحمة</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إذا كان أحد الخطابين أقوى ملاكاً فإنه يقتضي عرفاً حمل الخطاب الأضعف ملاكاً على الحكم الإقتضائي إذ لا يحتمل العكس، فيكون من حمل الظاهر على النص</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أحرز بالعلم وجود الملاك الأقوى في مورد التعارض ففي هذه الحالة يعلم بسقوط الخطاب الأضعف ملاكاً عن الحجية فترتفع المعارضة من البين، وأما إذا لم يحرز الملاك بالعلم الوجداني، بل أحرز بنفس الخطاب فإنَّه وإنلم يعلم بسقوط أحدهما إلا أنَّ هذا الجمع مِمّا لا يساعد عليه العرف؛ إذ لا معنى لثبوت الحكم الإقتضائي لأنَّه خلاف ظاهر الدليل</w:t>
      </w:r>
      <w:r>
        <w:rPr>
          <w:rFonts w:eastAsia="Amiri" w:cs="Amiri" w:ascii="Amiri" w:hAnsi="Amiri"/>
          <w:color w:val="111111"/>
          <w:sz w:val="28"/>
          <w:szCs w:val="28"/>
          <w:rtl w:val="true"/>
          <w:lang w:bidi="ar-SA"/>
        </w:rPr>
        <w:t xml:space="preserve">. </w:t>
      </w:r>
      <w:bookmarkStart w:id="257" w:name="pg15367_181090"/>
    </w:p>
    <w:p>
      <w:pPr>
        <w:pStyle w:val="BookText"/>
        <w:rPr/>
      </w:pPr>
      <w:bookmarkEnd w:id="257"/>
      <w:r>
        <w:rPr>
          <w:rFonts w:ascii="Amiri" w:hAnsi="Amiri" w:eastAsia="Amiri" w:cs="Amiri"/>
          <w:color w:val="111111"/>
          <w:sz w:val="28"/>
          <w:sz w:val="28"/>
          <w:szCs w:val="28"/>
          <w:rtl w:val="true"/>
          <w:lang w:bidi="ar-SA"/>
        </w:rPr>
        <w:t>مع أنّ الجمع بين الدليلين المتعارضين يرجع إلى القرينية أو الأظهرية؛ وكلاهما يختصان بمرحلة الدلالة، وليس التزاحم الحكمي مِمّا يرجع إلى دلالة الدليل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المرجّحات السندية المستفادة من الأخبار العلاجية فلا إشكال في عدم انطباقها في موارد التزاحم الملاكي لأنَّه مضافاً إلى أنّ دوره يكون بعد سقوط الخطاب بالمعارضة؛ إنّ المرجّحات السندية تختص بموارد سريان التعارض إلى السند كما سيأتي بيانه، وفي مورد التعارض الحكمي يكون بين إطلاق الخطابين كما عرفت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تساقط الدليلين في موارد التزاحم الملاكي عند فقد المرجّحات الدلالية والسندية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هو المتعين بعد عدم إمكان الرجوع إلى المرجّحات الدلالية والسندية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الأصول العملية بلا فرق بين التساقط الجزئي، وذلك في مورد سقوط كل من الدليلين في إثبات مفاده تعييناً مع بقائهما على الحجية في نفي الثالث، أو التساقط المطلق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والتفصيل يطلب في الفقه حيث تختلف المسائل من حيث الرجوع إلى الأصول العملية والقواعد الفقهية</w:t>
      </w:r>
      <w:r>
        <w:rPr>
          <w:rFonts w:eastAsia="Amiri" w:cs="Amiri" w:ascii="Amiri" w:hAnsi="Amiri"/>
          <w:color w:val="111111"/>
          <w:sz w:val="28"/>
          <w:szCs w:val="28"/>
          <w:rtl w:val="true"/>
          <w:lang w:bidi="ar-SA"/>
        </w:rPr>
        <w:t>.</w:t>
      </w:r>
    </w:p>
    <w:p>
      <w:pPr>
        <w:pStyle w:val="Heading6"/>
        <w:numPr>
          <w:ilvl w:val="5"/>
          <w:numId w:val="1"/>
        </w:numPr>
        <w:rPr/>
      </w:pPr>
      <w:bookmarkStart w:id="258" w:name="__RefHeading___Toc5900662_2142443653"/>
      <w:bookmarkStart w:id="259" w:name="_Toc96"/>
      <w:bookmarkEnd w:id="258"/>
      <w:r>
        <w:rPr>
          <w:rtl w:val="true"/>
        </w:rPr>
        <w:t>التنبيه الرابع</w:t>
      </w:r>
      <w:r>
        <w:rPr>
          <w:rtl w:val="true"/>
        </w:rPr>
        <w:t xml:space="preserve">: </w:t>
      </w:r>
      <w:r>
        <w:rPr>
          <w:rtl w:val="true"/>
        </w:rPr>
        <w:t>في التزاحم بين المستحبات</w:t>
      </w:r>
      <w:bookmarkEnd w:id="259"/>
    </w:p>
    <w:p>
      <w:pPr>
        <w:pStyle w:val="BookText"/>
        <w:rPr/>
      </w:pPr>
      <w:r>
        <w:rPr>
          <w:rFonts w:ascii="Amiri" w:hAnsi="Amiri" w:eastAsia="Amiri" w:cs="Amiri"/>
          <w:color w:val="111111"/>
          <w:sz w:val="28"/>
          <w:sz w:val="28"/>
          <w:szCs w:val="28"/>
          <w:rtl w:val="true"/>
          <w:lang w:bidi="ar-SA"/>
        </w:rPr>
        <w:t>قد يبدو لأول وهلة اختصاص التزاحم وأحكامه بالواجبات وعدم جريانه في المستحبات وخطاباتها؛ بدعوى أنّ الأوامر الإستحبابية لا يلزم من إطلاق أدلتها لحال التزاحم بين متعلقاتها محذور التكليف بغير المقدور؛ لجواز ترك المستحب على كل حال، فلا تعارض بين إطلاقاتها حتى تصل النوبة إلى رفع التنافي فيما بينها بمخصّص لبّي أو نحوه كما هو الحال في الواجبات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صحيح إن كان الوجه في منع شمول الأمر للضدين هو استلزمه الإحراج للمكلف بإيقاعه في العصيان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هذا المحذور يختص بالأوامر الوجوبية التي يتحقق العصيان </w:t>
      </w:r>
    </w:p>
    <w:p>
      <w:pPr>
        <w:pStyle w:val="BookText"/>
        <w:rPr/>
      </w:pPr>
      <w:r>
        <w:rPr>
          <w:rFonts w:ascii="Amiri" w:hAnsi="Amiri" w:eastAsia="Amiri" w:cs="Amiri"/>
          <w:color w:val="111111"/>
          <w:sz w:val="28"/>
          <w:sz w:val="28"/>
          <w:szCs w:val="28"/>
          <w:rtl w:val="true"/>
          <w:lang w:bidi="ar-SA"/>
        </w:rPr>
        <w:t>بمخالفتها، وهو غير موجود في الأوامر الإستحبابية لعدم تحقق العصيان بمخالفتها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الوجه في منع شمول الأمر للضدين هو استلزامه طلب الجمع بين الضدين كما هو زعم من قال باستحالة الترتب، أو كان الوجه في ظهور الخطابات في داعي الباعثية والمحركية فلا تشمل موارد عدم إمكان التحرك والإنبعاث، فلا بُدَّ حينئذٍ من تقييدها لبّاً بحال عند الإشتغال بضدٍّ واجب مساوٍ أو أهم؛ فإنَّه بناءً على هذين الوجهين لا يفرّق فيهما بين الأوامر الوجوبيةوالإستحبابية؛ إذ أنّ كلا الوجهين متحققان في الأوامر الإستحبابية ولا تفترق عن الأوامر الوجوبية إلا في شدة الطلب وضعفه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القول بأنّ العرف لا يرى التضادّ في الأوامر الإستحبابية لأنّ العنصر الذي يوجب الفرق بينها وبين الأوامر الوجوبية هو الترخيص في الترك، وهو يكفي في دفع التزاحم في الأوامر الإستحبابية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 من وجوه المنع من شمول الأمر بالضدين إنَّما يختص في نظر العرف بما إذا كان الأمر واجباً ليس فيه ترخيص في الترك</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ذلك يثبت التخيير في الأوامر الإستحبابية المتزاحمة إلا ما دل الدليل على أهمية أحدهما من جهة كثرة الثواب أو تعظيم شأنه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استحباب الصوم يوم عرفة إلا إذا كان يضعفه عن الدعاء</w:t>
      </w:r>
      <w:r>
        <w:rPr>
          <w:rFonts w:eastAsia="Amiri" w:cs="Amiri" w:ascii="Amiri" w:hAnsi="Amiri"/>
          <w:color w:val="111111"/>
          <w:sz w:val="28"/>
          <w:szCs w:val="28"/>
          <w:rtl w:val="true"/>
          <w:lang w:bidi="ar-SA"/>
        </w:rPr>
        <w:t xml:space="preserve">. </w:t>
      </w:r>
      <w:bookmarkStart w:id="260" w:name="pg15367_181094"/>
    </w:p>
    <w:p>
      <w:pPr>
        <w:pStyle w:val="Heading4"/>
        <w:numPr>
          <w:ilvl w:val="3"/>
          <w:numId w:val="1"/>
        </w:numPr>
        <w:rPr/>
      </w:pPr>
      <w:bookmarkStart w:id="261" w:name="__RefHeading___Toc5900664_2142443653"/>
      <w:bookmarkStart w:id="262" w:name="_Toc97"/>
      <w:bookmarkEnd w:id="260"/>
      <w:bookmarkEnd w:id="261"/>
      <w:r>
        <w:rPr>
          <w:rtl w:val="true"/>
        </w:rPr>
        <w:t>البحث الخامس</w:t>
      </w:r>
      <w:r>
        <w:rPr>
          <w:rtl w:val="true"/>
        </w:rPr>
        <w:t xml:space="preserve">: </w:t>
      </w:r>
      <w:r>
        <w:rPr>
          <w:rtl w:val="true"/>
        </w:rPr>
        <w:t>القرينة</w:t>
      </w:r>
      <w:bookmarkEnd w:id="262"/>
    </w:p>
    <w:p>
      <w:pPr>
        <w:pStyle w:val="Heading5"/>
        <w:numPr>
          <w:ilvl w:val="4"/>
          <w:numId w:val="1"/>
        </w:numPr>
        <w:rPr/>
      </w:pPr>
      <w:bookmarkStart w:id="263" w:name="__RefHeading___Toc5900666_2142443653"/>
      <w:bookmarkStart w:id="264" w:name="_Toc98"/>
      <w:bookmarkEnd w:id="263"/>
      <w:r>
        <w:rPr>
          <w:rtl w:val="true"/>
        </w:rPr>
        <w:t>اشارة</w:t>
      </w:r>
      <w:bookmarkEnd w:id="264"/>
    </w:p>
    <w:p>
      <w:pPr>
        <w:pStyle w:val="BookText"/>
        <w:rPr/>
      </w:pPr>
      <w:r>
        <w:rPr>
          <w:rFonts w:ascii="Amiri" w:hAnsi="Amiri" w:eastAsia="Amiri" w:cs="Amiri"/>
          <w:color w:val="111111"/>
          <w:sz w:val="28"/>
          <w:sz w:val="28"/>
          <w:szCs w:val="28"/>
          <w:rtl w:val="true"/>
          <w:lang w:bidi="ar-SA"/>
        </w:rPr>
        <w:t>عرفت المراد من الورود والحكومة من تعريفها، وربما تعتمد الحكومة على القرينة التي هي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القرينة الشخصية، والقرينة النوعية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صغريات الأولى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صغريات الثانية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البحث ينعقد لبيان القرينة بأنواعها وتمام الكلام يقع ضمن أمور</w:t>
      </w:r>
      <w:r>
        <w:rPr>
          <w:rFonts w:eastAsia="Amiri" w:cs="Amiri" w:ascii="Amiri" w:hAnsi="Amiri"/>
          <w:color w:val="111111"/>
          <w:sz w:val="28"/>
          <w:szCs w:val="28"/>
          <w:rtl w:val="true"/>
          <w:lang w:bidi="ar-SA"/>
        </w:rPr>
        <w:t>:</w:t>
      </w:r>
    </w:p>
    <w:p>
      <w:pPr>
        <w:pStyle w:val="Heading5"/>
        <w:numPr>
          <w:ilvl w:val="4"/>
          <w:numId w:val="1"/>
        </w:numPr>
        <w:rPr/>
      </w:pPr>
      <w:bookmarkStart w:id="265" w:name="__RefHeading___Toc5900668_2142443653"/>
      <w:bookmarkStart w:id="266" w:name="_Toc99"/>
      <w:bookmarkEnd w:id="265"/>
      <w:r>
        <w:rPr>
          <w:rtl w:val="true"/>
        </w:rPr>
        <w:t>الأمر الأول</w:t>
      </w:r>
      <w:r>
        <w:rPr>
          <w:rtl w:val="true"/>
        </w:rPr>
        <w:t xml:space="preserve">: </w:t>
      </w:r>
      <w:r>
        <w:rPr>
          <w:rtl w:val="true"/>
        </w:rPr>
        <w:t>الحكومة</w:t>
      </w:r>
      <w:bookmarkEnd w:id="266"/>
    </w:p>
    <w:p>
      <w:pPr>
        <w:pStyle w:val="BookText"/>
        <w:rPr/>
      </w:pPr>
      <w:r>
        <w:rPr>
          <w:rFonts w:ascii="Amiri" w:hAnsi="Amiri" w:eastAsia="Amiri" w:cs="Amiri"/>
          <w:color w:val="111111"/>
          <w:sz w:val="28"/>
          <w:sz w:val="28"/>
          <w:szCs w:val="28"/>
          <w:rtl w:val="true"/>
          <w:lang w:bidi="ar-SA"/>
        </w:rPr>
        <w:t>وفيها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الحكومة تبتني على القرينة لأنَّها عبارة عن نظر أحد الدليلين إلى مدلول آخر يكون فيه تحديد المراد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هذه الجهة يمكن اعتبار الحكومة من القرينة، وقد عدّها بعض الأصوليين قرينة شخصية لأحد الدليلين على الآخر؛ حيث يكون الدليل الحاكم مشتملاً على خصوصية زائدة على ظهوره اللفظي تجعله محدداً للمراد في الدليل المحكوم، فيحصل من مجموع الدليل الحاكم والدليل المحكوم المراد النهائي للمتكلم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ذلك يظهر الفرق بين الحكومة والتخصيص بعد اشتراكهما في أصل القرينة إلا أنّ التخصيص تكون قرينته نوعية عرفية وليس من إعداد المتكلم نفسه في توضيح المراد من كلامه، وهذه القرينة الشخصية كما تتحقق في الحكومة عنطريق النظر كذلك تتحقق لقرار شخصي عام من المتكلم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قرر الشارع بأنّ المحكمات التي هي أم الكتاب قرينة في تعيين المراد من المتشابهات فيتقدم ظهور القرينة على ظهور الدليل الآخر بنفس القرينة الشخصية كما في الحكومة، ولكن لا بلسان النظر فقط كما يفترقان بحسب لسان الدليل واللفظ</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كما تفترق الحكومة عن الورود في أنّ الأخير خارج عن التعارض الحقيقي بين الدليلين لأنّ في الورود خروج أحد الدليلين عن مورد الدليل الآخر موضوعاً بعناية الجعل، بخلاف الحكومة فإنها تكون من حالات التعارض فيما إذا كان الدليل الحاكم يثبت شيئاً خلاف ما يثبته المحكوم باعتبار كون الحاكم قرينة والمحكوم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القرينة وذيها تنافٍ في الجملة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أدرجوها في التعارض غير المستقر اعتماداً على كبرى عرفية وهي؛ إنّ للمتكلم الحق في أن يفسرّ كلامه بما يوضح المراد النهائي لمجموع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يتقدم الدليل الحاكم على الدليل المحكوم؛ سواء كان متصلاً به أم منفصلاً عنه، بخلاف المخصص المنفصل فإنَّه يحتاج في تقديمه إلى نكتة خاصة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كله فقد ورد في كلمات المحققين وجهان آخران لتقديم الحاكم على 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خروج موارد الحكومة عن التعارض الحقيقي بين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المحكوم يدل على قضية شرطية مفادها ثبوت الجزاء على تقدير ثبوت الشرط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وَحَرَّمَ الرِّبَا</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فإنَّه يدل على قضية شرطية مفادها أنّ ما كان ربا فهو حرام</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الحاكم الدال على إنه لا ربا بين الوالد وولده ناظر إلى الشرط في الدليل المحكوم إثباتاً أو نفياً فليس ما هو محطّ النفي في أحد الدليلين هو محطّ الإثبات في الدليل الآخر حتى يتحقق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والقضاء بالشرطية لا نظر لها إلا إلى الملازمة بين ثبوت الجزاء وثبوت الشرط، ولا نظر لها إلى إثبات الشرط أو نفيه كما هو معلوم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الإشكال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يقتضي أنّ ما كان ربا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في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بنظر الشارع في دليل المحكوم ينفيه الدليل الحاكم الدال على عدم اعتبار الزيادة بين الوالد وولده ربا، فيكون هذا الدليل وارداً لا حاكماً لأنَّه يرفع الموضوع حقيقةً لا تعبداً، وإن كانالشرط في المحكوم ما هو ربا حقيقة والدليل الحاكم ينفيه كذلك فلا إشكال في ثبوت التعارض حقيقةً بين مدلولي الدليلين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الوجه لا بُدَّ من الإقتصار على موارد الحكومة التي لسانها نفي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جميع حالات الحكومة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الحاكم يتعرض إلى شيء زائد لا يتعرض إليه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الحاكم يتعرض إلى أنّ الربا بين الوالد وولده ليس ربا، إضافة إلى تعرضه لعدم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والمحكوم يتعرض لحرمة الربا فقط، ولا يتعرض لكونه ربا أو لا؛ فيتقدم الأول على الثاني ولا بأس به، وإلا فإنّ مجرد تعرض دليل على شيء زائد لا يتعرض إليه الدليل المحكوم لا يكون سبباً للتقدم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 أمكن إرجاع الوجهين إلى قرينة الدليل الحاكم فيتقدم على ذي القرينة فلا بأس بذلك كله، وإلا فالإشكال وارد عليهما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أقسام الحكومة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إختلف الأصوليون في تعيين أقسام الحكومة؛ فبعضهم اعتبرها قسمين، وبعضهم جعلها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مشكلة في ذلك لما عرفت من أنّ الحكومة مبنية على القرينية، وأنّ الدليل الحاكم قد اشتمل على خصوصية تجعله ناظراً إلى الدليل المحكوم وتبين المراد النهائي من مجموع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بمنزلة القرينة على تحديد المرام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الخصوصية يمكن أن تكون ضمن أساليب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أسلوب التفسير؛ بأنْ يكون أحد الدليلين مفسِّراً للآخر؛ سواء كان ذلك بأحد أدوات التفسير المعروفة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أم بما يكون مستبنطاً لذلك فتكون حكومة تفسيرية؛ وهي إما صالحة للتوسيع، أو صالحة للتضييق، أو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منهما؛ إما بالنسبة إلى الموضوع، أو المحمول، أو 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كثيرة كما لا يخفى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التنزيل؛ بأن يكون أحد الدليلين قد نزّل شيئاً منزلة موضوع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الطَّوَافُ بِالْبَيْتِ صَلَاةٌ</w:t>
      </w:r>
      <w:r>
        <w:rPr>
          <w:rFonts w:eastAsia="Amiri" w:cs="Amiri" w:ascii="Amiri" w:hAnsi="Amiri"/>
          <w:color w:val="111111"/>
          <w:sz w:val="28"/>
          <w:szCs w:val="28"/>
          <w:rtl w:val="true"/>
          <w:lang w:bidi="ar-SA"/>
        </w:rPr>
        <w:t>)</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فيستفاد منه ترتيب آثر المنزّل عليه على المنزّل ولولاه لما كان للتنزيل وجه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هي الحكومة التنزيلية</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مناسبات الحكم والموضوع؛ والتي تكتنف بالدليل الحاكم بحيث تجعله ناظراً إلى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يقال في أدلة نفي الحرج ونفي الضرر من ظهورها في نفي إطلاقات الأحكام الأولية لا نفي الحكم الضروري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والحرجي ابتداءً؛ باعتبار أنّ الشارع ليس من شأنه جعل أحكام ضررية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المترقب جعل أحكام قد تصبح ضررية وحرجية في بعض الأحيان؛ فتكون أدلة نفي الحرج والضرر في ظهورها نفي إطلاقات الأحكام الأولية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نفي الضرري والحرجي ابتداءً؛ باعتبار أنّ الشارع ليس من شأنه جعل الأحكام ضررية بطبيعتها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المترقب جعل أحكام قد تصبح ضررية وحرجية في بعض الاحيان فتكون أدلة نفي الحرج والضرر بهذه المناسبة ناظراً إلى تلك الإطلاقات وبحكم الإستثناء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w:t>
      </w:r>
    </w:p>
    <w:p>
      <w:pPr>
        <w:pStyle w:val="BookText"/>
        <w:rPr/>
      </w:pPr>
      <w:r>
        <w:rPr>
          <w:rFonts w:ascii="Amiri" w:hAnsi="Amiri" w:eastAsia="Amiri" w:cs="Amiri"/>
          <w:color w:val="111111"/>
          <w:sz w:val="28"/>
          <w:sz w:val="28"/>
          <w:szCs w:val="28"/>
          <w:rtl w:val="true"/>
          <w:lang w:bidi="ar-SA"/>
        </w:rPr>
        <w:t>اعتبر بعضٌ</w:t>
      </w:r>
      <w:r>
        <w:rPr>
          <w:rStyle w:val="FootnoteAnchor"/>
          <w:rtl w:val="true"/>
        </w:rPr>
        <w:footnoteReference w:id="220"/>
      </w:r>
      <w:r>
        <w:rPr>
          <w:rFonts w:ascii="Amiri" w:hAnsi="Amiri" w:eastAsia="Amiri" w:cs="Amiri"/>
          <w:color w:val="111111"/>
          <w:sz w:val="28"/>
          <w:sz w:val="28"/>
          <w:szCs w:val="28"/>
          <w:rtl w:val="true"/>
          <w:lang w:bidi="ar-SA"/>
        </w:rPr>
        <w:t>هذه حكومة مضمونية، وذكر آخرون أنّ الدليل الحاكم؛ إما أن يكون صالحاً لتوسيع مورد الدليل المحكوم، أو تضييقه، أو يصلح لهما معاً</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مما يهوّن الخطب أنّ القرينة يمكن تحديدها في ما يوجب تعيين المراد؛ فإذا أمكن حصرها في أقل من ذلك وإرجاع بعضها إلى بعض كان أولى بالقبول، فنقول أنّ الحكومة؛ إما أن تكون بملاك النظر والشرح، ومثلوا لها بحكومة الأدلة الواقعية بعضها على بعض كحكومة دليل نفي الربا بين الوالد وولده على دليل حرمة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وحكومة دليل لا ضرر ولا ضرار على أدلة الأحكام الأولية بحيث لو لا الدليل المحكوم يكون الدليل الحاكم 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تكون الحكومة بملاك رفع الموضوع؛ مثل حكومة الأحكام الظاهرية بعضها على بعض كحكومة الأمارات على الأصول العملية؛ فإن كان النظر إلى أنّ الحكومة تتحدد بملاك القرينية فتفرض تارةً؛ بملاك النظر، وأخرى؛ بملاك رفع الموضوع بالنظر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النظر إلى نفس القرينة وجعلها في أساليب مختلفة فتنقسم إلى الأقسام الثلاثة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للإشكال والنقض والإبرام بعد ما اتضح المقصود فراجع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يقع النزاع في بعض الموارد من أنه من أي واحد من الأقسام، أو أنه من الحكومة أو الورود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شيء آخر، وقد ذكروا أقساماً أخرى لا ثمرة عملية فيها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الحكومة </w:t>
      </w:r>
    </w:p>
    <w:p>
      <w:pPr>
        <w:pStyle w:val="BookText"/>
        <w:rPr/>
      </w:pPr>
      <w:r>
        <w:rPr>
          <w:rFonts w:ascii="Amiri" w:hAnsi="Amiri" w:eastAsia="Amiri" w:cs="Amiri"/>
          <w:color w:val="111111"/>
          <w:sz w:val="28"/>
          <w:sz w:val="28"/>
          <w:szCs w:val="28"/>
          <w:rtl w:val="true"/>
          <w:lang w:bidi="ar-SA"/>
        </w:rPr>
        <w:t>وهي متعددة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الحاكم يتقدم على الدليل المحكوم مطلقاً سواء كان متصلاً بالمحكوم أم كان منفصلاً عنه، ولكن مع الفرق بأنه إذا كان متصلاً فيرفع</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 منفصلاً فيرفع الحجية عن الدليل المحكوم دون الظهور؛ فيكون الدليل الحاكم كالتخصيص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 بأنّ الفرق بين الحكومة والتخصيص هو ما إذا كان المناط في الحكومة هو تحديد المراد النهائي من مجموع كلام المتكلم الحاكم والمحكوم بعد ظهور كل واحد منهما في الدلالة، فلا يفرّق بين المتصل والمنفصل في تحديد الظهور النهائي بعد ثبوت الظهور والحجية في كل منهما، وإنما يتحدد الظهور النهائي بالجمع بين الحاكم والمحكوم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وسيأتي مزيد بيان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موازين التمسك بالمحكوم عند الشك في الحاكم المنفصل بأقسامه هي نفس موازين التمسك بالعام عند الشك في مخصصه المنفصل بأقسامه؛ فيجوز التمسك بالمحكوم في باب الحكومة عندما يجوز التمسك بالعام في باب 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حينما 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المحكوم المتصل بالحاكم؛ إذا كان الأخير مجملاً فإنَّه يكون مثل ابتلاء المخصص المجمل المتصل بالعام من حيث تأثيره فيما اتصل به، وسريان الإجمال منه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ذلك كله هو كون الحكومة مبنية على القرينة</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في الفرق بين الحكومة والتخصيص؛ إنّ في الأخير لا ينعقد ظهور العام في المخصص المتصل إلا بما دلّ عليه المخصص فإذا كان مجملاً يسري إجماله </w:t>
      </w:r>
    </w:p>
    <w:p>
      <w:pPr>
        <w:pStyle w:val="BookText"/>
        <w:rPr/>
      </w:pPr>
      <w:r>
        <w:rPr>
          <w:rFonts w:ascii="Amiri" w:hAnsi="Amiri" w:eastAsia="Amiri" w:cs="Amiri"/>
          <w:color w:val="111111"/>
          <w:sz w:val="28"/>
          <w:sz w:val="28"/>
          <w:szCs w:val="28"/>
          <w:rtl w:val="true"/>
          <w:lang w:bidi="ar-SA"/>
        </w:rPr>
        <w:t>إلى العام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الحكومة قد انعقد ظهور المحكوم كما انعقد ظهور الحاكم، ولكن بحكم القرينية بينهما لا بُدَّ من تحديد المراد النهائي من مجموع الكلامين؛ فإذا شك في دليل الحاكم من حيث وجوده أو من حيث ظهوره أو من حيث كونه قرينة فلا ينصرف ذلك بالمراد من المحكوم ليكون هو المرجع إلا إذا تحقق ما يوجب صرفه عن المراد كما هو واضح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الدليل الحاكم يتقدم ولو كانت دلالته من أضعف الظهورات على الدليل المحكوم، ولو كانت دلالته من أقوى الظهورات ولا ينظر إلى قانون تقديم أقوى الظهورين لأنّ المناط في تقديم الحاكم على المحكوم هو القرينية الشخصية في تعيين المرام من مجموع الكلام، فلا وجه لملاحظة النسبة ودرجة الظهور بين الدليلين في موارد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التخصيص كما سيأتي توضيحه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عرفت أنّ ملاك الحكومة هو النظر فلا بد من إحراز ذلك في إثبات حكم بالدليل الحاكم رفعاً أو وضعاً؛ فلو دلّ الدليل على أنّ الطواف بالبيت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المقدار الذي يمكن إثباته من آثار الصلاة وأحكامها للطواف</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الدليل تابع لمقدار النظر في الدليل الحاكم إلى أحكام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نكتة النظر والشرح والتفسير تتحدد بحدود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الحال في حكومة أدلة نفي الحرج ونفي الضرر على أدلة الأحكام الأولية؛ فإنها تتقدم على أدلة الأحكام الأولية بمقدار نظرها إليها عموماً أو على الخصوص لبعض الآثار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إشكال فيه</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الحكومة تختص بالأدلة اللفظية ولا مصير لها في الأدلة العقلية واللبيّة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الحكومة مبنية على النظر في الدليل الحاكم إلى الدليل المحكوم وتحديد المرام النهائي منهما، والنظر من شؤون الدلالة اللفظية وخصائصها</w:t>
      </w:r>
      <w:r>
        <w:rPr>
          <w:rFonts w:eastAsia="Amiri" w:cs="Amiri" w:ascii="Amiri" w:hAnsi="Amiri"/>
          <w:color w:val="111111"/>
          <w:sz w:val="28"/>
          <w:szCs w:val="28"/>
          <w:rtl w:val="true"/>
          <w:lang w:bidi="ar-SA"/>
        </w:rPr>
        <w:t xml:space="preserve">. </w:t>
      </w:r>
      <w:bookmarkStart w:id="267" w:name="pg15367_181108"/>
    </w:p>
    <w:p>
      <w:pPr>
        <w:pStyle w:val="BookText"/>
        <w:rPr/>
      </w:pPr>
      <w:bookmarkEnd w:id="267"/>
      <w:r>
        <w:rPr>
          <w:rFonts w:ascii="Amiri" w:hAnsi="Amiri" w:eastAsia="Amiri" w:cs="Amiri"/>
          <w:color w:val="111111"/>
          <w:sz w:val="28"/>
          <w:sz w:val="28"/>
          <w:szCs w:val="28"/>
          <w:rtl w:val="true"/>
          <w:lang w:bidi="ar-SA"/>
        </w:rPr>
        <w:t>وبعد الجمع بين الحاكم والمحكوم ينشأ ظهور جديد في الدليل اللفظي ويكون حجة، وهذه الحجة لا تكون مستقلة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قلنا أنّ الحكومة لا تكون تصرفاً حقيقياً في الدليل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يصحّ إعمال الحكومة في الأدلة اللبيّة كالإجماع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أردنا إثباته في الحكومة في المقام، والتي تبتني على القرينة، وقلنا أنّ بعضهم اعتبرها قرينة شخصية</w:t>
      </w:r>
      <w:r>
        <w:rPr>
          <w:rFonts w:eastAsia="Amiri" w:cs="Amiri" w:ascii="Amiri" w:hAnsi="Amiri"/>
          <w:color w:val="111111"/>
          <w:sz w:val="28"/>
          <w:szCs w:val="28"/>
          <w:rtl w:val="true"/>
          <w:lang w:bidi="ar-SA"/>
        </w:rPr>
        <w:t>.</w:t>
      </w:r>
    </w:p>
    <w:p>
      <w:pPr>
        <w:pStyle w:val="Heading5"/>
        <w:numPr>
          <w:ilvl w:val="4"/>
          <w:numId w:val="1"/>
        </w:numPr>
        <w:rPr/>
      </w:pPr>
      <w:bookmarkStart w:id="268" w:name="__RefHeading___Toc5900670_2142443653"/>
      <w:bookmarkStart w:id="269" w:name="_Toc100"/>
      <w:bookmarkEnd w:id="268"/>
      <w:r>
        <w:rPr>
          <w:rtl w:val="true"/>
        </w:rPr>
        <w:t>الأمر الثاني</w:t>
      </w:r>
      <w:r>
        <w:rPr>
          <w:rtl w:val="true"/>
        </w:rPr>
        <w:t xml:space="preserve">: </w:t>
      </w:r>
      <w:r>
        <w:rPr>
          <w:rtl w:val="true"/>
        </w:rPr>
        <w:t>التقييد</w:t>
      </w:r>
      <w:bookmarkEnd w:id="269"/>
    </w:p>
    <w:p>
      <w:pPr>
        <w:pStyle w:val="BookText"/>
        <w:rPr/>
      </w:pPr>
      <w:r>
        <w:rPr>
          <w:rFonts w:ascii="Amiri" w:hAnsi="Amiri" w:eastAsia="Amiri" w:cs="Amiri"/>
          <w:color w:val="111111"/>
          <w:sz w:val="28"/>
          <w:sz w:val="28"/>
          <w:szCs w:val="28"/>
          <w:rtl w:val="true"/>
          <w:lang w:bidi="ar-SA"/>
        </w:rPr>
        <w:t>التقييد من مصاديق القرينة فلا بد أولاً من بيان معنى القرينة، والمعروف إنها؛ ما يدل على المراد من غير أن يكون صريحاً فيه، ولا يمكن أن تتحقق القرينة إلا إذا كانت دلالتان وإفادتان؛ تكون أحداهما قد أُعدت إعداداً لتفسير الدلالة الأخرى وتحويل مفادها إلى مفاد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النكتة تتحقق في الدليل الحاكم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موارد التقييد والتخصيص وغيرهما، وإن اعتبر بعضهم</w:t>
      </w:r>
      <w:r>
        <w:rPr>
          <w:rStyle w:val="FootnoteAnchor"/>
          <w:rtl w:val="true"/>
        </w:rPr>
        <w:footnoteReference w:id="222"/>
      </w:r>
      <w:r>
        <w:rPr>
          <w:rFonts w:ascii="Amiri" w:hAnsi="Amiri" w:eastAsia="Amiri" w:cs="Amiri"/>
          <w:color w:val="111111"/>
          <w:sz w:val="28"/>
          <w:sz w:val="28"/>
          <w:szCs w:val="28"/>
          <w:rtl w:val="true"/>
          <w:lang w:bidi="ar-SA"/>
        </w:rPr>
        <w:t>أنّ القرينة في الدليل الحاكم معدّة إعداداً شخصياً من قبل المتكلم لتفسير الدليل المحكوم بقرينة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غيره فإنّ الإعداد لا يكون شخصياً، بل يكون بجعل عرفي فيكون إعداداً نوعياً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طبع المتكلمين متابعة العرف في ذلك فهو يعِدّ القرينة لتفسير ذي القرينة بكشف نوعي</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ذكرنا آنفاً أنّ الإعداد الشخصي للقرينة ربما يقبله العرف فيصير نوعياً أيضاً؛ فالتمييز بين القرينة والحكومة قد يكون دقيقاً ولكنه لا يضرّ بأصل المقصود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إنّ ملاك تقدّم القرينة على ذيها هو نفس ملاك تقدّم الحاكم على المحكوم في أنه محاوري عرفي يمنع ذلك من سريان المعارضة إلى الدليلوالحجية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كانت القرينة من صغريات الظهور الذي له مراتب فكذلك تكون للقرينة مراتب؛ أما مراتب الظهور فهي ثلاثة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الحاصل من سماع اللفظ ولو كان من غير ذي شعور، ولا ريب أنه ينشأ من أصل الوضع على ما تقدم بيانه في مباحث الوضع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الحاصل من الإرادة الإستعمالية، وهو عبارة عن ظهورها في أن المتكلم قاصد لاستعمال اللفظ في معناه وإخطاره في ذهن السامع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أجله كان لهذا الظهور دلالة تصديقية لا تصورية، فيحتاج إلى أن يكون اللفظ صادراً من ذي شعور يتأتى منه القصد والإرادة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التصديقي بلحاظ الإرادة الجدّية؛ والذي هو عبارة عن ظهور حالي في المتكلم أيضاً؛ يدل على إنه قاصد لمعنى كلامه جداً فليس بهازل ولا ممتحن ونحو ذلك، حيث أنّ ظاهر كل متكلم ملتفت أنّ داعيه منه هو الجدّ، فلا بُدَّ أن يكون اللفظ صادراً عن ذي شعور كما في سابقه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هذين الظهورين الحاليين هو الغلبة الخارجية الحاصلة من التعهد النوعي العقلائي في المحاورات؛ فإنّ حال كل متكلم أن يكون قاصداً للمعنى بإرادة جدّية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تطبيق القرينة على هذه المراحل من الظهور</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تصور القرينة بلحاظ المرحلة الأولى فقد ذكر السيد الصدر قدس سره </w:t>
      </w:r>
      <w:r>
        <w:rPr>
          <w:rStyle w:val="FootnoteAnchor"/>
          <w:rtl w:val="true"/>
        </w:rPr>
        <w:footnoteReference w:id="223"/>
      </w:r>
      <w:r>
        <w:rPr>
          <w:rFonts w:ascii="Amiri" w:hAnsi="Amiri" w:eastAsia="Amiri" w:cs="Amiri"/>
          <w:color w:val="111111"/>
          <w:sz w:val="28"/>
          <w:sz w:val="28"/>
          <w:szCs w:val="28"/>
          <w:rtl w:val="true"/>
          <w:lang w:bidi="ar-SA"/>
        </w:rPr>
        <w:t xml:space="preserve">أنّ الظهور التصوري للكلام تارة؛ يكون بسبب مفردات الكلام، وأخرى؛ يحصل من هيئة المفرد أو </w:t>
      </w:r>
    </w:p>
    <w:p>
      <w:pPr>
        <w:pStyle w:val="BookText"/>
        <w:rPr/>
      </w:pPr>
      <w:r>
        <w:rPr>
          <w:rFonts w:ascii="Amiri" w:hAnsi="Amiri" w:eastAsia="Amiri" w:cs="Amiri"/>
          <w:color w:val="111111"/>
          <w:sz w:val="28"/>
          <w:sz w:val="28"/>
          <w:szCs w:val="28"/>
          <w:rtl w:val="true"/>
          <w:lang w:bidi="ar-SA"/>
        </w:rPr>
        <w:t>الجملة، وثالثة يحصل أيضاً للهيئة التركيبية لمجموع الكلام المعبر عنها بالسياق؛ إذ يضيف إلى الذهن في جميع تلك الموارد معناها عند سماع ذلك من كل لافظ حتى لو لم يكن له الشعور قبل الوصول إلى انتزاع الظهور التصديقي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الحال في القرينة فإنّ المنساق من ذكرها في الكلام هو المعنى الذي دلت عليه القرينة، فإذا قال اللافظ ولو بغير شعور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يدل على الرجل الشجاع في الظهور التصوري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مِمّا يدل على أن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الجملة أوجدت سياقاً غيّر من الظهور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أنشأت ظهوراً تصورياً آخر في الرجل الشجاع فتكون القرينة قد أوجدت سياقاً أوجب تغيير الظهور التصوري إلى ظهور آخر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والسبب في تكوين هذا الظهور التصوري الجديد بحيث يغلب على الظهور التصوري للمفردات؛ إما أن يرجع إلى أنّ السياق بنفسه موضوع لإفادة صورة معينة كما هو الحال في وضع المفرد لمعناه الذي أوجد ظهوراً تصورياً كذلك وضع السياق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وإما أن يرجع إلى الأنس الذهني؛ فإنّ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رأيت أسداً يرمي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توجِد ظهوراً تصورياً للمفردات كذلك تحقق ظهوراً ثانوياً للرجل الشجاع وأنه يرمي بالسهم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هذاالظهور هو الأقرب إلى الذهن من صورة الأسد بمعنى الحيوان المفترس وهو يرمي، فكان الظهور الثانوي أقوى من الظهور الأولي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كانت القرينة نصّاً في معناها، وإما إذا كانت مِمّا يحتمل التأويل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أنس الذهن وعدمه بالنسبة إلى المعنى الحقيقي لمفردات الجملة لا تفيد إلا صَرف الذهن عن ذلك المعنى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تعيينه في معنى مجازي متأخر فإنَّه يحتاج إلى نكتة أخرى وهي؛ إما أقوائية الظهور الثاني من الآخر الحاصلة من الأنس بين اللفظ والمعنى في عالم الذهن الذي له مراتب متفاوتة شدة وضعفاً، فكلما كان الإقتران آكد كانت الدلالة التصورية أقوى وأظهر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ذلك لا يصلح أن يكون عاماً في كل الموارد فإنَّه لا يشترط أن تكون القرينة أظهر من ذي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من أجل تقديم الظهور التصوري للقرينة على الظهور التصوري للمفردات الأصلية؛ فإنّ ذلك هو الموافق لدور القرنية في الكلام وطبعها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وخلاف ذلك يكون خلاف الطبع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النكتة أَولى من الأُولى لأنَّها تجري حتى لو لم يكن ظهور القرينة أقوى من ظهور 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ذكره السيد الصدر قدس سره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دور الظهور التصوري ليس إلا إخطار المعاني في الذهن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الألفاظ على تلك المعاني فهي تتبع الظهورات التصديقية، فإثبات دلالة الجملة والمفردات على المعنى المجازي يحتاج إلى عناية أكثر من أنس الذهن أو الطبع؛ فإنهما لم يحصلا إلا بعد تحقق الظهورات التصديقية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فإنّ مجرد سماع المفردات في الكلام الأصلي والقرنية لا تثبت الظهور الثانوي إلا بعد استتباع الظهور التصديقي في الإرادة الإستعمالية والإرادة الجدّية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سماع تلك المفردات يوجب إخطار معانيها في الذهن ولو كانت صادرة من غير ذي شعور، وبما أنّ تلك الدلالات مرتبطة في الذهن يطرأ آثار أحدهما على الأخرى ويصعب التمييز بينهما؛ ففي هذه المرحلة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الظهور التصوري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يمكن إثبات المعنى المجازي إلا بالطريق التي تتحقق في الدلالتين الأخريين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للقرينة دور حقيقي في إثبات الظهور التصوري الثانوي للجملة والسياق</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تصور القرينة بلحاظ الظهور التصديقي بلحاظ المراد الإستعمالي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بأن ينصب المتكلم ما يكون معدّاً لتفسير المراد الإستعمالي من كلامه فتوجب تغيير مدلوله التصديقي </w:t>
      </w:r>
    </w:p>
    <w:p>
      <w:pPr>
        <w:pStyle w:val="BookText"/>
        <w:rPr/>
      </w:pPr>
      <w:r>
        <w:rPr>
          <w:rFonts w:ascii="Amiri" w:hAnsi="Amiri" w:eastAsia="Amiri" w:cs="Amiri"/>
          <w:color w:val="111111"/>
          <w:sz w:val="28"/>
          <w:sz w:val="28"/>
          <w:szCs w:val="28"/>
          <w:rtl w:val="true"/>
          <w:lang w:bidi="ar-SA"/>
        </w:rPr>
        <w:t>وتثبيت ظهورٍ جديد للكلام، وهذا صحيح وواقع خارجاً ولكن في الحكومة على نحو النظر والشرح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التقييد والتخصيص على نحو الكشف النوعي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تصور القرينة بلحاظ الظهور التصديقي بلحاظ المراد الجدي بأن يجعل في الكلام ما يكون معدّاً لتفسير المراد الجدي من كلامه؛ فالكلام فيه كالكلام في سابقه في نصب قرينة على تفسير المراد الجدي وذلك بقرار عرفي عام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إنه قد ذكرنا أنّ النكتة في وجه تقديم القرينة على ذي القرينة في كلا الظهورين هو العرف المحاوري بلا فرق بين الحاكم والمحكوم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وبقية الموارد وإن كانت النكتة في الحكومة هي أنّ المتكلم بنفسه قد أعدّ في كلامه ما يحدد النهائي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إنه لا فرق بين أن تكون القرينة متصلة أو منفصلة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القرينة المتصلة لا تحتاج إلى عناية إذ أنها لا توجب تصرفاً زائداً في كبرى حجية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القرينة المنفصلة وباعتبار كون الكلام السابق قد انعقد ظهوره فانهدامه يحتاج إلى عناية زائدة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التوسعة ليشمل 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البناء النوعي العقلائي لإلحاق المنفصل بالمتصل في تحكيم القرينة على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اعتبر الأصوليون التقييد والتخصيص والأظهرية من موارد الجمع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فلا بُدَّ من بحث كل واحد منها مستقلاً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رفع اليد عن الإطلاق الثابت بمقدمات الحكمة لوجود ما يدل على ذلك وهو المقيد، وهو إما أن يكون متصلاً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الأدباء ولا تكرم فسّاقهم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منفصلاً؛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 الحالة الأولى؛ اجتمع في الكلام دالّان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ظاهر في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ظاهر في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تعارض بينهما لأنّ فرض الإطلاق للدال على التقييد فرع تمامية مقدمات الحكمة، ومع وجود الدال المتصل على التقييد لم تتم مقدمات الحكمة فترتفع دليلتيه </w:t>
      </w:r>
    </w:p>
    <w:p>
      <w:pPr>
        <w:pStyle w:val="BookText"/>
        <w:rPr/>
      </w:pPr>
      <w:r>
        <w:rPr>
          <w:rFonts w:ascii="Amiri" w:hAnsi="Amiri" w:eastAsia="Amiri" w:cs="Amiri"/>
          <w:color w:val="111111"/>
          <w:sz w:val="28"/>
          <w:sz w:val="28"/>
          <w:szCs w:val="28"/>
          <w:rtl w:val="true"/>
          <w:lang w:bidi="ar-SA"/>
        </w:rPr>
        <w:t>بسبب دليلية التقييد فلا يكون في البين إلا دليل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 يكون دليلان حتى يتحقق التعارض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الحالة الثانية؛ وهي ما إذا كان الدال على التقييد منفصلاً فإن قلنا بالملاك المتقدم في الدالّ المتصل فيكون الدليل المنفصل رافعاً لدليلية الإطلاق بعد عدم تمامية مقدمات الحكمة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للبناء العقلائي العام الشامل للمتصل والمنفصل، والأمر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نقل بذلك فلا بد من التماس نكتة أخرى في إتمام ذلك، والسبب في هذا الإختلاف يرجع إلى أنّ مقدمات الحكمة التي هي منشأ الدلالة الإطلاقية هل تتوقف على عدم الدالّ عل التقييد مطلقاً ولو كان منفصلاً، أو أنها تتوقف على عدم التقييد المتصل فقط؟ إختار بعض الأصوليين</w:t>
      </w:r>
      <w:r>
        <w:rPr>
          <w:rStyle w:val="FootnoteAnchor"/>
          <w:rtl w:val="true"/>
        </w:rPr>
        <w:footnoteReference w:id="224"/>
      </w:r>
      <w:r>
        <w:rPr>
          <w:rFonts w:ascii="Amiri" w:hAnsi="Amiri" w:eastAsia="Amiri" w:cs="Amiri"/>
          <w:color w:val="111111"/>
          <w:sz w:val="28"/>
          <w:sz w:val="28"/>
          <w:szCs w:val="28"/>
          <w:rtl w:val="true"/>
          <w:lang w:bidi="ar-SA"/>
        </w:rPr>
        <w:t>الثاني؛ فاعتبر أنّ الدلالة الإطلاقية تتوقف على عدم الدالّ المقيد المتصل فلا ينعقد الإطلاق، وأما المقيد المنفصل فلا يرفع الدلالة الإطلاقية وإنما يوجب سقوطها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 تمامية الدلالة الإطلاقية وانعقادها وصحة التمسك بها إنَّما تكون بمجرد انتهاء المتكلم من المطلق وعدم نصب قرينة على تقييده، فلو كانت الدلالة الإطلاقية متوقفة على عدم القرينة المنفصلة على التقييد لما أمكن إثبات الإطلاقفي مورد، ولانسدّ باب مقدمات الحكمة إذ لا يمكن إحراز شرطه وهو عدم التقييد المنفصل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إحرازه لأصالة عدم القرينة</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الأصل يجري في ما إذا ثبت في مقام الإثبات ظهورٌ للكلام يقتضي إفادة شيء ونشكّ في ورود قرينة على خلافه، فيدفع الإحتمال بأصالة عدم القرينة فيكون المرجع هو أصالة الظهور وعدم جواز رفع اليد عنها لمجرد الإحتمال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في المقام فلا </w:t>
      </w:r>
    </w:p>
    <w:p>
      <w:pPr>
        <w:pStyle w:val="BookText"/>
        <w:rPr/>
      </w:pPr>
      <w:r>
        <w:rPr>
          <w:rFonts w:ascii="Amiri" w:hAnsi="Amiri" w:eastAsia="Amiri" w:cs="Amiri"/>
          <w:color w:val="111111"/>
          <w:sz w:val="28"/>
          <w:sz w:val="28"/>
          <w:szCs w:val="28"/>
          <w:rtl w:val="true"/>
          <w:lang w:bidi="ar-SA"/>
        </w:rPr>
        <w:t>يوجد ظهور سوى مقدمات الحكمة وهي تقتضي إفادة الإطلاق، وهو موضوع الشك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 بعض الأصوليين وجهاً آخر، وذكرنا ما يتعلق بذلك في مباحث المطلق والمقيد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الأساس في تقديم القرينة المنفصلة هو كونها من القرينة عند العرف، ولا ريب أنها هي الملاك في موارد الجمع العرفي للتقييد والتخصيص وغيرهما على ما تقدم بيانه؛ فإنّ العرف يرى أنّ انعقاد الظهور الإطلاقي يتوقف على عدم وجود ما يكون معدّاً عندهم لتفسير الأعم ولو كان منفصلاً عنه فيكون تقديم المقيد المنفصل على المطلق راجع إلى أنّ المقيد هو المحدّد النهائي لمدلول مجموع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يرى التعارض بينهما لدليل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ذلك يرجع إلى البناء العقلائي العام في المحاورات من أنّ المتكلم له الحق في بيان جميع مرامه وتفسيره ولو على سبيل التدريج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يتضح إنه تارة؛ نحرز الإطلاق من كلام المتكلم بالقطع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بالظاهر والأصل؛ وعلى كل منهما فإما أن يكون في البين ما يشك في كونه قيداً، أو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فالأقسام أربعة، ولا ريب في ثبوت الإطلاق في ثلاثة منها وهي ما إذا أحرز الإطلاق بالقطع سواء كان في البين ما يشك في كونه قيداً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إذا احرز بالأصل ولم يكن في البين ما يشك في كونه قيداً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عدم ثبوته في ما إذا أحرز بالأصل وكان في البين ما يصلح للتقييد، وذلك لعدم صحة الإعتماد على الأصل حينئذٍ</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وإما إذا لم يكن كذلك بل كان من مجرد الشك في المقيد فأصالة الإطلاق محكّمة بلا فرق بين كون الشك في أصل التقييد أو في قيدية الموجود إلا إذا كانت أمارة معتبرة على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فرق في جميع ذلك بين القيد المتصل والقيد المنفصل فينعقد الإطلاق في الأخير حتى يأتي القيد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بالعرف المحاوري العام، وقد تقدم التفصيل في مباحث المطلق والمقيد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الشائعات في المحاورات مطلقاً، وهو عبارة عن رفع اليد عن العموم الثابت بالوضع وأدوات العموم لوجود الدال على التخصيص، فيفيد في إخراج بعض أفراد العام عن حكمه فقط بلا عناية كون دليل الخاص ناظراً إلى التضييق في أفراد العام وإن كان يترتب عليه ذلك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تارة يكون متصلاًبالعام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يكون منفصلاً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ذكرناه في التقييد يجري في التخصيص إلا أنّ هناك فروقاً بينهما، ويقع الكلام عن ذلك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بالمتصل؛ ولا إشكال في تقديم المخصص المتصل على العام وإنما البحث يقع في تخريج الوجه الفني لذلك، وقد ذكرنا أنّ التخصيص من موارد الجمع العرفي التي يكون الملاك في تقديم دليل على آخر فيه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العرف يرى أنّ ظهور العام في العموم والإستغراق والشمول إنَّما ينعقد إذا لم يكن في البين ما يكون معدّاً عرفاً لتفسير ذلك العام وتضييق حكمه بالنسبة إلى بعض الأفراد فلا تعارض بين دليل الخاص ودليل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قد يلتبس ذلك في بعض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ولبيان ذلك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له أقسام ثلاثة يختلف بعضها عن الآخر في الوضوح، وهي</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المخصّص المتصل مدخولاً لأداة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الحال في التخصيص بالوصف وشبهه مثل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عالم عادل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ريب في عدم وجود التنافي والتعارض بين ما يدل على العموم وبين ما يدل على الخصوص؛ لأنّ أدوات العموم قد وضعت للدلالة على شمول مجموع ما وقع مدخلاً لها إلا خصوص ما يتعقبها ويتصل بها من العناوين فكأنما المدلول في المثال هو الموصوف والوصف بعد تقييد الأول بالثاني قبل العموم فيكون طارئاً على العنوان المقيد من أول الأمر</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بالإستثناء؛ كقولهم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الشعراء إلا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 هذا القسم قد انعقد مدخول الأداة على العموم قبل الإستثناء لعدم كون الإستثناء جزءً من مدخولها نظير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هؤلاء العشرة إلا زيداً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انعقدت الدلالة على العشرة في نفسها ولكن</w:t>
      </w:r>
    </w:p>
    <w:p>
      <w:pPr>
        <w:pStyle w:val="BookText"/>
        <w:rPr/>
      </w:pPr>
      <w:r>
        <w:rPr>
          <w:rFonts w:ascii="IRNazanin" w:hAnsi="IRNazanin" w:eastAsia="IRNazanin"/>
          <w:color w:val="111111"/>
          <w:sz w:val="28"/>
          <w:sz w:val="28"/>
          <w:szCs w:val="28"/>
          <w:rtl w:val="true"/>
          <w:lang w:bidi="fa-IR"/>
        </w:rPr>
        <w:t>المستثنى قد انقطع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والملاك الذي ذكرناه يجري في المقام؛ فإنّ الإستثناء قرينة معدّة عرفاً في توضيح مدخول الأداة؛ أي العام بعد شموله للمستثنى، وهذا بالنظر العرفي المبني عليه المحاورات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بحسب الدقة فقد يقال أنّ في المثال المزبور ثلاث 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أولها؛ دلالة الأداة على العموم، وثانيها؛ دلالة أداة الإستثناء على الإنقطاع وعدم شمول حكم المستثنى منه المستثنى؛ وهاتان بينهما تنافٍ، والثالثة؛ دلالة السياق الحاصل من العام المتعقب بالإستثناء على العموم المنقطع منه مقدار المستثنى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الدلالة هي التي تثبت ظهوراً جديداً في الذهن ويستقر فيه، وبهذا الظهور الجديد يرتفع التعارض بين الدلالتين،</w:t>
      </w:r>
    </w:p>
    <w:p>
      <w:pPr>
        <w:pStyle w:val="BookText"/>
        <w:rPr/>
      </w:pPr>
      <w:r>
        <w:rPr>
          <w:rFonts w:ascii="Amiri" w:hAnsi="Amiri" w:eastAsia="Amiri" w:cs="Amiri"/>
          <w:color w:val="111111"/>
          <w:sz w:val="28"/>
          <w:sz w:val="28"/>
          <w:szCs w:val="28"/>
          <w:rtl w:val="true"/>
          <w:lang w:bidi="ar-SA"/>
        </w:rPr>
        <w:t>ولكن ذلك فيه نوع من التعقيد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سابقاً أنّ كل متكلم له الحق أن يشرح كلامه ويعيّن مرامه بنصب كل ما يكون له الدخل في تعيين مراده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أجل هذا لم يثبت العرف التنافي بين دلالة العموم ودلالة الخصوص لأن بينهما نسبة القرينة وذي القرينة، ولم يقع التعارض بين دليلهما؛ لأنَّهما قد إتّحدا في تعيين الظهور السياقي الجديد لمجموع الكلام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هذين القسمين يبقى العموم على عمومه وإن خرج بعض الأفراد عن حكم العام لأنّ الظهور العام لم ينخرم بورود التخصيص عليه، فلا تسقط حجيته بالنسبة إلى الباقي كما فصلنا الكلام فيه في بحث العام والخاص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بجملة مستقلة تعقبت الجملة الدالة على العموم ودلت على خلاف حكم العام في موضوع يكون نسبته إلى العام نسبة الخصوص إلى العموم؛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يجب إكرام كل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والوجه في ما ذكرناه آنفاً في القسمين السابقين يجري في هذا القسم أيضاً بلا فرق بين أن يكون التخصيص متصلاً على نحو الوصف أو الإستثناء أو تكون جملتين مستقلتين؛ إذ المناط في الجميع واحد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قد يستشكل في وجه تقديم الخاص على العام وبقاءه على العموم في الباقي بعد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ولهم محاولات في الجواب عن هذين الإشكالين نذكر اثنين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دعوى أنّ الخاص المتعقب للعام إنَّما يتقدم عليه باعتبار الأظهرية وأقوائية دلالته من دلالة العام فينطبق عليه قانون تقديم الأظهر على الظاهر وتقديم أقوى الدلالتين على أضعفهما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يتمّ فيما إذا انقلب الأمر وكانت دلالة العام أظهر أو أقوى من دلالة الخاص كما في المثال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كل 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وقلنا بأنّ دلالة الأمر على الوجوب بالإطلاق ومقدمات الحكمة التي هي أضعف من دلالة الأداة على العموم فلا بُدَّ أن يحمل الأمر على الإستحباب حينئذٍ لأنّ دلالة العام 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الخاص إطلاقية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 العام على غير الفقيه، ويخصص الأقوى بالأضعف والأظهر بالظاهر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مع أن هذا الجواب لا يحلّ الإشكال الثاني وهو بقاء العام حجة من الباقي، ولهذا التجأ الشيخ الأنصاري قدس سره </w:t>
      </w:r>
      <w:r>
        <w:rPr>
          <w:rStyle w:val="FootnoteAnchor"/>
          <w:rtl w:val="true"/>
        </w:rPr>
        <w:footnoteReference w:id="225"/>
      </w:r>
      <w:r>
        <w:rPr>
          <w:rFonts w:ascii="Amiri" w:hAnsi="Amiri" w:eastAsia="Amiri" w:cs="Amiri"/>
          <w:color w:val="111111"/>
          <w:sz w:val="28"/>
          <w:sz w:val="28"/>
          <w:szCs w:val="28"/>
          <w:rtl w:val="true"/>
          <w:lang w:bidi="ar-SA"/>
        </w:rPr>
        <w:t>وغيره إلى حلّه بالتبعيض في الدلالات من حيث الحجية بأن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العام يدل على إرادة تمام أفراده، فكل فرد منها يكون مراداً ضمناً، وعندما </w:t>
      </w:r>
    </w:p>
    <w:p>
      <w:pPr>
        <w:pStyle w:val="BookText"/>
        <w:rPr/>
      </w:pPr>
      <w:r>
        <w:rPr>
          <w:rFonts w:ascii="Amiri" w:hAnsi="Amiri" w:eastAsia="Amiri" w:cs="Amiri"/>
          <w:color w:val="111111"/>
          <w:sz w:val="28"/>
          <w:sz w:val="28"/>
          <w:szCs w:val="28"/>
          <w:rtl w:val="true"/>
          <w:lang w:bidi="ar-SA"/>
        </w:rPr>
        <w:t>تسقط إرادة بعض الأفراد بالتخصيص فلا موجب لسقوط الباقي، بل يبقى العام حجة في دلالاتها التضمنية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حمل كلام المحقق الأنصاري قدس سره هذا على إرادة مرحلة الدلالة الإستعمالية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وأشكلوا عليه بأنّ الدلالة الإستعمالية هي الدلالة على إخطار المعنى الموضوع له اللفظ في الذهن السامع؛ فإذا لم يرد العموم فقد استعمل اللفظ فيغير ما وضع له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طبق المحقق الخراساني قدس سره وغيره هذا البيان على مرحلة الدلالة الجدّية للكلام؛ بمعنى أنّ هناك دلالات جدّية بعدد الأفراد، فكلّ فرد يشمله العموم يكون داخلاً في المراد الجدّي للمتكلم فإذا سقطت بعض تلك الدلالات فلا وجه لسقوط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 ذلك إن تم في العام الإستغراقي فإنَّه لا يتم في العام المجموعي؛ إذ لا يوجد فيه دلالات تصديقية عديدة بعدد أفراد العام، بل هناك دلالة تصديقية واحدة على إرادة المجموع كموضوع واحد ذي حكم، مع إنّ العام حجة في الباقي مطلقاً بلا فرق بين العام الإستغراقي والعام المجموعي</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الإنتصار لما ذهب إليه الشيخ الأعظم قدس سره من دون أن يرد عليه الإشكال والإعتراض عليه؛ بأنّ المتكلم لما قصد إخطار المعنى في ذهن السامع وأنه قاصد لاستعمال اللفظ في المعنى وهو عموم اللفظ في المقام فإنّ السامع والمتكلم يعلمان بأنّ العرف قد أعطى للمتكلم حق نصب القرينة في تعيين مرامه وتفسير مراده؛ فإنّ العموم المستفاد من اللفظ قد ينثلم بنصب ما يدل على التخصيص وإخراج بعض الأفراد عن حكم العام سواء كان ذلك الإخراج لفرد أو أفراد عن مجموعة أفراد أم كان الإخراج فرداً عن جمع معين؛ فإنّ نظر العرف في ذلك العموم لا يختلف في بقاءه على العموم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المحاورات مبنية على المواضعات العرفية لا الدقيات العقلية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المحقق النائيني قدس سره من أنّ تقدّم الخاص على العام بملاك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 المراد بالقرينة ما يعدّه المتكلم إعداداً نوعياً لتفسير دلالة أخرى وتحويل مفادها إلى مفاد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العرف يرى بأنّ القرينة لا تنافي ذي القرينة لأنَّها تعيّن المراد النهائي للمتكلم وتجعل لمجموع كلامه مفاداً نهائياً يكون هو المقصود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يرجع إلى ما ذكرناه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فصلّ السيد الصدر كلام المحقق النائيني بما لا يرجع إلى محصل بعد معلومية الملاك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أشكلوا على هذه المحاولة بأنها لم تبين حجية العام في تمام الباقي إلا أنّ أصحابها حاولوا تخريج الملاك على الوجه الذي ذكره أصحاب المحاولة السابقة والتي استشكل عليها بأنها لا تفي بحلّ الإشكال في العام المجموعي، وقد عرفت الجواب عنه آنفاً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محاولات أخرى لا تخلو عن مناقشة؛ فإذا أمكن إرجاعها إلى ما ذكرناه، وإلا فلا وجه لذكرها وإطالة الكلام فيها</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التخصيص بالمنفصل؛ بأن يكون الدال على التخصيص بخطاب منفصل عن خطاب العام، وما ذكرناه في التخصيص المتصل يجري في المقام أيضاً باعتبار أنّ التخصيص سواء كان متصلاً أم منفصلاً مبني علىالقرينة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هناك عرف عام على أنّ القرينة إذا عدّت نوعاً بحيث تكون مبيّنة الدلالة محدّدة المراد النهائي من الكلام فلا يفرق فيه حينئذٍ بين أن تكون القرينة متصلة أو منفصلة، وعلى هذا الأساس يمكن إرجاع من قال بأنّ أدوات العموم وضعت لعموم ما يراد من مدخوله، وهو يتوقف على عدم البيان المتصل والمنفصل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حاجة إلى إدراجه في الإطلاق ومقدمات الحكمة حتى يستشكل عليه بأنّ المراد من عدم البيان هو الذي أجرى مقدمات الحكمة هو عدم البيان المتصل كما إنه يمكن إرجاع ما قيل بأنّ تقديم الخاص على العام لكونه أظهر وأقوى دلالة </w:t>
      </w:r>
    </w:p>
    <w:p>
      <w:pPr>
        <w:pStyle w:val="BookText"/>
        <w:rPr/>
      </w:pPr>
      <w:r>
        <w:rPr>
          <w:rFonts w:ascii="Amiri" w:hAnsi="Amiri" w:eastAsia="Amiri" w:cs="Amiri"/>
          <w:color w:val="111111"/>
          <w:sz w:val="28"/>
          <w:sz w:val="28"/>
          <w:szCs w:val="28"/>
          <w:rtl w:val="true"/>
          <w:lang w:bidi="ar-SA"/>
        </w:rPr>
        <w:t>لأنَّه يرجع إلى القرينية الثابتة في الحالتين؛ المتصلة والمنفصلة، كما إنه لا حاجة إلى إضافة مصادرة زائدة في وجه تقديم الخاص المنفصل بأن يقال أنّ إعداد البيان الأخص لكي يكون مفسراً لما هو المراد من العام لا يختص بفرض الإتصال، بل يجري في فرض الإنفصال أيضاً فإنّ كل ذلك تطويل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تكون القرينة المتصلة هادمة للظهور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والقرينة المنفصلة ربما تكون هادمة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بحث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والمتحصل من جميع ذلك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سيرة العقلاء استقرت على تقديم الخاص على العام مطلقاً؛ سواء كانا قطعيين من حيث السند والدلالة أو ظنيين كذلك، أو بالإختلاف لأنّ الخاص قرينة للتصرف في العام، وتقديم القرينة على ذيها من القطعيات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بين كونهما في كلام واحد أو كانا في خطابين فيقدم الخاص على العام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دأب العقلاء في المحاورات ملاحظة النسبة بين القرينة وذيها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الكلام في المطلق والمقيد مع تحقيق شرائط التقييد التي فيها إحراز وحدة المطلوب كما تقدم تفصيله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القول بأنّ تعدد الخطاب هو حقيقة مفروضة في شريعة خاتم الأنبياء صلی الله علیه و آله و سلم فهو مِمّا لا وجه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ألسنة المعصومين علیهم السلام من بدء البعثة إلى بدء الغيبة الكبرى لسان واحد ويحكي عن واحد، فلا تلاحظ النسبة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وكيف كان؛ فما ذكره الأصوليون في المقام كله تطويل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التخصيص والحكومة؛ وقد ذكروا بينهما فروقاً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التخصيص من شؤون الألفاظ، والحكومة من شؤون المعاني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اللفظ طريق إلى المعنى وبالتالي يصير التخصيص من شؤون المعنى</w:t>
      </w:r>
      <w:r>
        <w:rPr>
          <w:rFonts w:eastAsia="Amiri" w:cs="Amiri" w:ascii="Amiri" w:hAnsi="Amiri"/>
          <w:color w:val="111111"/>
          <w:sz w:val="28"/>
          <w:szCs w:val="28"/>
          <w:rtl w:val="true"/>
          <w:lang w:bidi="ar-SA"/>
        </w:rPr>
        <w:t xml:space="preserve">. </w:t>
      </w:r>
      <w:bookmarkStart w:id="270" w:name="pg15367_181123"/>
    </w:p>
    <w:p>
      <w:pPr>
        <w:pStyle w:val="BookText"/>
        <w:rPr/>
      </w:pPr>
      <w:bookmarkEnd w:id="27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إجمال الحاكم يرجع إلى المحكوم مطلقاً متصلاً كان أم منفصلاً، بخلاف الخاص فإنَّه إن كان منفصلاً وتردد بين الأقل والأكثر فإنَّه يؤخذ بالعام بالنسبة إلى الأكثر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يمكن القول بذلك في الحكومة أيضاً 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التخصيص يكون للتضييق دائماً، بخلاف الحكومة فإنها ربما توسّع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يمكن استفادة التوسعة من التخصيص أيضاً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يضيّق 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ويوسع دائرة الفساق لتشمل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وجوهاً أخرى، وهي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ذكرناه في حق الحكومة من أنها مبنية على النظر، والقرينة الشخصية بخلاف التخصيص فلا يتقوم بذلك، وهو عمدة الفرق بينهما</w:t>
      </w:r>
      <w:r>
        <w:rPr>
          <w:rFonts w:eastAsia="Amiri" w:cs="Amiri" w:ascii="Amiri" w:hAnsi="Amiri"/>
          <w:color w:val="111111"/>
          <w:sz w:val="28"/>
          <w:szCs w:val="28"/>
          <w:rtl w:val="true"/>
          <w:lang w:bidi="ar-SA"/>
        </w:rPr>
        <w:t>.</w:t>
      </w:r>
    </w:p>
    <w:p>
      <w:pPr>
        <w:pStyle w:val="Heading5"/>
        <w:numPr>
          <w:ilvl w:val="4"/>
          <w:numId w:val="1"/>
        </w:numPr>
        <w:rPr/>
      </w:pPr>
      <w:bookmarkStart w:id="271" w:name="__RefHeading___Toc5900672_2142443653"/>
      <w:bookmarkStart w:id="272" w:name="_Toc101"/>
      <w:bookmarkEnd w:id="271"/>
      <w:r>
        <w:rPr>
          <w:rtl w:val="true"/>
        </w:rPr>
        <w:t>الأمر الثالث</w:t>
      </w:r>
      <w:r>
        <w:rPr>
          <w:rtl w:val="true"/>
        </w:rPr>
        <w:t xml:space="preserve">: </w:t>
      </w:r>
      <w:r>
        <w:rPr>
          <w:rtl w:val="true"/>
        </w:rPr>
        <w:t>النص والظاهر والأظهر</w:t>
      </w:r>
      <w:bookmarkEnd w:id="272"/>
    </w:p>
    <w:p>
      <w:pPr>
        <w:pStyle w:val="Heading6"/>
        <w:numPr>
          <w:ilvl w:val="5"/>
          <w:numId w:val="1"/>
        </w:numPr>
        <w:rPr/>
      </w:pPr>
      <w:bookmarkStart w:id="273" w:name="__RefHeading___Toc5900674_2142443653"/>
      <w:bookmarkStart w:id="274" w:name="_Toc102"/>
      <w:bookmarkEnd w:id="273"/>
      <w:r>
        <w:rPr>
          <w:rtl w:val="true"/>
        </w:rPr>
        <w:t>اشارة</w:t>
      </w:r>
      <w:bookmarkEnd w:id="274"/>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وهي من الشائعات في المحاورات ولا يطلق أحدها على الآخر؛ لا عرفاً ولا لغة ولا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تقديم النص على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ريب في تقديم الأظهر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لصلاحية النص للتصرف فيهما دون 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الأمر كذلك بالنسبة إلى الأظهر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ذلك من المسلّمات عند أهل المحاورة كالتسالم على اعتبار الظواهر، فلا نحتاج إلى إقامة دليل من الخارج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من أجل هذا اعتبر ذلك من موارد الجمع العرفي وهو من الوضوح بمكان، ولا حاجة إلى إطالة الكلام فيه ولكن دأب الأصوليين التفصيل والإطالة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وكيف كان؛ فقد ذكروا بأنّ النص والأظهر والظاهر من الدلالات المتنافية ولكن تمتاز أحدها عن الأخريين بالصراحة أو الأقوائية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 ذلك يقع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النص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الأظهر والظاهر في خطاب واحد؛ فقد قالوا بأن النص يهدم ظهور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الأظهر يهدم ظهور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ذكروا في تخريج ذلك وجوهاً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وقوع التزاحم بين المقتضيين للظهور التصوري من كل منهما في مقام التأثير لتعيين الصورة النهائية المستقرة في الذهن من اللفظ فيتغلب المقتضي الأقوى في مقام التأثير الذي يكون في النص أو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إنعقاد الظهور التصديقي على طبق ما يكون الظهور التصوري على نحو آكد وأقوى فيرجع إلى أنّ المتكلم يكون قاصداً للمعنى الأظهر في موارد صدور كلامين مختلفين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قاعدة القرينة على التفصيل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ذلك خارج عن الخطّ المحاوري العرفي مع ما تقدم من الإشكال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من أنّ العرف المحاوري قائم على أنّ للنص صلاحية التصرف في الأظهر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للأظهر هذه الصلاحية في التصرف في الظاهر، وهو من المسلمات المحاورية فلا حاجة إلى إقامة البرهان على ذلك</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ذلك في خطابين منفصلين؛ والكلام فيه كالكلام في السابق، إلا أنهم قالوا بأنّ الوجوه الثلاثة لا تجري في هذا القسم فلا بُدَّ منمصادر إضافية كما ذكر في تقديم الخاص المنفصل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بعض المحاولات فيما سبق فإنها تجري في النص والظاهر، والأظهر والظاهر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عرفت الإشكال فيها وإنه لا حاجة إلى ذلك كله بعد وضوح الأمر ومسلّمية الحكم عند أهل المحاورة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قاعدة تقديم النص والأظهر مطلقاً إنَّما يمكن الإعتماد عليها وإعمالها فيما إذا كانت النصوصية والأظهرية ثابتة مستندة إلى اللفظ وثابتة في الكلام بحسب ما يكتنفه من القرائن والملابسات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تكفي النصوصية المتولدة من مجرد علم خارجي يحصل بالصدفة وتستند إلى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انتفى في الخارج احتمال في أحدهما وهو موجود في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يرجع إلى أنّ تقديم النص والأظهر إنَّما كان بملاك الظهور أو القرينية أو التزاحم بين المقتضيين في مقام التأثير كما قيل، وكل ذلك ينحصر بما إذا كان للخطاب درجة من الكشف والظهور ليكون قرينة أو أقوى اقتضاءً من الآخر، فلا يشمل مجرد حصول علم لدى السامع ولو لم يكن من ظهور اللفظ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تفصيله في بحث الظهور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تخريج الجمع بين الخبرين المتعارضين بحمل ما يوافق منهما للعامة على التقية على أساس الجمع العرفي وتطبيق قانون النصوصية أو الأظهرية على الخبرين المتعارضين إذا كان أحدهما موافقاً للعامة والآخر مخالفاً لهم؛ وذلك من جهة اختلافهما في درجة الظهور في الجدّية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هذا وإن أمكن قبوله إلا أنّ جعله من موارد الجمع العرفي فيه نوع مسامحة، لأنّ الرجوع إلى هذا الجمع لا يصحّ إلا بعد عدم إمكان التوصل إلى الجمع العرفي بأحد الأنحاء التي تقدم ذكرها من التقييد والتخصيص والأظهرية والظاهرية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هذا الجمع طولياً بالنسبة إلى تلك الأنحاء لأنَّها أكثر شيوعاً وعموميةً من الجمع بلحاظ مرحلة الدلالة الجدّية؛ لما عرفت من أنّ إرادةَ المقيد من المطلق، أو الخاص من العام بناءٌ </w:t>
      </w:r>
      <w:bookmarkStart w:id="275" w:name="pg15367_181126"/>
    </w:p>
    <w:p>
      <w:pPr>
        <w:pStyle w:val="BookText"/>
        <w:rPr/>
      </w:pPr>
      <w:bookmarkEnd w:id="275"/>
      <w:r>
        <w:rPr>
          <w:rFonts w:ascii="IRNazanin" w:hAnsi="IRNazanin" w:eastAsia="IRNazanin"/>
          <w:color w:val="111111"/>
          <w:sz w:val="28"/>
          <w:sz w:val="28"/>
          <w:szCs w:val="28"/>
          <w:rtl w:val="true"/>
          <w:lang w:bidi="fa-IR"/>
        </w:rPr>
        <w:t>نوعي عقلائي، بخلاف إرادة التقية مِمّا ظاهره الجدّ فإنها عناية شخصية لظروف الإمام علیه السلام إلا أن تكون هذه الحالة قد بلغت من الكثرة بحيث عمّ البلوى بها مِمّا يجعلها في مصافّ الخاص والمقيد في الشيوع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يبعد حصول ذلك في بعض الأوقات، كما لا يخفى على الخبير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وبذلك ننهي الكلام عن التعارض غير المستقر الذي لا يسري إلى دليل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يرتفع بأدنى معالجة بتقديم الوارد والحاكم والخاص والمقيد والأظهر؛ وغير ذلك من موارد الجمع العرفي، فتنتفي المعارضة بسهولة وأدنى تفكّر</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5900676_2142443653"/>
      <w:bookmarkStart w:id="277" w:name="_Toc103"/>
      <w:bookmarkEnd w:id="276"/>
      <w:r>
        <w:rPr>
          <w:rtl w:val="true"/>
        </w:rPr>
        <w:t>ختام فيه أمران</w:t>
      </w:r>
      <w:bookmarkEnd w:id="27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إنه في موارد الجمع العرفي إنَّما يتقدم أحد الدليلين على الآخر كما في الخاص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والمقيد على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والحاكم على المحكوم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بملاك الظهور والقرينة بينهما؛ ولا ريب أنّ العرف لم يلاحظ النسبة بين القرينة وذيها، ومن أجل ذلك قلنا بأنّ النسبة لم تلاحظ بين العام والخاص وكونهما قطعيين أو ظنيين أو بالاختلاف، كما لم تلحظ النسبة بين دليلهما؛ فإذا حكم العرف بتقديم أحد الدليلين في أقسام التعارض غير المستقر على الآخر لم تلاحظ النسبة بين دليل حجيتهما، ومع ذلك فقد وقع الكلام والنقاش في ملاحظة النسبة بينهما، ولكنه مجرد بحث نظري لا تترتب عليه أية ثمرة علمية؛ فقد ذهب المحقق النائيني قدس سره </w:t>
      </w:r>
      <w:r>
        <w:rPr>
          <w:rStyle w:val="FootnoteAnchor"/>
          <w:rtl w:val="true"/>
        </w:rPr>
        <w:footnoteReference w:id="226"/>
      </w:r>
      <w:r>
        <w:rPr>
          <w:rFonts w:ascii="Amiri" w:hAnsi="Amiri" w:eastAsia="Amiri" w:cs="Amiri"/>
          <w:color w:val="111111"/>
          <w:sz w:val="28"/>
          <w:sz w:val="28"/>
          <w:szCs w:val="28"/>
          <w:rtl w:val="true"/>
          <w:lang w:bidi="ar-SA"/>
        </w:rPr>
        <w:t>إلى أنّ نسبة دليل الخاص إلى دليل العام هي نسبة الحكومة بمعنى أن الخاص رافع لموضوع حجية العام تعبداً لا وجداناً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آخرون إلى أن النسبة بينهما نسبة الورود أي أن الخاص يرفع موضوع العام وجداناً لا تعبداً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تمسك القائلون بالأول بأنّ دليل الحجية قد أخذ في موضوعه مجموع أمرين؛ الظهور وعدم العلم بإرادة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فالعلم إذا ورد حجية أحدهما في قباله كالخاص علمنا بإرادة خلاف العموم منه، ولكنه علم تعبدي لا وجداني فيكون حكومة لا وروداً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 بالثاني بأنّ العام مقيدٌ حجةً بعدم نصب الخاص قرينة على خلافه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ورود الخاص يرتفع ما هو موضوع الحجية عن العام حقيقة ووجداناً فيكون وروداً لا حكومة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النزاعَ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مضافاً إلى إنه لا ثمرة علمية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لفظيٌ؛ فإنّ حجية العام إنَّما تأتي من ناحية الظهور الذي اعتمد عليه العقلاء في محاوراتهم وهم يرفعون اليد عنها إذا وردت حجة في قبالها، واللفظ كاشف عنها؛ فما يطرأ على الكاشف يطرأ على المنكشف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بالعكس فلا وجه لملاحظة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أنه يتقدم الخاص على العام ويخصص به من دون ملاحظة النسبة بينهما؛ لكون الخاص قرينة على التصرف في العام، والعرف المحاوري قائم على عدم ملاحظة النسبة بين القرينة وذيها؛ فلا إشكال في تقديم الخاص وإن كان ظنياً سنداً أو دلالة على العام وإن كان قطعياً سنداً أو 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الأصوليون تقريبات لذلك، وكلها ترجع بالتالي إلى ما ذكرناه، وهي</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التقريب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سند الخاص الظني إذا كان حجة عند العقلاء فإنّ سيرتهم العملية قد انعقدت على العمل بالخاص في مورد معارضة العام، وتخصيص الأخير به كما انعقدت سيرة المتشرعة منذ عصر الأئمة علیهم السلام على العمل بالروايةالمخصصة لعموم أو إطلاق ولو كانا في دليل قطعي السند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فتطابقت السيرتان العقلائية والمتشرعية في ذلك</w:t>
      </w:r>
      <w:r>
        <w:rPr>
          <w:rFonts w:eastAsia="IRNazanin" w:cs="IRNazanin"/>
          <w:color w:val="111111"/>
          <w:sz w:val="28"/>
          <w:szCs w:val="28"/>
          <w:rtl w:val="true"/>
          <w:lang w:bidi="fa-IR"/>
        </w:rPr>
        <w:t xml:space="preserve">. </w:t>
      </w:r>
      <w:bookmarkStart w:id="278" w:name="pg15367_181128"/>
    </w:p>
    <w:p>
      <w:pPr>
        <w:pStyle w:val="BookText"/>
        <w:rPr/>
      </w:pPr>
      <w:bookmarkEnd w:id="278"/>
      <w:r>
        <w:rPr>
          <w:rFonts w:ascii="Amiri" w:hAnsi="Amiri" w:eastAsia="Amiri" w:cs="Amiri"/>
          <w:color w:val="111111"/>
          <w:sz w:val="28"/>
          <w:sz w:val="28"/>
          <w:szCs w:val="28"/>
          <w:rtl w:val="true"/>
          <w:lang w:bidi="ar-SA"/>
        </w:rPr>
        <w:t>التقريب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التمسك بإطلاق الأدلة اللفظية التي تثبت حجية السند كما تقدم بيان ذلك في بحث حجية الخبر؛ فإنَّه بناءً عليه يقدَّم الخاص الظني على دلالة العام في فرض إجمال في السيرة العملية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القول بأنّ التمسك بالدليل اللفظي يتوقف على أن يكون متعرضاً لكبرى الحجية مطلقاً بصراحة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كذلك بأن كان في مقام بيان الحجية بما هو المرتكز لدى العرف مِمّا استغنى معه عن الصراحة فلا ينعقد له 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ذلك في بحث حجية الخبر والجواب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في السيرة العملية غنىً وكفاية سواء ثبت الإطلاق للأدلة اللفظية؛ كما هو المختار، أم لم يثبت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التقريب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فرض أنّ سند الخاص لم يكن حجة عند العقلاء وإنما ثبت حجيته بدليل شرعي، فلم يعمل العقلاء بالخاص الظني السند وكان اعتمادهم على عموم العام، ومع ذلك لا بُدَّ من العمل بالخاص وتقديم سنده؛ لأنّ السيرة العقلائية قامت على العمل بكل ظهور على نحو القضية الحقيقية لا القضية الخارجية ما لم تثبت قرينة على الخلاف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ثبتت حجية دليل عند الشارع كان صالحاً لإثبات القرينة ورفع حجية ذلك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جميع ذلك يرجع إلى ما ذكرناه من أنّ الخاص قرينة؛ وهي مقدمة على ذيها في كل الأحوال كما لا يخفى على الخبير</w:t>
      </w:r>
      <w:r>
        <w:rPr>
          <w:rFonts w:eastAsia="Amiri" w:cs="Amiri" w:ascii="Amiri" w:hAnsi="Amiri"/>
          <w:color w:val="111111"/>
          <w:sz w:val="28"/>
          <w:szCs w:val="28"/>
          <w:rtl w:val="true"/>
          <w:lang w:bidi="ar-SA"/>
        </w:rPr>
        <w:t>.</w:t>
      </w:r>
    </w:p>
    <w:p>
      <w:pPr>
        <w:pStyle w:val="Heading6"/>
        <w:numPr>
          <w:ilvl w:val="5"/>
          <w:numId w:val="1"/>
        </w:numPr>
        <w:rPr/>
      </w:pPr>
      <w:bookmarkStart w:id="279" w:name="__RefHeading___Toc5900678_2142443653"/>
      <w:bookmarkStart w:id="280" w:name="_Toc104"/>
      <w:bookmarkEnd w:id="279"/>
      <w:r>
        <w:rPr>
          <w:rtl w:val="true"/>
        </w:rPr>
        <w:t>الشروط العامة للتعارض غير المستقر</w:t>
      </w:r>
      <w:bookmarkEnd w:id="280"/>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بعدما عرفت حكم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وموارد الجمع العرفي التي يرتفع فيها التعارض بين الدليلين المتنافيين، وقد تقدم أنّ في مورد التعارض غير المستقر لا يسري التعارض إلى دليل الحجية فإنَّه يمكن استخلاص الشروط العامة لهذا القسم من التعارض من جميع ما </w:t>
      </w:r>
    </w:p>
    <w:p>
      <w:pPr>
        <w:pStyle w:val="BookText"/>
        <w:rPr/>
      </w:pPr>
      <w:r>
        <w:rPr>
          <w:rFonts w:ascii="Amiri" w:hAnsi="Amiri" w:eastAsia="Amiri" w:cs="Amiri"/>
          <w:color w:val="111111"/>
          <w:sz w:val="28"/>
          <w:sz w:val="28"/>
          <w:szCs w:val="28"/>
          <w:rtl w:val="true"/>
          <w:lang w:bidi="ar-SA"/>
        </w:rPr>
        <w:t>ذكرناه، وأنه ليس كل تعارض بين دليلين وتنافٍ في الدلالتين يكون من التعارض غير المستقر والذي له أحكام خاصة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المتكلم بالكلامين اللذين يجمع بينهما بأحد أنحاء الجمع العرفي واحداً أوبحكم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تعدد المتكلم فلا يتأتى الجمع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الشرط يكون واضحاً في الموارد التي يبتني الجمع العرفي فيها على القرينة كالحكومة والتخصيص والتقييد، وإنَّما يختص بالقرينة الصادرة من نفس الشخص الذي صدر منه ذو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الأمر في الورود، إلا أنه قد يكون فيه نوع خفاء لأنّ الورود قد تلاحظ فيه الجهة الإنشائية للدليل الوارد بأن كان متكفلاً لجعل مولوي يقتضي رفع موضوع الجعل في الدليل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إشكال في ملاحظة الشرط المزبور فيه لأنّ رافعيةَ جعلٍ لموضوعِ جعلِ موضوعٍ آخر إنَّما تدخل في تشريعات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فرض أنّ شخصاً أناط حكمه بعدم صدور الحكم من الآخر يكون الحكم من الآخر وارداً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ليس من التعارض مطلقاً، وإذا نسب التعارض إليه فإنَّما يكون مصطنعاً، وأما إذا كان الملاحظ في الورود هو الجنبة الإخبارية؛ بأن يكون الوارد متكفلاً للإخبار عن عدم انطباق موضوع المورود على 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يتوقف هذا على وحدة المصدر للوارد والمورود كما لا يخفى</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المراد من كون المتكلم بحكم واحد، وهم المتكلمون المتعددون الذين يمثلون جهة واحدة كما بالنسبة إلى الأئمة المعصومين علیهم السلام فإنهم واحد يحكون عن واحد من بدء البعثة إلى بداية الغيبة الكبرى؛ فإنّ كلامهم واحد فقد يكون المتكلم منهم في صدر البعثة والشارح </w:t>
      </w:r>
    </w:p>
    <w:p>
      <w:pPr>
        <w:pStyle w:val="BookText"/>
        <w:rPr/>
      </w:pPr>
      <w:r>
        <w:rPr>
          <w:rFonts w:ascii="Amiri" w:hAnsi="Amiri" w:eastAsia="Amiri" w:cs="Amiri"/>
          <w:color w:val="111111"/>
          <w:sz w:val="28"/>
          <w:sz w:val="28"/>
          <w:szCs w:val="28"/>
          <w:rtl w:val="true"/>
          <w:lang w:bidi="ar-SA"/>
        </w:rPr>
        <w:t>المفسر يكون في بداية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الأمر بالنسبة إلى أشخاص غير معصومين إذا كانوا يمثلّون جهة واحدة في غير الشريعة فإنَّه يسري الجمع العرفي في كلماتهم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الإطمئنان بصدور الخطابين اللذين بينهما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علم إجمالاً بعدم صدور أحدهما فإنَّه يكون من موارد التعارض المستقر، ولا تصل النوبة إلى الجمع العرفي الذي هو علاج للتعارض الدلالي الحاصل بين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الإجمالي بكذب أحدهما لا يكون التعارض بين مدلولي الخطابين، بل يكون بين نفس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العلم الإجمالي بكذب أحدهما لا يكون التعارض بين مدلولي الخطابين، بل يكون بين نفس الخطابين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للجمع العرفي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التعارض مستقراً وسارياً إلى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يستلزم من الجمع العرفي إلغاء دلالة ذي القرينة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يبقى مجالاً للتعبد بمقدار دلالة ذي القرينة، وإلا فلا مجال لإعمال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والوجه في هذا الشرط هو أنه مع عدم إمكان التعبد بدلالة ذي القرينة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المفروض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التعارض حينئذٍ يرجع إلى دليل التعبد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فليست المعارضة في الحقيقة بين القرينة وذي القرينة بحسب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هذه الصورة أنّ التعبد بالسند مع الجمع العرفي غير ممكن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يعني أنّ التعارض يكون بين سند القرينة وسند ذي القرينة وهذا هو معنى سريان التعارض إلى دليل حجية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التساقط بعد فقْد المرجح</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الطرح قال بعض الأصوليين</w:t>
      </w:r>
      <w:r>
        <w:rPr>
          <w:rStyle w:val="FootnoteAnchor"/>
          <w:rtl w:val="true"/>
        </w:rPr>
        <w:footnoteReference w:id="227"/>
      </w:r>
      <w:r>
        <w:rPr>
          <w:rFonts w:ascii="Amiri" w:hAnsi="Amiri" w:eastAsia="Amiri" w:cs="Amiri"/>
          <w:color w:val="111111"/>
          <w:sz w:val="28"/>
          <w:sz w:val="28"/>
          <w:szCs w:val="28"/>
          <w:rtl w:val="true"/>
          <w:lang w:bidi="ar-SA"/>
        </w:rPr>
        <w:t xml:space="preserve">بعدم إدراج الحمل على التقية من موارد الجمع العرفي بين الدليلين لما تقدم من إنه بلحاظ ظهورهما التصديقي فيالإرادة الجدّية </w:t>
      </w:r>
    </w:p>
    <w:p>
      <w:pPr>
        <w:pStyle w:val="BookText"/>
        <w:rPr/>
      </w:pPr>
      <w:r>
        <w:rPr>
          <w:rFonts w:ascii="Amiri" w:hAnsi="Amiri" w:eastAsia="Amiri" w:cs="Amiri"/>
          <w:color w:val="111111"/>
          <w:sz w:val="28"/>
          <w:sz w:val="28"/>
          <w:szCs w:val="28"/>
          <w:rtl w:val="true"/>
          <w:lang w:bidi="ar-SA"/>
        </w:rPr>
        <w:t>يكون المخالف للعامة نصّاً في الإرادة الجدّية دون الآخر فيؤوّل غير النص على أساس النص حيث ذكر بأنّ هذا الجمع ليس صحيحاً لأنّ حمل الموافق عل التقية يوجب إلغاء التعبد بدلالته رأساً، ومعه لا يمكن شمول دليل التعبد بالسند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فيقع التعارض بين التعبد بالسندين، ومعه لا ينفع إمكان الجمع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الكلام في أصل اعتبار دليل هذا الشرط؛ فقد ذهب بعضهم إلى عدم صحة هذا الشرط لأنّ دليل التعبد بالسند مقيَّد لبّاً بوجوب أثر عملي لمفاد السند المتحصل بعد ملاحظة سائر القرائن؛ فإذا فرض المفاد العرفي للسند المتحصل بعد ملاحظة القرائن لم يكن له أثر فهو خارج عن موضوع دليل التعبد بالسند، وهذا يعني أنّ التعبد بالسند بشموله لسند القرينة يقتضي كون المفاد العرفي لذي القرينة سنخ مفاد لا أثر عملي له، ومعه يخرج سند ذي القرينة موضوعاً عن دليل التعبد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عليه بأنّ دليل التعبد بالسند إنَّما يشمل كل خبر يترتب عليه الأثر عرفاً مطلقاً على سبيل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يترتب عليه الأثر يدخل في موضوعه وإن كان هذا الأثر يزول بالجمع العرفي مع القرينة أو بانتفاء موضوعه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غير المستقر بين الدليلين ذاتياً قائماً على أساس التناقض أو التضاد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التعارض بالعرض وعلى أساس العلم الإجمالي بمخالفة مدلول أحدهما للواقع فلا يمكن تطبيق قواعد الجمع العرفي حينئذٍ بأن يقدَّم أقوى الدليلين؛ كما لو فرض ورود أمر بصلاة الظهر في يوم الجمعة الظاهر في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وورود دليل آخر صريح في وجوب صلاة الجمعة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 من الخارج بعدم جعل فريضتين على المكلف في وقت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جعل الدليل الصريح قرينة لحمل الأمر بالظاهر على الإستحباب</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ذكر بعضهم</w:t>
      </w:r>
      <w:r>
        <w:rPr>
          <w:rStyle w:val="FootnoteAnchor"/>
          <w:rtl w:val="true"/>
        </w:rPr>
        <w:footnoteReference w:id="228"/>
      </w:r>
      <w:r>
        <w:rPr>
          <w:rFonts w:ascii="Amiri" w:hAnsi="Amiri" w:eastAsia="Amiri" w:cs="Amiri"/>
          <w:color w:val="111111"/>
          <w:sz w:val="28"/>
          <w:sz w:val="28"/>
          <w:szCs w:val="28"/>
          <w:rtl w:val="true"/>
          <w:lang w:bidi="ar-SA"/>
        </w:rPr>
        <w:t xml:space="preserve">أن هذا الشرط قد استفيد من كلمات المحقق النائيني قدس سره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عليه بأحد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القياس على الخاص والعام إذا علم إجمالاً بكذب أحدهما؛ كما تقدم في 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لا يقدم أقوى الدليلين على أضعفهما إذا علم إجمالاً بكذب مفاد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قياس المقام بموارد اشتباه الحجة باللاحجة، وذلك لأنّ العلم الإجمالي بكذب أحد الدليلين يوجب سقوط معلوم الكذب عن الحجية واقعاً فيكون أحدهما غير حجة في نفسه، فيدخل في مورد معارضة دليلين علم بعدم حجية أحدهما تفصيلاً، ثم اشتبه الأمر وتردد غير الحجة مع الحجة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يحكم بتقديم أقوى الظهورين كما هو واضح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الحجة هو الظهور الذي لم تقم قرينة على خلافه ولم يعلم مخالفته للواقع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في المقام فإنّ العلم الإجمالي بالمخالفة وإن كان متحقَّقاً ولكن نسبته إلى كل واحد منهما على حدٍّ سواء، فتكون نسبته احتمالية لا يقينية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فالقياس على مورد العلم التفصيلي بعدم حجية أحدهما المعين ثم اشتباهه بالحجة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تقديم أقوى الظهورين على أضعفهما إنَّما يكون بملاك القرينيية واعتبار كون الأقوى ظهوراً مفسراً للمراد من الظهور الأضعف، وهذا إنَّما يصحّ فيما إذا كان الدليل الأقوى متعرضاً بمفاده لمفاد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العلم الإجمالي بكذب أحدهما لا يجدي في ذلك</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قلنا بأنّ كل تعارض بالعرض يرجع بعد التحليل إلى تعارض بالذات بين المدلول الإلتزامي لكل من الخطابين مع المدلول المطابقي للآخر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ويحلّ هذا التعارض بالجمع العرفي وقوانينه بحمل المدلول الأضعف على ما يوافق الدليل الأقوى على تقدير وجود كذب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دور العلم الإجمالي الحقيقي هو إحراز هذا التقدير لا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فالأمر بناءً عليه يكون واضحاً</w:t>
      </w:r>
      <w:r>
        <w:rPr>
          <w:rFonts w:eastAsia="Amiri" w:cs="Amiri" w:ascii="Amiri" w:hAnsi="Amiri"/>
          <w:color w:val="111111"/>
          <w:sz w:val="28"/>
          <w:szCs w:val="28"/>
          <w:rtl w:val="true"/>
          <w:lang w:bidi="ar-SA"/>
        </w:rPr>
        <w:t xml:space="preserve">. </w:t>
      </w:r>
      <w:bookmarkStart w:id="281" w:name="pg15367_181133"/>
    </w:p>
    <w:p>
      <w:pPr>
        <w:pStyle w:val="BookText"/>
        <w:rPr/>
      </w:pPr>
      <w:bookmarkEnd w:id="281"/>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موارد التعارض بالعرض لا يصلح أن يكون الدليل الأقوى من الدليلين للقرينية عل الدليل الأضعف وهدم ظهوره؛ لأنّ نسبة العلم الإجمالي بالخلاف إليهما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عدم صلاحية أقوى الدليلين للقرينية على أضعف الدليلين في مورد التعارض بالعرض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ملاك القرينية وتقديم الأقوى على الأضعف محفوظ في المقام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العلم الإجمالي لا يوجب سلب القرينية وانثلام الظهور من كلا الدليلين كما هو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فرق في تطبيق قواعد الجمع العرفي والتعارض غير المستقر بين أن يكون التعارض بين الدليلين بالذات أو بالعرض إلا أنّ الفرق بينهما من ناحية أخرى تقدم الكلام فيها فراجع</w:t>
      </w:r>
      <w:r>
        <w:rPr>
          <w:rFonts w:eastAsia="Amiri" w:cs="Amiri" w:ascii="Amiri" w:hAnsi="Amiri"/>
          <w:color w:val="111111"/>
          <w:sz w:val="28"/>
          <w:szCs w:val="28"/>
          <w:rtl w:val="true"/>
          <w:lang w:bidi="ar-SA"/>
        </w:rPr>
        <w:t>.</w:t>
      </w:r>
    </w:p>
    <w:p>
      <w:pPr>
        <w:pStyle w:val="Heading6"/>
        <w:numPr>
          <w:ilvl w:val="5"/>
          <w:numId w:val="1"/>
        </w:numPr>
        <w:rPr/>
      </w:pPr>
      <w:bookmarkStart w:id="282" w:name="__RefHeading___Toc5900680_2142443653"/>
      <w:bookmarkStart w:id="283" w:name="_Toc105"/>
      <w:bookmarkEnd w:id="282"/>
      <w:r>
        <w:rPr>
          <w:rtl w:val="true"/>
        </w:rPr>
        <w:t>ثمرات الجمع العرفي ونتائجه</w:t>
      </w:r>
      <w:bookmarkEnd w:id="283"/>
    </w:p>
    <w:p>
      <w:pPr>
        <w:pStyle w:val="BookText"/>
        <w:rPr/>
      </w:pPr>
      <w:r>
        <w:rPr>
          <w:rFonts w:ascii="Amiri" w:hAnsi="Amiri" w:eastAsia="Amiri" w:cs="Amiri"/>
          <w:color w:val="111111"/>
          <w:sz w:val="28"/>
          <w:sz w:val="28"/>
          <w:szCs w:val="28"/>
          <w:rtl w:val="true"/>
          <w:lang w:bidi="ar-SA"/>
        </w:rPr>
        <w:t>بعد معرفة موارد تطبيق قواعد الجمع العرفي على الدليلين المتعارضين؛ يقع البحث عن نتائجها بلحاظ كل من الدليل الغالب والدليل المغلوب بعد معلومية الأخذ بمفاد الدليل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حال الدليل المغلوب وتشخيص ما يتبقى له من مدلول فيُتصور على أنحاء</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يبقى للدليل المغلوب مدلول عملي رأساً؛ وحينئذٍ يخرج عن موضوع دليل الحجية تخصصاً كما تقدم بيانه في البحث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موارد الحمل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موارد الحمل على جملة خبرية غير مولوية بقرينة منفصلة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عرفت في الشرط الثالث أنه ربما يستشكل في عدم شمول دليل الحجية لمثل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يشمل كل حالة ظهور عرفي على سبيل القضية الحقيقية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سقوطها عن الفعلية لأجل عارض لا يستلزم عدم شمول الدليل له فيكون نظير صدور خطاب من متكلم لم يجد له مخاطبين في البين حين الخطاب، أو أنهم كانوا ولكنهم </w:t>
      </w:r>
    </w:p>
    <w:p>
      <w:pPr>
        <w:pStyle w:val="BookText"/>
        <w:rPr/>
      </w:pPr>
      <w:r>
        <w:rPr>
          <w:rFonts w:ascii="Amiri" w:hAnsi="Amiri" w:eastAsia="Amiri" w:cs="Amiri"/>
          <w:color w:val="111111"/>
          <w:sz w:val="28"/>
          <w:sz w:val="28"/>
          <w:szCs w:val="28"/>
          <w:rtl w:val="true"/>
          <w:lang w:bidi="ar-SA"/>
        </w:rPr>
        <w:t>هلكوا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يستلزم القول بسقوط الظهور عن الحجية وعدم شمول دليلها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محتفظاً بتمام مدلوله؛ كما هو الحال قبل الجمع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الجمع العرفي بالورود التي يتحقق التنافي فيها بين الجعلين، وإنما يكون بين المجعولين في مقام الفعلية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يبقى الدليل المغلوب محتفظاً بجزء من مدلوله بعد الإقتطاع منه بجزء آخر؛ كما في موارد التخصيص والتقييد التي يبقى العام والمطلق حجة في الباقي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للدليل المغلوب مفاداً يغاير مفاده الأول؛ وإنما يعيّنه الدليل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موارد الحكومة التفسيرية بحيث يحدد الحاكم مفاداً يغاير مفاد المحكوم قبل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يثبت للدليل المغلوب مفاداً يغاير مفاده الأول لكن يعيّنه الدليل المغلوب نفسه؛ وهذا إنَّما يتصور فيما إذا كان للدليل المغلوب أكثر معنى واحد وإن كان ظاهراً في أحدها الذي عارضه الدليل الغالب، وحينئذٍ؛ إن كان المعنى الآخر البديل للمعنى الأول الذي رفعنا اليد عنه بالدليل الغالب لا يحتاج إلى عناية زائدة فلا إشكال، وأما إذا احتاج إلى عناية زائدة بأن كانت هناك مجازات عديدة للفظ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تعيين أحدها بالخصوص من افتراض ظهور ثانوي للدليل المغلوب في إرادة ذلك المعنى بعد عدم إرادة معناه الحقيقي الأول</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ولكل واحد من هذه الأنحاء أمثلة فقهية معروفة في الفقه، وقد تجتمع في مورد واحد كما في المثال المعروف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الدليل على الإستحباب بعد ورود دليل يدلّ على الترخيص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ذلك يختلف باختلاف المباني في دلالة الأمر على الوجوب؛ فإن قلنا بأنه مستفاد من </w:t>
      </w:r>
    </w:p>
    <w:p>
      <w:pPr>
        <w:pStyle w:val="BookText"/>
        <w:rPr/>
      </w:pPr>
      <w:r>
        <w:rPr>
          <w:rFonts w:ascii="Amiri" w:hAnsi="Amiri" w:eastAsia="Amiri" w:cs="Amiri"/>
          <w:color w:val="111111"/>
          <w:sz w:val="28"/>
          <w:sz w:val="28"/>
          <w:szCs w:val="28"/>
          <w:rtl w:val="true"/>
          <w:lang w:bidi="ar-SA"/>
        </w:rPr>
        <w:t xml:space="preserve">حكم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المحقق النائيني قدس سره ومن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الوجوب مدلولاً لفظياً للأمر، فيندرج هذا المثال في النحو الثاني حيث لا يكون أي تنافٍ بين مدلول دليل الترخيص مع الأمر، فيبقى دليله محتفظاً بتمام مدلوله وهو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الذي ارتفع موضوعه هو حكم العقل بالوجوب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قلنا بأنّ الوجوب يستفاد من الأمر بإطلاق وجريان مقدمات الحكمة فإنّ إطلاق الطلب يقتضي الطلب المطلق؛ وهو معنى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هذا المثال من النحو الثالث الذي يتبقى فيه للدليل المغلوب جزء من مدلوله وهو أصل الطلب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قلنا بأنّ الأمر يدل على الوجوب بالوضع فإنَّه لا بُدَّ من حملة على الإستحباب فيكون من النحو الخامس، لأنّ للأمر ظهور وضعي أوّلي في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ثانوي في الإستحباب عند عدم إرادة الوجوب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والمناط في الحجية هو الظهور دائماً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يكن للكلام ظهور في المعنى المراد إثباته لا يمكن تعيينه من بين المعاني المحتملة</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وبذلك ننهي الكلام في القسم الأول من التعارض وهو التعارض غير المستقر والحمد لله أولاً وآخراً</w:t>
      </w:r>
      <w:r>
        <w:rPr>
          <w:rFonts w:eastAsia="Amiri" w:cs="Amiri" w:ascii="Amiri" w:hAnsi="Amiri"/>
          <w:color w:val="111111"/>
          <w:sz w:val="28"/>
          <w:szCs w:val="28"/>
          <w:rtl w:val="true"/>
          <w:lang w:bidi="ar-SA"/>
        </w:rPr>
        <w:t xml:space="preserve">. </w:t>
      </w:r>
      <w:bookmarkStart w:id="284" w:name="pg15367_181136"/>
    </w:p>
    <w:p>
      <w:pPr>
        <w:pStyle w:val="Heading6"/>
        <w:numPr>
          <w:ilvl w:val="5"/>
          <w:numId w:val="1"/>
        </w:numPr>
        <w:rPr/>
      </w:pPr>
      <w:bookmarkStart w:id="285" w:name="__RefHeading___Toc5900682_2142443653"/>
      <w:bookmarkStart w:id="286" w:name="_Toc106"/>
      <w:bookmarkEnd w:id="284"/>
      <w:bookmarkEnd w:id="285"/>
      <w:r>
        <w:rPr>
          <w:rtl w:val="true"/>
        </w:rPr>
        <w:t>القسم الثاني</w:t>
      </w:r>
      <w:r>
        <w:rPr>
          <w:rtl w:val="true"/>
        </w:rPr>
        <w:t xml:space="preserve">: </w:t>
      </w:r>
      <w:r>
        <w:rPr>
          <w:rtl w:val="true"/>
        </w:rPr>
        <w:t>التعارض المستقر</w:t>
      </w:r>
      <w:bookmarkEnd w:id="286"/>
    </w:p>
    <w:p>
      <w:pPr>
        <w:pStyle w:val="Heading6"/>
        <w:numPr>
          <w:ilvl w:val="5"/>
          <w:numId w:val="1"/>
        </w:numPr>
        <w:rPr/>
      </w:pPr>
      <w:bookmarkStart w:id="287" w:name="__RefHeading___Toc5900684_2142443653"/>
      <w:bookmarkStart w:id="288" w:name="_Toc107"/>
      <w:bookmarkEnd w:id="287"/>
      <w:r>
        <w:rPr>
          <w:rtl w:val="true"/>
        </w:rPr>
        <w:t>تمهيد</w:t>
      </w:r>
      <w:bookmarkEnd w:id="288"/>
    </w:p>
    <w:p>
      <w:pPr>
        <w:pStyle w:val="Heading6"/>
        <w:numPr>
          <w:ilvl w:val="5"/>
          <w:numId w:val="1"/>
        </w:numPr>
        <w:rPr/>
      </w:pPr>
      <w:bookmarkStart w:id="289" w:name="__RefHeading___Toc5900686_2142443653"/>
      <w:bookmarkStart w:id="290" w:name="_Toc108"/>
      <w:bookmarkEnd w:id="289"/>
      <w:r>
        <w:rPr>
          <w:rtl w:val="true"/>
        </w:rPr>
        <w:t>اشارة</w:t>
      </w:r>
      <w:bookmarkEnd w:id="290"/>
    </w:p>
    <w:p>
      <w:pPr>
        <w:pStyle w:val="BookText"/>
        <w:rPr/>
      </w:pPr>
      <w:r>
        <w:rPr>
          <w:rFonts w:ascii="Amiri" w:hAnsi="Amiri" w:eastAsia="Amiri" w:cs="Amiri"/>
          <w:color w:val="111111"/>
          <w:sz w:val="28"/>
          <w:sz w:val="28"/>
          <w:szCs w:val="28"/>
          <w:rtl w:val="true"/>
          <w:lang w:bidi="ar-SA"/>
        </w:rPr>
        <w:t>تقدم أنّ التعارض إذا أُطلق أُريد به هذا القسم، أما القسم السابق فإنّ إطلاق التعارض عليه تسامحي لأنَّه بدوي يرتفع بأدنى نظر وفكر؛ وهو عبارة عن عدم إمكان تشريع الحكمين ثبوتاً مع اجتماع شرائط الحجية في دليليهما، ومنشؤه التنافي بين الدليلين على نحو يسري إلى دليل الحجية فيقع التنافي في مقتضى دليل الحجية العام الشامل للدليلين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هذا النحو من التعارض إنَّما يكون في الموارد التي لا يمكن فيها تطبيق أنحاء الجمع العرفي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إنّ التعارض من الأمور الشائعة في جميع العلوم، بل هو متحقق في العرفيات ولا يختص بالفقه وأدلته، ويمتنع عادةً والحال هذه؛ أن لا يكون للعقلاء في حلّه بناء مستمر أو سيرة مستمرة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ذلك لا بُدَّ أولاً من تحقيق بناء العقلاء في مورد التعارض، ثم الرجوع إلى الأدلة الشرعية؛ فإن كان هناك ردعٌ عن بناءهم فهو المتبع لا محالة، وإلا فيكفي عدم ثبوت الردع في اعتبار بناءهم في هذا الأمر العام البلوى كسائر السير العقلائية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أنّ التعارض من الأمور الشائعة في جميع العلوم ولا يختص بأدلة الفقه، فلا بُدَّ أن يكون للعقلاء فيه حكم معين، وإذا تأملنا في سيرتهم نجدهم يحكمون بالفطرة في مورد التعارض بالاعتماد على دعائم ثلاث</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الدعامة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الحجية الفعلية للمتعارضين، لأنّ حجيتهما معاً غير معقولة، وحجية أحدهما بالخصوص ترجيح بلا مرجح، وهو مرفوض عند جميع العقلاء أيضاً فتبقى الحجية الإقتضائية فقط من دون أن تكون حجية فعلية في مورد تعارض الدليلين، وهو مِمّا تحكم </w:t>
      </w:r>
    </w:p>
    <w:p>
      <w:pPr>
        <w:pStyle w:val="BookText"/>
        <w:rPr/>
      </w:pPr>
      <w:r>
        <w:rPr>
          <w:rFonts w:ascii="Amiri" w:hAnsi="Amiri" w:eastAsia="Amiri" w:cs="Amiri"/>
          <w:color w:val="111111"/>
          <w:sz w:val="28"/>
          <w:sz w:val="28"/>
          <w:szCs w:val="28"/>
          <w:rtl w:val="true"/>
          <w:lang w:bidi="ar-SA"/>
        </w:rPr>
        <w:t>به الفطرة في جميع موارد التعارض مطلقاً، وقد اتفق عليه العلماء أيضاً وجعلوه أصلاً مسلّماً عندهم، بل اعتبروه من الأصول العقلائية لديهم، وهو بناء على الطريقية المحضة التي استقرت عليها السيرة في الحجج العقلائية مِمّا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بناءً على السببية فقد يستشكل في ذلك، وإن ذهب جمع من الأصوليين منهم السيد الوالد قدس سره </w:t>
      </w:r>
      <w:r>
        <w:rPr>
          <w:rStyle w:val="FootnoteAnchor"/>
          <w:rtl w:val="true"/>
        </w:rPr>
        <w:footnoteReference w:id="229"/>
      </w:r>
      <w:r>
        <w:rPr>
          <w:rFonts w:ascii="Amiri" w:hAnsi="Amiri" w:eastAsia="Amiri" w:cs="Amiri"/>
          <w:color w:val="111111"/>
          <w:sz w:val="28"/>
          <w:sz w:val="28"/>
          <w:szCs w:val="28"/>
          <w:rtl w:val="true"/>
          <w:lang w:bidi="ar-SA"/>
        </w:rPr>
        <w:t>إلى صحة ذلك حتى بناء على السببية سواء كانت من السببية الباطلة أم السببية الصحيحة التي هي عبارة عن وجود المصلحة السلوكية المتداركة للواقع عند التخلّف، لأنّ الظاهر عدم وجود القائل بتحقق مصلحتين كذلك في صورة التعارض، وعلى فرض وجود القول بذلك فيكون من التزاحم في المصلحة السلوكية، إذ يمكن ثبوتاً جعل المصلحة كذلك في كل منهما إن لم يمكن تصوير ذلك في السببية الباطلة لأنّ مورد التزاحم ما كان ثبوته ممكناً، والمفروض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الحجية الإقتضائية ثابتة لا محذور فيها، إذ لا تعارض في مقام الإقتضاء وإنما هو في المرتبة الفعلية والتأثير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تسقط الحجية الفعلية مع كون المتعارضين حجة في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الثالث يستند إلى التفحص والنظر في الأدلة وعدم الظفر به، لا أن يكون مستنداً إلى المتعارضين</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نفي الثالث مستند إلى الدلالة الإلتزامية، وهي تابعة للدلالة المطابقية لا أنها تابعة لحجية المدلول المطابقي؛ ولا ريب في أنّ أصل الدلالة شيء وحجيتها شيء آخر، والساقط بالتعارض هو الثاني دون الأول من دون فرق في ذلك بين الإلزاميات وغيرها كالمندوبات ونحوها</w:t>
      </w:r>
      <w:r>
        <w:rPr>
          <w:rFonts w:eastAsia="Amiri" w:cs="Amiri" w:ascii="Amiri" w:hAnsi="Amiri"/>
          <w:color w:val="111111"/>
          <w:sz w:val="28"/>
          <w:szCs w:val="28"/>
          <w:rtl w:val="true"/>
          <w:lang w:bidi="ar-SA"/>
        </w:rPr>
        <w:t xml:space="preserve">. </w:t>
      </w:r>
      <w:bookmarkStart w:id="291" w:name="pg15367_181138"/>
    </w:p>
    <w:p>
      <w:pPr>
        <w:pStyle w:val="BookText"/>
        <w:rPr/>
      </w:pPr>
      <w:bookmarkEnd w:id="291"/>
      <w:r>
        <w:rPr>
          <w:rFonts w:ascii="Amiri" w:hAnsi="Amiri" w:eastAsia="Amiri" w:cs="Amiri"/>
          <w:color w:val="111111"/>
          <w:sz w:val="28"/>
          <w:sz w:val="28"/>
          <w:szCs w:val="28"/>
          <w:rtl w:val="true"/>
          <w:lang w:bidi="ar-SA"/>
        </w:rPr>
        <w:t>الدعامة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العقلاء بعد سقوط الحجية الفعلية يسعون بالتأمّل والتفحص إلى إيصال الحجية الإقتضائية إلى المرتبة الفعلية بإعمال ما يمكن أن يصير منشأً لذلك من المرجّحات التي لا تضبطها ضابطة كلية، فهي مختلفة باختلاف الموارد والأشخاص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 هذا أيضاً من الأمور الفطرية التي لا تحتاج إلى دليل وبرهان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الدعامة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بعد استقرار التحيّر المطلق واليأس عن الظفر على المرجح من كل حيثية وجهة فإنّ فطرتهم تبعث إلى التخيير، وهو تخيير عقلائي، وقد يكون عقلياً كما في موراد دوران الأمر بين المحذورين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الأمور الثلاثة إنَّما يغني الوجدان فيها عن إقامة البرهان، وتجري في جميع موارد التعارض كالبينات المتعارضة القائمة على الموضوعات وأقوال اللغويين والمفسرين وأهل الرجال وآراء المجتهدين وغير ذلك مِمّا يقع فيه التعارض والتنافي ويكون مورداً للإبتلاء، فإن ثبت من الشرع ما يكون رادعاً فيتبّع، وإلا فما حكم به العقلاء هو المتبّع، ولتوضيح ما تقدم لا بُدَّ من بيان أمور</w:t>
      </w:r>
      <w:r>
        <w:rPr>
          <w:rFonts w:eastAsia="Amiri" w:cs="Amiri" w:ascii="Amiri" w:hAnsi="Amiri"/>
          <w:color w:val="111111"/>
          <w:sz w:val="28"/>
          <w:szCs w:val="28"/>
          <w:rtl w:val="true"/>
          <w:lang w:bidi="ar-SA"/>
        </w:rPr>
        <w:t>:</w:t>
      </w:r>
    </w:p>
    <w:p>
      <w:pPr>
        <w:pStyle w:val="Heading6"/>
        <w:numPr>
          <w:ilvl w:val="5"/>
          <w:numId w:val="1"/>
        </w:numPr>
        <w:rPr/>
      </w:pPr>
      <w:bookmarkStart w:id="292" w:name="__RefHeading___Toc5900688_2142443653"/>
      <w:bookmarkStart w:id="293" w:name="_Toc109"/>
      <w:bookmarkEnd w:id="292"/>
      <w:r>
        <w:rPr>
          <w:rtl w:val="true"/>
        </w:rPr>
        <w:t>الأمر الأول</w:t>
      </w:r>
      <w:r>
        <w:rPr>
          <w:rtl w:val="true"/>
        </w:rPr>
        <w:t>:</w:t>
      </w:r>
      <w:r>
        <w:rPr>
          <w:rtl w:val="true"/>
        </w:rPr>
        <w:t>في كيفية تحصيل الأدلة الشرعية</w:t>
      </w:r>
      <w:bookmarkEnd w:id="293"/>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في مباحث بيان خلاف علماء الإسلام في كيفية تحصيل الأدلة الشرعية والمصادر المعتبرة في أنها من باب الطريقية إلى الواقع أو من باب السببية والموضوعية، وتبيّن أنّ لهم في ذلك نظريتين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النظرية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المعروف عند الإمامية، بل المتفق عليه أنها معتبرة من باب الطريقية المحضة؛ فقد جعلها المشرع حجة من جهة كشفها عن الواقع لمصلحة التسهيل على نوع المكلفين من دون أن تحدث مصلحة للمكلف بقيامها كما هو الظاهر من أدلتها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اتفق أصحابنا عليه؛ حيث لم يذهب أحد إلى أنّ الأمارات لم تنصب طريقاً إلى الواقع ولم يذكر أحد بأنه لا حجة معتبرة طريقاً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النظرية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تكون باب السببية والموضوعية؛ بأن كانت حجيتها من جهةِ أنّ بقيامها توجد مصلحة للمكلف بالإتيان بمؤداها وتوجب حكم الشارع على طبقها، وهي تتصور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منسوب إلى المعتزلة وهو قيام المصلحة في مؤدى الحجة عند مخالفتها للواقع، نظير العنوان الثانوي العارض على العمل فإنَّه يوّلد فيه مصلحة جديدة توجب حكماً جديداً، فيكون قيام الأمارة مثل ما إذا اضطر إلى الشيء يكون فيه مصلحة، وبناء على هذا المعنى في السببية يجب العمل بالأمارة حتى مع العلم التفصيلي بمخالفتها للواقع فضلاً عن العلم الإجمالي، وبهذه المصلحة تُتدارك مصلحة الواقع لو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هذا الوجه وبين الطريقية المحضة؛ هو أنّ المصلحة على الطريقية مجرد تسهيل للمكلف، وهي موجودة مع الأمارة سواء طابقت الواقع أم خالفته، وأما على هذا الوجه من السببية فإنّ المصلحة تكون في مؤدى الأمارة إذا خالفت الواقع وأما إذا وافقته فإنّ الواقع هو الذي يكون متنجزاً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وهذه السببية المنسوبة إلى المعتزلة باطلة؛ لأنَّها توجب انقلاب الواقع كما هو عليه بقيام الأمارة على خلافه، وقد قام الإجماع على أنّ حكم الله في الواقعة لا يتغير ولا يتبدل بقيام الأمارة عليه، وأنّ الأخبار قد دلت على أنّ حلال الله الذيجاء به النبي صلی الله علیه و آله و سلم حلال إلى يوم القيامة، وحرامه حرام إلى يوم القيامة</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 xml:space="preserve">وعَنْ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بَعَثَ مُحَمَّداً نَبِيّاً فَلَا نَبِيَّ بَعْدَهُ؛ أَنْزَلَ عَلَيْهِ الْكِتَابَ فَخَتَمَ بِهِ الْكُتُبَ فَلَا كِتَابَ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أَحَلَّ فِيهِ حَلَالَهُ وحَرَّمَ فِيهِ حَرَامَهُ؛ فَحَلَالُهُ حَلَالٌ إِلَى يَوْمِ الْقِيَامَةِ وحَرَامُهُ حَرَامٌ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فالواقع لا يتبدل بقيام الأمارة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هذه النظرية يكون حكم المتعارضين نظير حكمها بناء على الطريقية لأنّ الأدلة التي دلت على حجية الأمارات واحدة على كلتا النظريتين؛ فإنّ العلم بكذب أحد الدليلين في مورد التعارض يوجب سقوطهما عن الحجية، إلا أن يقال بأنّ المانع من شمول أدلة حجية الأمارات للأمارة التي يعلم بكذبها بناءً على الطريقية هو ارتفاع طريقيتها وزوال كشفها الذي هو الملاك لحجيتها، بخلاف نظرية السببية بهذا المعنى، فإنّ الملاك لحجيتها هو المصلحة الحادثة في متعلقها؛ وهي موجودة حتى مع العلم بكذب الأمارة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تعارض الأمارتين من قبيل طروّ عنوانين ثانويين على موضوعين لا يمكن إتيانهما معاً فيدخل من باب التزاحم إذا كانا حكمين الزاميين قد تعلقا بمتضادين، والحكم هو التخيير المسمى بالتخيير التنجيزي؛ لتنجز التكليف فيه بالوصول للمكلف وإنما طرأ العجز في مقام الإمتثال، وإنّ دليل التعبد يشمل كلا الخطابين مع وجود المصلحة الملزمة في كل منهما، والعقل يحكم بالتخيير إذا لم يكن ترجيح في البين، وقد تقدم تفصيل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لو كان الخطابان قد تعلقا بغير متضادين كالظهر والجمعة فإنَّه يكون من باب دوران الأمر بين المحذورين فيكون التخيير عقلياً، وأما إذا تعلقا بفعل الشيء وتركه فإنّ الحكم هو التخيير أيضاً، ويسمى هذا التخيير بالتخيير اللاحرجي؛ بمعنى أنه لا حرج في الفعل أو الترك لمكان الإلزام المردد بينهما فلا تجري الأصول العملية كالبراءة في هذه الموارد؛ فإنّ العقل يحكم بالتخيير بينهما وعدم الحرج في ارتكاب أيّهما شاء</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المنسوبة إلى الأشاعرة بمعنى عدم ثبوت حكم للشارع في الواقع أصلاً، وإنما الواقع يثبت بقيام الأمارة فتكون فتوى المجتهد سبباً لجعل الحكم على طبقها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السببية هي التي عُبّر عنها بالتصويب الأشعري، وبناء عليه؛ فالحكم تابع لرأي المجتهد، فلا تزاحم في حقه لأنّ ما أدى إليه رأيه هو حكم الله في حقه؛ فعند التعارض إما </w:t>
      </w:r>
    </w:p>
    <w:p>
      <w:pPr>
        <w:pStyle w:val="BookText"/>
        <w:rPr/>
      </w:pPr>
      <w:r>
        <w:rPr>
          <w:rFonts w:ascii="Amiri" w:hAnsi="Amiri" w:eastAsia="Amiri" w:cs="Amiri"/>
          <w:color w:val="111111"/>
          <w:sz w:val="28"/>
          <w:sz w:val="28"/>
          <w:szCs w:val="28"/>
          <w:rtl w:val="true"/>
          <w:lang w:bidi="ar-SA"/>
        </w:rPr>
        <w:t>أن يرجّح في نظره أحدهما على الآخر فيكون مؤدى ما اختاره هو حكم الله في حقه، وإما أن يؤدي إلى التخيير بينهما وحينئذٍ يكون الحكم الواقعي هو التخيير الشرعي بين مؤداهما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يتوهم أنّ تعارض الأمارتين بناءً على هذه السببية لا يكون من باب التزاحم أصلاً لأنَّه في المتعارضين يعلم بموافقة أحدهما للواقع، والمفروض أنه بقيام الأمارة المخالفة للواقع يوجب زوال فعلية الحكم الواقعي وتنجزه، فلو بقي على فعليته وتنجزه لوجب الإتيان به مع احتمال وجوده كما هو الحال فيما قبل التفحّص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فرض زوال فعليته وتنجزه فلا يكون ما دلّ عليه مزاحماً مع ما دلت الأخرى عليه لسقوط مطلوبيته، فيكون المتعارضان حينئذٍ من قبيل معارضة ما دلّ على الحكم غير المنجّز مع ما دل على الحكم المنجّز فلا يكونان متزاحمين، بل إنّ المنجّز منهما واحد وهو المخالف للواقع دون الموافق له، ولا يمكن أن يكون كلاهما موافقين للواقع لتنافيهما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كان كلاهما مخالفين للواقع وقع التزاحم بينهما، إلا أنّ المتعارضين لا يحرز فيهما ذلك وإنما هو أمر محتمل فيهما، فلا يحرز موضوع التزاحم فلا بُدَّ أن يعاملان معاملة اشتباه الحجة باللاحجة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هذا التوهم بأنّ المفروض أنّ بقيام الأمارة الموافقة للواقع يتنجز الواقع؛ بمعنى أنه بقيامها تتأكد مصلحة الواقع أو تزداد بحيث تجعل الواقع منجزاً أو مطلوباً مثل مطلوبيته مؤدى الأمارة المخالفة له، فيقع التزاحم بينهما</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السببية بمعنى ثبوت المصلحة في نفس سلوك الأمارة</w:t>
      </w:r>
      <w:r>
        <w:rPr>
          <w:rStyle w:val="FootnoteAnchor"/>
          <w:rtl w:val="true"/>
        </w:rPr>
        <w:footnoteReference w:id="232"/>
      </w:r>
      <w:r>
        <w:rPr>
          <w:rFonts w:ascii="Amiri" w:hAnsi="Amiri" w:eastAsia="Amiri" w:cs="Amiri"/>
          <w:color w:val="111111"/>
          <w:sz w:val="28"/>
          <w:sz w:val="28"/>
          <w:szCs w:val="28"/>
          <w:rtl w:val="true"/>
          <w:lang w:bidi="ar-SA"/>
        </w:rPr>
        <w:t xml:space="preserve">ويتدارك بها ما يفوت مصلحة الواقع عند المخالفة حتى لو زالت طريقيتها للواقع؛ كما لو علم إجمالاً بكذبها بحيث يكون قيام الأمارة المخالفة مانعاً عن فعلية الحكم الواقعي لكون سلوك الأمارة غالبة على مصلحة الواقع، فالحكم الواقعي فعليّ في حق من لم تقم عنده الأمارة </w:t>
      </w:r>
    </w:p>
    <w:p>
      <w:pPr>
        <w:pStyle w:val="BookText"/>
        <w:rPr/>
      </w:pPr>
      <w:r>
        <w:rPr>
          <w:rFonts w:ascii="Amiri" w:hAnsi="Amiri" w:eastAsia="Amiri" w:cs="Amiri"/>
          <w:color w:val="111111"/>
          <w:sz w:val="28"/>
          <w:sz w:val="28"/>
          <w:szCs w:val="28"/>
          <w:rtl w:val="true"/>
          <w:lang w:bidi="ar-SA"/>
        </w:rPr>
        <w:t>المخالفة، وأما من قامت عنده الأمارة المخالفة فإنّ الحكم الواقعي فيه شأنيّ؛ إذ لو بقى على فعليته لوجب الإتيان به عند احتماله، فيكون الواجب عند قيام الأمارة هو الإتيان بمؤداها؛ هو ومتعلق الحكم المحتمل، ويمكن تصوير السببية بهذا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الشيخ الأنصاري قدس سره </w:t>
      </w:r>
      <w:r>
        <w:rPr>
          <w:rStyle w:val="FootnoteAnchor"/>
          <w:rtl w:val="true"/>
        </w:rPr>
        <w:footnoteReference w:id="233"/>
      </w:r>
      <w:r>
        <w:rPr>
          <w:rFonts w:ascii="Amiri" w:hAnsi="Amiri" w:eastAsia="Amiri" w:cs="Amiri"/>
          <w:color w:val="111111"/>
          <w:sz w:val="28"/>
          <w:sz w:val="28"/>
          <w:szCs w:val="28"/>
          <w:rtl w:val="true"/>
          <w:lang w:bidi="ar-SA"/>
        </w:rPr>
        <w:t>في أول مباحث الظن اختياره لهذا النحو من السببية، كما ينسب ذلك أيضاً إلى المحقق النائيني قدس سره ، ولكن هذه السببية مخالفة لأدلة حجية الأمارات لا سيما الأمارات العقلائية التي أمضاها الشارع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قبولها فإنَّه عند تعارض الأمارتين يكون الكلام فيه مثل الكلام في السببية بالمعنى الأول، غاية الأمر أنّ المصلحة كانت في الأول في متعلق الأمارة المخالفة، وفي الثاني تكون في سلوك الأمارة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يستشكل على هذا المعنى من السببية بأنّ المصلحة السلوكية فرع كونها طريقاً معتبراً للواقع، ولا يمكن جعل المتعارضين طريقين للزوم التناقض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جعل الشارع تابع لحدوث المصلحة، لا أنّ المصلحة توجد بجعل الشارع؛ فمع فرض حصولها بقيام الأمارة يتحقق الجعل إلا أنه غير منجز</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الشارع لما علم بأنّ المصلحة ملزمة؛ فإذا تحقق التنافي بينها بحيث لا يمكن الجمع في امتثالها كانت كما يتنافى أفراد الواجب بعضها مع بعض كإنقاذ الغريق، فيقع بينهما التزاحم فيكون قيام الأمارتين مثل ذلك، وحيث إنّ الإطاعة والإمتثال بيد العقل، وهو يحكم في مثل هذه بلزوم الأخذ بالراجح منهما أو محتمل الأرجحية والتخيير عند تساويهما كما هو شأن المتزاحمين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لا فرق بين القول بالطريقية وبين القول بالسببية في تحقق التعارض بين الأحكام المتزاحمة، لأنّ أدلة الحجية والإعتبار تدل على وجوب السلوك، فيتزاحم الطريقان في وجوب السلوك مطلقاً سواء قلنا بالطريقية والسببية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التزاحم في الحكم الذي دلّ الدليلان عليه حتى يقال بأنه لا تزاحم فيما إذا تعارضا بالسلب والإيجاب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قلنا بغيرهما كمثال الظهر والجمعة، أو يقال بأنّ الحكم الدال عليه أحدهما فعلّي دون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مِمّا ذكر في نفي التزاحم، كما تقدم بيانه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وقد نسب إلى بعض الأعلام</w:t>
      </w:r>
      <w:r>
        <w:rPr>
          <w:rStyle w:val="FootnoteAnchor"/>
          <w:rtl w:val="true"/>
        </w:rPr>
        <w:footnoteReference w:id="234"/>
      </w:r>
      <w:r>
        <w:rPr>
          <w:rFonts w:ascii="Amiri" w:hAnsi="Amiri" w:eastAsia="Amiri" w:cs="Amiri"/>
          <w:color w:val="111111"/>
          <w:sz w:val="28"/>
          <w:sz w:val="28"/>
          <w:szCs w:val="28"/>
          <w:rtl w:val="true"/>
          <w:lang w:bidi="ar-SA"/>
        </w:rPr>
        <w:t>الذهاب إلى عدم التزاحم بناءً على السببية 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 الحجية لا يشمل المتعارضين، فلا يكون فيهما مصلحة تقتضي الحكم على طبقها، فلا تزاحم بينهما من قبيل الحجتين غير المعتبرتين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مانع من شمول الأدلة لهما لانطباق العنوان الوارد فيها على كل واحد من المتعارضين، ولكن المرجح هو العقل في بقاء الحكم بعد التعارض أو زواله عنهما أو عن أحدهما كما تقدم بيانه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السيد اليزدي قدس سره </w:t>
      </w:r>
      <w:r>
        <w:rPr>
          <w:rStyle w:val="FootnoteAnchor"/>
          <w:rtl w:val="true"/>
        </w:rPr>
        <w:footnoteReference w:id="235"/>
      </w:r>
      <w:r>
        <w:rPr>
          <w:rFonts w:ascii="Amiri" w:hAnsi="Amiri" w:eastAsia="Amiri" w:cs="Amiri"/>
          <w:color w:val="111111"/>
          <w:sz w:val="28"/>
          <w:sz w:val="28"/>
          <w:szCs w:val="28"/>
          <w:rtl w:val="true"/>
          <w:lang w:bidi="ar-SA"/>
        </w:rPr>
        <w:t>وتبعه جمعٌ من أنّ شرط التزاحم هو العجز عن الإمتثال لا عدم إمكان جعل التكليف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المقام لا يمكن جعل التكليف لأنّ المتعارضين إذا دلّ أحدهما على الحكم والآخر على عدمه؛ إما بالمطابقة؛ كما لو دلّ أحدهما على وجوب شيء والآخر على عدمه، أو بالإلتزام؛ كما لو دلّ أحدهما على وجوب شيء والآخر يدل على حرمته، أو يدل على وجوب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والمفروض أنّ قيام الأمارة على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بناء على السببية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يوجب حدوث المصلحة التي تقتضي إنشاء الحكم على طبقها، </w:t>
      </w:r>
      <w:bookmarkStart w:id="294" w:name="pg15367_181144"/>
    </w:p>
    <w:p>
      <w:pPr>
        <w:pStyle w:val="BookText"/>
        <w:rPr/>
      </w:pPr>
      <w:bookmarkEnd w:id="294"/>
      <w:r>
        <w:rPr>
          <w:rFonts w:ascii="Amiri" w:hAnsi="Amiri" w:eastAsia="Amiri" w:cs="Amiri"/>
          <w:color w:val="111111"/>
          <w:sz w:val="28"/>
          <w:sz w:val="28"/>
          <w:szCs w:val="28"/>
          <w:rtl w:val="true"/>
          <w:lang w:bidi="ar-SA"/>
        </w:rPr>
        <w:t>وقيام الأمارة على عدمه يوجب عدم المصلحة التي تقتضي عدم الحكم، فيلزم اجتماع المصلحة وعدمها في شيءواحد، ومحال في حدّ نفسه إنشاء للحكم على طبقها لمحالية تحقق المصلحة التي تقتضيه، ويتأكد ذلك في المتعارضين بالوجوب والحرمة لشيء واحد لأنّ فيه اجتماع للضدين؛ إذ يلزم حدوث المصلحة الملزمة والمفسدة الملزمة في شيء واحد، وهو محال، فلم يمكن إنشاء الحكم على طبقهما حتى يتحقق التزاحم بينهما في مقام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التكليف في هذه الصورة إن كان بفعل الشيء وتركه على نحو الإجتماع يكون من التكليف بغير المقدور، وإن كان على نحو التخيير بينهما فإنَّه يكون من طلب الحاصل لعدم خلّو المكلف عنها فيكون تكليفه بأحدهما تخييراً يكون لغواً، فلا تكليف حتى يتحقق التزاحم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السببية يكون قيام الأمارة موجباً لحدوث المصلحة الملزمة لإنشاء الحكم على طبقها فإنّ المشرّع على طبق ذلك أنشأ وجوب العمل بها وجعل القانون بوجوب متابعتها، فإذا وجد فردان لا يمكن العمل بهما معاً وقع التزاحم بينهما فيكون كل واحد منهما يجب سلوكه وجوباً فعلياً، لأنَّه مقتضى سببية الخبرين للحكمين ولكنه عاجز عن امتثالهما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مِمّا يهوّن الخطب أنه في السببية الباطلة لا وجه للقول بالتزاحم لأنّ مورده فيما إذا كان ثبوته ممكناً، والمفروض عدم إمكانه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السببية الصحيحة يمكن القول بالتزاحم في المصلحة السلوكية، فإنَّه من الممكن ثبوتاً جعل المصلحة كذلك في كل منهما، ولكن لا قائل بتحقق مصلحتين كذلك، فافهم</w:t>
      </w:r>
      <w:r>
        <w:rPr>
          <w:rFonts w:eastAsia="Amiri" w:cs="Amiri" w:ascii="Amiri" w:hAnsi="Amiri"/>
          <w:color w:val="111111"/>
          <w:sz w:val="28"/>
          <w:szCs w:val="28"/>
          <w:rtl w:val="true"/>
          <w:lang w:bidi="ar-SA"/>
        </w:rPr>
        <w:t>.</w:t>
      </w:r>
    </w:p>
    <w:p>
      <w:pPr>
        <w:pStyle w:val="Heading6"/>
        <w:numPr>
          <w:ilvl w:val="5"/>
          <w:numId w:val="1"/>
        </w:numPr>
        <w:rPr/>
      </w:pPr>
      <w:bookmarkStart w:id="295" w:name="__RefHeading___Toc5900690_2142443653"/>
      <w:bookmarkStart w:id="296" w:name="_Toc110"/>
      <w:bookmarkEnd w:id="295"/>
      <w:r>
        <w:rPr>
          <w:rtl w:val="true"/>
        </w:rPr>
        <w:t>الأمر الثاني</w:t>
      </w:r>
      <w:r>
        <w:rPr>
          <w:rtl w:val="true"/>
        </w:rPr>
        <w:t xml:space="preserve">: </w:t>
      </w:r>
      <w:r>
        <w:rPr>
          <w:rtl w:val="true"/>
        </w:rPr>
        <w:t>في استيعاب التعارض لمدلول الدليلين</w:t>
      </w:r>
      <w:bookmarkEnd w:id="296"/>
    </w:p>
    <w:p>
      <w:pPr>
        <w:pStyle w:val="Heading6"/>
        <w:numPr>
          <w:ilvl w:val="5"/>
          <w:numId w:val="1"/>
        </w:numPr>
        <w:rPr/>
      </w:pPr>
      <w:bookmarkStart w:id="297" w:name="__RefHeading___Toc5900692_2142443653"/>
      <w:bookmarkStart w:id="298" w:name="_Toc111"/>
      <w:bookmarkEnd w:id="297"/>
      <w:r>
        <w:rPr>
          <w:rtl w:val="true"/>
        </w:rPr>
        <w:t>اشارة</w:t>
      </w:r>
      <w:bookmarkEnd w:id="298"/>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التعارض تارةً؛ يكون مستوعباً لتمام المدلول للدليلين كما في التعارض بالتباين، وأخرى؛ لا يكون مستوعباً لتمام المدلول كما في التعارض بنحو العموم من وجه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وعليه؛ فالكلام يقع في قسمين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القسم الثاني</w:t>
      </w:r>
      <w:r>
        <w:rPr>
          <w:rStyle w:val="FootnoteAnchor"/>
          <w:rtl w:val="true"/>
        </w:rPr>
        <w:footnoteReference w:id="236"/>
      </w:r>
      <w:r>
        <w:rPr>
          <w:rFonts w:ascii="Amiri" w:hAnsi="Amiri" w:eastAsia="Amiri" w:cs="Amiri"/>
          <w:color w:val="111111"/>
          <w:sz w:val="28"/>
          <w:sz w:val="28"/>
          <w:szCs w:val="28"/>
          <w:rtl w:val="true"/>
          <w:lang w:bidi="ar-SA"/>
        </w:rPr>
        <w:t>فهو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ما إذا لم يتعقل كون مورد الإفتراق موضوع حجية الدليل فيه بالخصوص فإنَّه في هذه الحالة؛ إما أن يخرج هذا المورد عن التعارض غير المستوعب ويندرج في التعارض المستوعب فيما إذا كان دلالة كل من الدليلين بنحو لا يعقل حجية الدليل في مورد الإفتراق، وإما أن يدخل تحت التعارض غير المستقر إذا كان أحد الدليلين بنحو لا يعقل حجيته فيه بالخصوص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 ما إذا كان مورد الإفتراق للدليلين قابلاً لأن يكون الدليل حجة فيه بالخصوص، في هذا القسم لا ريب في بقاء الدليلين المتعارضين على الحجية سنداً لإثبات مدلول كل منهما في مورد افتراق عن الآخر، إذ لا موجب لسريان الإجمال إلى السند الظني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قد يقال بأنّ المعارضة وإن كانت بين الدلالتين أولاً وبالذات، إلا أنه يعلم إجمالاً؛ إما بكذب إحدى الدلالتين أو بكذب السند الظني فيكون كل واحد من الإحتمالين داخلاً في أطراف العلم الإجمالي بالكذب، فكما يكون رفع اليد عن أحد الدلالتين كافياً لانتفاء التعارض، كذلك يكون رفع اليد عن سند ظني رافعاً للتعارض فلا موجب لترجيح حجية السند على حجية الدلالة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في الجواب عنه بأنّ حجية الدلالة هي الساقطة على كل حال، وذلك لأنّ الدوران في الحقيقة ليس بين التمسك بدليل حجية السند الظني، أو دليل حجية الدلالة الظنية، بل الدليل الذي يتمسك به في المقام هو دليل حجية السند الظني فقط، وأما دليل حجية الدلالة وآثارها فهي إنَّما تثبت تعبداً ظاهراً بدليل حجية السند، لأننا لا نواجه الدليل </w:t>
      </w:r>
      <w:bookmarkStart w:id="299" w:name="pg15367_181146"/>
    </w:p>
    <w:p>
      <w:pPr>
        <w:pStyle w:val="BookText"/>
        <w:rPr/>
      </w:pPr>
      <w:bookmarkEnd w:id="299"/>
      <w:r>
        <w:rPr>
          <w:rFonts w:ascii="IRNazanin" w:hAnsi="IRNazanin" w:eastAsia="IRNazanin"/>
          <w:color w:val="111111"/>
          <w:sz w:val="28"/>
          <w:sz w:val="28"/>
          <w:szCs w:val="28"/>
          <w:rtl w:val="true"/>
          <w:lang w:bidi="fa-IR"/>
        </w:rPr>
        <w:t>الصادر من المعصوم علیه السلام حقيقةً وواقعاً لكي نواجه دليل حجية الظهور، وإلا؛ إذا أحرزنا النص بشهادة الراوي وبفضل دليل حجية هذه الشهادة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الواضح أنّ هذا إحراز ظاهري فتكون حكومة ظاهرية لا واقعية، فيكون مقتضى إطلاق حجية هذه الشهادة هو إثبات تمام الآثار الشرعية المترتبة على الواقع ظاهراً والتي منها حجية الظهور في مادة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يكون الأمر دائراً بين الأقل والأكثر في إطلاق دليل واحد وهو دليل حجية الشهادة؛ حيث يدور الأمر بين الأخذ به بلحاظ الأثر المترتب في مورد الإفتراق أو ترك الأخذ به رأساً؛ الذي يكون معناه سقوط إطلاق ترتيب الأثر في مورد التعارض، فلا موجب لإسقاطه في الآثار المترتبة في حجية الدلالة في مورد الافتراق، وهذا هو معنى حجية السند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بلحاظ مورد الافتراق للدليلين المتعارضين، وأما مورد الإجتماع منهما فيستقر التعارض فيه لا محالة فلا بُدَّ من تطبيق قواعد التعارض وعلاجه، وسيأتي تتمة الكلام في كلا القسمين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القسم الأول؛ وهو التعارض المستوعب لتمام مدلول الدليلين بحيث لا يبقى بعد تقديم أحدهما مجال للآخر كما في موارد التعارض بنحو التباين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تارة؛ في تنقيح الموضوع فيه، وأخرى؛ في أحكامه، وهنا بحثان</w:t>
      </w:r>
      <w:r>
        <w:rPr>
          <w:rFonts w:eastAsia="Amiri" w:cs="Amiri" w:ascii="Amiri" w:hAnsi="Amiri"/>
          <w:color w:val="111111"/>
          <w:sz w:val="28"/>
          <w:szCs w:val="28"/>
          <w:rtl w:val="true"/>
          <w:lang w:bidi="ar-SA"/>
        </w:rPr>
        <w:t>:</w:t>
      </w:r>
    </w:p>
    <w:p>
      <w:pPr>
        <w:pStyle w:val="Heading6"/>
        <w:numPr>
          <w:ilvl w:val="5"/>
          <w:numId w:val="1"/>
        </w:numPr>
        <w:rPr/>
      </w:pPr>
      <w:bookmarkStart w:id="300" w:name="__RefHeading___Toc5900694_2142443653"/>
      <w:bookmarkStart w:id="301" w:name="_Toc112"/>
      <w:bookmarkEnd w:id="300"/>
      <w:r>
        <w:rPr>
          <w:rtl w:val="true"/>
        </w:rPr>
        <w:t>البحث الأول</w:t>
      </w:r>
      <w:r>
        <w:rPr>
          <w:rtl w:val="true"/>
        </w:rPr>
        <w:t xml:space="preserve">: </w:t>
      </w:r>
      <w:r>
        <w:rPr>
          <w:rtl w:val="true"/>
        </w:rPr>
        <w:t>في تنقيح الموضوع</w:t>
      </w:r>
      <w:bookmarkEnd w:id="301"/>
    </w:p>
    <w:p>
      <w:pPr>
        <w:pStyle w:val="BookText"/>
        <w:rPr/>
      </w:pPr>
      <w:r>
        <w:rPr>
          <w:rFonts w:ascii="Amiri" w:hAnsi="Amiri" w:eastAsia="Amiri" w:cs="Amiri"/>
          <w:color w:val="111111"/>
          <w:sz w:val="28"/>
          <w:sz w:val="28"/>
          <w:szCs w:val="28"/>
          <w:rtl w:val="true"/>
          <w:lang w:bidi="ar-SA"/>
        </w:rPr>
        <w:t>وقد يُدّعى بأنه يمكن الرجوع إلى الجمع بين الدليلين مهما أمكن فيكون أولى من الطرح، فنخرج المتعارضين بذلك عن التعارض بالكلية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اشتهر على الألسنة أنّ الجمع مهما أمكن أولى من الطرح؛ وقد اختلف الأصوليون </w:t>
      </w:r>
    </w:p>
    <w:p>
      <w:pPr>
        <w:pStyle w:val="BookText"/>
        <w:rPr/>
      </w:pPr>
      <w:r>
        <w:rPr>
          <w:rFonts w:ascii="Amiri" w:hAnsi="Amiri" w:eastAsia="Amiri" w:cs="Amiri"/>
          <w:color w:val="111111"/>
          <w:sz w:val="28"/>
          <w:sz w:val="28"/>
          <w:szCs w:val="28"/>
          <w:rtl w:val="true"/>
          <w:lang w:bidi="ar-SA"/>
        </w:rPr>
        <w:t xml:space="preserve">في هذه المقولة اختلافاً كبيراً؛ فلم يعدّها السيد الوالد قدس سره </w:t>
      </w:r>
      <w:r>
        <w:rPr>
          <w:rStyle w:val="FootnoteAnchor"/>
          <w:rtl w:val="true"/>
        </w:rPr>
        <w:footnoteReference w:id="237"/>
      </w:r>
      <w:r>
        <w:rPr>
          <w:rFonts w:ascii="Amiri" w:hAnsi="Amiri" w:eastAsia="Amiri" w:cs="Amiri"/>
          <w:color w:val="111111"/>
          <w:sz w:val="28"/>
          <w:sz w:val="28"/>
          <w:szCs w:val="28"/>
          <w:rtl w:val="true"/>
          <w:lang w:bidi="ar-SA"/>
        </w:rPr>
        <w:t>قاعدة بل اعتبرها قضية مشهورة، وذلك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أصل اعتبارها؛ حيث استدل عليها بعدة أمور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منقول لا اعتبار به، مع أنه لا رسم ولا إشارة إليه بين القدماء، مع كون المسألة ابتلائية بين العلماء، وعلى فرض الإعتبار فالمتيقن منه مثل المطلق والمقيد، والعام والخاص ونحوهما مِمّا هو من العرفيات المسلمة في المحاورات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المباحث السابقة أنّ هذه الأمور العرفية لا حاجة إلى الإستدلال عليها، بل هي ما يستدل بها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الطرح يكون للدلالة الأصلية وهي الدلالة المطابقية، والجمع يكون الطرح للدلالة التضمنية أو الدلالة الإلتزامية، وطرح الدلالة التبعية أولى من طرح الدلالة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طرح الدلالة وبقاءها إنَّما يدوران مدار الأغراض المحاورية المعتبرة؛ فمع وجود الغرض الصحيح في البين يؤخذ بالدلالة الإلتزامية وتطرح الدلالة المطابقية كما في الكنايات ونحوهما، ومع عدم وجود الغرض الصحيح تنتفي جميع الدلالات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وجه لما ذكر من أنّ طرح الدلالة التبعية أولى من طرح الدلالة الأصلية، مع أنّ ذلك عين المدعى ويحتاج في إثباته إلى دليل، وهو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الأصل في كل دليل هو الإعتماد عليه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كلية هذا الأصل، وإن صحّ فهو بمعنى الغلبة في الجملة، ولا بأس به في تمام مدلوله لا في بعضه، فلا دليل على كلية هذه القضية أبداً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لو أريد منها الجمع العرفي المقبول عند أهل السلائق المستقيمة والأذهان القويمة فهو صحيح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هذه القاعدة بهذا المعنى، وأما إذا أريد منها غير ذلك فسيأتي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لهذه القضية تفاسير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يكون المراد بها الأخذ بكل من الدليلين في جزء مدلوله، والطرح في الجزء الآخر فيكون قد تحملنا بهما معاً، كما في المثال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Style w:val="FootnoteAnchor"/>
          <w:rtl w:val="true"/>
        </w:rPr>
        <w:footnoteReference w:id="238"/>
      </w:r>
      <w:r>
        <w:rPr>
          <w:rFonts w:ascii="Amiri" w:hAnsi="Amiri" w:eastAsia="Amiri" w:cs="Amiri"/>
          <w:color w:val="111111"/>
          <w:sz w:val="28"/>
          <w:sz w:val="28"/>
          <w:szCs w:val="28"/>
          <w:rtl w:val="true"/>
          <w:lang w:bidi="ar-SA"/>
        </w:rPr>
        <w:t>حيث حُمل الأول على عذرة غير المأكول، وحُمل الثاني على عذرة المأكول، لأنَّه بعد تعذر</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بتمام مدلولهما لا يكون ذلك مسوغاً لطرحهما في تمام مفادهما فلا بُدَّ من العمل بجزء من مدلول كل منهما فيكون ذلك جمعاً بين الدليلين لأنّ الضرورات تقدّر بقدرها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التفسير الذي استدل عليه بما ذكرنا من الأدلة قد عرفت أنه باطل تفسيراً ودليلاً، كما عرفت من أنّ ترك جزء من مفاد كل دليل مقابل الأخذ بما يقابله من الدليل الآخر يكون من مجرد الدعوى؛ لأنّ كلاً من الطرح والأخذ يدور مدار الأغراض المعتبرة العقلائية، مع أنّ طرح جزء من الدليل والأخذ بالجزء من الآخر من حيث كونه موضوعاً للحجية يكون ترجيحه على الآخر بلا مرجّح</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على أساس الجمع العرفي؛ بمعنى أنّ موارد التعارض إذا أمكن فيها الجمع العرفي بوجه من الوجوه فيؤخذ بالدليلين ويكون أولى من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تارة يكون بالجمع بينهما بحسب الموضوع، وأخرى بحسب المحمول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ومثال الأول؛ ما ورد من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ثَمَنُ الْعَذِرَةِ مِنَ السُّحْتِ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يخصص موضوع أحدهما بغير موضوع الآخر؛ بدعوى أنّ في كل منهما دلالتين دلالة وضعية على ثبوت الحكم بنحو القضية المهملة المستفادة من إسم الجنس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إطلاقية على شمول الحكم لتمام الأفراد، والمعارضة بحسب الواقع ليست بين الدالّين على القضيتين المهملتين، بل بين الدلالة الإطلاقية من كل منهما مع مدلول الآخر؛ ولما كانت الدلالة على القضية المهملة وضعية أقوى من الدلالة الإطلاقية فتُرفع اليد عن إطلاق كل منهما بالظهور الوضعي في الآخر، وبذلك تصل النوبة إلى تعارض الدلالتين الإطلاقيتين وتساقطهما فتكون النتيجة أنهما قضيتان مهملتان تتعيّنان في القدر المتيقن من كل طرف، فيحكم بحرمة بيع عذرة غير المأكول، وجواز بيع عذرة المأكول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الثاني؛ ما إذا ورد أمر بشيء ظاهر في وجوبه مع ورود ترخيص في تركه بلسان ظاهر في إباحته بالمعنى الأخص؛ فإنَّه يمكن الجمع بينهما بحمل الأمر على مطلق الرحجان لأنّ كل واحد من الدليلين له دلالة ظهورية ودلالة صريحة، فإنّ دليل الأمر ظاهر في الوجوب وصريح في الرجحان، ودليل الترخيص ظاهر في الإباحة بمعنى الأخص ونصٌّ في نفي الإلزام، فترفع اليد عن ظاهر كل منهما بصراحة الآخر وينتج الإستحباب</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على هذا التفسير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الجمع العرفي إذا كان مستنداً إلى القرائن المعتبرة فهو مقبول، لأنّ مدلول كل واحد من الدليلين إنَّما يتعين بملاك القرينتين فيثبت الرجحان بحسبهما، وإلا فلا اعتبار بهذا الجمع ولا يكون مورداً للجمع العرفي؛ ففي المثالين المتقدمين لا يكون استفادة الرجحان من دليل الأمر ولا القضية المهملة من المطلق بقرينة مستقلة وصريحة وأظهر من مدلول الدليل المعارض حتى يكون مورداً للجمع العرفي، وإنما هو مدلول مستخلص من مفادين يتردد بينهما الدليل، ويكون أحدهما معارضاً مع الآخر لأنَّه </w:t>
      </w:r>
    </w:p>
    <w:p>
      <w:pPr>
        <w:pStyle w:val="BookText"/>
        <w:rPr/>
      </w:pPr>
      <w:r>
        <w:rPr>
          <w:rFonts w:ascii="Amiri" w:hAnsi="Amiri" w:eastAsia="Amiri" w:cs="Amiri"/>
          <w:color w:val="111111"/>
          <w:sz w:val="28"/>
          <w:sz w:val="28"/>
          <w:szCs w:val="28"/>
          <w:rtl w:val="true"/>
          <w:lang w:bidi="ar-SA"/>
        </w:rPr>
        <w:t>يهدم أصل ظهوره، ويكون على الآخر قرينة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لا تكون مورداً للجمع العرفي، بل تكون من الجموع التبرعية التي لا أساس لها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تفسيرها على أساس الجمع بحسب القرائن الخارجية والداخلية؛ فيكون المراد من الجمع هو الجمع العرفي المقبول عند الأذهان السليمة والسلائق المستقيمة، والمراد من الإمكان هو القياسي منه بالنظر إلى القرائن الخارجية والداخلية فإنّ مثل هذا مقبول، فيكون المراد بالأولى حينئذٍ هو اللزوم، كما في قوله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w:t>
      </w:r>
      <w:r>
        <w:rPr>
          <w:rFonts w:eastAsia="Amiri" w:cs="Amiri" w:ascii="Amiri" w:hAnsi="Amiri"/>
          <w:color w:val="111111"/>
          <w:sz w:val="28"/>
          <w:szCs w:val="28"/>
          <w:rtl w:val="true"/>
          <w:lang w:bidi="ar-SA"/>
        </w:rPr>
        <w:t>)</w:t>
      </w:r>
      <w:r>
        <w:rPr>
          <w:rStyle w:val="FootnoteAnchor"/>
          <w:rtl w:val="true"/>
        </w:rPr>
        <w:footnoteReference w:id="2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الجمع شائع في الفقه، بل في جميع العلوم مطلقاً، فتكون هذه القضية من القضايا التي قياساتها معها، وإنّ محض تصورها يغني عن إقامة البرهان عليها؛ فلا يراد من الجمع في القضية مطلق الجمع ولو كان بعيداً، ولا تقوم عليه قرينة مقبولة بحيث يكون المراد من الإمكان مطلق الإمكان الذاتي مقابل الإستحالة الذاتية، ولا الإمكان الوقوعي مقابل الإمتناع العادي العرفي، فإنَّه لم يذهب إلى صحة هذا النحو من الجمع أحد من العقلاء فضلاً عن العلماء؛ فهو من الجمع التبرعي الذي لا يمكن تخريجه على قواعد الجمع العرفي</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قد عرفت فيما تقدم من البحوث أنّ القرائن الشاهدة على صحة مثل هذا الجمع لا تضبطها ضابطة كلية، بل تختلف باختلاف الموارد، وقد ذكرنا جملة منها في الفصل السابق عند البحث عن التعارض غير المستقر، وقد أطال السيد الصدر قدس سره الكلام في المقام، ولكن بعد الإحاطة بما ذكرناه في الفصل السابق وفي المقام يظهر أنه من التطويل الذي لا طائل تحته</w:t>
      </w:r>
      <w:r>
        <w:rPr>
          <w:rFonts w:eastAsia="Amiri" w:cs="Amiri" w:ascii="Amiri" w:hAnsi="Amiri"/>
          <w:color w:val="111111"/>
          <w:sz w:val="28"/>
          <w:szCs w:val="28"/>
          <w:rtl w:val="true"/>
          <w:lang w:bidi="ar-SA"/>
        </w:rPr>
        <w:t xml:space="preserve">. </w:t>
      </w:r>
      <w:bookmarkStart w:id="302" w:name="pg15367_181151"/>
    </w:p>
    <w:p>
      <w:pPr>
        <w:pStyle w:val="Heading6"/>
        <w:numPr>
          <w:ilvl w:val="5"/>
          <w:numId w:val="1"/>
        </w:numPr>
        <w:rPr/>
      </w:pPr>
      <w:bookmarkStart w:id="303" w:name="__RefHeading___Toc5900696_2142443653"/>
      <w:bookmarkStart w:id="304" w:name="_Toc113"/>
      <w:bookmarkEnd w:id="302"/>
      <w:bookmarkEnd w:id="303"/>
      <w:r>
        <w:rPr>
          <w:rtl w:val="true"/>
        </w:rPr>
        <w:t>البحث الثاني</w:t>
      </w:r>
      <w:r>
        <w:rPr>
          <w:rtl w:val="true"/>
        </w:rPr>
        <w:t xml:space="preserve">: </w:t>
      </w:r>
      <w:r>
        <w:rPr>
          <w:rtl w:val="true"/>
        </w:rPr>
        <w:t>البحث عن أحكام التعارض</w:t>
      </w:r>
      <w:bookmarkEnd w:id="304"/>
    </w:p>
    <w:p>
      <w:pPr>
        <w:pStyle w:val="Heading6"/>
        <w:numPr>
          <w:ilvl w:val="5"/>
          <w:numId w:val="1"/>
        </w:numPr>
        <w:rPr/>
      </w:pPr>
      <w:bookmarkStart w:id="305" w:name="__RefHeading___Toc5900698_2142443653"/>
      <w:bookmarkStart w:id="306" w:name="_Toc114"/>
      <w:bookmarkEnd w:id="305"/>
      <w:r>
        <w:rPr>
          <w:rtl w:val="true"/>
        </w:rPr>
        <w:t>اشارة</w:t>
      </w:r>
      <w:bookmarkEnd w:id="306"/>
    </w:p>
    <w:p>
      <w:pPr>
        <w:pStyle w:val="BookText"/>
        <w:rPr/>
      </w:pPr>
      <w:r>
        <w:rPr>
          <w:rFonts w:ascii="Amiri" w:hAnsi="Amiri" w:eastAsia="Amiri" w:cs="Amiri"/>
          <w:color w:val="111111"/>
          <w:sz w:val="28"/>
          <w:sz w:val="28"/>
          <w:szCs w:val="28"/>
          <w:rtl w:val="true"/>
          <w:lang w:bidi="ar-SA"/>
        </w:rPr>
        <w:t>عرفت إنه إذا لم يمكن الجمع بين الدليلين المتعارضين بوجه عرفي مقبول فقد تقدم في بداية هذا الفصل أنه لا بُدَّ من الرجوع إلى السيرة العقلائية في موارد التعارض مطلقاً التي عرفت أنها تقوم على أسس ثلاثة، ولكن الأصوليون ذكروا –كما هي عادتهم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طويلاً نحن في غنى عنه لو رجعنا إلى حكم العقلاء وسيرتهم في هذا الموضوع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ذكروه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يقع البحث بحسب الأصل الأولي؛ أي عموميات أدلة الحجية العام، وأخرى يكون بحسب الأصل الثانوي؛ أي ما يقتضيه دليلالحجية بعد وقوع التعارض في الجملة وعدم التساقط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وقبل بيان ذلك لا بُدَّ من تحرير محور البحث في مورد التعارض فإنّ الدليلين المتعارضين؛ إما أن يكونان قطعيين من حيث السند بحيث يعلم بصدورهما من الشارع، وإما أن يكونان ظنيين من حيث السند بأن يكون صدورهما ثابتاً بدليل الحجية، وإما يكونان مختلفين بأن يكون أحدهما قطعياً والآخر ظنياً من حيث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من ناحيتين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 في تحديد مركز التعارض بين الدليلين في كل منهما حسب الفروض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 في مقتضى الأصل الأولي والثانوي بلحاظ دليل الحجية الذي وقع مركزاً للتعارض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الناحية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الكلام يقع في الفروض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الفرض الأول؛ وهو ما إذا كان الدليلان قطعيين، ولكن لم يقطع ببطلان مفاد أي واحد منهما في نفسه مع تعذر الجمع العرفي، وعليه يكون مركز التعارض دليل حجية الظهور لا السند لأنَّه قطعي كما هو المفروض</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الفرض الثاني؛ وهو ما إذا كان الدليلان ظنيين سنداً فإذا كانت الدلالة قطعية فلا إشكال في أنّ مركز التعارض في هذا الفرض هو دليل حجية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تكن الدلالة قطعية فيهما فقد وقع الكلام في تحديد مركز التعارض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موجب لسريان التعارض إلى دليل حجية السند، لأنّ كلاً منهما يحتمل مطابقته للواقع فيكون كِلا الظهور بين المتعارضين صادراً من المولى حقيقة، فلا يقاس بموارد قيام أمارتين متعارضتين في الموضوعات التي يسري فيها التعارض إلى دليل حجتيهما للعلم بكذب أحدهما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بالتفصيل حسب ما يستفاد من تقادير حجية السند، وهي على وجوه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حجية كل من سند الرواية ودلالتها ثابتة بجعل واحد يشمل المجموع بنحو الإرتباط؛ كما إذا كان دليل الحجية يدل على لزوم اتباع مفاد الرواية وما يخبر به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وبناء على هذا الوجه فلا إشكال في سريان التعارض إلى دليل حجية السند، فإنّ إثبات حجية مجموع الحجتين في كلٍّ من الطرفين بدليل الحجية مستحيل، وإثبات إحدى الحجتين في أحد الطرفين أو كلاهما فهو خلف الإرتباطية في جعل الحجتين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حجية السند مستقلة غير مشروطة بحجية الظهور، فيكون مفاد دليل الحجية هو التعبد بأصل الصدور من دون نظر إلى مفاد الرواية</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وبناء على هذا الوجه تثبت الحجية للسندين معاً وتترتب آثار الصدور الأعم الشامل للمعنى الظاهر وغير الظاهر، وحينئذٍ؛ لو كان هناك أثر يترتب على الأعم من المعنيين فلا بُدَّ من ترتيبه، وأما إذا كان مفاد الدليلين متعارضين فإنَّهيرجع إلى ما ذكرناه في الوجه الأول من الحجية الإرتباطية، فإنّ التعارض يسري من الظهورين إلى السندين لأنّ في البين حجية واحدة جعلت لما هو المتحصل من إخبار الرواي الثقة؛ فإذا كان المتحصل منه معارضاً بخبر آخر لا تمكن حجيته، بخلاف ما إذا كان مفاده مجملاً مردداً من أول الأمر بين المعنيين؛ فإنّ الجامع بين المعنيين يمكن التعبد به ثم تعيينه في أحدهما بنحو مقبول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حجية السند مجعولة بجعل مستقل عن حجية الظهور، ولكنها مقيدة بحجيته، بأن تكون الحجة من الأسانيد ما يكون على تقدير ثبوته حجة بحسب الظهور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الوجه؛ تارة؛ يكون الشرط ثبوت مقتضي الحجية في ظهوره، وأخرى؛ يكون الشرط حجيته بالفعل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الأول لا يسري التعارض إلى السندين، بل يكون دليل الحجية شاملاً لهما فلا بُدَّ من التعبد بصدور الخبرين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يثبت المعنى الظاهر وغيره؛ أي الجامع كما في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الثاني لا تثبت حجية شيء منهما لأنّ ثبوتها لهما معاً محال إذ يستلزم عدم ثبوتها من اجتماع الشرطين معاً في هذه الحالة، فيكون من قبيل التوارد من الجانبين المستحيل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يعني أنّ مركز التعارض في هذه الحالة دليل حجية السندين كما في 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الفرض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الفرض الثالث</w:t>
      </w:r>
      <w:r>
        <w:rPr>
          <w:rStyle w:val="FootnoteAnchor"/>
          <w:rtl w:val="true"/>
        </w:rPr>
        <w:footnoteReference w:id="240"/>
      </w:r>
      <w:r>
        <w:rPr>
          <w:rFonts w:ascii="Amiri" w:hAnsi="Amiri" w:eastAsia="Amiri" w:cs="Amiri"/>
          <w:color w:val="111111"/>
          <w:sz w:val="28"/>
          <w:sz w:val="28"/>
          <w:szCs w:val="28"/>
          <w:rtl w:val="true"/>
          <w:lang w:bidi="ar-SA"/>
        </w:rPr>
        <w:t>وهو ما إذا كان أحد الحديثين قطعياً من حيث السند، والآخر ظنياً كذلك مع تعذر الجمع العرفي؛ كما إذا تعارض خبر الثقة مع ظهور قرآني فإن فرض أنّ الدليلَ الظني السند قطعيُّ الدلالة فإنّ مركز التعارض هو دليل حجية السند الظني ودليل حجية الظهور في الدليل القطعي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فرض أنّ الدليل الظني السند ظنيُّ الدلالة أيضاً فإنّ التعارض بين دليل حجية الظهور في كل منهما يسري إلى دليل حجية السند أيضاً كما عرفت في الفرض الثاني</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من جميع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مركز التعارض إما أن يكون دليلاً واحداً، وإما أن يكون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في الفرضين الأول والثاني، والثاني يكون في الفرض الثالث</w:t>
      </w:r>
      <w:r>
        <w:rPr>
          <w:rFonts w:eastAsia="Amiri" w:cs="Amiri" w:ascii="Amiri" w:hAnsi="Amiri"/>
          <w:color w:val="111111"/>
          <w:sz w:val="28"/>
          <w:szCs w:val="28"/>
          <w:rtl w:val="true"/>
          <w:lang w:bidi="ar-SA"/>
        </w:rPr>
        <w:t xml:space="preserve">. </w:t>
      </w:r>
      <w:bookmarkStart w:id="307" w:name="pg15367_181154"/>
    </w:p>
    <w:p>
      <w:pPr>
        <w:pStyle w:val="BookText"/>
        <w:rPr/>
      </w:pPr>
      <w:bookmarkEnd w:id="307"/>
      <w:r>
        <w:rPr>
          <w:rFonts w:ascii="Amiri" w:hAnsi="Amiri" w:eastAsia="Amiri" w:cs="Amiri"/>
          <w:color w:val="111111"/>
          <w:sz w:val="28"/>
          <w:sz w:val="28"/>
          <w:szCs w:val="28"/>
          <w:rtl w:val="true"/>
          <w:lang w:bidi="ar-SA"/>
        </w:rPr>
        <w:t>الناحية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الأصل في الفروض الثلاثة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مركز التعارض بين المتعارضين دليلاً واحداً للحجية كما في التعارض بين قطعيي السند؛ والذي كان مركز التعارض فيه هو دليل حجية الظهور لكل منهما، أو التعارض بين الظنيين سنداً الذي يكون مركز التعارض فيه دليل حجية السند لكل منهما؛ وحينئذٍ لا محيص عن التساقط وعدم حجية شيء من المتعارضين إذا كان دليل حجية السند هو السيرة العقلائية أو دليل لفظي يتقدر بمقدارها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إذا كان دليل الحجية لفظياً وكان له إطلاق يشمل جميع الحالات إلا ما دلّ الدليل العقلي على امتناعه، وفي هذه الحالة يقع البحث تارة عن مقتضى الأصل الأولي من ذلك الدليل اللفظي المطلق وأنه هل يقتضي التخيير أو الترجيح أو التساقط، وأخرى عن مقتضى الأصل الثانوي لو فرض قيام دليل على عدم التساقط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يقع في جهتين</w:t>
      </w:r>
      <w:r>
        <w:rPr>
          <w:rFonts w:eastAsia="Amiri" w:cs="Amiri" w:ascii="Amiri" w:hAnsi="Amiri"/>
          <w:color w:val="111111"/>
          <w:sz w:val="28"/>
          <w:szCs w:val="28"/>
          <w:rtl w:val="true"/>
          <w:lang w:bidi="ar-SA"/>
        </w:rPr>
        <w:t>:</w:t>
      </w:r>
    </w:p>
    <w:p>
      <w:pPr>
        <w:pStyle w:val="Heading6"/>
        <w:numPr>
          <w:ilvl w:val="5"/>
          <w:numId w:val="1"/>
        </w:numPr>
        <w:rPr/>
      </w:pPr>
      <w:bookmarkStart w:id="308" w:name="__RefHeading___Toc5900700_2142443653"/>
      <w:bookmarkStart w:id="309" w:name="_Toc115"/>
      <w:bookmarkEnd w:id="308"/>
      <w:r>
        <w:rPr>
          <w:rtl w:val="true"/>
        </w:rPr>
        <w:t>الجهة الأولى</w:t>
      </w:r>
      <w:r>
        <w:rPr>
          <w:rtl w:val="true"/>
        </w:rPr>
        <w:t xml:space="preserve">: </w:t>
      </w:r>
      <w:r>
        <w:rPr>
          <w:rtl w:val="true"/>
        </w:rPr>
        <w:t>مقتضى الأصل الأولي في التعارض بين الدليلين</w:t>
      </w:r>
      <w:r>
        <w:rPr>
          <w:rtl w:val="true"/>
        </w:rPr>
        <w:t>.</w:t>
      </w:r>
      <w:bookmarkEnd w:id="309"/>
    </w:p>
    <w:p>
      <w:pPr>
        <w:pStyle w:val="BookText"/>
        <w:rPr/>
      </w:pPr>
      <w:r>
        <w:rPr>
          <w:rFonts w:ascii="Amiri" w:hAnsi="Amiri" w:eastAsia="Amiri" w:cs="Amiri"/>
          <w:color w:val="111111"/>
          <w:sz w:val="28"/>
          <w:sz w:val="28"/>
          <w:szCs w:val="28"/>
          <w:rtl w:val="true"/>
          <w:lang w:bidi="ar-SA"/>
        </w:rPr>
        <w:t>والأقوال فيه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المطلق؛ وهو الذي ذهب إليه الجمهور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الحجية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الذي ذكره المحقق العراقي قدس سره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القول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التساقط المطلق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ذكروا في وجهه أنّ إعمال دليل الحجية في المتعارضين بكل أنحاءه الأربعة المتصورة باطلة،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شمول دليل الحجية لهما معاً، وهذا غير معقول لأدائه إلى التعبد بالمتعارضين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مستحيل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شمول دليل الحجية لواحد منهما بعينه</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غير معقول أيضاً لأنَّه من الترجيح بغير مرجح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شمول دليل الحجية لكل منهما على تقدير عدم الأخذ بالآخر؛ لأنّ ثبوت الحجية المقيدة في كل من الطرفين لا محذور فيه، وإنما المحذور في الحجتين المطلقتين كما عرفت؛ فلا موجب لرفع اليد عن أصل دليل الحجية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النحو أيضاً باطل لاستلزامه اتصاف كل منهما بالحجية عند عدم الأخذ بهما معاً، وهو معنى التعبد بالمتعارضين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إفتراض حجية كل منهما مقيدة بالأخذ به لا بترك الآخر كما في الفرض 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الفرض أيضاً باطل؛ لأنّ لازمه عدم حجية كل منهما في فرض عدم الأخذ بهما فيكون المكلف مختاراً بالنسبة إلى الواقع فيمكنه الرجوع إلى الأصول اللفظية أو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مِمّا لا يلتزم به القائل بالتخيير، ولا يقاس المقام على التخيير الثابت بالدليل الذي يرجع في الواقع إلى الحجية المقيدة في كل منهما فيجب الأخذ بأحدهما، فلو تركهما معاً يعاقب على ترك الواقع، بخلاف المقام فإنّ مقتضى القاعدة هو التقييد في حجية كل منهما وشرطيتها بالأخذ به لا وجوب الأخذ به، إذ لا دليل عليه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بطلت الفروض المتصورة في حجية الدليلين المتعارضين فلا بُدَّ من التساقط بحكم الأصل الأولي في التعارض بين الدليلين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واستشكل عليه بأنّ هذا المقدار من البيان لا يمكن أن يكون برهاناً على التساقط؛ فإنَّه يرد عليه عدة مناقشات منها أنه يمكن قبول الإفتراض الرابع ونلتزم بإعمال دليل الحجية مشروطاً بالأخذ بأحدهما، ولا يلزم منه المحذور المزبور لأنَّه يمكن التفكيك بحسب الإرتكاز العرفي والمتشرعي بين حجتين مشروطةٍ كل واحدة منهما بالأخذ، وبين وجوب الأخذ بإحدى الحجتين، فإذا كان ذلك محتملاً فيمكن الإلتزام بالحجتين المشروطتين تمسكاً بدليل الحجية مهما أمكن فلا يلزم محذور، وإلا كان دليل الحجية صالحاً لإثبات هاتين الحجتين بالمطابقة، وهو يدل بالإلتزام على وجوب الأخذ بأحدهما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الإستدلال على التساقط، وما قيل في الرد عليه غير تام؛ فقد ذكرنا في بداية البحث أنّ التعارض وحكمه لا بُدَّ من الرجوع فيهما إلى المرتكزات العقلائية بعد أن كان التعارض أمراً مألوفاً في سائر العلوم، وقد بينّا موضوع التعارض فيما سبق، وأما حكمه فهو يختلف بحسب اختلاف حالات التعارض؛ فقد يكون الحكم هو التخيير، وقد يكون الترجيح، وقد يكون التساقط، وقد يقتضي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بعدما ذكرنا أنّ في مورد التعارض يكون الساقط هو الحجية الفعلية لكل واحد من الدليلين المتعارضين، والباقي هو الحجية الإقتضائية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والعلماء إنَّما شأنهم التماس ما يوجب إيصال الحجة الإقتضائية إلى الفعلية بالتماس المرجّحات، وعند فقدها يقولون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ذلك من الأمور الفطرية فالفروض المتصورة هي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العقلاء الترجيح في كلٍّ من الطرفين فيتبادر إلى الذهن التساقط لأنّ احتمال الترجيح؛ أي الحجية المطلقة في كل منهما غير مفيد لأنَّه معارض به في الآخر، فيتعين التخيير؛ أي الحجية المقيدة في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قيل بأنه لا يمكن إثباته بدليل الحجية العام كما تقدم بيانه، أو لأنّ إطلاق دليل الحجية العام لكل منهما على تقدير الأخذ به، أو عدم الأخذ بالآخر معارض بإطلاق لشمول الآخر في نفس هذا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وكلا الوجهين غير مقبول؛ فإنّ العقلاء يرون بأنه بعد سقوط الحجية الفعلية يتأملون ويتفحصون في إيصال الحجية الإقتضائية إلى مرتبة الفعلية بإعمال ما يمكن أن يصير منشأً لذلك من المرجّحات التي لا تضبطها ضابطة كلية؛ فلا يحكمون بالتساقط راساً</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الأمر الفطري الإرتكازي هو الذي يقيد إطلاق دليل الحجية فتكون الحجية المقيدة بمعنى قيام ما يصلح أن تصل إلى مرتبة الفعلية بعد وجود مقتضاها، وإلا فله حكم آخر يأتي بيانه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الفرض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يعلم من الخارج أنّ ملاك الحجية لو كان موجوداً فهو في أحدهما المعيّن أقوى من الآخر، ولا ريب في أنّ مقتضى الأصل ترجيح هذاالدليل ويقين العمل به لأنّ إطلاق دليل الحجية إنَّما يثبت الحجية المطلقة له ولا يعارضه إطلاقه للآخر لأنَّه معلوم السقوط حيث يعلم بعدم حجيته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بأنّ ملاك الحجية إن كان ملحوظاً في مورد التعارض فهو بالنسبة إليهما على حدٍّ سواء، وفي هذه الصورة يثبت التخيير لبقاء إطلاق الحجية لكل منهما على تقدير الأخذ به بلا معارض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الفرض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الترجيح لأحدهما المعيّن ولا نحتمله في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العقلاء لا يتعدون ويتركون الآخر، وحينئذٍ نقطع بسقوط إطلاق دليل الحجية لشمول الآخر عند الأخذ بالأول؛ إما لأنّ العقلاء لا يرون ثبوت ملاك الحجية فيه رأساً، أو لوجوده فيهما بنحو التساوي ووجوده في الراجح بنحو آكد في المرجوح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العقلاء يحكمون بثبوت الإطلاق عند الأخذ بالخبر المحتمل رجحانه، فيكون إطلاق دليل الحجية فيه بلا 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فإنهم يحكمون بعدم التساقط المطلق، فيدور الأمر بين الترجيح والتخيير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بيان مقتضى الأصل الثانوي ما يرتبط بالمقام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لا يمكن الحكم بالتساقط بمجرد حدوث التعارض بين الدليلين وسقوط إطلاق دليل الحجية بالنسبة إليهما مع وجود سيرة العلماء ومرتكزات العقلاء في التماس الترجيح بلا فرق في جميع ذلك بين أن يكون التعارض بين الدليلين عرضياً أو ذاتياً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فيما سبق ما يتعلق بالتنافي بالعرض والتنافي بالذات فراجع</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أطال السيد الصدر قدس سره </w:t>
      </w:r>
      <w:r>
        <w:rPr>
          <w:rStyle w:val="FootnoteAnchor"/>
          <w:rtl w:val="true"/>
        </w:rPr>
        <w:footnoteReference w:id="241"/>
      </w:r>
      <w:r>
        <w:rPr>
          <w:rFonts w:ascii="Amiri" w:hAnsi="Amiri" w:eastAsia="Amiri" w:cs="Amiri"/>
          <w:color w:val="111111"/>
          <w:sz w:val="28"/>
          <w:sz w:val="28"/>
          <w:szCs w:val="28"/>
          <w:rtl w:val="true"/>
          <w:lang w:bidi="ar-SA"/>
        </w:rPr>
        <w:t>الكلام في قسم التنافي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إنه لا حاجة إلى ذلك لأنّ حكم التعارض من الترجيح والتخيير معلوم</w:t>
      </w:r>
      <w:r>
        <w:rPr>
          <w:rFonts w:eastAsia="Amiri" w:cs="Amiri" w:ascii="Amiri" w:hAnsi="Amiri"/>
          <w:color w:val="111111"/>
          <w:sz w:val="28"/>
          <w:szCs w:val="28"/>
          <w:rtl w:val="true"/>
          <w:lang w:bidi="ar-SA"/>
        </w:rPr>
        <w:t xml:space="preserve">. </w:t>
      </w:r>
      <w:bookmarkStart w:id="310" w:name="pg15367_181158"/>
    </w:p>
    <w:p>
      <w:pPr>
        <w:pStyle w:val="BookText"/>
        <w:rPr/>
      </w:pPr>
      <w:bookmarkEnd w:id="310"/>
      <w:r>
        <w:rPr>
          <w:rFonts w:ascii="Amiri" w:hAnsi="Amiri" w:eastAsia="Amiri" w:cs="Amiri"/>
          <w:color w:val="111111"/>
          <w:sz w:val="28"/>
          <w:sz w:val="28"/>
          <w:szCs w:val="28"/>
          <w:rtl w:val="true"/>
          <w:lang w:bidi="ar-SA"/>
        </w:rPr>
        <w:t>ثم إنَّ التخيير يختص بالمتباينين مطلقاً ولا يعمّ غيره فلا يشمل العام والخاص، ولا المطلق والمقيد لما تقدم من تحقق الجمع العرفي المقبول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عرفت أنه لا تعارض بينهما في المحاورات أصلاً فيخرجان عن أحكام التعارض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موارد العموم من وجه؛ لأنّ المتفاهم من أدلة التعارض ما إذا لم يمكن الأخذ بالدليلين في الجملة، وهو ممكن في مورد الإفتراق في الدليلين، بل وكذا في مورد الإجتماع أيضاً لأنّ المنساق من أدلة أحكام التعارض –ترجيحاً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يكون في ما إذا لزم من الطرح والرجوع إلى الأصل محذورٌ شرعي، ولا يلزم ذلك في مورد الإجتماع من العامّين من وجه؛ فإنّ الشائع في المحاورات هو الطرح ولا محذور فيه، وإلا لزم التفكيك في العمل بمدلول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فيه، بل هو كثير في الفقه كما لا يخفى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 ذلك فقد قسّم الأصوليون التنافي العرضي إلى ثلاثة أقسام؛ نذكرها مع شيء من التفصيل</w:t>
      </w:r>
      <w:r>
        <w:rPr>
          <w:rFonts w:eastAsia="Amiri" w:cs="Amiri" w:ascii="Amiri" w:hAnsi="Amiri"/>
          <w:color w:val="111111"/>
          <w:sz w:val="28"/>
          <w:szCs w:val="28"/>
          <w:rtl w:val="true"/>
          <w:lang w:bidi="ar-SA"/>
        </w:rPr>
        <w:t>.</w:t>
      </w:r>
    </w:p>
    <w:p>
      <w:pPr>
        <w:pStyle w:val="Heading6"/>
        <w:numPr>
          <w:ilvl w:val="5"/>
          <w:numId w:val="1"/>
        </w:numPr>
        <w:rPr/>
      </w:pPr>
      <w:bookmarkStart w:id="311" w:name="__RefHeading___Toc5900702_2142443653"/>
      <w:bookmarkStart w:id="312" w:name="_Toc116"/>
      <w:bookmarkEnd w:id="311"/>
      <w:r>
        <w:rPr>
          <w:rtl w:val="true"/>
        </w:rPr>
        <w:t>أقسام التنافي العرضي</w:t>
      </w:r>
      <w:bookmarkEnd w:id="312"/>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التعارض عرضياً على أساس العلم الإجمالي من الخارج بكذب أحد الدليلين؛ وقد عرفت مِمّا سبق عدم الفرق بينه وبين التعارض بالذات والحكم هو نفس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ذكروا عدة محاولات للمنع من الحكم بتساقطهما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الدليلان يدلان على حكمين إلزاميين لا ترخيصين فإنَّه لا يلزم منهما محذور الترخيص في المخالفة، وبذلك نكون قد عملنا بكلا الدليلين؛ إذ كل دليل لا بُدَّ وأن يعمل به ما لم يلزم منه محذور</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 ملاك التعارض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ترخيص في المخالفة القطعية، وإما أن يكون أحد الدليلين منجزاً للتكليف والآخر معرضاً عنه؛ فإنّ هذا أيضاً مستحيل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محل الكلام ينتفي القسم الأول إذا كان الدليلان إلزاميين، إلا أنّ الملاك الثاني للتعارض موجود لأنّ كل واحد من الدليلين يكون حجة في مدلوله الإلتزامي أيضاً والذي ينفي ما أثبته الآخر فيقع التعارض بين المدلول المطابقي لكل منهما مع المدلول الإلتزامي للآخر بالملاك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يختلف المقام عن الأصلين الإلزاميين في موارد العلم الإجمالي بالخلاف؛ فإنّ حجية الأصل إنَّما تكون بمقدار المؤدى المطابقي الإلتزامي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هذه المحاولة بأنّ المرتكزات التي كان الإعتماد عليها في حلّ مشكلة التعارض بالتباين سواء كان حاصلاً بالذات أم بالعرض تقتضي القول بأنه إذا أمكن الجمع بينهما بوجه فهو المتعيّن، وإلا فالتخيير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يفرّق عندهم بين الملاكين المذكورين، مع ما لنا من الكلام في قبول الدلالة الإلتزامية للدليلين مطلقاً، كما 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التساقط إنَّما يأتي من ناحية الدلالتين الإلتزاميتين، وهما ساقطتان لا محالة؛ إما تخصصاً أو تخصيصاً لأنّ الجمع بين الدلالات الأربع غير ممكن؛ فإما أن يسقط الجميع بما فيه الدلالتان الإلتزاميتان فتسقطان تخصصاً لسقوط الدلالتين المطابقتين بناء على تبعية الدلالة الإلتزامية للدلالة المطابقية في الحجية، وإما أن تسقط الإلتزاميتان فقط فيكون السقوط تخصيصاً وتبقى المطابقيتان على الحجية من 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لا كلية في سقوط الدلالتين الإلتزاميتين فإنّ الدلالة الإلتزامية ليست تابعة لمعارضها المطابقي في الحجية بل هي تابع للدلالة المطابقية الأخرى، فلا تكون متعينة للسقوط في مقابل ما يعارضها على كل حال، فيمكن افتراضسقوط إحدى الدلالتين المطابقيتين مع دلالتها وبقاء الدلالة الإلتزامية مع الدلالة المطابقية في الطرف الآخر</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جميع ما ذكر خلاف ما عليه التحقيق في أصل ثبوت التبعية بين الدلالتين الإلتزاميتين وبين الدلالة المطابقية مطلقاً، وهو محلّ تأمل وبحث، وقد ذكرناه في </w:t>
      </w:r>
    </w:p>
    <w:p>
      <w:pPr>
        <w:pStyle w:val="BookText"/>
        <w:rPr/>
      </w:pPr>
      <w:r>
        <w:rPr>
          <w:rFonts w:ascii="Amiri" w:hAnsi="Amiri" w:eastAsia="Amiri" w:cs="Amiri"/>
          <w:color w:val="111111"/>
          <w:sz w:val="28"/>
          <w:sz w:val="28"/>
          <w:szCs w:val="28"/>
          <w:rtl w:val="true"/>
          <w:lang w:bidi="ar-SA"/>
        </w:rPr>
        <w:t>بحوثنا السابقة؛ فإنّ العرف هو المحكّم في إثبات الحجية أو عدمها، وليست لنا قاعدة كلية يعتمد عليها في إثبات الدلالة الإلتزامية في عرض الدلالة المطابقية، كما إنه ليست لنا قاعدة عامة في التبعية بينهما في الحجية وطوليتهما أو عرضيتهما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قبول الدلالة الإلتزامية يدور مدار الظهورات العرفية، ومن هنا لم يحكم الفقهاء بقبول الدلالات الإلتزامية في الأقارير والشهادات إلا في موارد الظهور العرفي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المحاولة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الحكم بسقوط المتعارضين إنَّما يكون فيما إذا كان مقتضى الحجية في كل منهما تاماً في نفسه، وأما إذا كان مقتضى الحجية غير تام في أحدهما المعيّن كان الآخر حجة بالفعل كما هو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فإنّ الدلالتين الإلتزاميتين لا تصلحان لمعارضة المطابقيتين؛ إذ لو كانت كذلك لكان معناه توقف عدم الحجية الفعلية للدلالة المطابقية لدليل وجوب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اقتضاء الحجية للدلالة الإلتزامية لدليل وجوب الجمعة بناءً على التبعية كما هو كذلك في صورة العكس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الحجية لكلٍّ من الدلالتين المطابقيتين لتكون موقوفة على حجية الآخر، وهو مستحيل لاستلزامه مانعية كل منهما عن الآخر، فلا تثبت الحجية في الدلالتين الإلتزاميتين، وهو معنى عدم صلاحيتهما لمعارضة الدلالتين المطابقيتين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عليه ما ذكرناه آنفاً من أنّ إثبات الدلالة الإلتزامية على نحو الحجية أو تبعيتها للدلالة المطابقية وطوليتهما على فرض الثبوت أو عرضيتهما لا يمكن قبوله إلا بالرجوع إلى العرف والظهورات العرفية</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المحاولة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البرهان الذي يُستند إليه للتساقط في موارد التعارض إنَّما هو برهان الترجيح بلا مرجّح؛ فلو أردنا أن نأخذ بأحد الدليلين دون الآخر كان ترجيحاً بغير مرجّح لأنّ نسبة دليل الحجية الحاصل منهما على حدٍّ سواء، فلا وجه للإستناد على أحدهما دون الآخر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لا كلية لهذا الدليل؛ إذ يمكن فرض ما إذا كان في تقديم أحدهما على معارضه استلزام ارتكاب محذورين؛ ففي مثل هذه الحالة يتعين سقوطُه فيكون معارضه حجة، فلا يكون ترجيحه بغير مرجّح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الفرض يمكن أن يكون قاعدة عامة، ويكون المقام من تطبيقاتها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والإشكال على ذلك واضح؛ فهو من النزاع الصغروي فلا حاجة إلى ذكره وذكر الجواب عنه كما فعله السيد الصدر قدس سره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والصحيح في الإستدلال على سقوط احتمال التساقط للدليلين المتعارضين فيما إذا علمنا إجمالاً بكذب أحدهما؛ هو ما ذكرناه من أنّ مرتكزات العقلاء لا يحكم بالتساقط فيها إذا فُقد الترجيح لأحدهما، بل يحكم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يُنزّل ما ورد في أخبار المقام، وسيأتي مزيد بيان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ذاتياً على نحو التناقض؛ بأن يكون فرض كذب أحدهما مساوقاً مع كذب الآخر ولو لم يكونا من النقيضين اصطلاحاً،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الصحيح هو التساقط المطلق لأنّ المحتملات المتصورة للحجية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حجيتهما مطلقاً، وحجية أحدهما المعين، وحجية أحدهما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وكلها باطلة في هذا القسم فيتعين التساقط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الإحتمال الأول؛ فلأنّ فرض حجيتهما معاً يرجع إلى اجتماع التنجيز والتعذير معاً، وهو غير معقول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الفرق بين هذا القسم والقسم السابق الذي لم ينشأ منه هذا المحذور بالأخذ بالدليلين كما تقدم</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الإحتمال الثاني؛ فلأنّ تعيين أحدهما للحجية ترجيح بلا مرجّح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الإحتمال الثالث؛ فلأنّ التخيير في الحجية على أنحاء عديدة،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منهما بشرط عدم حجية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منهما بشرط عدم صدق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منهما بشرط عدم الإلتزام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كلٍّ منهما بشرط الإلتزام بالآخر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الفرد المردّد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الجامع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حجية غير ما عُلم إجمالاً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تلك الأنحاء صحيحة في حدّ نفسها بالنظر البدوي لتخريج الحجية التخييرية ويمكن الإلتزام بها في المقامات المختلفة؛ كلٍّ بحسب ما تقتضيه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قيل بأنها باطلة في المقام لأنَّها جميعاً تفقد شرطاً وأكثر من شروط التخيير في الحجية؛ إذ الحجية التخييرية المبحوث عنها في الأصول يراد بها رفع التنافي بين اقتضاءات دليل الحجية ليشمل المتعارضين بتقييد حجية كل منهما بحالة دون الحالة التي يكون الآخر حجة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الحجية بنحو يعالج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لا يتم إلا ضمن شروط معينة وهي شروط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الحجيتان المشروطتان باقيتين على التعارض كالحجتين المطلقتين، وهذا واضح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الشرط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الحجية المشروطة معقولة في نفسها؛ بأن لا يستلزم من تقييد الحجتين المحال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الشرط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الحجية المشروطة في أحد الطرفين منافية للحجية المطلقة من الطرف الآخر، وإلا لرفع التعارض بين دليل الحجية المشروطة ولو بالمقدار في كل طرف مع إطلاق دليل الحجية في الطرف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تكون الحجية المشروطة مباينةً لما يستفاد من دليل الحجية العام، بل تكون حصة من حصصها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توفرت هذه الشروط في الحجية المشروطة أمكن إثباتها بدليل الحجية العام، فيمكن إثبات الحجية التخييرية، وأما إذا فقدت أو فُقد شرطٌ منها فلا يمكن إثبات الحجية التخييرية، كما هو كذلك في الأنحاء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أطال بعض الأصوليين</w:t>
      </w:r>
      <w:r>
        <w:rPr>
          <w:rStyle w:val="FootnoteAnchor"/>
          <w:rtl w:val="true"/>
        </w:rPr>
        <w:footnoteReference w:id="243"/>
      </w:r>
      <w:r>
        <w:rPr>
          <w:rFonts w:ascii="Amiri" w:hAnsi="Amiri" w:eastAsia="Amiri" w:cs="Amiri"/>
          <w:color w:val="111111"/>
          <w:sz w:val="28"/>
          <w:sz w:val="28"/>
          <w:szCs w:val="28"/>
          <w:rtl w:val="true"/>
          <w:lang w:bidi="ar-SA"/>
        </w:rPr>
        <w:t>الكلام في المقام في بيان إبطال الإحتمالات السبعة في الحجية المشروطة في المقام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النحو الأول؛ وهو الحجية المشروطة بعدم حجية الآخر، فإنّه يفقد الشرط الثاني من الشروط لأنّ لازمه مانعية حجية كل منهما عن حجية الآخر، والتمانعُ من الطرفين من الدور المحال إن كانت الشروط الثلاثة الأخرى متوفرة في هذا النحو،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حاجة إلى نقل كلامه، مع أنّ بطلان الإحتمال الخامس وهو حجية الفرد المردد واضح لما عرفت مكرراً من أنّ الفرد المردد لا وجود له لا في الخارج ولا في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حجية الجامع بينهما؛ والمراد به المردد المفهومي، فيمكن تصحيحه باعتباره وجهاً من وجوه الجمع بين الدليلين المتعارضين وكان موافقاً للذوق العرفي</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والصحيح؛ إنّ هذا القسم مثل سابقه في أنه إذا أمكن بكل وجه مقبول الجمعُ بين الدليلين؛ ولو كان بإثبات الجامع بينهما بحيث يعترف به العرف، فلا بُدَّ من أخذه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لم يمكن الجمع بينهما فإنّ مقتضى المرتكزات هو التخيير، إلا إن يقال بأنّ العرف يرى في هذا القسم التساقط لأنّ العلم الإجمالي بكذب أحدهما يجعل التخيير بينهما بعيداً بحسب أذهان العرف، فتأمّل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التعارض ذاتياً على أساس التضاد؛ أي يكون التقابل فيه حاصلاً من ناحية إمكان كذب الدليلين معاً بعد عدم إمكان صدقهما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فيه هو الحكم بالتخيير على مقتضى الأصل الأولي بنحو من الأنحاء السبعة المتقدمة لتصوير الحجة التخييرية مثل النحو الثاني وهو حجية كل منهما مشروطاً بعدم صدق الآخر، أو النحو السابع وهو حجية غير ما علم إجمالاً كذبه، فإنّ كل واحد منهما معقول في هذا القسم ولم يستلزم ما ذكروه في القسم السابق من الإشكال من عدم توفر الشروط الأربعة المزبورة أو بعضها، وذلك لأنَّها متوفرة في هذا القسم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الشرط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التنافي بين الحجتين المشروطتين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محفوظ من جهة أنّ الحجية في هذا القسم مقيدة لكل طرف بكذب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يمنع من فعلية كلتا الحجتين بنحو يلزم التنافي في إطلاقات دليل الحجية، لأنّ الواصل للمكلف هو إحدى الحجتين لا أكثر؛ إذ يعلم بكذب أحد الضدين إجمالاً، فتكون الحجة هي الواصلة بوصول موضوعها إجمالاً فلا يقع تنافٍ بين الحجتين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مسلك مشهور القائم على تقوّم الحجية بالوصول ولو إجمالاً، وأنّ الأحكام الظاهرية تتعارض في مرحلة الوصول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بناءً على ما ذكره بعضهم من ثبوت الأحكام الظاهرية واقعاًَ كالأحكام الواقعية، فلا محذور فيه أيضاً لعدم المانع من إطلاق دليل الحجية لكل منهما مشروطاً بكذب الآخر لاحتمال فعلية إحدى الحجتين واقعاً، وبمجرد كذبهما معاً لا يمنع من صحة التمسك بإطلاق دليل الحجية لإثبات الحجتين المشروطتين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الشرط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معقولية جعل الحجية المشروطة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متوفر أيضاً لأنّ فائدة هذه الحجية هو إحراز حجية أحد الدليلين إجمالاً، وهذا يعني أنه لم يكن محرزاً لولا الحجية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الشرط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عدم تنافي الحجية المشروطة في إحدى الطرفين مع الحجية المطلقة في الطرف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أيضاً محفوظ لأنّ الحجية المشروطة لا تصبح فعلية في أحد الطرفين تعييناً إلا إذا علم بكذب الآخر تعييناً، ومعه لا موضوع للحجية المطلقة فيه حتى تتنافى مع الحجية المشروطة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الحال في الشرط الرابع؛ لأنّ هذه الحجية حصة من حصص الحجية المطلقة والمستفادة من دليل الحجية العام وليست حجية جديدة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يتم إثبات الحجية الإجمالية في هذا القسم وتثبت النتيجة العملية لذلك من نفي الثالث وغيره</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الأنحاء الأخرى للحجية التخييرية فيمكن إرجاعها إلى القسمين السابقين إلا بعضها الذي لا يتم في هذا القسم؛ كالنحو الأول الذي مفاد حجية كل منهما مشروط بعدم حجية الآخر فإنّ محذور الدور والتمانع باقٍ في هذا القسم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جميع ما ذكرناه في هذا البحث يظهر أنّ مقتضى الأصل الأولي فيما إذا كان دليل الحجية لفظاً تعبدياً هو عدم التساقط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بين الدليلين تنافٍ ذاتي بنحو التناقض إلا إذا كان هناك عرف قائم على التساقط فيه، وهو الذي ذهب إليه المشهور؛ فإنّ المناط في الحكم بالتساقط أو عدمه هو المرتكزات العقلائية فإنها تحكم في مثل تلك الحالات بعدم التساقط بعد ثبوت الحجية الإقتضائية في البين فإذا أمكن الترجيح لأحدهما على الآخر بأيّ وجه مقبول فيجب، وإلا فالمرجع هو المرتكزات التي تثبت </w:t>
      </w:r>
    </w:p>
    <w:p>
      <w:pPr>
        <w:pStyle w:val="BookText"/>
        <w:rPr/>
      </w:pPr>
      <w:r>
        <w:rPr>
          <w:rFonts w:ascii="Amiri" w:hAnsi="Amiri" w:eastAsia="Amiri" w:cs="Amiri"/>
          <w:color w:val="111111"/>
          <w:sz w:val="28"/>
          <w:sz w:val="28"/>
          <w:szCs w:val="28"/>
          <w:rtl w:val="true"/>
          <w:lang w:bidi="ar-SA"/>
        </w:rPr>
        <w:t>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يفرق في ذلك بين أن يكون دليل الحجية لفظياً أم غير لفظي من السيرة عليه ونحوهما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ذهب بعضهم إلى التفريق بين الدليل اللفظي والتعبدي، وأنّ الدليل اللبّي من التساقط المطلق وعدم ثبوت الحجية التخييرية في الثاني دون الأول لأنّ هذا النوع من الحجية خلاف الإرتكاز العقلائي في باب الحجية القائمة على أساس الطريقية والكاشفية، فلا أقل أنه لا ارتكاز على وفاقه فلا يمكن إثباته بأدلة الحجية اللبّية ولا بالدلالة اللفظية لعدم التصريح بكبرى الحجية في الآيات والروايات القطعية، وأما السيرة العقلائية التي هي دليل لبّي في إثبات الحجية فلا تقتضي هذا النحو من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الأدلة الدالة على الحجية مطلقاً لا قصور فيها في إثبات الحجية التخييرية أو الحجية الإقتضائية إذا كان هناك مانع من الحجية التخييرية من تعارض ونحوه، والإرتكاز العقلائي الذي تُنزّل عليه الأدلة لا يأتي إن لم نقل بموافقته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يظهر صحة القول الثاني؛ وهو القول ببقاء الحجية في تمام موارد التعارض في الجملة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القول الثالث؛ وهو قول المحقق العراقي قدس سره من التفصيل بين ما إذا كان الخبران متنافيين بحسب مدلولهما فالحكم فيه هو التساقط المطلق، وبين ما إذا لم يكن تنافٍ بين مدلول الخبرين، بل يمكن صدقهما معاً ولكنه علم بكذب أحد الراويين لدلالة كل منهما بالملازمة على كذب الآخر؛ فالحكم حينئذٍ هو الحجية وتنجيز مدلولهما على المكلف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واستدل على ذلك بأنّ كلاً من الخبرين في الفرض الثاني وإن كان يكذب الآخر بالإلتزام إلا أنه لا يدل على عدم مطابقة مدلوله للواقع فيحتمل كون الحكم فيه ثابتاً في الواقع، وهذا يعني أنّ هذه الدلالة الإلتزامية لا يترتب عليها أثر عملي حتى يكون حجة </w:t>
      </w:r>
    </w:p>
    <w:p>
      <w:pPr>
        <w:pStyle w:val="BookText"/>
        <w:rPr/>
      </w:pPr>
      <w:r>
        <w:rPr>
          <w:rFonts w:ascii="Amiri" w:hAnsi="Amiri" w:eastAsia="Amiri" w:cs="Amiri"/>
          <w:color w:val="111111"/>
          <w:sz w:val="28"/>
          <w:sz w:val="28"/>
          <w:szCs w:val="28"/>
          <w:rtl w:val="true"/>
          <w:lang w:bidi="ar-SA"/>
        </w:rPr>
        <w:t>ومعارضاً مع مدلول الآخر فإنّ الأثر العملي؛ إما أن يكون نفياً للحكم الشرعي الواقعي الذي دل عليه الآخر؛ وقد علمت عدم دلالته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إيقاع المعارضة بينهما باعتبار الدلالة على عدم صدور الكلام المنقول للآخر ولو لم ينته إلى نفي ذات المدلول؛ وهو مردودبأنّ عدم الصدور بمجرده لا يترتب عليه تنجيزاً أو تعذيراًَ حتى تقع المعارضة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على هذا القول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منقوض بموارد التكاذب بين الأمارتين صريحاً بحسب مدلولهما المطابقيتين، كما إذا أخبر أحدهما عن صدور كلام معين من المعصوم ونفي الآخر صدور ذلك الكلام عنه، فإنّ لازم ما ذكره قدس سره من بقاء الدليل المثبت على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التعارض وعدم الحجية معروف عند الأصوليين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بالحل؛ فإنَّه إما أن نبني على أن دليل حجية السند يثبت الحكم الظاهري لحجية شخص ذلك الظهور المنقول عن المعصوم علیه السلام ، وإما أن نبني على أنه ينجز الحكم الواقعي المفاد بالخبر ابتداءً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البناء الأول يتحقق التعارض لأنّ الخبرين إذا حقّقا صغرى حجية شخص الظهور المنقول به فيكون منجزاً بهذا الإعتبار وكذلك ينفي بالدلالة الإلتزامية تلك الصغرى فيكون معذوراً عنه بهذا الإعتبار، ومجرد احتمال وجود الحكم واقعاً لا يضرّ لأنّ المنجز هو حجية الظهور التي تنحلّ بعدد أشخاص الظهورات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البناء الثاني يمكن التلفيق بين مدلولين إلتزاميين للخبرين معاً والتوصل إلى التعذير عن الحكم الواقعي المجهول فيكون معارضاً مع الخبر المنجز له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 إنّ الحكم المقرون بشخص ذلك الخطاب ينفيه الخبر النافي، والحكم غير المقرون به ينفيه الخبر المثبت، وبالجمع بينهما ينفي أصل الحكم الواقعي ويؤمن عنه</w:t>
      </w:r>
      <w:r>
        <w:rPr>
          <w:rFonts w:eastAsia="Amiri" w:cs="Amiri" w:ascii="Amiri" w:hAnsi="Amiri"/>
          <w:color w:val="111111"/>
          <w:sz w:val="28"/>
          <w:szCs w:val="28"/>
          <w:rtl w:val="true"/>
          <w:lang w:bidi="ar-SA"/>
        </w:rPr>
        <w:t xml:space="preserve">. </w:t>
      </w:r>
      <w:bookmarkStart w:id="313" w:name="pg15367_181168"/>
    </w:p>
    <w:p>
      <w:pPr>
        <w:pStyle w:val="BookText"/>
        <w:rPr/>
      </w:pPr>
      <w:bookmarkEnd w:id="313"/>
      <w:r>
        <w:rPr>
          <w:rFonts w:ascii="Amiri" w:hAnsi="Amiri" w:eastAsia="Amiri" w:cs="Amiri"/>
          <w:color w:val="111111"/>
          <w:sz w:val="28"/>
          <w:sz w:val="28"/>
          <w:szCs w:val="28"/>
          <w:rtl w:val="true"/>
          <w:lang w:bidi="ar-SA"/>
        </w:rPr>
        <w:t>والصحيح؛ إنّ ما ذكر</w:t>
      </w:r>
      <w:r>
        <w:rPr>
          <w:rStyle w:val="FootnoteAnchor"/>
          <w:rtl w:val="true"/>
        </w:rPr>
        <w:footnoteReference w:id="244"/>
      </w:r>
      <w:r>
        <w:rPr>
          <w:rFonts w:ascii="Amiri" w:hAnsi="Amiri" w:eastAsia="Amiri" w:cs="Amiri"/>
          <w:color w:val="111111"/>
          <w:sz w:val="28"/>
          <w:sz w:val="28"/>
          <w:szCs w:val="28"/>
          <w:rtl w:val="true"/>
          <w:lang w:bidi="ar-SA"/>
        </w:rPr>
        <w:t>في الرد على مقالة المحقق العراقي بعيد عن أذهان العرف والمرتكزات فإنَّه يحتاج إلى تثبيت دلالة إلتزامية في المقام تنفي ما تدل عليه الدلالة المطابقية، وقد عرفت سابقاً عدم تمامية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فإنّ الرجوع إلى البناء العقلائي ومرتكزات العقلاء في ثبوت الحجية في الخبرين المتكاذبين على نحو ما ذكرناه سابقاً في القسمين السابقين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التفصيل لا يمكن قبوله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ما ذكرناه من ثبوت الحجية الإقتضائية، فلا بُدَّ من إيصالها إلى التنجيز بإعمال المرجّحات، وعند فقدها يكون المرجح هو التخيير بحكم المرتكزات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ننهي الكلام عن حكم المتعارضين بحسب الأصل الأولي وأنه يقتضي الحجية التخييرية</w:t>
      </w:r>
      <w:r>
        <w:rPr>
          <w:rFonts w:eastAsia="Amiri" w:cs="Amiri" w:ascii="Amiri" w:hAnsi="Amiri"/>
          <w:color w:val="111111"/>
          <w:sz w:val="28"/>
          <w:szCs w:val="28"/>
          <w:rtl w:val="true"/>
          <w:lang w:bidi="ar-SA"/>
        </w:rPr>
        <w:t>.</w:t>
      </w:r>
    </w:p>
    <w:p>
      <w:pPr>
        <w:pStyle w:val="Heading6"/>
        <w:numPr>
          <w:ilvl w:val="5"/>
          <w:numId w:val="1"/>
        </w:numPr>
        <w:rPr/>
      </w:pPr>
      <w:bookmarkStart w:id="314" w:name="__RefHeading___Toc5900704_2142443653"/>
      <w:bookmarkStart w:id="315" w:name="_Toc117"/>
      <w:bookmarkEnd w:id="314"/>
      <w:r>
        <w:rPr>
          <w:rtl w:val="true"/>
        </w:rPr>
        <w:t>الأمر الثالث</w:t>
      </w:r>
      <w:r>
        <w:rPr>
          <w:rtl w:val="true"/>
        </w:rPr>
        <w:t xml:space="preserve">: </w:t>
      </w:r>
      <w:r>
        <w:rPr>
          <w:rtl w:val="true"/>
        </w:rPr>
        <w:t>في إمكان نفي الحكم المخالف</w:t>
      </w:r>
      <w:bookmarkEnd w:id="315"/>
    </w:p>
    <w:p>
      <w:pPr>
        <w:pStyle w:val="BookText"/>
        <w:rPr/>
      </w:pPr>
      <w:r>
        <w:rPr>
          <w:rFonts w:ascii="Amiri" w:hAnsi="Amiri" w:eastAsia="Amiri" w:cs="Amiri"/>
          <w:color w:val="111111"/>
          <w:sz w:val="28"/>
          <w:sz w:val="28"/>
          <w:szCs w:val="28"/>
          <w:rtl w:val="true"/>
          <w:lang w:bidi="ar-SA"/>
        </w:rPr>
        <w:t xml:space="preserve">إنه بناء على التساقط المطلق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يمكن نفي الحكم الثالث المخالف مع مفاد كلا الدليلين المتعارضين، أو يمكن الإلتزام بحكم ثالث مخالف لمفادهما إذا اقتضاه الأصل؟</w:t>
      </w:r>
    </w:p>
    <w:p>
      <w:pPr>
        <w:pStyle w:val="BookText"/>
        <w:rPr/>
      </w:pPr>
      <w:r>
        <w:rPr>
          <w:rFonts w:ascii="Amiri" w:hAnsi="Amiri" w:eastAsia="Amiri" w:cs="Amiri"/>
          <w:color w:val="111111"/>
          <w:sz w:val="28"/>
          <w:sz w:val="28"/>
          <w:szCs w:val="28"/>
          <w:rtl w:val="true"/>
          <w:lang w:bidi="ar-SA"/>
        </w:rPr>
        <w:t>فيه آراء وأقوال، وقد ذهب جمعٌ من المحققين إلى الثاني وإثبات حكم ثالث مخالف لهما، واستدلوا على ذلك بوجهين، كلاهما يرجع إلى وجه واحد؛ وهو سقوط المتعارضين في مدلولهما المطابقي وعدم السقوط في المدلول الإلتزامي وهو نفي الحكم المخالف</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المحقق الخراساني قدس سره </w:t>
      </w:r>
      <w:r>
        <w:rPr>
          <w:rStyle w:val="FootnoteAnchor"/>
          <w:rtl w:val="true"/>
        </w:rPr>
        <w:footnoteReference w:id="245"/>
      </w:r>
      <w:r>
        <w:rPr>
          <w:rFonts w:ascii="Amiri" w:hAnsi="Amiri" w:eastAsia="Amiri" w:cs="Amiri"/>
          <w:color w:val="111111"/>
          <w:sz w:val="28"/>
          <w:sz w:val="28"/>
          <w:szCs w:val="28"/>
          <w:rtl w:val="true"/>
          <w:lang w:bidi="ar-SA"/>
        </w:rPr>
        <w:t xml:space="preserve">من أنَّ التعارض بين الدليلين غاية ما يستلزمه العلم بكذب أحدهما، فما يسقط عن الحجية هو أحدهما المعلوم كذبه إجمالاً، وأما </w:t>
      </w:r>
    </w:p>
    <w:p>
      <w:pPr>
        <w:pStyle w:val="BookText"/>
        <w:rPr/>
      </w:pPr>
      <w:r>
        <w:rPr>
          <w:rFonts w:ascii="Amiri" w:hAnsi="Amiri" w:eastAsia="Amiri" w:cs="Amiri"/>
          <w:color w:val="111111"/>
          <w:sz w:val="28"/>
          <w:sz w:val="28"/>
          <w:szCs w:val="28"/>
          <w:rtl w:val="true"/>
          <w:lang w:bidi="ar-SA"/>
        </w:rPr>
        <w:t>الآخر فلا وجه لرفع اليد عن حجيته، وحجيته لا تفيد بالقياس إلى المدلول المطابقي منهما لعدم إمكان تعيين الحجية في أحد الطرفين إلا أنها تفيد بلحاظ المدلول الإلتزامي، وهو نفي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 بأنه إذا أريد من بقاء حجية أحدهما المفهومي؛ أي الجامع بينهما، أو أحدهما المصداقي؛ أي الفرد المردد، فهذا غير معقول؛ إذ الجامع بين الدليلين ليس دليلاً، والفرد المردد ليس فرداً ثالثاً بين الفردين، فلا يشملها دليل الحجية العام، فلا إطلاق له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حجية غير معلوم الكذب من الدليلين بوجوده الواقعي، وهذا إنَّما يفيد إذا كان لمعلوم الكذب تعيّن واقعي لأنّ العلم الإجمالي بالكذب قد نتج عن مجرد التعارض بين الدليلين وتنافي مدلولهما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 الإشكال المزبور بأنّ المستدل إنَّما يريد نفي الثالث بالمدلول الإلتزامي عرفاً، فلا نظر له إلى ثبوت الجامع ولا الفرد المردد ولا الحجية بالوجود الواقعي حتى يستشكل عليه بما ذكر، مع أنه غير تام في حدّ نفسه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نسب إلى المحقق النائيني قدس سره </w:t>
      </w:r>
      <w:r>
        <w:rPr>
          <w:rStyle w:val="FootnoteAnchor"/>
          <w:rtl w:val="true"/>
        </w:rPr>
        <w:footnoteReference w:id="246"/>
      </w:r>
      <w:r>
        <w:rPr>
          <w:rFonts w:ascii="Amiri" w:hAnsi="Amiri" w:eastAsia="Amiri" w:cs="Amiri"/>
          <w:color w:val="111111"/>
          <w:sz w:val="28"/>
          <w:sz w:val="28"/>
          <w:szCs w:val="28"/>
          <w:rtl w:val="true"/>
          <w:lang w:bidi="ar-SA"/>
        </w:rPr>
        <w:t>من أنّ الدلالة الإلتزامية وإن كانت تابعة للدلالة المطابقية ذاتاً إلا أنها غير تابعة لها حجيةً؛ لأنّ كلاً منهما فرد مستقل لدليل الحجية العام فإذا انعقدت الدلالة المطابقية ذاتاً انعقدت الدلالة الإلتزامية أيضاً، وسقوط الأولى عن الحجية لوجود المعارض لا يستوجب خروج الثانية عن إطلاق دليل الحجية إذا لم يكن محذور في بقاءها على الحجية، فلا موجب لسقوطها عن الحجية</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ولازم ذلك نفي الثالث بالدلالة الإلتزامية لكل من الدليلين المتعارضين اللذين كان التعارض بينهما بلحاظ مدلوليهما المطابقتين، وأما الثالث فكلاهما متفقان على نفيه بمدلوليهما الإلتزاميين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 الدلالة الإلتزامية تابعة للدلالة المطابقية في الحجية فإذا سقطت الثانية عن الحجية بالتعارض سقطت الأولى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استُدل على عدم التبعية بينهما في الحجية بعدة 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الدليل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بعضهم</w:t>
      </w:r>
      <w:r>
        <w:rPr>
          <w:rStyle w:val="FootnoteAnchor"/>
          <w:rtl w:val="true"/>
        </w:rPr>
        <w:footnoteReference w:id="247"/>
      </w:r>
      <w:r>
        <w:rPr>
          <w:rFonts w:ascii="Amiri" w:hAnsi="Amiri" w:eastAsia="Amiri" w:cs="Amiri"/>
          <w:color w:val="111111"/>
          <w:sz w:val="28"/>
          <w:sz w:val="28"/>
          <w:szCs w:val="28"/>
          <w:rtl w:val="true"/>
          <w:lang w:bidi="ar-SA"/>
        </w:rPr>
        <w:t>في رد الوجه المتقدم نقضاً وحلاً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النقض؛ ففي موارد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لو قامت بيّنة على نجاسة الثوب بسبب البول مثلاً وعلمنا بكذب البينة وعدم وقوع البول على الثوب، ولكن احتملنا نجاسته بشيء آخر مثل الدم ونحوه، فهل يحكم بنجاسة الثوب لأجل البيّنة المذكورة باعتبار أنّ الإخبار عن وقوع البول على الثوب إخبار عن نجاسته لأنَّها من لوازمه، وبعد سقوط البينة عن الحجية في الملزوم للعلم بالخلاف لا مانع من الرجوع إليها بالنسبة إلى اللازم مع أنه لا يقول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أخبر شاهد بأنّ الدار تحت يد زيد وادعى عمرو أنها للأخير، وأخبر شاهد آخر أنها لخالد؛ فإنه لا حجية لكل واحد منهما في المدلول المطابقي مع قطع النظر عن المعارضة لعدم قبول قول الشاهد الواحد إلا مع اليمين، فهل يمكن الأخذ بمدلولهما الإلتزامي والحكم بكون الدار لزيد لكونهما متوافقين فيه من دون حاجة إلى ضم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نفس المثال المذكور إذا قامت بينة على كون الدار لعمرو وبينة أخرى على أنَّها لخالد فإنَّه بعد تساقطهما في المدلول المطابقي هل يمكن الأخذ بهما في المدلول الإلتزامي والحكم بعدم كون الدار لزيد فتكون مجهولة المالك</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أخبرت البينة عن كون الدار لعمرو واعترف الأخير بعدم كونها له فتسقط البينة عن الحجة لأنّ الإقرار مقدّم عليها، كما أنّ البينة مقدمة على اليد؛ فإنَّه بعد سقوط </w:t>
      </w:r>
    </w:p>
    <w:p>
      <w:pPr>
        <w:pStyle w:val="BookText"/>
        <w:rPr/>
      </w:pPr>
      <w:r>
        <w:rPr>
          <w:rFonts w:ascii="Amiri" w:hAnsi="Amiri" w:eastAsia="Amiri" w:cs="Amiri"/>
          <w:color w:val="111111"/>
          <w:sz w:val="28"/>
          <w:sz w:val="28"/>
          <w:szCs w:val="28"/>
          <w:rtl w:val="true"/>
          <w:lang w:bidi="ar-SA"/>
        </w:rPr>
        <w:t>البينة عن الحجية في المدلول المطابقي بسبب الإقرار المزبور فهل يمكن الأخذ بمدلولها الإلتزامي وهو عدم كون الدار لزيد مع كونها تحت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 جميع ذلك بما ذكرناه مكرراً من أنّ الدلالة الإلتزامية إنَّما تثبت في الكلام بالظهور العرفي لا لمجرد التبعية للدلالة المطابقية حتى يبحث أنها تابعة لها في الحجية أو لا، فإنّ العرف لا يأخذ بالدلالة الإلتزامية في الأمثلة المذكورة ولا غيرها، وإن قلنا بالتبعية للحجية فيهما، فلا يُعمل بكل حجة إذا لم يتم فيها شروط العمل بها؛ ومنها الظهور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ذكرنا فيما تقدم أنّ الفقهاء لميأخذوا بها في باب الأقارير والشهادات وغيرها، فهذا الإشكال والرد عليه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الحلّ؛ فإنّ الإخبار عن الملزوم وإن كان إخباراً عن اللازم، ولكن ليس إخباراً عنه بالوجود السعي بل هو إخبار عن حصة خاصة هي لازم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نقول بأنّ الإخبار عن وقوع البول على الثوب ليس إخباراً عن نجاسة الثوب بأيّ سبب كان، بل إخبار عن نجاسته من ناحية البول الذي هو سبب لها؛ فإذا علم بكذب البينة التي أخبرت بنجاسة الثوب بالبول يعلم كذبها بالإخبار عن نجاسة الثوب من هذه الجهة فقط، وأما النجاسة بسبب آخر فهي وإن كانت محتملة ولكنها خارجة عن مفاد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في المقام فإنّ الخبر الدال على الوجوب يدل على حصته من عدم الإباحة التي هي لازمة للوجوب لا عدم الإباحة بقول مطلق، كما أنّ الخبر الدال على الحرمة يدل على عدم الإباحة اللازمة للحرمة لا مطلق عدم الإباحة؛ فمع سقوطهما عن الحجية في مدلولهما المطابقي للمعارضة يسقطان عن الحجية في المدلول الإلتزامي أيضاً، وهكذا في سائر الأمثلة</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وأُشكل عليه بأنه إن أريد قياس المقام على البينة في الأمثلة المذكورة فهو باطل لأنَّهما يختلفان؛ إذ البينة شهادة بالمحسوس، والخبر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أُريد أنّ المدلول الإلتزامي إنَّما هو الحصة الخاصة المقارنة مع الملزوم فتكون المعارضة سارية إليه أيضاً فإنَّه يرد عليه بأنّ هذا يتم في المداليل الإلتزامية التي لها تخصّص وتعيُّن في نفسها مع قطع النظر عن المقارنة المنتزعة بلحاظ المدلول المطابقي، فتكون في نفسها مِمّا لا تجتمع مع المدلول في الدليل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لها تعيّن لذلك فلا يتم هذا الوجه لأنّ المدلول الإلتزامي حينئذٍ هو ذات اللازم، والدلالة الإلتزامية دالة عليه بما هو هو لا بما هو لازم مقارن، فالتلازم نسبة بين المتلازمين وليس مأخوذاً في أحد الطرفين، فمع سقوط الدلالة المطابقية عن الحجية لعدم شمول دليل الحجية العام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مانع من بقاء الدلالة الإلتزامية للكلام على حجيتها ما دام مدلولهما محتمل الثبوت فيه، والدلالة عليه محفوظة ذاتاً ووجوداً</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جميع ما ذكر في الجواب والرد عليه غير صحيح، إذ لا ينسجم مع المستفاد من أدلة الحجج والأمارات؛ فإنّ الذي يأخذه العرف من المداليل المطابقية ما إذا كان الكلام ظاهراً فيها، وكذلك لا يعتمد العرف على المداليل الإلتزامية واللوازم والملزومات، أما ما كان اللفظ ظاهراً في تلك اللوازم والمداليل الإلتزامية ومقبولاً عند مرتكزات العقلاء ولا نظر لهم في سعة الدلالة الإلتزامية وتخصصها فربما يكون الكلام ليس له ظهور في المدلول الإلتزامي، وربما يكون له ظهور في اللازم الخاص دون العام وربما يكون بالعكس إذا استفاد العرفظهور الكلام في ذلك، ولا أظن أنّ أحداً يقول بحجية الدلالة الإلتزامية إذا لم يكن للكلام ظهور فيها، ولعل مراد القائلين بتبعية الدلالة الإلتزامية للدلالة المطابقية في الحجية هذا المعنى؛ أي ما إذا كان لهما ظهور أو لأحدهما فيه، وإلا فلا وجه للأخذ بالمدلول الإلتزامي مع فقْد الظهور المعرفي وإن قلنا بتبعيته للمدلول المطابقي في الحجية، والعكس أيضاً صحيح كما يتضح ذلك من الوجوه الآتية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الدليل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الدلالة الإلتزامية العقلية ليست من دلالة اللفظ على المعنى، بل من دلالة المعنى على المعنى، فيكون في الواقع دالان ومدلولان أحدهما الكلام ومدلوله المطابقي، والآخر نفس المعنى المطابقي ومدلوله المعنى الإلتزامي لأنّ الملازمة العقلية ملازمة تصديقية بين واقع المعنيين بوجودهما الحقيقيين، فإذا سقطت الدلالة اللفظية في إثبات مدلوله فلا يبقى ما يدلنا على المعنى الإلتزامي، وهذا هو معنى التبعية بينهما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الملازمة العقلية إنَّما تكون بين ثبوت المعنى المطابقي واقعاً أو ثبوت المعنى الإلتزامي كذلك لا ثبوتهما التعبدي، وعليه؛ فإن أريد من عدم الدال على المعنى الإلتزامي عند سقوط الدلالة المطابقية عدم ذات الدالّ على المعنى الإلتزامي فهو غير صحيح فإنّ الدال عليه ذات المعنى المطابقي وهي غير ساقطة وإنما الساقط حجيتها، وإن أريد عدم التعبد بثبوت الدالّ على المعنى الإلتزامي فهو صحيح إلا إنه لم يكن هو الدال على المعنى الإلتزامي، وإلا فثبوت حجية لوازم الأصول العملية أيضاً يكون لثبوت التعبد بمداليلها المطابقية، وإن أريد أنّ حجية الدلالة المطابقية ينقّح تعبداً موضوع حجية الدلالة الإلتزامية فإذا سقطت الدلالة المطابقية عن الحجية فلا يمكن إثبات حجية الدلالة الإلتزامية لعدم إحراز موضوعها ولو تعبداً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موضوع الحجية في الأمارات ما كان فيه كشفاً تصديقاً ثابتاً في موارد قيامها وهي كما توجد في المدلول المطابقي كذلك توجد بالنسبة إلى المدلول الإلتزامي، ومجرد سقوط الأولى عن الحجية لا يستوجب ارتفاع الكشف الثاني</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 ما أوردناه على سابقه من أنّ حجية المدلول الإلتزامي إنَّما يتحقق إذا كان لها مقبولية عرفية وظهور عرفي، وإلا فإنّ مجرد تبعيته للمدلول المطابقي في الحجية أو في الواقع أو في التعبد لا يثبت شيئاً من الحجية إذا لم يكن هناك مقبولية عرفية</w:t>
      </w:r>
      <w:r>
        <w:rPr>
          <w:rFonts w:eastAsia="Amiri" w:cs="Amiri" w:ascii="Amiri" w:hAnsi="Amiri"/>
          <w:color w:val="111111"/>
          <w:sz w:val="28"/>
          <w:szCs w:val="28"/>
          <w:rtl w:val="true"/>
          <w:lang w:bidi="ar-SA"/>
        </w:rPr>
        <w:t xml:space="preserve">. </w:t>
      </w:r>
      <w:bookmarkStart w:id="316" w:name="pg15367_181174"/>
    </w:p>
    <w:p>
      <w:pPr>
        <w:pStyle w:val="BookText"/>
        <w:rPr/>
      </w:pPr>
      <w:bookmarkEnd w:id="316"/>
      <w:r>
        <w:rPr>
          <w:rFonts w:ascii="Amiri" w:hAnsi="Amiri" w:eastAsia="Amiri" w:cs="Amiri"/>
          <w:color w:val="111111"/>
          <w:sz w:val="28"/>
          <w:sz w:val="28"/>
          <w:szCs w:val="28"/>
          <w:rtl w:val="true"/>
          <w:lang w:bidi="ar-SA"/>
        </w:rPr>
        <w:t>الدليل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اختاره السيد الصدر قدس سره </w:t>
      </w:r>
      <w:r>
        <w:rPr>
          <w:rStyle w:val="FootnoteAnchor"/>
          <w:rtl w:val="true"/>
        </w:rPr>
        <w:footnoteReference w:id="248"/>
      </w:r>
      <w:r>
        <w:rPr>
          <w:rFonts w:ascii="Amiri" w:hAnsi="Amiri" w:eastAsia="Amiri" w:cs="Amiri"/>
          <w:color w:val="111111"/>
          <w:sz w:val="28"/>
          <w:sz w:val="28"/>
          <w:szCs w:val="28"/>
          <w:rtl w:val="true"/>
          <w:lang w:bidi="ar-SA"/>
        </w:rPr>
        <w:t>من أنّ ملاك الحجية في الدلالتين واحد فلا تبقى نكتة الحجية في الدلالة الإلتزامية إذا سقطت الدلالة المطابقية لأنّ ملاك الحجية في الحكاية والإخبار هو أصالة عدم الكذب، وفي الإنشاء والقضايا المجعولة هو أصالة الظهور وإرادة المعنى من اللفظ، وإذا سقطت الدلالةالمطابقية بظهور كذبها أو عدم إرادتها في باب الإنشاء فافتراض عدم ثبوت المدلول الإلتزامي لها لا يستدعي افتراض كذب زائد في الإخبار أو مخالفة زائدة في الإنشاء، لأنَّه لم يكن بدالٍّ إخباري أو إنشاء مستقل، وإنما كانت من جهة الملازمة بين المدلولين فتكون من دلالة المدلول على المدلول وليست دلالة واجدة لملاك مستقل للكاشفية والحجية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رتّب قدس سره على ذلك أموراً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ويشكل عليه بأنّ الدلالة المطابقية والدلالة الإلتزامية إنَّما تتطابقان في أنهما تكونان حجة إذا كانت لهما مقبولية عرفية كلّ بحسب حالها، فإنَّه بعد تبعيتهما ذاتاً تكون تبعيتهما في الحجية تدور مدار المقبولية العرفية وعدمها مطلقاً سواء في الدلالة الإلتزامية البينة؛ أي الدلالة التصورية أم غير البينة؛ أي الدلالة التصديقية، وسواء كان في الدلالة التضمنية التحليلية أم غير التحليلية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ذكروه في وجه التبعية وعدمها خلاف التحقيق فراجع</w:t>
      </w:r>
      <w:r>
        <w:rPr>
          <w:rFonts w:eastAsia="Amiri" w:cs="Amiri" w:ascii="Amiri" w:hAnsi="Amiri"/>
          <w:color w:val="111111"/>
          <w:sz w:val="28"/>
          <w:szCs w:val="28"/>
          <w:rtl w:val="true"/>
          <w:lang w:bidi="ar-SA"/>
        </w:rPr>
        <w:t>.</w:t>
      </w:r>
    </w:p>
    <w:p>
      <w:pPr>
        <w:pStyle w:val="Heading6"/>
        <w:numPr>
          <w:ilvl w:val="5"/>
          <w:numId w:val="1"/>
        </w:numPr>
        <w:rPr/>
      </w:pPr>
      <w:bookmarkStart w:id="317" w:name="__RefHeading___Toc5900706_2142443653"/>
      <w:bookmarkStart w:id="318" w:name="_Toc118"/>
      <w:bookmarkEnd w:id="317"/>
      <w:r>
        <w:rPr>
          <w:rtl w:val="true"/>
        </w:rPr>
        <w:t>الأمر الرابع</w:t>
      </w:r>
      <w:r>
        <w:rPr>
          <w:rtl w:val="true"/>
        </w:rPr>
        <w:t xml:space="preserve">: </w:t>
      </w:r>
      <w:r>
        <w:rPr>
          <w:rtl w:val="true"/>
        </w:rPr>
        <w:t>في التعارض بين أكثر من دليلين</w:t>
      </w:r>
      <w:bookmarkEnd w:id="318"/>
    </w:p>
    <w:p>
      <w:pPr>
        <w:pStyle w:val="Heading6"/>
        <w:numPr>
          <w:ilvl w:val="5"/>
          <w:numId w:val="1"/>
        </w:numPr>
        <w:rPr/>
      </w:pPr>
      <w:bookmarkStart w:id="319" w:name="__RefHeading___Toc5900708_2142443653"/>
      <w:bookmarkStart w:id="320" w:name="_Toc119"/>
      <w:bookmarkEnd w:id="319"/>
      <w:r>
        <w:rPr>
          <w:rtl w:val="true"/>
        </w:rPr>
        <w:t>اشارة</w:t>
      </w:r>
      <w:bookmarkEnd w:id="320"/>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التعارض بين أكثر من دليلين واقع في الفقه كثيراً مثل تحديد البئر وانفعاله، وحكم السلام المخرِج عن الصلاة، وحكم الركعتين الأخيرتين في الرباعيات من حيث القراءة والتسبيحات، وحكم ذبيحة الكتابي، وحكم أكثر النفاس، وحكم إرث الزوجة من الأرض إلى غير ذلك مِمّا لا يستقصى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 بعض الفقهاء أنه لا تضبطها ضابطة كلية حتى تذكر في علوم الأصول ويبحث عنها، بل يختلف حكمها حسب اختلاف الأبواب والموارد، وقد يضطرب في بعض موارده الخبير الماهر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صاحب الجواهر في بحث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ويكفيك أنّ الشهيد مع شدة تبحره وحسن وصوله إلى المطالب الغامضة قد اضطرب عليه المقام كما لا يخفى على كل ناظر للذكرى</w:t>
      </w:r>
      <w:r>
        <w:rPr>
          <w:rFonts w:eastAsia="Amiri" w:cs="Amiri" w:ascii="Amiri" w:hAnsi="Amiri"/>
          <w:color w:val="111111"/>
          <w:sz w:val="28"/>
          <w:szCs w:val="28"/>
          <w:rtl w:val="true"/>
          <w:lang w:bidi="ar-SA"/>
        </w:rPr>
        <w:t>)</w:t>
      </w:r>
      <w:r>
        <w:rPr>
          <w:rStyle w:val="FootnoteAnchor"/>
          <w:rtl w:val="true"/>
        </w:rPr>
        <w:footnoteReference w:id="2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 يرجع إلى اختلافهم في تعيين الظاهر والأظهر وغيرهما؛ إذ يختلف حال التعارض بين اثنين منها بملاحظة أحدهما مع الثالث فتنقلب النسبة، كما إذا كانت النسبة بين الإثنين عموم وخصوص مطلق، ولكن هذه النسبة تنقلب بعد ملاحظته مع أحد الخاصين إلى عموم من وجه أو العكس، أو إلى 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أي مبحث التعارض بين أكثر من دليلين كان محل البحث والتنقيح مع العلم أنه لا حاجة إليه، وسيأتي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البحث يقع تارةً؛ من حيث مقتضى الأصل الأولي، وأخرى؛ من حيث صور التعارض بين أكثر من دليلين، وثالثةً؛ من حيث انقلاب النسبة بين الأدلة المتعارضة، ورابعةً؛ في ذكر بعض التطبيقات التي وقع الخلاف فيهابسبب التعارض فيها ونوعيته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نذكرها في المقام، ويأتي الكلام عنها في موضعه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فإنّ الصحيح عدم الفرق في ما هو مقتضى الأصل الأولي في موارد التعارض بين ما إذا كان التعارض بين دليلين أو أكثر؛ فقيل بتساقط الجميع، كما قيل بتساقط الدليلين المتعارضين إذا لم يكن في البين ما يوجب سقوط بعضها</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سبق أن ذكرنا أنّ الأصل يقتضي التخيير إذا لم يكن في البين ما يوجب الترجيح لبعضها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 ذلك ما ذكرناه في القسم السابق، وإن استدل بعضهم على التساقط في </w:t>
      </w:r>
    </w:p>
    <w:p>
      <w:pPr>
        <w:pStyle w:val="BookText"/>
        <w:rPr/>
      </w:pPr>
      <w:r>
        <w:rPr>
          <w:rFonts w:ascii="IRNazanin" w:hAnsi="IRNazanin" w:eastAsia="IRNazanin"/>
          <w:color w:val="111111"/>
          <w:sz w:val="28"/>
          <w:sz w:val="28"/>
          <w:szCs w:val="28"/>
          <w:rtl w:val="true"/>
          <w:lang w:bidi="fa-IR"/>
        </w:rPr>
        <w:t xml:space="preserve">المقام بوقوع التنافي في اقتضاء دليل الحجية لشمول كل واحد منها مع اقتضاءه لشمول الآخر، فشموله لهما جميعاً غير ممكن، وشموله البعض دون بعض ترجيح بلا مرجح بلا فرق بين أن تكون هناك معارضة واحدة بين مجموع تلك الأدلة أو أكثر؛ كما إذا تعارض دليل مع دليلين بملاكين مختلفين، ومن دون فرق بين أن تكون المعارضة من جهة التنافي بين مدلول كل منهما مع مدلول الآخر أو من جهة التنافي بين الرواية كما إذا علم بكذب أحد الرواة وعدم صدور ما ينقله عن المعصوم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وألحقوا بذلك موارد اختلاف النسخ في نقل الرواية فحكموا بأنه من باب التعارض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عرفت الجواب عن الإستدلال الذي ذكروه، وقلنا أنّ أقصى ما يستفاد منه هو انقلاب الحجية الفعلية إلى الحجية الإقتضائية، وإرجاعها إلى التخييرية يحتاج إلى التماس المرجّح، ومع فقده يكون هو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أنّ ذلك هو الموافق للمرتكزات العقلائية، هذا إذا لم يكن في التعارض بين أكثر من دليلين خصوصية خاصة كما يأتي التنبيه عليه</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خصوص ما إذا وقع الإختلاف والتهافت في طريق نسخة واحدة دون طريق النسخة الأخرى أو الرواية المعارضة؛ بإمكان الأخذ بالنسخة الأخرى أو المعارض الذي لم يقع اختلاف في طريق نقلهما وإنقاذها عن المعارضة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 ذلك ما ورد في رواية ذريح المعروفة في العصير العنبي المغلي؛ قَالَ 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نَشَ الْعَصِيرُ أَوْ غَلَى حَرُمَ</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فقد نقلت في التهذيب</w:t>
      </w:r>
      <w:r>
        <w:rPr>
          <w:rStyle w:val="FootnoteAnchor"/>
          <w:rtl w:val="true"/>
        </w:rPr>
        <w:footnoteReference w:id="251"/>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ونقلها صاحب الوسائل عن الكافي</w:t>
      </w:r>
      <w:r>
        <w:rPr>
          <w:rStyle w:val="FootnoteAnchor"/>
          <w:rtl w:val="true"/>
        </w:rPr>
        <w:footnoteReference w:id="252"/>
      </w:r>
      <w:r>
        <w:rPr>
          <w:rFonts w:ascii="Amiri" w:hAnsi="Amiri" w:eastAsia="Amiri" w:cs="Amiri"/>
          <w:color w:val="111111"/>
          <w:sz w:val="28"/>
          <w:sz w:val="28"/>
          <w:szCs w:val="28"/>
          <w:rtl w:val="true"/>
          <w:lang w:bidi="ar-SA"/>
        </w:rPr>
        <w:t>كذلك، ولكن نقلت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البحار</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أنَّه نقلها عن الكافي أيضاً</w:t>
      </w:r>
      <w:r>
        <w:rPr>
          <w:rFonts w:eastAsia="Amiri" w:cs="Amiri" w:ascii="Amiri" w:hAnsi="Amiri"/>
          <w:color w:val="111111"/>
          <w:sz w:val="28"/>
          <w:szCs w:val="28"/>
          <w:rtl w:val="true"/>
          <w:lang w:bidi="ar-SA"/>
        </w:rPr>
        <w:t xml:space="preserve">. </w:t>
      </w:r>
      <w:bookmarkStart w:id="321" w:name="pg15367_181177"/>
    </w:p>
    <w:p>
      <w:pPr>
        <w:pStyle w:val="BookText"/>
        <w:rPr/>
      </w:pPr>
      <w:bookmarkEnd w:id="321"/>
      <w:r>
        <w:rPr>
          <w:rFonts w:ascii="Amiri" w:hAnsi="Amiri" w:eastAsia="Amiri" w:cs="Amiri"/>
          <w:color w:val="111111"/>
          <w:sz w:val="28"/>
          <w:sz w:val="28"/>
          <w:szCs w:val="28"/>
          <w:rtl w:val="true"/>
          <w:lang w:bidi="ar-SA"/>
        </w:rPr>
        <w:t>وحينئذٍ؛ يقال باختصاص التعارض بطريقَي النسختين الواردتين في مقام تعيين عبارة الكافي، ويبقى نقل التهذيب سليماً عن التعارض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إنّ التعارض واقع بين الخبرين؛ خبر التهذيب، وخبر البحار وخبر الوسائل في عرض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بدَّ من التماس المرجح مع فقده يتخير الفقيه في أخذ واحدة منها فمن اختار خبر التهذيب يحكم ظاهراً بحرمة العصير عند النشيش، ومن أخذ بخبر البحار يحكم ظاهراً بحرمة العصير عند الغليان ولا يكتفي بالنشيش فقط، ففي الواقع إنما تحقق المعارضة بين المفادين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موجب لسقوط الكل إلا إذا قلنا بالتساقط وقد عرفت الجواب عنه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البحث في الجهة الأولى وهو مقتضى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أنه يقتضي التخيير لا التساقط</w:t>
      </w:r>
      <w:r>
        <w:rPr>
          <w:rFonts w:eastAsia="Amiri" w:cs="Amiri" w:ascii="Amiri" w:hAnsi="Amiri"/>
          <w:color w:val="111111"/>
          <w:sz w:val="28"/>
          <w:szCs w:val="28"/>
          <w:rtl w:val="true"/>
          <w:lang w:bidi="ar-SA"/>
        </w:rPr>
        <w:t>.</w:t>
      </w:r>
    </w:p>
    <w:p>
      <w:pPr>
        <w:pStyle w:val="Heading6"/>
        <w:numPr>
          <w:ilvl w:val="5"/>
          <w:numId w:val="1"/>
        </w:numPr>
        <w:rPr/>
      </w:pPr>
      <w:bookmarkStart w:id="322" w:name="__RefHeading___Toc5900710_2142443653"/>
      <w:bookmarkStart w:id="323" w:name="_Toc120"/>
      <w:bookmarkEnd w:id="322"/>
      <w:r>
        <w:rPr>
          <w:rtl w:val="true"/>
        </w:rPr>
        <w:t>الجهة الثانية</w:t>
      </w:r>
      <w:r>
        <w:rPr>
          <w:rtl w:val="true"/>
        </w:rPr>
        <w:t xml:space="preserve">: </w:t>
      </w:r>
      <w:r>
        <w:rPr>
          <w:rtl w:val="true"/>
        </w:rPr>
        <w:t>مقتضى الأصل الثانوي</w:t>
      </w:r>
      <w:bookmarkEnd w:id="323"/>
    </w:p>
    <w:p>
      <w:pPr>
        <w:pStyle w:val="BookText"/>
        <w:rPr/>
      </w:pPr>
      <w:r>
        <w:rPr>
          <w:rFonts w:ascii="Amiri" w:hAnsi="Amiri" w:eastAsia="Amiri" w:cs="Amiri"/>
          <w:color w:val="111111"/>
          <w:sz w:val="28"/>
          <w:sz w:val="28"/>
          <w:szCs w:val="28"/>
          <w:rtl w:val="true"/>
          <w:lang w:bidi="ar-SA"/>
        </w:rPr>
        <w:t>الجهة الثانية</w:t>
      </w:r>
      <w:r>
        <w:rPr>
          <w:rStyle w:val="FootnoteAnchor"/>
          <w:rtl w:val="true"/>
        </w:rPr>
        <w:footnoteReference w:id="2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الأصل الثانوي</w:t>
      </w:r>
    </w:p>
    <w:p>
      <w:pPr>
        <w:pStyle w:val="BookText"/>
        <w:rPr/>
      </w:pPr>
      <w:r>
        <w:rPr>
          <w:rFonts w:ascii="Amiri" w:hAnsi="Amiri" w:eastAsia="Amiri" w:cs="Amiri"/>
          <w:color w:val="111111"/>
          <w:sz w:val="28"/>
          <w:sz w:val="28"/>
          <w:szCs w:val="28"/>
          <w:rtl w:val="true"/>
          <w:lang w:bidi="ar-SA"/>
        </w:rPr>
        <w:t>والكلام فيه أنه هل يقتضي التعيين أو التخيير؟ ولا بدَّ من بيان الصور المفروضة في الدليلين المتعارضين بعد شمول دليل الحجية لكيلهما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وهي تارة؛ نفرض القطع بأنّ ملاك الحجية في أحدهما المعيّن أقوى منه في الآخر، ولا إشكال في ترجيحه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نفرض القطع بتساويه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فيه التخيير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وثالثةً؛ نفرض احتمال تعيين الملاك وأقوائيته في أحد الطرفين تعييناً</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ورابعةً؛ نفرض احتمال تعيينه في كلّ من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الكلام فيهما في أنّ مقتضى الأصل هو التعيين أو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والحاصل؛ إنّ الثابت في الأول هو الترجيح، وفي الثاني التخيير، والثالث والرابع يكون من موارد الدوران بين التعيين والتخيير في الحجية من طرف واحد أو كلا الطرفين؛ وإنْ قلنا سابقاً بأنّ احتمال الأقوائية والتعيين يكفي في 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فبعد ما علمنا بعدم التساقط المطلق في مورد الدليلين المتعارضين فلا بُدَّ من استظهار مقتضى الأصل الثانوي في مورده، وهل هو تعيين الحجية في أحد المتعارضين أو التخيير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المعروف بينهم أنّ مقتضى الأصل هو التعيين كما عرفت التفصيل في البحوث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فصّل بعض الأصوليين</w:t>
      </w:r>
      <w:r>
        <w:rPr>
          <w:rStyle w:val="FootnoteAnchor"/>
          <w:rtl w:val="true"/>
        </w:rPr>
        <w:footnoteReference w:id="255"/>
      </w:r>
      <w:r>
        <w:rPr>
          <w:rFonts w:ascii="Amiri" w:hAnsi="Amiri" w:eastAsia="Amiri" w:cs="Amiri"/>
          <w:color w:val="111111"/>
          <w:sz w:val="28"/>
          <w:sz w:val="28"/>
          <w:szCs w:val="28"/>
          <w:rtl w:val="true"/>
          <w:lang w:bidi="ar-SA"/>
        </w:rPr>
        <w:t>الكلام في المقام وهو لا يستحق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وخلاصة ما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تارة؛ يبحث مع افتراض عدم انحلال العلم الإجمالي الكبير بوجود تكاليف إلزامية في مجموع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يبحث مع افتراض انحلال هذا العلم بموارد حددت التكاليف فيها تفصيلاً بالوجدان أو التعبد بحيث لا مانع من الإنتهاء إلى الأصول العملية المؤمّنة في غير دائرة ما علم تفصيلاً من الشبهات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الفرضية الأولى؛ إذا كان احتمال هو التعيين في أحد الدليلين المتعارضين فقط، وفرض التزام الفقيه به؛ كان حجة عليه لا محالة سواء كان دليلاً إلزامياً أم ترخيصياً</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إذا فرض عدم الإلتزام به وإنما التزم بالآخر، أو لم يلتزم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كان احتمال التعيين في كلّ من الطرفين وارداً؛ فإنّ النتيجة في جميع هذه التقارير الثلاثة هو عدم ثبوت الحجية لأحدهما المعين ولزوم الإحتياط في مقام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الشك في حجية كلّ منهما وعدم إمكان رفع اليد عن مقتضى العلم الإجمالي الكبير المقتضي للإحتياط في تمام الأطراف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العقلاء في الموارد المذكورة يتفحصون في إرجاع الحجية التقديرية الموجودة في أحدهما غير المعيّن إلى الحجية الفعلية؛ فإنْ لم يوجد ما يرجع أحدهما على الآخر فالحكم عندهم هو التخيير، والعلم الإجمالي الكبير لا وجود له بعد ورود التخصيصات والتقييدات الكثيرة في الشرع فهو من مجرد 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بأنّ وجوب الإلتزام بأحدهما في الجملة الثابت في موارد التخيير وعدم التساقط المطلق إنَّما يراد به حكم طريقي فحواه تنجّز الواقع على المكلف إذا لم يلتزم بشيء منهما، وليس حكماً تكليفياً مستقلاً عن الواقع المشتبه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أنّ الواقع منجّز بالعلم الإجمالي الكبير فلا بُدَّ على المكلف من الإحتياط فلا مخالفة في ترك الإلتزام بهما مع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باطل؛ لأنّ العقلاء في موارد الدليلين المتعارضين يعلمون بوجوب الإلتزام بأحدهما ويعتبرونه حكماً تكليفياً؛ فإنْ أمكنهم تعيينه بأحد المرجّحات فيتعين العمل به لأنَّه الفرد المعين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يمكنهم ذلك يبقى على الاقتضاء وهم يحكمون بفطرتهم بالتخيير من دون النظر إلى العلم الإجمالي الكبير والإحتياط وليس فيه أي حكم طريقيّ بل هو الحكم الإلزامي على الإجمال المعلوم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الفرضية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 إذا فرض انحلال العلم الإجمالي بموارد علم التكليف فيها إما وجدانياً أو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مانع من الرجوع في غيرها إلى الأصول العملية المؤمنة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فصّل بين ما إذا فرض وجود علمٍ إجمالي بالتكليف في خصوص مورد التعارض وبين ما إذا لم يفرض وجود علم إجمالي في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إما أن يتعارض دليل الإلزام مع الترخيص، أو أن يتعارض دليلان إلزاميان</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الوجه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إذا فرض وجود علم إجمالي في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حكم بالإحتياط لما عرفت في الفرض السابق من وجود علم إجمالي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التزم الفقيه بأحدهما تعيّن أخذه، وإلا فيجب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الوجه الثاني؛ صور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احتمال التعيين في دليل الإلزام بالخصوص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وحكم هذه الصورة أنه إذا التزم الفقيه بدليل الإلزام فقد تمّت لديه الحجة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يلتزم به فإنَّه يدور بين ثبوت الحجية المطلقة لدليل الإلزام وثبوت الحجية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العلم الإجمالي دائر بين متباينين فيجب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عرفت أنه لا وجه لهذا الإحتياط لعدم منجزية مثل هذا العلم الإجمالي، فيمكن جريان الأصل المؤمّن عن التعيين فتجري أصالة البراءة عن الإلزام المحصّل، ولا يعارض بأصل مؤمن آخر لعلمه بالمنجّز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احتمل التعيين في دليل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هو إجراء الأصل المؤمّن عن الحجية التخييرية لدليل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كلفة زائدة بخلاف الحجية التعيينية لدليل الترخيص فتجري البراءة عن الإلزام الواقعي المشكوك فتكون النتيجة في هذه الصورة هي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إحتمال التعيين في كلّ واحد من الدليلين الإلزامي والترخيصي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وحكم هذه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في الصورة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جريان الأصل المؤمّن عن الحجية التعيينية والتخييرية لدليل الإلزام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فيها كلفة زائدة دون الحجية التعيينية لدليل الترخيص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فالنتيجة في هذه الصورة هي تعيين دليل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تختلف الصورتان في أنه لا يمكن الإفتاء بمضمون دليل الترخيص حتى لو التزم الفقيه به في هذه الصورة لاحتمال تعيين دليل الإلزام عليه، بخلاف الصورة السابقة التي يمكن الإفتاء به</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إذا كان الدوران بين التعيين والتخيير في الحجية لدليلين متعارضين أحدهما يدلّ على الإلزام والآخر على الترخيص</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وأما إذا كان المتعارضان معاً يدلان على الإلزام؛ فتارة؛ يفترض أنّ الحكمين الإلزاميين سنخ حكمين يمكن الإحتياط 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إذا دلَّ أحدهما على وجوب الصدقة على الفقير، ودلَّ الآخر على وجوب زيارة الحسين علیه السلام ، وعلم بكذب أحدهما إجمالاً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وأخرى؛ يفترض أنه لا يمكن الإحتياط في الحكمين الإلزاميين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دلَّ أحدهما على وجوب شيء، والآخر دلَّ على 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كلا الفرضين؛ إما أن يكون احتمال التعيين في أحد الطرفين، وإما أن يكون احتمال التعيين في كليهما، فتكون الصور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أمكن الإحتياط واحتمل التعيين في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الأخذ بالدليل المحتمل تعينّه للعلم بالحجة على الإلزام في أحد الطرفين بخلاف الأخذ بالدليل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أمكن الإحتياط واحتمل التعيين في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يجب الإحتياط وامتثال كلا الدليلين لتحقق علم إجمالي منجّز، والإلتزام بأحدهما لا يوجب الخروج عن عهدة العلم بالتكليف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لم يمكن الإحتياط مع احتمال التعيين في أحد الطرفين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الأخذ بالدليل المحتمل تعيّنه ولا يجوز تركه والأخذ بالآخر أو تركهما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الصورة الثالثة مع افتراض احتمال التعيين في كلا الدليلين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وحكمها جريان البراءة عن كلّ من الوجوب والحرمة الواقعيين المحتملين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على جميع التقادير يتشكّل علم إجمالي دائر بين 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في هذه الصورة هي نتيجة التخيير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إنّ مقتضى الأصل الثانوي عند الدوران بين التعيين والتخيير ليس هو التعيين كما ذهب إليه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تثبت نتيجة التخيير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هذا ما ذكره بعض الأصوليين باختصار منا؛ والذي ينبغي أن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عند الدوران بين دليلين متعارضين نعلم بكذب أحدهما ونقطع بعدم تساقطهما؛ تتحقق في البين حجية اقتضائية لا بُدَّ من إيصالها إلى الحجية الفعلية، ولا يمكن أن يتحقق ذلك إلا بالتماس مرجّح لأحد الطرفين ويكون مقبولاً عند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فقده فإنَّ العقلاء بفطرتهم يحكمون بالتخيير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بمقتضى الأصل الأولي والثانوي إلا إذا كان في البين ما يوجب الرجوع إلى الحجية التعيينية من احتياط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ما ذكرناه يظهر أنّ المسلك الذي اخترناه يتميّز بأمور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مما يحكم به العقلاء بفطرتهم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أصل حجية الخبر الموثوق به إنَّما ثبتت ببناء العقلاء، فلا بُدَّ أن تكون من متممات الحجية وفروعها؛ فإنَّ التعارض وأحكامه من لوازم الحجة الموجودة بين العقلاء والدائرة بينهم ولا يكون هذا الأصل النظامي دائراً بينهم، بينما تكون لوازمها وفروعها مفصولة عنها عندهم مع كونها من مقوّمات محاوراتهم واحتجاجاتهم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المرجّحات الواردة في الأخبار ثابتة عند المتعارف أيضاً في محاوراتهم الشائعة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بعد التكافؤ من جميع الجهات عند العقلاء واستقرار الحيرة لديهم فإنَّ المحتملات عندهم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الإحتياط في العمل إنْ أمكن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التوقف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الرجوع إلى التخيير</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الأول؛ وإنْ كان حسناً ثبوتاً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خلاف البناء المحاوري النوعي في الطرق المعتبرة لديهم والحجج الدائرة بينهم مع أنه تشديد في التحيّر وعدم إمكان رفعه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وكذا الثاني؛ مع أنّ المورد قد لا يكون قابلاً للتوقف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لا بُدَّ من العمل به في الجملة فيتعين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وعلى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لاوجه لإتعاب النفس في ملاحظة النسبة بين الأخبار الدالة على التخيير وسائر الأخبار الواردة في حكم المتعارضين لأنَّه مع استقرار التحيّر وعدم إمكان رفعه عرفاً يثبت التخيير مطلقاً سواء كان عقلائياً أم شرعياً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موضوع للتخيير مطلقاً إلا بعد الفحص عن المرجّحات واليأس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موضوعه هو قبح الترجيح بلا مرجّح، فمع وجوده أو احتماله لا موضوع له لا عقلاً ولا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موضوع هذا التخيير سواء كان عقلائياً أو شرعياً إنَّما هو في تعيين الحجة؛ أي المسألة الأصولية فيختص بالمجتهد، دون 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يكون استمرارياً لأنَّه بعد اختيار أحدهما يصير ذا حجة معتبرة فلا يبقى موضوع للتخيير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وجه لاستصحاب التخيير بعد صيرورته ذا حجة 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ما كان موضوع التخيير مطلقاً هو صورة فقْد المرجّح فلا وجه لتوهّم حمل أخبار الترجيح على الإستحباب والأخذ بإطلاق أخبار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إثبات الإطلاق فيما لا موضوع له، وهو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إلا أن يقال بأنّ مجرد الوثوق بالصدور في كلّ واحد من المتعارضين يكفي في الحجية لإطلاق أدلة الخبر الموثوق به وإطلاق السيرة العقلائية فيتحقق موضوع التخيير بمجرد الحجية الإقتضائية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كان إعمال المرجّحات لزيادة الوثوق فلا دليل على اعتباره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حصول أصل الوثوق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لجهة أخرى فهي مدفوعة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نظر من حمل المرجّحات على الندب إلى ذلك</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بعيد عن ظاهر كلماتهم، ولم نعثر على أحد منهم حررّ ذلك في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إنّ أصل إعمال المرجّحات مبني على التسهيل والتيسير؛ وهذه كلها من فروع </w:t>
      </w:r>
    </w:p>
    <w:p>
      <w:pPr>
        <w:pStyle w:val="BookText"/>
        <w:rPr/>
      </w:pPr>
      <w:r>
        <w:rPr>
          <w:rFonts w:ascii="Amiri" w:hAnsi="Amiri" w:eastAsia="Amiri" w:cs="Amiri"/>
          <w:color w:val="111111"/>
          <w:sz w:val="28"/>
          <w:sz w:val="28"/>
          <w:szCs w:val="28"/>
          <w:rtl w:val="true"/>
          <w:lang w:bidi="ar-SA"/>
        </w:rPr>
        <w:t>اعتبار التخيير في تعارض الحجج المعتبرة بعد التكافؤ واستمرار الحيرة من الأصول النظامية الدائرة لدى العقلاء في محاوراتهم، فتكون الأخبار الواردة في التخيير عند الحيرة المستقرة قد وردت على طبق هذا الأمر المرتكز في الأذهان والفطرة المستقيمة فلا يكون من الأمور التعبدية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من الشارع إنَّما هو لأجل التقرير لهذه الطريقة المعهودة المرتكزة عند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التخيير؛ إمْا تكويني محض كما في دوران الأمر بين المحذورين مع عدم كون أحدهما من القربيات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عقلائياً كما في موارد تعارض الخبرين على التفصيل الذي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يكون شرعياً كما في خصال الكفارات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وبناءً على ذلك فلا اختصاص للتخيير العقلائي بخصوص تعارض الروايات، بل يشمل جميع موارد التعارض؛ سواء كان في الأخبار أم في أقوال الفقهاء أم أهل اللغة أم غيرها؛ فيشمل كلّ حجة متعارضة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التخيير في المقام شرعياً محضاً فإنَّه يختصّ بمورد الأخبار المتعارضة لاختصاص أدلة التعارض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أنها وردت في مقام الإمضاء وعدم الردع عن طريقة العقلاء فلا وجه للإختصاص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يمكن التعدّي إلى موارد اختلاف النسخ واختلاف النقل أيضاً بعد التكافؤ المطلق والتحير المستقر</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جميع ذلك يظهر أنّ هذا المسلك الذي اختاره السيد الوالد قدس سره </w:t>
      </w:r>
      <w:r>
        <w:rPr>
          <w:rStyle w:val="FootnoteAnchor"/>
          <w:rtl w:val="true"/>
        </w:rPr>
        <w:footnoteReference w:id="256"/>
      </w:r>
      <w:r>
        <w:rPr>
          <w:rFonts w:ascii="Amiri" w:hAnsi="Amiri" w:eastAsia="Amiri" w:cs="Amiri"/>
          <w:color w:val="111111"/>
          <w:sz w:val="28"/>
          <w:sz w:val="28"/>
          <w:szCs w:val="28"/>
          <w:rtl w:val="true"/>
          <w:lang w:bidi="ar-SA"/>
        </w:rPr>
        <w:t>وفصّل الكلام فيه، هو الموافق لطريقة العقلاء والذوق العرفيّ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الأصوليين في المقام لا يخلو عن مناقشة، وهو بعيد عن الأذهان العرفية؛ فراجع</w:t>
      </w:r>
      <w:r>
        <w:rPr>
          <w:rFonts w:eastAsia="Amiri" w:cs="Amiri" w:ascii="Amiri" w:hAnsi="Amiri"/>
          <w:color w:val="111111"/>
          <w:sz w:val="28"/>
          <w:szCs w:val="28"/>
          <w:rtl w:val="true"/>
          <w:lang w:bidi="ar-SA"/>
        </w:rPr>
        <w:t xml:space="preserve">. </w:t>
      </w:r>
      <w:bookmarkStart w:id="324" w:name="pg15367_181185"/>
    </w:p>
    <w:p>
      <w:pPr>
        <w:pStyle w:val="Heading6"/>
        <w:numPr>
          <w:ilvl w:val="5"/>
          <w:numId w:val="1"/>
        </w:numPr>
        <w:rPr/>
      </w:pPr>
      <w:bookmarkStart w:id="325" w:name="__RefHeading___Toc5900712_2142443653"/>
      <w:bookmarkStart w:id="326" w:name="_Toc121"/>
      <w:bookmarkEnd w:id="324"/>
      <w:bookmarkEnd w:id="325"/>
      <w:r>
        <w:rPr>
          <w:rtl w:val="true"/>
        </w:rPr>
        <w:t>ختام في موارد اشتباه التعارض المستقر وغير المستقر</w:t>
      </w:r>
      <w:bookmarkEnd w:id="326"/>
    </w:p>
    <w:p>
      <w:pPr>
        <w:pStyle w:val="BookText"/>
        <w:rPr/>
      </w:pPr>
      <w:r>
        <w:rPr>
          <w:rFonts w:ascii="Amiri" w:hAnsi="Amiri" w:eastAsia="Amiri" w:cs="Amiri"/>
          <w:color w:val="111111"/>
          <w:sz w:val="28"/>
          <w:sz w:val="28"/>
          <w:szCs w:val="28"/>
          <w:rtl w:val="true"/>
          <w:lang w:bidi="ar-SA"/>
        </w:rPr>
        <w:t>إتضح من جميع ما تقدم أنّ حكم التعارض هو الترجيح، والتخيير يختصّ بالتعارض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المتباينين فقط فلا وجه له في العام والخاص ولا المطلق والمقيّد لتحقق الجمع العرفي المقبول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قلنا بأنّ التعارض بينهما يكون من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قد عرفت أنه لا يكون بينهما التعارض في المحاورات فيخرجان عن موضوع البحث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 البحث بين الأعلام في بعض الموارد على أنها من صغريات التعارض غير المستقر أو التعارض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الدلالة الوضعية كالعموم مع الدلالة الحكمية كالإطلاق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المطلق الشمولي مع المطلق البدلي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انقلاب النسبة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العموم من وجه</w:t>
      </w:r>
      <w:r>
        <w:rPr>
          <w:rFonts w:eastAsia="IRNazanin" w:cs="IRNazanin"/>
          <w:color w:val="111111"/>
          <w:sz w:val="28"/>
          <w:szCs w:val="28"/>
          <w:rtl w:val="true"/>
          <w:lang w:bidi="fa-IR"/>
        </w:rPr>
        <w:t>.</w:t>
      </w:r>
    </w:p>
    <w:p>
      <w:pPr>
        <w:pStyle w:val="Heading6"/>
        <w:numPr>
          <w:ilvl w:val="5"/>
          <w:numId w:val="1"/>
        </w:numPr>
        <w:rPr/>
      </w:pPr>
      <w:bookmarkStart w:id="327" w:name="__RefHeading___Toc5900714_2142443653"/>
      <w:bookmarkStart w:id="328" w:name="_Toc122"/>
      <w:bookmarkEnd w:id="327"/>
      <w:r>
        <w:rPr>
          <w:rtl w:val="true"/>
        </w:rPr>
        <w:t>المورد الأول</w:t>
      </w:r>
      <w:r>
        <w:rPr>
          <w:rtl w:val="true"/>
        </w:rPr>
        <w:t xml:space="preserve">: </w:t>
      </w:r>
      <w:r>
        <w:rPr>
          <w:rtl w:val="true"/>
        </w:rPr>
        <w:t>تعارض الدلالة الوضعية كالعموم مع دلالة حكمية كالإطلاق</w:t>
      </w:r>
      <w:bookmarkEnd w:id="328"/>
    </w:p>
    <w:p>
      <w:pPr>
        <w:pStyle w:val="BookText"/>
        <w:rPr/>
      </w:pPr>
      <w:r>
        <w:rPr>
          <w:rFonts w:ascii="Amiri" w:hAnsi="Amiri" w:eastAsia="Amiri" w:cs="Amiri"/>
          <w:color w:val="111111"/>
          <w:sz w:val="28"/>
          <w:sz w:val="28"/>
          <w:szCs w:val="28"/>
          <w:rtl w:val="true"/>
          <w:lang w:bidi="ar-SA"/>
        </w:rPr>
        <w:t>ولا ريب في تقديم النصّ على الأظهر وتقديمهما على الظاهر إنْ كان كلّ واحد من الثلاثة معلوماً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أحدهما معلوماً فإنْ أمكن تعيينه بقرينة خاصة فلا إشكال في اتباعها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فتصل النوبة إلى القرائن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قيل أنّ من القرائن العامة الدلالة الوضعية كالعموم فإنها تتقدم عند التعارض مع الدلالة الحكمية كالإطلاق، ومنها المطلق الشمولي إذا تعارض مع المطلق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على ذلك بأنّ الدلالة الوضعية أظهر في العموم فلا بُدَّ من تقييد المطلق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الأول أن نقول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المثال المعروف فيه هو ما إذا تعارض عام مع المطلق بنحو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كلّ شاعر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فاسقاً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فهل يقدّم العام على المطلق فيحمل </w:t>
      </w:r>
    </w:p>
    <w:p>
      <w:pPr>
        <w:pStyle w:val="BookText"/>
        <w:rPr/>
      </w:pPr>
      <w:r>
        <w:rPr>
          <w:rFonts w:ascii="Amiri" w:hAnsi="Amiri" w:eastAsia="Amiri" w:cs="Amiri"/>
          <w:color w:val="111111"/>
          <w:sz w:val="28"/>
          <w:sz w:val="28"/>
          <w:szCs w:val="28"/>
          <w:rtl w:val="true"/>
          <w:lang w:bidi="ar-SA"/>
        </w:rPr>
        <w:t>المطلق على غير موارد شمول العام فلا تسري المعارضة إلى دليل الحجية واعتبار ذلك جمعاً عرفياً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يحكم باستقرار التعارض في مادة الإجتماع؟</w:t>
      </w:r>
    </w:p>
    <w:p>
      <w:pPr>
        <w:pStyle w:val="BookText"/>
        <w:rPr/>
      </w:pPr>
      <w:r>
        <w:rPr>
          <w:rFonts w:ascii="Amiri" w:hAnsi="Amiri" w:eastAsia="Amiri" w:cs="Amiri"/>
          <w:color w:val="111111"/>
          <w:sz w:val="28"/>
          <w:sz w:val="28"/>
          <w:szCs w:val="28"/>
          <w:rtl w:val="true"/>
          <w:lang w:bidi="ar-SA"/>
        </w:rPr>
        <w:t>وفي مقام الجواب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يقع تارة؛ في المتصلين وأخرى؛ في المنفصلين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الأولى؛ وهي في ما إذا ورد العام الوضعيّ متصلاً بالمطلق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الشعراء ولا تكرم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قلنا بأنّ دلالة العام تتوقف على جريان مقدمات الحكمة في متعلق أدوات العموم كما ذهب إليه المحقق النائيني قدس سره </w:t>
      </w:r>
      <w:r>
        <w:rPr>
          <w:rStyle w:val="FootnoteAnchor"/>
          <w:rtl w:val="true"/>
        </w:rPr>
        <w:footnoteReference w:id="257"/>
      </w:r>
      <w:r>
        <w:rPr>
          <w:rFonts w:ascii="Amiri" w:hAnsi="Amiri" w:eastAsia="Amiri" w:cs="Amiri"/>
          <w:color w:val="111111"/>
          <w:sz w:val="28"/>
          <w:sz w:val="28"/>
          <w:szCs w:val="28"/>
          <w:rtl w:val="true"/>
          <w:lang w:bidi="ar-SA"/>
        </w:rPr>
        <w:t>فبناءً عليه لا وجه للقول بتقديم العموم على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كلتا الدلالتين إنَّما تثبتان بمقدمات الحكمة فيكون حالهما حال المطلقين المتعارضين فلا يتقدم العام على المطلق مطلقاً لا في مورد اتصالهما ولا في انفصالهما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ذكرنا في محله أنّ هذا المسلك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إنّ أدوات العموم بنفسها تثبت إطلاق مدخولها من دون حاجة إلى إجراء مقدمات الحكمة كما هو مذهب المشهور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قبول مقالة المحقق النائيني قدس سره فيما إذا ثبت عموم العام بمقدمات الحكمة كالعام الأصولي لا ما إذا ثبت العموم بالوضع كلفظ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يرادفه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يتقدم العموم الوضعي على الإطلاق الحكمي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دلالته مشروطة بجريان مقدمات الحكمة التي منها عدم البيان فتكون دلالته تعليقية، بخلاف دلالة العام فإنها فعلية لكونها بالوضع فتكون صالحة للبيانية فيرتفع موضوع الحكمة</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قد يقال بأنّ البيان في عدم البيان الذي هو من مقدمات الحكمة؛ إما أن يراد به القرينة على التقييد، وإما أن يراد به البيان بالفصل سواء كان قرينة أم لا، وإما أن يراد كونه بياناً في نفسه لولا الإطلاق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على الإحتمال الأول؛ فتكون الدلالة الإطلاقية منعقدة في نفسها كالدلالة الوضعية في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عموم العام وإنْ كان بياناً في نفسه في مادة التعارض بينهما إلا أنه ليس بياناً بنحو التقييد والقرينية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الإحتمال الثاني؛ فلا تتمّ الحكمية لما تقدم من أنّ العام رافع لموضوعها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على الإحتمال الثالث؛ فإنّ العام أيضاً بيان في نفسه يصلح لرفع موضوع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من الإحتمالات المتقدمة هو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والثاني بعيدان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وهي ما إذا كانا منفصلين في الخطاب فقد اختلف الأعلام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 ذهب المحقق الأنصاري قدس سره </w:t>
      </w:r>
      <w:r>
        <w:rPr>
          <w:rStyle w:val="FootnoteAnchor"/>
          <w:rtl w:val="true"/>
        </w:rPr>
        <w:footnoteReference w:id="258"/>
      </w:r>
      <w:r>
        <w:rPr>
          <w:rFonts w:ascii="Amiri" w:hAnsi="Amiri" w:eastAsia="Amiri" w:cs="Amiri"/>
          <w:color w:val="111111"/>
          <w:sz w:val="28"/>
          <w:sz w:val="28"/>
          <w:szCs w:val="28"/>
          <w:rtl w:val="true"/>
          <w:lang w:bidi="ar-SA"/>
        </w:rPr>
        <w:t>إلى تقديم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ذكرناه في التقريب المتقدم في المتصلين من أنّ الدلالة الإطلاقية تعليقية متوقفة على جريان مقدمات الحكمة وتماميتها والتي من جملتها عدم بيان الخلاف، وأنّ العام صالح للبيانية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دلالة العموم فوضعية، فتكون دلالته فعلية منجّزة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والدلالة المنجّزة ترفع موضوع الدلالة التعليقية، بخلاف العكس الذي هو مستحيل</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المحقق الخراساني قدس سره </w:t>
      </w:r>
      <w:r>
        <w:rPr>
          <w:rStyle w:val="FootnoteAnchor"/>
          <w:rtl w:val="true"/>
        </w:rPr>
        <w:footnoteReference w:id="259"/>
      </w:r>
      <w:r>
        <w:rPr>
          <w:rFonts w:ascii="Amiri" w:hAnsi="Amiri" w:eastAsia="Amiri" w:cs="Amiri"/>
          <w:color w:val="111111"/>
          <w:sz w:val="28"/>
          <w:sz w:val="28"/>
          <w:szCs w:val="28"/>
          <w:rtl w:val="true"/>
          <w:lang w:bidi="ar-SA"/>
        </w:rPr>
        <w:t>إلى أنّ العام لا يصلح لأن يكون بياناً في مفروض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المراد من عدم البيان في مقام التخاطب لها إلى الأبد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 وإنْ كانت دلالته تعليقية بخلاف العام إلا أنّ المعلّق عليه إنَّما هو عدم بيان المتصل بالمطلق لا مطلق البيان ولو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عدم اتصال البيان بالمطلق تنعقد دلالة فعلية له على حدّ دلالة العام فتكون من تعارض دلالتين فعليتين منجّزتين ولا مرجّح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افترض ملاك الترجيح فإنَّه موجود في كلّ واحد من العام والمطلق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المحقق النائيني قدس سره </w:t>
      </w:r>
      <w:r>
        <w:rPr>
          <w:rStyle w:val="FootnoteAnchor"/>
          <w:rtl w:val="true"/>
        </w:rPr>
        <w:footnoteReference w:id="260"/>
      </w:r>
      <w:r>
        <w:rPr>
          <w:rFonts w:ascii="Amiri" w:hAnsi="Amiri" w:eastAsia="Amiri" w:cs="Amiri"/>
          <w:color w:val="111111"/>
          <w:sz w:val="28"/>
          <w:sz w:val="28"/>
          <w:szCs w:val="28"/>
          <w:rtl w:val="true"/>
          <w:lang w:bidi="ar-SA"/>
        </w:rPr>
        <w:t>إلى ما اختاره المحقق الأنصاري قدس سره من توقف المطلق على عدم البيان الأعمّ من المتصل والمنفصل ولكن بتوجيه آخر؛ وهو أنّ مسلك المحقق الأنصاري القائل بتوقف الإطلاق على عدم البيان الأعمّ من المتصل والمنفصل لا يخلو من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يستلزم عدم جواز التمسك بالإطلاق كلما شك في ثبوت حكم الفرد أو حال ما يشمله الإطلاق لاحتمال وجود مقيّد منفصل لم يصل إلينا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والشك في ذلك يساوق الشك في ثبوت الإطلاق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التمسك بالإطلاق لأنّ التمسك به فرع إحراز الظهور الإطلاقي في الدليل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وأصالة عدم القرينة على الخلاف حيث يعتمد عليها فيما إذا تحقق ظهور في مقام الإثبات واحتمل ورود قرينة على خلافه فيرفع هذا الإحتمال بالأصل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حاقّ الواقع يكون المرجّح حينئذٍ هو أصالة الظهور وعدم جواز رفع اليد عن كشفه النوعي بمجرد الإحتمال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هذه المشكلة حاول المحقق النائيني قدس سره صياغة هذا المسلك بوجه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بافتراض أنّ الإطلاق في كلّ زمان فرع عدم البيان إلى ذلك الزمان لا عدم البيان ولو متأخراً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تكلم المولى بالخطاب المعلّق ولم ينصب قرينة على التقييد فإنَّه ينعقد بذلك ظهور فعليّ على إرادة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يبقى مستمراً ما دام عدم القرينة على خلافه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جاءت القرينة ارتفع هذا الظهور بمجيء البيان من حينه الذي يكشف على احتمال القرينة المنفصلة فيمكن إحرازالإطلاق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الظهور في الخطاب المطلق فعليّ مع قطع النظر عن القرينة المنفصلة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ما ذكره لا يخلو من مناقشة لبعده عن التفاهمات العرفية في الخطاب التشريعي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جعل القانون فإنَّه بجميع حدوده وقيوده سواء تحقق الفصل الزماني بينها أم لم </w:t>
      </w:r>
    </w:p>
    <w:p>
      <w:pPr>
        <w:pStyle w:val="BookText"/>
        <w:rPr/>
      </w:pPr>
      <w:r>
        <w:rPr>
          <w:rFonts w:ascii="IRNazanin" w:hAnsi="IRNazanin" w:eastAsia="IRNazanin"/>
          <w:color w:val="111111"/>
          <w:sz w:val="28"/>
          <w:sz w:val="28"/>
          <w:szCs w:val="28"/>
          <w:rtl w:val="true"/>
          <w:lang w:bidi="fa-IR"/>
        </w:rPr>
        <w:t>يتحقق، وطال أم قصُر يكون كتشريع واحد وجعل فارد، ولا سيما في أحكام الشريعة المقدسة حيث أنّ تشريع السنة من قِبل المعصومين علیهم السلام كان بلسانٍ واحد وإنْ تعددت صوره ولكنها واحدة حقيقة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ذكره المحقق الخراساني خلال التحقيق مع أنه خلاف مبناه في الفقه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المحقق النائيني قدس سره ؛ إنْ رجع إلى ما ذكرناه فهو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فهو مردود لأنَّه لا يفي بالمقصود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الرافع للظهور الإطلاقي بالنسبة لكلّ زمان هل هو وصول البيان والقيد إلى المكلف أو صدوره واقعاً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فلا يمكن إدعاؤه لأنّ الوصول لا دخل له في تكوّن الظهور التصديقي للكلام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له الدخل في الحجية والمنجّزية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فلأنَّه إذا احتملنا ورود بيان منفصل في الزمان الثاني فإنّ المطلق يبتلى بالإجمال بلحاظ ذلك الزمان، ولا يمكن التمسك بأصالة عدم القرينة لأنَّها فرع وجود كاشف فعليّ في ذلك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التمسك باستصحاب بقاء الظهور الإطلاقي المنعقد في الزمان الأول لو فرض احتمال عدم البيان من أول الأمر فهو ممكن ولكنه إثبات لنتيجة الإطلاق بالأصل العملي لا اللفظي الذي هو الغرض من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السيد الصدر قدس سره </w:t>
      </w:r>
      <w:r>
        <w:rPr>
          <w:rStyle w:val="FootnoteAnchor"/>
          <w:rtl w:val="true"/>
        </w:rPr>
        <w:footnoteReference w:id="261"/>
      </w:r>
      <w:r>
        <w:rPr>
          <w:rFonts w:ascii="Amiri" w:hAnsi="Amiri" w:eastAsia="Amiri" w:cs="Amiri"/>
          <w:color w:val="111111"/>
          <w:sz w:val="28"/>
          <w:sz w:val="28"/>
          <w:szCs w:val="28"/>
          <w:rtl w:val="true"/>
          <w:lang w:bidi="ar-SA"/>
        </w:rPr>
        <w:t>في المقام كلاماً طويلاً لا يرجع إلى محصّل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والصحيح ما ذكره السيد الوالد قدس سره </w:t>
      </w:r>
      <w:r>
        <w:rPr>
          <w:rStyle w:val="FootnoteAnchor"/>
          <w:rtl w:val="true"/>
        </w:rPr>
        <w:footnoteReference w:id="262"/>
      </w:r>
      <w:r>
        <w:rPr>
          <w:rFonts w:ascii="Amiri" w:hAnsi="Amiri" w:eastAsia="Amiri" w:cs="Amiri"/>
          <w:color w:val="111111"/>
          <w:sz w:val="28"/>
          <w:sz w:val="28"/>
          <w:szCs w:val="28"/>
          <w:rtl w:val="true"/>
          <w:lang w:bidi="ar-SA"/>
        </w:rPr>
        <w:t>كما ذكرناه في البيان المتقدم</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وكيف كان؛ فقد يتمسّك بتقديم العام على الإطلاق بملاك الأظهرية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عموم العام أظهر من إطلاق المطلق</w:t>
      </w:r>
      <w:r>
        <w:rPr>
          <w:rFonts w:eastAsia="Amiri" w:cs="Amiri" w:ascii="Amiri" w:hAnsi="Amiri"/>
          <w:color w:val="111111"/>
          <w:sz w:val="28"/>
          <w:szCs w:val="28"/>
          <w:rtl w:val="true"/>
          <w:lang w:bidi="ar-SA"/>
        </w:rPr>
        <w:t xml:space="preserve">. </w:t>
      </w:r>
      <w:bookmarkStart w:id="329" w:name="pg15367_181190"/>
    </w:p>
    <w:p>
      <w:pPr>
        <w:pStyle w:val="BookText"/>
        <w:rPr/>
      </w:pPr>
      <w:bookmarkEnd w:id="329"/>
      <w:r>
        <w:rPr>
          <w:rFonts w:ascii="Amiri" w:hAnsi="Amiri" w:eastAsia="Amiri" w:cs="Amiri"/>
          <w:color w:val="111111"/>
          <w:sz w:val="28"/>
          <w:sz w:val="28"/>
          <w:szCs w:val="28"/>
          <w:rtl w:val="true"/>
          <w:lang w:bidi="ar-SA"/>
        </w:rPr>
        <w:t>ويرد عليه بأنه من مجرد الدعوى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وقد اشتهر بأنه ما من عام إلا وقد خُصّ، وإنْ ذكر السيد الصدر قدس سره كلاماً في وجه الأظهرية ولكنه خلاف المحاورات المتعارفة</w:t>
      </w:r>
      <w:r>
        <w:rPr>
          <w:rFonts w:eastAsia="Amiri" w:cs="Amiri" w:ascii="Amiri" w:hAnsi="Amiri"/>
          <w:color w:val="111111"/>
          <w:sz w:val="28"/>
          <w:szCs w:val="28"/>
          <w:rtl w:val="true"/>
          <w:lang w:bidi="ar-SA"/>
        </w:rPr>
        <w:t>.</w:t>
      </w:r>
    </w:p>
    <w:p>
      <w:pPr>
        <w:pStyle w:val="Heading6"/>
        <w:numPr>
          <w:ilvl w:val="5"/>
          <w:numId w:val="1"/>
        </w:numPr>
        <w:rPr/>
      </w:pPr>
      <w:bookmarkStart w:id="330" w:name="__RefHeading___Toc5900716_2142443653"/>
      <w:bookmarkStart w:id="331" w:name="_Toc123"/>
      <w:bookmarkEnd w:id="330"/>
      <w:r>
        <w:rPr>
          <w:rtl w:val="true"/>
        </w:rPr>
        <w:t>المورد الثاني</w:t>
      </w:r>
      <w:r>
        <w:rPr>
          <w:rtl w:val="true"/>
        </w:rPr>
        <w:t xml:space="preserve">: </w:t>
      </w:r>
      <w:r>
        <w:rPr>
          <w:rtl w:val="true"/>
        </w:rPr>
        <w:t>تعارض الإطلاق الشمولي والإطلاق البدلي</w:t>
      </w:r>
      <w:bookmarkEnd w:id="331"/>
    </w:p>
    <w:p>
      <w:pPr>
        <w:pStyle w:val="BookText"/>
        <w:rPr/>
      </w:pPr>
      <w:r>
        <w:rPr>
          <w:rFonts w:ascii="Amiri" w:hAnsi="Amiri" w:eastAsia="Amiri" w:cs="Amiri"/>
          <w:color w:val="111111"/>
          <w:sz w:val="28"/>
          <w:sz w:val="28"/>
          <w:szCs w:val="28"/>
          <w:rtl w:val="true"/>
          <w:lang w:bidi="ar-SA"/>
        </w:rPr>
        <w:t xml:space="preserve">إذا تعارض دليل مطلق يدلّ على شمول الحكم لتمام أفراده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المصطلح عليه بالمطلق الشمولي، مع مطلق آخر يدلّ على ثبوت الحكم على فرد واحد مِمّا ينطبق عليه كما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فقيراً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ما يصطلحعليه بالإطلاق البدلي، فهل يتقدم الأول على الأخير في مورد التعارض؛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الفقير الفاسق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فيحرم إكرامه أو لا؟</w:t>
      </w:r>
    </w:p>
    <w:p>
      <w:pPr>
        <w:pStyle w:val="BookText"/>
        <w:rPr/>
      </w:pPr>
      <w:r>
        <w:rPr>
          <w:rFonts w:ascii="Amiri" w:hAnsi="Amiri" w:eastAsia="Amiri" w:cs="Amiri"/>
          <w:color w:val="111111"/>
          <w:sz w:val="28"/>
          <w:sz w:val="28"/>
          <w:szCs w:val="28"/>
          <w:rtl w:val="true"/>
          <w:lang w:bidi="ar-SA"/>
        </w:rPr>
        <w:t xml:space="preserve">والكلام في هذا المورد كالكلام في المورد السابق؛ فإنْ قلنا بأنّ الإطلاق الشمولي أظهر فيتقدم على الإطلاق البدلي كما اختاره المحقق الأنصاري قدس سره </w:t>
      </w:r>
      <w:r>
        <w:rPr>
          <w:rStyle w:val="FootnoteAnchor"/>
          <w:rtl w:val="true"/>
        </w:rPr>
        <w:footnoteReference w:id="263"/>
      </w:r>
      <w:r>
        <w:rPr>
          <w:rFonts w:ascii="Amiri" w:hAnsi="Amiri" w:eastAsia="Amiri" w:cs="Amiri"/>
          <w:color w:val="111111"/>
          <w:sz w:val="28"/>
          <w:sz w:val="28"/>
          <w:szCs w:val="28"/>
          <w:rtl w:val="true"/>
          <w:lang w:bidi="ar-SA"/>
        </w:rPr>
        <w:t xml:space="preserve">وإنْ قلنا بأنه ليس فيه أظهرية فلا يتقدم كما هو مختار المحقق الخراساني قدس سره </w:t>
      </w:r>
      <w:r>
        <w:rPr>
          <w:rStyle w:val="FootnoteAnchor"/>
          <w:rtl w:val="true"/>
        </w:rPr>
        <w:footnoteReference w:id="264"/>
      </w:r>
      <w:r>
        <w:rPr>
          <w:rFonts w:ascii="Amiri" w:hAnsi="Amiri" w:eastAsia="Amiri" w:cs="Amiri"/>
          <w:color w:val="111111"/>
          <w:sz w:val="28"/>
          <w:sz w:val="28"/>
          <w:szCs w:val="28"/>
          <w:rtl w:val="true"/>
          <w:lang w:bidi="ar-SA"/>
        </w:rPr>
        <w:t>بناءً على أنّ كليهما يكون بالإطلاق ومقدمات الحكمة التي تقتضي الشمولية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يقتضي البدلية وقد تقتضي غيرهما فلا موجب للتقديم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المحقق النائيني قدس سره </w:t>
      </w:r>
      <w:r>
        <w:rPr>
          <w:rStyle w:val="FootnoteAnchor"/>
          <w:rtl w:val="true"/>
        </w:rPr>
        <w:footnoteReference w:id="265"/>
      </w:r>
      <w:r>
        <w:rPr>
          <w:rFonts w:ascii="Amiri" w:hAnsi="Amiri" w:eastAsia="Amiri" w:cs="Amiri"/>
          <w:color w:val="111111"/>
          <w:sz w:val="28"/>
          <w:sz w:val="28"/>
          <w:szCs w:val="28"/>
          <w:rtl w:val="true"/>
          <w:lang w:bidi="ar-SA"/>
        </w:rPr>
        <w:t>فقد حاول توجيه ما اختار المحقق الأنصاري قدس سره وتقريبه بوجوه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أهمها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تقييد الإطلاق الشمولي معناه رفع اليد عن جزء مدلول الخطاب؛ إذ المطلق الشمولي ينحلّ بحسب الحقيقة إلى دلالات عديدة بعدد أفراد الطبيعة المطلقة بخلاف المطلق البدلي الذي مدلوله إنَّما هو حكم واحد تعلّق بصرف وجود الطبيعة وهو محفوظ حتى لو خرج بعض الأفراد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صرف الوجود لا يلاحظ فيه كلّ فرد وإثبات الحكم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على التوجيه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في تقديم دليل على آخر هو القرينة أو الأظهرية، لا الإستحسانات التي منها كون مجرد الإطلاق في أحد الدليلين شمولياً إنحلالياً وفي الآخر بدلياً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لا يصلح أنْ تكون قرينية الشمولي ولا أظهريته بعد اشتراكهما في أنّ كلّ منهما بالإطلاق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المطلق البدلي أيضاً مستلزم لحكم شموليّ ينحلّ إلى أفراد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الوجوب المستفاد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فقيراً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بدلياً متعلّقاً بصرف وجود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لازمه الترخيص في تطبيق هذا الواجب على كلّ فرد من أفراد طبيعة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تقييد المطلق البدلي مثل تقييد المطلق الشمولي فإنَّه يستلزم منه رفع اليد عن بعض هذه الأحكام الترخيصية لا محالة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فتقييد كلّ من الإطلاقين مستلزم للتصرف في جزء مدلول الآخر ومعه لا مرجّح لأحدهما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مناقشة كلا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فلأنّ المحقق النائيني قدس سره في توجيهه المتقدم لا يستفاد منه إنكاره ملاك القرينة في الجمع حتى يورد عليه بما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 كلامه أنه يريد تقديم المطلق الشمولي على المطلق البدلي بملاك القرينة؛ إلا أن يريد المستشكل إنكارالصغرى وهي أنّ مجرد الشمولية لا يحقق القرينية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غير صحيح كما ستعرف</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الثاني؛ فلأنَّه بعيد عن الظهورات اللفظية في الخطابات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بحكم الدلالة الفعلية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ولذا كانت دلالة المطلق الشمولي على الشمولية دلالة عرفية وهي متقدمة على الدلالة الإلتزامية العقلية في المطلق البدلي</w:t>
      </w:r>
      <w:r>
        <w:rPr>
          <w:rFonts w:eastAsia="Amiri" w:cs="Amiri" w:ascii="Amiri" w:hAnsi="Amiri"/>
          <w:color w:val="111111"/>
          <w:sz w:val="28"/>
          <w:szCs w:val="28"/>
          <w:rtl w:val="true"/>
          <w:lang w:bidi="ar-SA"/>
        </w:rPr>
        <w:t xml:space="preserve">. </w:t>
      </w:r>
      <w:bookmarkStart w:id="332" w:name="pg15367_181192"/>
    </w:p>
    <w:p>
      <w:pPr>
        <w:pStyle w:val="BookText"/>
        <w:rPr/>
      </w:pPr>
      <w:bookmarkEnd w:id="332"/>
      <w:r>
        <w:rPr>
          <w:rFonts w:ascii="Amiri" w:hAnsi="Amiri" w:eastAsia="Amiri" w:cs="Amiri"/>
          <w:color w:val="111111"/>
          <w:sz w:val="28"/>
          <w:sz w:val="28"/>
          <w:szCs w:val="28"/>
          <w:rtl w:val="true"/>
          <w:lang w:bidi="ar-SA"/>
        </w:rPr>
        <w:t>وحقّ الكلام في المقام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قلنا بأنّ الشمولية والبدلية ليستا من شؤون الإطلاق ومقدمات الحكمة لأنَّها لا تقتضي إلا شيئاً واحداً في جميع المقامات؛ وهو أنّ ما أخذ موضوعاً للحكم في مقام الإثبات إنَّما هو الطبيعة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الشمولية والبدلية فإنما يستفاد من دال آخر عقلياً أو لفظياً على ما تقدم بيانه في مباحث الأوامر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إذا تحققت المعارضة بين المطلق الشمولي والبدلي فإنما تكون بين الدال على الإطلاق في كلّ منهما فلا موجب لترجيح أحدهما على الآخر إلا بالتماس وجه آخر لإثبات أظهرية أحدهما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يكون الوجه في تقديم المطلق الشمولي على البدلي هو أقوائية الظهور الإطلاقي في المطلق الشمولي من الظهور الإطلاقي في المطلق البدلي لأنَّه يتكفل أحكاماً عديدة بنحو الإنحلال بخلاف المطلق البدلي الذي لا يتكفل إلا حكماً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الترخيصات المستفادة منه بالإلتزام فإنها أحكام وضعية إنتزاعية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أنها ترخيصات في تطبيق ذلك الحكم الواحد على أي فرد يختاره المكلف من أفراد تلك 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فيمكن ادّعاء أنّ التعهّد العقلائي أو الفعلية الخارجية على إرادة المتكلم لتمام مدلول الخطاب إثباتاً، وعدم إرادة خلافه الذي هو ملاك الظهور الإطلاقي الشمولي أقوى وأوكد منها في المطلق البدلي، وهو صحيح؛ فإنَّه يندرج في باب تقديم أقوى الظهورين على الأضعف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هذا هو مقصود المحقق النائيني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 في تقديم المطلق الشمولي على المطلق البدلي وجوهاً أخرى لا تخلو عن المناقشة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Heading6"/>
        <w:numPr>
          <w:ilvl w:val="5"/>
          <w:numId w:val="1"/>
        </w:numPr>
        <w:rPr/>
      </w:pPr>
      <w:bookmarkStart w:id="333" w:name="__RefHeading___Toc5900718_2142443653"/>
      <w:bookmarkStart w:id="334" w:name="_Toc124"/>
      <w:bookmarkEnd w:id="333"/>
      <w:r>
        <w:rPr>
          <w:rtl w:val="true"/>
        </w:rPr>
        <w:t>المورد الثالث</w:t>
      </w:r>
      <w:r>
        <w:rPr>
          <w:rtl w:val="true"/>
        </w:rPr>
        <w:t xml:space="preserve">: </w:t>
      </w:r>
      <w:r>
        <w:rPr>
          <w:rtl w:val="true"/>
        </w:rPr>
        <w:t>موارد انقلاب النسبة</w:t>
      </w:r>
      <w:bookmarkEnd w:id="334"/>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وموضوعه وجود التعارض بين أكثر من دليلين بحيث تكون النسبة بينهما جميعاً غير نسبة أحدهما إلى الثاني، وعلاجها، ثم ملاحظة نسبة النتيجة مع الثالث، وهكذا مع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تتغير النسبة من التباين إلى العموم أو بالعكس، أو منها إلى من وجه أو العكس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 ما إذا ورد مخصّص لأحد المتعارضين بنحوٍ إذا لوحظ المتعارضان بعد إكماله انقلبت النسبة بينهما من التعارض المستقر إلى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لا بُدَّ من تطبيق قواعد التعارض غير المستقرّ على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البحث إما في تشخيص النسبة بين الدليلينالمتعارضين بالقياس إلى مدلولها مع قطع النظر عمّا يرد على كلّ منهما من القرائن، أو نلحظ بعد اكمال تلك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أجل ذلك اختلفت أنظار الأصوليين في علاج هذا النوع من التعارض؛ فقد ذهب الشيخ الأنصاري قدس سره </w:t>
      </w:r>
      <w:r>
        <w:rPr>
          <w:rStyle w:val="FootnoteAnchor"/>
          <w:rtl w:val="true"/>
        </w:rPr>
        <w:footnoteReference w:id="266"/>
      </w:r>
      <w:r>
        <w:rPr>
          <w:rFonts w:ascii="Amiri" w:hAnsi="Amiri" w:eastAsia="Amiri" w:cs="Amiri"/>
          <w:color w:val="111111"/>
          <w:sz w:val="28"/>
          <w:sz w:val="28"/>
          <w:szCs w:val="28"/>
          <w:rtl w:val="true"/>
          <w:lang w:bidi="ar-SA"/>
        </w:rPr>
        <w:t xml:space="preserve">وغيره إلى ملاحظة الأدلة كلها بعضها من بعض، ثم ملاحظة النسبة بينها وعدم تغير النسبة، وذهب المحقق النائيني قدس سره </w:t>
      </w:r>
      <w:r>
        <w:rPr>
          <w:rStyle w:val="FootnoteAnchor"/>
          <w:rtl w:val="true"/>
        </w:rPr>
        <w:footnoteReference w:id="267"/>
      </w:r>
      <w:r>
        <w:rPr>
          <w:rFonts w:ascii="IRNazanin" w:hAnsi="IRNazanin" w:eastAsia="IRNazanin"/>
          <w:color w:val="111111"/>
          <w:sz w:val="28"/>
          <w:sz w:val="28"/>
          <w:szCs w:val="28"/>
          <w:rtl w:val="true"/>
          <w:lang w:bidi="fa-IR"/>
        </w:rPr>
        <w:t>وجمعٌ من تلامذته</w:t>
      </w:r>
      <w:r>
        <w:rPr>
          <w:rStyle w:val="FootnoteAnchor"/>
          <w:rtl w:val="true"/>
        </w:rPr>
        <w:footnoteReference w:id="268"/>
      </w:r>
      <w:r>
        <w:rPr>
          <w:rFonts w:ascii="Amiri" w:hAnsi="Amiri" w:eastAsia="Amiri" w:cs="Amiri"/>
          <w:color w:val="111111"/>
          <w:sz w:val="28"/>
          <w:sz w:val="28"/>
          <w:szCs w:val="28"/>
          <w:rtl w:val="true"/>
          <w:lang w:bidi="ar-SA"/>
        </w:rPr>
        <w:t xml:space="preserve">تبعاً للمحقق النراقي قدس سره </w:t>
      </w:r>
      <w:r>
        <w:rPr>
          <w:rStyle w:val="FootnoteAnchor"/>
          <w:rtl w:val="true"/>
        </w:rPr>
        <w:footnoteReference w:id="269"/>
      </w:r>
      <w:r>
        <w:rPr>
          <w:rFonts w:ascii="Amiri" w:hAnsi="Amiri" w:eastAsia="Amiri" w:cs="Amiri"/>
          <w:color w:val="111111"/>
          <w:sz w:val="28"/>
          <w:sz w:val="28"/>
          <w:szCs w:val="28"/>
          <w:rtl w:val="true"/>
          <w:lang w:bidi="ar-SA"/>
        </w:rPr>
        <w:t>إلى تغيير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البحث يقع في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تحقيق الحال في أصل هذه النظرية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النسبة بين الدليلين هل تنقلب حقاً بعد ورود مخصّص لأحدهما أو لا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أنّ المشهور بينهم هو عدم الإنقلاب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وخالفهم المحقق النراقي والمحقق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تبعهما؛ حيث جعلوا انقلاب النسبة نتيجة طبيعية لما تقدم ذكره في بحث التخصيص من المصادرات المفترضة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وجعلوا انقلاب النسبة من تطبيقاتها التي يكفي مجرد تصورها التصديق بصحتها كما زعموا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واستدلوا على هذه النظرية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المعارض لا يكون معارضاً إلا بمقدار ما يكون حجّة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كان من معارضته الحجة مع اللاحجة، وهو لا معنى له، وهذا مِمّا لا يمكن إنكاره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في بحث الجمع العرفي أنّ الخاص قرينة على المراد من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يعتبر التعارض بين الحجة الأخصّ مع الحجة الأعمّ من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خاص قرينة على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ذلك؛ إذا ورد على أحد الدليلين المتعارضين فيما يخصّ مدلوله بحيث يكون ما عدا المقدار المخصّص أخصّ من المعارض الآخر فيتقدم عليه بمقتضى قانون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ويكون الجواب عنه بأنه لا إشكال في المقدمة الأولى من البيان المتقدم كما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الإشكال في الثانية التي ادّعوا بداهتها؛ فإنّ تقديم الخاص على العام باعتبار كونه من أفراد الجمع العرفي أمر مقبول أو مسلّم عند الجميع إلا أنّ ذلك لا يقتضي تقديم كلّ حجة أخصّ على حجّة 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يتبع الظهورات اللفظية والذوق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كلّ دليل لفظيّ يتضمن اعتبارين؛ أحدهما اعتبار ظهورهالكاشف عن مراد المتكلم، والثاني حجيته في إثبات ذلك المراد، والتعارض إنَّما يكون في الثاني وهو التنافي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الاعتبار الأول قد يكون مصادرة إضافية زائدة على الحجية في نظرية التخصيص فهي قد تقتضي تقديم الخاص بما هو حجة على العام كذلك ليعقل أن يكون تقديم الخاص بما هو كلام ظاهر على العام، وتشخيص ملاك التقديم؛ أي الأخصيتين يحتاج إلى برهان، وما ذكروه لا يثبت ذلك</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كلام يصدر من المولى يحتوي على ظهورات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الظهور التصوري، والظهور التصديقي الإستعمالي والظهور التصديقي الجدي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والمخصّص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سواء كان متصلاً </w:t>
      </w:r>
    </w:p>
    <w:p>
      <w:pPr>
        <w:pStyle w:val="BookText"/>
        <w:rPr/>
      </w:pPr>
      <w:r>
        <w:rPr>
          <w:rFonts w:ascii="Amiri" w:hAnsi="Amiri" w:eastAsia="Amiri" w:cs="Amiri"/>
          <w:color w:val="111111"/>
          <w:sz w:val="28"/>
          <w:sz w:val="28"/>
          <w:szCs w:val="28"/>
          <w:rtl w:val="true"/>
          <w:lang w:bidi="ar-SA"/>
        </w:rPr>
        <w:t>أو منفصلاً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الظهور الثالث حيث يكشف عن عدم إرادة العموم جداً، وإنما يختلف المخصّص المتصل عن المنفصل في ارتفاع الظهور الثاني، بل الأول أحياناً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 دليل يكشف عن المراد الجدي ويكون بحسب ظهوره الكاشف أخصّ مطلقاً من الدليل الآخر يتقدم عليه بالتخصيص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وبناءً على ذلك كله يتضح موضوع انقلاب النسبة؛ فإذا ورد التخصيص على أحد المتعارضين ارتفع ظهوره الكاشف عن إرادة العموم جداً وأصبح المراد ما عدا مقدار التخصيص فينقلب أخصّ مطلقاً بحسب هذا الظهور المتبقي من معارضه فيتقدم عليه بالتخصيص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المراد من البيان المتقدم من ارتفاع الظهور الكاشف عن المراد الجدي في موارد التخصيص بالمنفصل هو ارتفاع نفس الدلالة التصديقية على الإرادة الجدية فإنّ ما ذكروه ابتداءً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الدليل المنفصل لا يرفع الظهور الجدي الحالي لكلّ متكلم فإنَّه بعد انعقاد هذا الظهور حسب القاعدة لا معنى لانثلامه وانقلابه عما وقع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قلنا بارتفاع الظهور التصديقي بالمخصّص المنفصل يستلزم محذور الإجمال دائماً في موارد احتمال المخصص المنفصل</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كان المراد ارتفاع حجية الدلالة التصديقية على الإرادة الجدية بالمخصّص المنفصل فإنَّه يستلزم ما أوردناه في الأمر الأول من أنّ الميزان في التخصيص أن يكون أحد الظهورين بما هو حجة أخصّ من الآخر وإنْ لم يكن كذلك بما هو 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يحتاج إلى برهان وهو مفقود؛ إذ المدار على الظهورات العرفية والذوق العرفي وهو لا يفيد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فالصحيح عدم انقلاب النسبة بين الدليلين المتعارضين لعدم تمامية ما ذكروه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ذكروه في باب التخصيص من النكات فهو لا يدلّ إلا على تقديم الخاص بحسب </w:t>
      </w:r>
    </w:p>
    <w:p>
      <w:pPr>
        <w:pStyle w:val="BookText"/>
        <w:rPr/>
      </w:pPr>
      <w:r>
        <w:rPr>
          <w:rFonts w:ascii="Amiri" w:hAnsi="Amiri" w:eastAsia="Amiri" w:cs="Amiri"/>
          <w:color w:val="111111"/>
          <w:sz w:val="28"/>
          <w:sz w:val="28"/>
          <w:szCs w:val="28"/>
          <w:rtl w:val="true"/>
          <w:lang w:bidi="ar-SA"/>
        </w:rPr>
        <w:t>ظهوره على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لا بُدَّ لنا من القول بأنّ انقلاب النسبة وعدمه لا يدخل تحت ضابطة كلية حتى يبحثعنها في علم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يختلف حسب اختلاف الأبواب والموارد، وقد يضطرب في بعض الموارد الخبير الماهر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صاحب الجواهر في بحث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ويكفيك أنّ الشهيد مع شدة تبحره وحسن وصوله إلى المطالب الغامضة قد اضطرب عليه المقام كما لا يخفى على كلّ ناظر للذكرى</w:t>
      </w:r>
      <w:r>
        <w:rPr>
          <w:rFonts w:eastAsia="Amiri" w:cs="Amiri" w:ascii="Amiri" w:hAnsi="Amiri"/>
          <w:color w:val="111111"/>
          <w:sz w:val="28"/>
          <w:szCs w:val="28"/>
          <w:rtl w:val="true"/>
          <w:lang w:bidi="ar-SA"/>
        </w:rPr>
        <w:t>)</w:t>
      </w:r>
      <w:r>
        <w:rPr>
          <w:rStyle w:val="FootnoteAnchor"/>
          <w:rtl w:val="true"/>
        </w:rPr>
        <w:footnoteReference w:id="2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الوجه في ذلك يرجع إلى أنّ النسب المختلفة هي على مرتبة واحدة ولا وجه لسبق ملاحظة أحد الدليلين مع الآخر على ملاحظته مع الثالث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التماس مرجح لأحدهما على الآخر وهو يختلف بحسب المقامات والإستظهارات واجتهاد 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تقسيمات تعارض أكثر من دليلين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النسبة بين الأدلة المتعارضة على قسمين؛ فإما تكون نسبة واحدة، أو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الأدلة المتعارضة ذات النسبة الواحدة</w:t>
      </w:r>
    </w:p>
    <w:p>
      <w:pPr>
        <w:pStyle w:val="BookText"/>
        <w:rPr/>
      </w:pPr>
      <w:r>
        <w:rPr>
          <w:rFonts w:ascii="Amiri" w:hAnsi="Amiri" w:eastAsia="Amiri" w:cs="Amiri"/>
          <w:color w:val="111111"/>
          <w:sz w:val="28"/>
          <w:sz w:val="28"/>
          <w:szCs w:val="28"/>
          <w:rtl w:val="true"/>
          <w:lang w:bidi="ar-SA"/>
        </w:rPr>
        <w:t>وهي على أشكال ثلاثة؛ فإما أن تكون النسبة على نحو التباين، أو على نحو العموم المطلق، أو تكون على نحو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 من هذه الأشكال الثلاثة أنواع، ولكلّ نوع أصناف حتى تصل الأقسام إلى عشرين قسماً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تغيّر النسبة لا يكون إلا في ثلاثة أقسام فقط لا في جميعها، وهي</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مورد التباين بين أكثر من دليلين؛ تارة؛ يكون بين الأدلة تفاوت في الظهور قوةً وضعفاً بحيث يمكن حمل بعضها على بعض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مثل ذلك يجمع بينها من دون حاجة إلى علاج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يجوز إكرام </w:t>
      </w:r>
    </w:p>
    <w:p>
      <w:pPr>
        <w:pStyle w:val="BookText"/>
        <w:rPr/>
      </w:pPr>
      <w:r>
        <w:rPr>
          <w:rFonts w:ascii="Amiri" w:hAnsi="Amiri" w:eastAsia="Amiri" w:cs="Amiri"/>
          <w:color w:val="111111"/>
          <w:sz w:val="28"/>
          <w:sz w:val="28"/>
          <w:szCs w:val="28"/>
          <w:rtl w:val="true"/>
          <w:lang w:bidi="ar-SA"/>
        </w:rPr>
        <w:t>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ظهور الثاني أقوى من غيره، ومن أجله يحمل الأول على غير ظاهره وهو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يحمل الثالث وهو الجواز على ظاهره من الرخصة بالمعنى الأخصّ أي التساوي في طرفيه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لا يكون بين الأدلة المتعارضة تفاوت في الظهور كما إذا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يستحب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يحرم إكرام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الجمع بينها عرفاً لأنّ الوجوب والإستحباب والحرمة متباينة، ولا يمكن للعرف الجمع بينها ولا يستكشف أيضاً إرادة بعضها دون البعض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 في هذه الصورة هو الرجوع إلى المرحّجات السندية أو الخارجية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فالحكم ما ذكرناه في المتعارضين من الأقوال وإنْ كان المختار هو التخيير كما فصّلنا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مورد العموم المطلق بين أكثر من دليلين يكون على أربعة أنواع؛ لأنَّه إذا كان التعارض بين عام مطلق وخاصين مطلقين؛ فإما أن يكون التعارض بين الخاصين، أو لا يكون 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إما أن لا</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محذور من تخصيص العام بهما ولا تتغير النسبة بين العام وبين كلّ من الخاصين بعد تخصيصه بالخاص الآخر، وإما أن يستلزم تغيير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يستلزم محذور في البيْن؛ فإذا استلزم من التعارض تغيير النسبة؛ فإما أن يكون بين الخاصين تعارض بالتباين، أو بالعموم المطلق، أو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هذه الحالات لا بُدَّ من معالجة التعارض أولاً؛ لعدم كونهما في مرتبة العام متعارضين، ثم نلاحظ النسبة بين نتيجة العلاج مع العام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ومثال التباين؛ أكرم العلماء، 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والحكم هو تساقط الخاصتين على المشهور من التساقط فيبقى العام بلا معارض، والتخيير إنْ لم يكن مرجّح في البين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ومثال العموم المطلق؛ أكرم العلماء، لا تكرم النحويين، أكرم العدول من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والحكم هو تخصيص أحد الخاصين بالآخر فيختص النحويين بالعدول ويخرج الفاسق عن مورد الأكرم ويبقى تحت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ويخصّص به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والنتيجة وجوب إكرام العلماء باستثناء فساق النحويين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ومثال العموم من وجه؛ أكرم العلماء، لا تكرم النحويين، أكرم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فالنسبة بين عدول العلماء وبين النحويين العموم من وجه لتعارضهما في النحوي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ويفترقان في النحوي الفاسق وفي العادل غير النحوي فإنَّه بناءً على المشهور هو التساقط في مورد التعارض وهو النحوي العادل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ويخصّص النحوي الفاسق العلماء ويبقى وجوب إكرام العلماء للجميع سوى النحوي الفاسق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إذا كان بين الخاصّين 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لم يكن بينهما تعارض فهو على أنحاء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يلزم من تخصيص العام بهما محذور ولم تتغير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تخصيص العام بالخاصين أما دفعة واحدة أو مرتين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فاسق العلماء، ولا تكرم النحويين، لوجود ملاك التخصيص في الجميع بلا محذور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لزم من تخصيص العام بهما محذور تخصيص الأكثر أو فناء العام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عدول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العلماء المتزوجين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يبق تحت العام إلا الفرد النادر وهم العلماء العدول العزاب وهو مستهجن</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مثل ذلك فإنّ المحتملات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نقول بوقوع التعارض بين العام وبين الخاصّين جميعاً فإنَّه يستلزم إما الفناء أو تخصيص الأكثر وكلاهما باطلان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وإما أن نقول بالتخصيص بأحدهما المعيّن وطرح الآخر وهو يستلزم الترجيح بلا مرجح، وإما أن نقول بتخصيص أحدهما المردد؛ وهو باطل أيضاً لما عرفت منأنّ الفرد المردد لا وجود له لا ذهناً ولا خارجاً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حمل شيءٍ عليه مع أنّ العرف لا يساعد على مثل هذا الجمع إذ لم يؤسس للفرد المردد ظهوراً حتى يكون 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نأخذ بالراجح من العام أو الخاصين معاً إنْ كان رجحان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فالتساقط على المشهور أو التخيير على المختار أو غير ذلك مِمّا قيل في مثل ذلك مِمّا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تخصيص العام بأحدهما يستلزم تغيير النسبة بين العام الباقي والمخصّص الآخر من العموم المطلق إلى العموم من وجه،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العلماء، ولا تكرم فساق النحويين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تكرم فساق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خُصّص عموم العلماء بفسّاق النحويين تغيّرت النسبة بين العلماء غير فسّاق النحويين وبين فسّاق العلماء إلى العموم من وجه لتعارضهما في الفاسق غير النحوي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أكرم العلماء وجوب إكرامهم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النهي من إكرام فساق العلماء حرمة إكرامه، وافتراقهما في عدول العلماء والفاسق النحوي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من موارد الخلاف بين العلماء ممن تقدم ذكرهم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بتغير النسبة مثل المحققَين العراقي والنائيني وأنصارهما يقولون به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والقائلون بعدم التغير كالشيخ وصاحب الكفاية وأنصارهما، بل هو المشهور لا يقولون بتغير النسبة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نسبة العموم من وجه؛ إذا كانت النسبة بين أكثر من دليلين عموماً من وجه فهو أيضاً على أربعة أنواع كالعموم المطلق، والحكم فيها كالحكم في المطلق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واحد منها تغيّر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تختلف الأمثلة فيه</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كانت النسبة في الأدلة المتعارضة واحدة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إذا كانت النسبة في الأدلة المتعارضة ذات نسب مختلفة</w:t>
      </w:r>
    </w:p>
    <w:p>
      <w:pPr>
        <w:pStyle w:val="BookText"/>
        <w:rPr/>
      </w:pPr>
      <w:r>
        <w:rPr>
          <w:rFonts w:ascii="Amiri" w:hAnsi="Amiri" w:eastAsia="Amiri" w:cs="Amiri"/>
          <w:color w:val="111111"/>
          <w:sz w:val="28"/>
          <w:sz w:val="28"/>
          <w:szCs w:val="28"/>
          <w:rtl w:val="true"/>
          <w:lang w:bidi="ar-SA"/>
        </w:rPr>
        <w:t>وهو على أربعة أقسام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بينها التباين والعموم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بينها التباين والعموم مطلق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بينها العموم المطلق والعموم من 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بينها العموم المطلق والعموم من وجه والتباين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فيما إذا كانت الأدلة ثلاثة؛ بين الأول والثاني التباين، وبين الثاني والثالث عموم من وجه، وبين الأول والثالث عموم مطلق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وأنواع هذه الأقسام مثل أنواع النسبة الواحدة بإضافة 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وبالتأمل فيما ذكرناه يمكن تمييز أمثلتها واستنباط أحكامها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ذكر السيد الوالد قدس سره </w:t>
      </w:r>
      <w:r>
        <w:rPr>
          <w:rStyle w:val="FootnoteAnchor"/>
          <w:rtl w:val="true"/>
        </w:rPr>
        <w:footnoteReference w:id="271"/>
      </w:r>
      <w:r>
        <w:rPr>
          <w:rFonts w:ascii="Amiri" w:hAnsi="Amiri" w:eastAsia="Amiri" w:cs="Amiri"/>
          <w:color w:val="111111"/>
          <w:sz w:val="28"/>
          <w:sz w:val="28"/>
          <w:szCs w:val="28"/>
          <w:rtl w:val="true"/>
          <w:lang w:bidi="ar-SA"/>
        </w:rPr>
        <w:t>أمثلة أخرى وأبدلناها بما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قلنا أنه ليست لنا ضابطة كلية في ذلك حتى يبحث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أراد التفصيل فليراجع الكتب المطولة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العوائد للنراقي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والفوائد للكاظمي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وتقريرات السيد الصدر</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ذكرنا ما يتعلّق بأدلة القائلين بتغير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القائلون بعدمه فيكفيهم عدم نهوض تلك الأدلة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ولكنهم مع ذلك استدلوا على عدم تغير النسبة بمناقشة ما ذكره الأصوليون بالقول بالتغير؛ بأنه لا يصلح أن يكون دليلاً لإثبات انقلاب النسبة وتغيرها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ذكروا هناك وجوهاً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إلغاء الفواصل الزمانية بين الخطابات الشرعية في مقام اقتناص المراد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إنْ كان المراد الإلغاء الحقيقي فهو مِمّا لا يقول به أحد لوضوح بطلانه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لازمه عدم انعقاد الظهور مطلقاً لا في موارد التخصيص بالمنفصل ولا في موارد مجيء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أريد به اعتبار تلك الفواصل ملغية بين القرينة وذيها فقط كالعام ومخصصه؛ فإنه يرد عليه بأنّ هذا لا يقتضي الإنقلاب إلا بافتراض إلغائين طوليين؛ أحدهما إلغاء الفاصل الزمني بين العام والخاص واعتبارهما بحكم الكلام 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إلغاء الفاصل الزمني بين العام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إلغاء الأول يعتبر كلاماً متصلاً ولكن لم يتحقق الإلغاء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يمكن تفسير انقلاب النسبة على هذا الأساس بخلاف البناء على التخصيص الإعتباري فإنَّه لم يكن يتوقف إلا على التسليم بالإلغاء الأول ولا ملازمة بين الإلغائين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المخصّص المنفصل يُنزّل في الآثار الشرعية منزلة المخصّص المتصل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إلغاء خصوصية الانفصال تعبداً وتنزيلاً لا يستوجب إلغاء الشرائط الأخرى التي لا بُدَّ من توفّرها في المخصّص المتصل من قبيل كونه بحسب الظهور أخصّ</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ينطبق في المقام؛ فإنّ العام المخصّص بالمنفصل ليس مصداقاً لموضوع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دليل التنزيل يختص بالأخصّ، والعام المخصّص بالمنفصل ليس أخصّ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ينزل العام المخصّص بالمنفصل منزلة العام المخصّص بالمتصل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يكون العام المخصّص بالمنفصل بمثابة أخصّمنفصل بالنسبة إلى العام الآخر ثم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في هذا التنزيل عناية زائدة على التنزيل المفترض ولا دليل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قاعدة كلّ ما كان تقدير اتصاله قرينة هادمة للظهور كذلك يكون على تقدير انفصاله هادماً للحجية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والمخصّص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القاعدة يمكن تخريج انقلاب النسبة؛ فإنَّه إذا جمعنا بين الأدلة الثلاثة بجمع الدليلين المتعارضين مع المخصّص المنفصل لأحدهما، وافترضنا صدورهما في مجلس واحد ارتفع التعارض من البين وأصبح العام المخصّص أخصّ من معارضه وهادماً لعمومه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أن يكون من فرض الإنفصال هادماً للحجية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مغالطة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ما يكون على تقدير اتصاله هادماً للعموم إنَّما هو العام المتصل به مخصّصه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مقتضى تلك القاعدة أنّ العام المتصل به مخصّصه كما يكون قرينة تهدم ظهور العام الآخر من فرض الإتصال على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يوجد عندنا عام متصل به مخصّص إلى جانب العام الآخر؛ لا متصلاً به ولا منفصلاً عنه إلا بإضافة مصادرة جديدة، كأن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 كلاميه كان على فرض اتصالهما يشكلان قرينة على كلام ثالث بموجب القاعدة المذكورة، فهما نفس القرينة على الكلام الثالث أيضاً مع عدم اتصال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أنّ ذلك اعتبار زائد لم يكن مفترضاً في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 جعل انقلاب النسبة من الجمع العرفي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يكفي ما ذكروه من المصادرات التي جعلوها قرينة في التخصيص الإعتيادي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يُستدل بوجه أخرى لتصحيح انقلاب النسبة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بالأخصّية التي هي ميزان القرينة الهادمة للظهور على فرض الإتصال والهادمة للحجية على فرض الإنفصال أخصّية ما هو مقدار الحجة لا أخصّية ذات المدلول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الأخصّية التي هي ميزان القرينة بحسب المرتكزات إنَّما هو الأخصّية بلحاظ ذات المدلول لا بلحاظ المقدار المعتبر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البناء العقلائي في المحاورات على الظهورات وتفاوتها من حيث القوة والضعف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يتقدم الخاص على </w:t>
      </w:r>
    </w:p>
    <w:p>
      <w:pPr>
        <w:pStyle w:val="BookText"/>
        <w:rPr/>
      </w:pPr>
      <w:r>
        <w:rPr>
          <w:rFonts w:ascii="Amiri" w:hAnsi="Amiri" w:eastAsia="Amiri" w:cs="Amiri"/>
          <w:color w:val="111111"/>
          <w:sz w:val="28"/>
          <w:sz w:val="28"/>
          <w:szCs w:val="28"/>
          <w:rtl w:val="true"/>
          <w:lang w:bidi="ar-SA"/>
        </w:rPr>
        <w:t>العام باعتباره أقوى ظهوراً بالنسبة إلى العام وهو المعبّر عنه بالأظهرية النوعية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ثبتت قرينة على ذلك فإنَّما تكون معتبرة بلحاظ المدلول لا الأخصّية بلحاظ ما هو المقدار الحجّة منه؛ فإنّ ذلك لا يغير شيئاً من درجة الظهور بالنسبة إلى باقي الأفراد ولا يعطي ظهوراً أشدّ بالنسبة إلى تلك الأفراد الباقية حتى تصبح قرينة على عام فهو نظير القدر المتيقن من الخارج، فإنَّه لا يجعل الدليل صريحاً بنحو يصلح للقرينية على تخصيص دليل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معلوم إلا إذا أوجب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تفصيله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عدم كفاية شيء مِمّا ذكروه من الوجوه لإثبات انقلاب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المدار في النسب الملحوظة في الظواهر النسبة الظاهرة الأولية المنساقة من ظاهر الكلام لا المنقلبة إليها بعد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ذلك يظهر أنّ ما قيل من تخصيص العام بأخصّ الخاصين ثم ملاحظة النسبة بينه وبين الخاص الآخر؛ مردودٌ بأنه لا شاهد عليه من عُرف أو عقل أو شرع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القدر المتيقن من التخصيص لا يوجب الظهور من التخصيص به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الحكم في جميع الموارد هو تخصيص العام بتمام المخصصات ما لم يلزم محذور التخصيص القبيح بلا فرق بين ورودها في عرض واحد أو متقدماً أو متأخراً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أمكن التخصيص والجمع العرفي المقبول بينهما، وإلا فالرجوع إلى الأحكام العامة للتعارض بلا فرق في ذلك بين ما إذا كان التعارض بين الدليلين أو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 ذلك مفصلاً</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جميع ذلك يظهر أنّ ما ذكره بعض الأصوليين</w:t>
      </w:r>
      <w:r>
        <w:rPr>
          <w:rStyle w:val="FootnoteAnchor"/>
          <w:rtl w:val="true"/>
        </w:rPr>
        <w:footnoteReference w:id="273"/>
      </w:r>
      <w:r>
        <w:rPr>
          <w:rFonts w:ascii="Amiri" w:hAnsi="Amiri" w:eastAsia="Amiri" w:cs="Amiri"/>
          <w:color w:val="111111"/>
          <w:sz w:val="28"/>
          <w:sz w:val="28"/>
          <w:szCs w:val="28"/>
          <w:rtl w:val="true"/>
          <w:lang w:bidi="ar-SA"/>
        </w:rPr>
        <w:t>في المقام هو من التطويل غير المرغوب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التعارض بين أكثر من دليلين كثيرة في الفقه؛ كما في تحديد الكرّ وانفعال البئر وحكم السلام المخرج من الصلاة وحكم الركعتين الأخيرتين من الرباعيات من حيث القراءة والتسبيحات وحكم ذبيحة الكتابي وحكم أكثر النفاس وغير ذلك مِمّا لا يستقصى ولا تضبطها ضابطة كلية حتى تذكر في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ويختلف حكمها حسب اختلاف الأبواب والموارد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فإنّ القائلين بتغير النسبة كالنراقي والنائيني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يلتزموا به في الفقه، وأنّ الأمثلة التي ذكروها في الأصول لتغير النسبة لم يتعرضا لها في 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ونذكر بعض النماذج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ذكره المحقق النراقي في الالتفات في الصلاة، وأنّ أي مقدار منه يكون مبطلاً، وفي أي حال من العمد والعلم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هذا القبيل ما ورد في الإلتفات عن القبلة حيث ورد في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الإلتفات يقطع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الإلتفات 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الإلتفات بكل البدن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الإلتفات بالإستدبار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وخامس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الإلتفات الموجب لرؤية الخلف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لوحظت المفاهيم أيضاً تزداد المعارضات؛ ففي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الإلتفات بغير الفاحش 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سابع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الإلتفات لا بكل البدن لا يقطع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ثامن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الإلتفات غير الموجب لرؤية الخلف لا يقطع</w:t>
      </w:r>
      <w:r>
        <w:rPr>
          <w:rFonts w:eastAsia="Amiri" w:cs="Amiri" w:ascii="Amiri" w:hAnsi="Amiri"/>
          <w:color w:val="111111"/>
          <w:sz w:val="28"/>
          <w:szCs w:val="28"/>
          <w:rtl w:val="true"/>
          <w:lang w:bidi="ar-SA"/>
        </w:rPr>
        <w:t>))</w:t>
      </w:r>
      <w:r>
        <w:rPr>
          <w:rStyle w:val="FootnoteAnchor"/>
          <w:rtl w:val="true"/>
        </w:rPr>
        <w:footnoteReference w:id="274"/>
      </w:r>
    </w:p>
    <w:p>
      <w:pPr>
        <w:pStyle w:val="BookText"/>
        <w:rPr/>
      </w:pPr>
      <w:r>
        <w:rPr>
          <w:rFonts w:ascii="Amiri" w:hAnsi="Amiri" w:eastAsia="Amiri" w:cs="Amiri"/>
          <w:color w:val="111111"/>
          <w:sz w:val="28"/>
          <w:sz w:val="28"/>
          <w:szCs w:val="28"/>
          <w:rtl w:val="true"/>
          <w:lang w:bidi="ar-SA"/>
        </w:rPr>
        <w:t xml:space="preserve">وهذه التخريجات للروايات ومصادرها من نفس العوائد، والظاهر أنّه قدس سره نقلها بالمعنى والمضمون، وإلا فالألفاظ مشتركة ومتبادلة في مصادرها الأصلية فراجع وسائل الشيعة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البيت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حولها، ونحن لم نغيّرها حفاظاً على أصل متن العوائد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 ذلك نجده في المستند لا يشير إلى تغير النسبة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من عادته ذكر كلّ روايات المسألة ومعظم أقوال 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فيذكر في هذه المسألة منطوق الروايات ومفهومها وخاصّها </w:t>
      </w:r>
      <w:bookmarkStart w:id="335" w:name="pg15367_181205"/>
    </w:p>
    <w:p>
      <w:pPr>
        <w:pStyle w:val="BookText"/>
        <w:rPr/>
      </w:pPr>
      <w:bookmarkEnd w:id="335"/>
      <w:r>
        <w:rPr>
          <w:rFonts w:ascii="Amiri" w:hAnsi="Amiri" w:eastAsia="Amiri" w:cs="Amiri"/>
          <w:color w:val="111111"/>
          <w:sz w:val="28"/>
          <w:sz w:val="28"/>
          <w:szCs w:val="28"/>
          <w:rtl w:val="true"/>
          <w:lang w:bidi="ar-SA"/>
        </w:rPr>
        <w:t>وعامّها ومطلقها ومقيّدها ومتعارضاتها ثم يجمع بينها، كما بين الدليلين دون الرجوع إلى تغير النسبة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فعل المحقق النائيني في تقريرات درسه في الصلاة في هذه المسألة وفصّل الكلام فيها تفصيلاً طويلاً ولكنه لم يشير إلى تغير 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ذكره المحقق النائيني قدس سره في الأصول في مسألة العارية وأنّ الضمان فيها يكون مع اشتراطه، أو في الدينار والدرهم، أو في مطلق 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وقسّم الروايات إلى أربعة أقسام وجعله من أمثلة تغير النسبة، ولكنه في الفقه قد لا يقول بذلك</w:t>
      </w:r>
      <w:r>
        <w:rPr>
          <w:rFonts w:eastAsia="Amiri" w:cs="Amiri" w:ascii="Amiri" w:hAnsi="Amiri"/>
          <w:color w:val="111111"/>
          <w:sz w:val="28"/>
          <w:szCs w:val="28"/>
          <w:rtl w:val="true"/>
          <w:lang w:bidi="ar-SA"/>
        </w:rPr>
        <w:t>.</w:t>
      </w:r>
    </w:p>
    <w:p>
      <w:pPr>
        <w:pStyle w:val="Heading6"/>
        <w:numPr>
          <w:ilvl w:val="5"/>
          <w:numId w:val="1"/>
        </w:numPr>
        <w:rPr/>
      </w:pPr>
      <w:bookmarkStart w:id="336" w:name="__RefHeading___Toc5900720_2142443653"/>
      <w:bookmarkStart w:id="337" w:name="_Toc125"/>
      <w:bookmarkEnd w:id="336"/>
      <w:r>
        <w:rPr>
          <w:rtl w:val="true"/>
        </w:rPr>
        <w:t>المورد الرابع</w:t>
      </w:r>
      <w:r>
        <w:rPr>
          <w:rtl w:val="true"/>
        </w:rPr>
        <w:t xml:space="preserve">: </w:t>
      </w:r>
      <w:r>
        <w:rPr>
          <w:rtl w:val="true"/>
        </w:rPr>
        <w:t>مورد النسبة من العموم من وجه</w:t>
      </w:r>
      <w:bookmarkEnd w:id="337"/>
    </w:p>
    <w:p>
      <w:pPr>
        <w:pStyle w:val="BookText"/>
        <w:rPr/>
      </w:pPr>
      <w:r>
        <w:rPr>
          <w:rFonts w:ascii="Amiri" w:hAnsi="Amiri" w:eastAsia="Amiri" w:cs="Amiri"/>
          <w:color w:val="111111"/>
          <w:sz w:val="28"/>
          <w:sz w:val="28"/>
          <w:szCs w:val="28"/>
          <w:rtl w:val="true"/>
          <w:lang w:bidi="ar-SA"/>
        </w:rPr>
        <w:t>ذكرنا أنّ موضوع حكم التعارض من الترجيح أو السقوط أو التخيير هو المتباينان فقط، فلا يشمل العام والخاص والمطلق والمقيد؛ لتحقق الجمع العرفي المقبول فيهما، بل تقدم عدم كونهما من المتعارضين في المحاورات أصلاً فيخرجان عنه تخصصاً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العموم من وجه فقد اختلفوا فيه فذهب بعضهم إلى جعل العامين من وجه من المتعارضين في محلّ الاجتماع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ذهب السيد الوالد قدس سره </w:t>
      </w:r>
      <w:r>
        <w:rPr>
          <w:rStyle w:val="FootnoteAnchor"/>
          <w:rtl w:val="true"/>
        </w:rPr>
        <w:footnoteReference w:id="275"/>
      </w:r>
      <w:r>
        <w:rPr>
          <w:rFonts w:ascii="Amiri" w:hAnsi="Amiri" w:eastAsia="Amiri" w:cs="Amiri"/>
          <w:color w:val="111111"/>
          <w:sz w:val="28"/>
          <w:sz w:val="28"/>
          <w:szCs w:val="28"/>
          <w:rtl w:val="true"/>
          <w:lang w:bidi="ar-SA"/>
        </w:rPr>
        <w:t>إلى أنهما من قبيل العام والخاص والمطلق والمقيد فلا تشملهما أدلة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على ذلك بأنّ التفاهم من أدلة التعارض ما إذا لم يمكن الأخذ بالدليلين في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يمكن في مورد الإفتراق من الدليلين، بل وكذا في مورد الإجتماع أيضاً؛ فإنّ المنساق من دليل حكم التعارض ترجيحاً أو تخييراً إنَّما هو في ما إذا لزم من الطرح والرجوع إلى الأصل محذور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لا يلزم في مورد الإجتماع في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الشائع في المحاورات هو الطرح، ولا محذور فيه إلا لزوم التفكيك في العمل بمدلول الدليل ولا إشكال فيه، بل هو كثير في الفقه كما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والحقّ؛ أن يقال أنّ التعارض في العامين من وجه في مورد الإجتماع على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أحد العامّين من وجه المتعارضين وارداً في مورد اجتماعهما؛ كما إذا 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مقام آخر سئل المولى عن إكرام العلماء الفسّاق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عموم من وجه يجتمعان في العلماء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أسلوب الكلام يقتضي الجمع بينهمابتخصيص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بمورد الإجتماع، فيخرج العلماء الفساق منه صوناً لكلام الحكيم من اللغوية؛ إذ لو أخرجنا العلماء الفسّاق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الفسّاق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يلزم عدم مطابقة الجواب للسؤال وخروجه عن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إذا كان بين المتعارضين عموم من وجه وكانت دلالة أحدهما على العموم بالوضع ودلالة الآخر بالإطلاق؛ فإنَّه يجمع بينهما بتقييد المطلق بالعام لما عرفت من تقديم العام المطلق وتقديم التقييد على التخصيص كما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يقيّد عموم الفاسق بغير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أدلتهم على ذلك وإنْ كانت المناقشة في بعضها واضحة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يمكن الجمع بين الكلمات؛ فمن قال بالخروج فيما إذا لم يكن الجمع فلا بُدَّ من الطرح في مورد الإجتماع ومن قال بالتعارض فيما إذا أمكن الجمع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ذكرنا جملة من الموارد التي يمكن التوفيق بين الدليلين عرفاً، ويجمع بينهما لغةً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موارد أخرى يذكرونها في موارد متفرقة وعديدة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أحدهما أظهر من الآخر سواء كان نصّاً أو أقوى ظهوراً، وهذا لا إشكال فيه كما تقدم بيانه فيما إذا كان الأظهر والظاهر معلوماً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إذا شك الحال واشتبه تشخيص الظاهر والأظهر فالميزان هو الظهور النوعي لأحدهما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ذكروه في المسألة المعروفة بتعارض الأحوال المذكورة في مباحث الألفاظ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الإصفهاني قدس سره </w:t>
      </w:r>
      <w:r>
        <w:rPr>
          <w:rStyle w:val="FootnoteAnchor"/>
          <w:rtl w:val="true"/>
        </w:rPr>
        <w:footnoteReference w:id="276"/>
      </w:r>
      <w:r>
        <w:rPr>
          <w:rFonts w:ascii="Amiri" w:hAnsi="Amiri" w:eastAsia="Amiri" w:cs="Amiri"/>
          <w:color w:val="111111"/>
          <w:sz w:val="28"/>
          <w:sz w:val="28"/>
          <w:szCs w:val="28"/>
          <w:rtl w:val="true"/>
          <w:lang w:bidi="ar-SA"/>
        </w:rPr>
        <w:t>مورداً لذلك وحاصله أنّ ظاهر جملة من الأخبار العلاجية أن يعمّ النصّ والظاهر والأظهر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روي عن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2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ظاهر في طلب الفعل ونصّ في الجواز، والنهي ظاهر في التحريم ونصّ في طلب الترك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ومقتضى حمل الظاهر على النصّ الحكم بالكراهة والرخصة في العمل مع أنّ الإمام علیه السلام حكم بالتخيير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أجاب المحقق الإصفهاني قدس سره </w:t>
      </w:r>
      <w:r>
        <w:rPr>
          <w:rStyle w:val="FootnoteAnchor"/>
          <w:rtl w:val="true"/>
        </w:rPr>
        <w:footnoteReference w:id="278"/>
      </w:r>
      <w:r>
        <w:rPr>
          <w:rFonts w:ascii="Amiri" w:hAnsi="Amiri" w:eastAsia="Amiri" w:cs="Amiri"/>
          <w:color w:val="111111"/>
          <w:sz w:val="28"/>
          <w:sz w:val="28"/>
          <w:szCs w:val="28"/>
          <w:rtl w:val="true"/>
          <w:lang w:bidi="ar-SA"/>
        </w:rPr>
        <w:t>عن ذلك بأنّ الرواية لا دلالة لها على كون المورد من قبيل النصّ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ظاهرها أنّ مورد إحداهما حقيقة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الأخرى حقيقة النهي وهما متباينان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موردها 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لتكونا من النصّ والظاهر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أنه لا بُدَّ من الرجوع في تمييز الأظهر والظاهر إلى الفهم العرفي والبناء المحاوري كما تقدم تفصيله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حصل القطع أو الإطمئنان بما هو حاصل الجمع بين الدليلين المتعارضين بشاهد من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إعتق عبدك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عتق إلا في </w:t>
      </w:r>
    </w:p>
    <w:p>
      <w:pPr>
        <w:pStyle w:val="BookText"/>
        <w:rPr/>
      </w:pP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العقل يحكم بالجمع بينهما بحمل الأول على الإضمار؛ أي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عبدك ملكاً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يكون العتق في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الجمع بشاهد شرعي كما ورد 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ابْنَ رَسُولِ اللَّهِ؛ قَدْ رُوِيَ عَنْ آبَائِكَ علیه السلام فِيمَنْ جَامَعَ فِي شَهْرِ رَمَضَانَ أَوْ أَفْطَرَ فِيهِ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أَيْضاً كَفَّارَةٌ وَاحِدَةٌ؛ فَبِأَيِّ الْحَدِيثَيْنِ نَأْخُذُ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بِهِمَا جَمِيعاً؛ مَتَى جَامَعَ الرَّجُلُ حَرَاماً أَوْ أَفْطَرَ عَلَى حَرَامٍ فِي شَهْرِ رَمَضَانَ فَعَلَيْهِ ثَلَاثُ كَفَّارَاتٍ؛ عِتْقُ رَقَبَةٍ وصِيَامُ شَهْرَيْنِ مُتَتَابِعَيْنِ وإِطْعَامُ سِتِّينَ مِسْكِيناً وقَضَاءُ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نَكَحَ حَلَالًا أَوْ أَفْطَرَ عَلَى حَلَالٍ فَعَلَيْهِ كَفَّارَةٌ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نَاسِياً فَلَا شَيْ‌ءَ عَلَيْه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الجمع بين الخبرين المتعارضين شاهد على أنه لم يكن تفسير لهما؛ نظير ما ورد من أنّ الناسي للنجاسة يعيد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 أنّ الناسي للنجاسة لا يعيدها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ثالث أنّ الناسي للنجاسة يعيدها في الوقت ولا يعيدها خارجه؛ فإنّ الخبر الثالث لم يستفد منه تفسير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القوم ذكروا بأنه يجمع بينهما بما دلّ عليه 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في وجه ذلك بأنه يكون مقيداً لكلّ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فعل الإجماع قولاً وعملاً بين المتعارضين بمثل ذلك</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الدال على الإستحباب، والدال على الوجوب بحمل الدال على الوجوب على الإستحباب؛ وهو كثير في الفقه مثل ما ورد عَنْ سَعْدٍ عَنْ أَحْمَدَ بْنِ مُحَمَّدٍ عَنِ الْقَاسِمِ عَنْ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غُسْلِ الْعِيدَيْنِ؛ أَ وَاجِبٌ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سُنَّةٌ</w:t>
      </w:r>
      <w:r>
        <w:rPr>
          <w:rFonts w:eastAsia="Amiri" w:cs="Amiri" w:ascii="Amiri" w:hAnsi="Amiri"/>
          <w:color w:val="111111"/>
          <w:sz w:val="28"/>
          <w:szCs w:val="28"/>
          <w:rtl w:val="true"/>
          <w:lang w:bidi="ar-SA"/>
        </w:rPr>
        <w:t>)</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وورد عَنْ مُحَمَّدِ بْنِ مُسْلِمٍ عَنْ أَحَدِهِمَا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إغْتَسِلْ يَوْمَ الْجُمُعَةِ؛ إِلَّا أَنْ تَكُونَ مَرِيضاً أَوْ تَخَافَ عَلَى نَفْسِكَ</w:t>
      </w:r>
      <w:r>
        <w:rPr>
          <w:rFonts w:eastAsia="Amiri" w:cs="Amiri" w:ascii="Amiri" w:hAnsi="Amiri"/>
          <w:color w:val="111111"/>
          <w:sz w:val="28"/>
          <w:szCs w:val="28"/>
          <w:rtl w:val="true"/>
          <w:lang w:bidi="ar-SA"/>
        </w:rPr>
        <w:t>)</w:t>
      </w:r>
      <w:r>
        <w:rPr>
          <w:rStyle w:val="FootnoteAnchor"/>
          <w:rtl w:val="true"/>
        </w:rPr>
        <w:footnoteReference w:id="281"/>
      </w:r>
      <w:r>
        <w:rPr>
          <w:rFonts w:ascii="Amiri" w:hAnsi="Amiri" w:eastAsia="Amiri" w:cs="Amiri"/>
          <w:color w:val="111111"/>
          <w:sz w:val="28"/>
          <w:sz w:val="28"/>
          <w:szCs w:val="28"/>
          <w:rtl w:val="true"/>
          <w:lang w:bidi="ar-SA"/>
        </w:rPr>
        <w:t>فإنهم يجمعون بينهما بحمل الثاني على الأول، وهو المطابق للفهم العرفي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إنه من موارد حمل الظاهر على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بحمل ما لم يشتمل على علّة الحكم على المشتمل عليها كما عليه العرف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موارد حمل الظاهر على الأظهر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إذاكان أحدهما مؤكداً بأدوات التأكيد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وأدوات القسم ونحوهما فيحمل الخالي منهما على المؤكد لقوّته في دلالته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ما دلّ على وجوب شيء وبين ما دلّ على وجوب آخر في نفس الموضوع على الوجوب التخييري؛ مثل ما ورد من أنّ من أدرك الوقت في السفر ولم يصل حتى دخل بلده يتم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 أيضاً أنه يقصر، وقد جمع بينهما بالحمل على التخيير بين الإتمام والقصر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المسألة موضع الخلاف والمناقشة؛ إذ لا دليل على كلّية هذا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المجمل والمبيّن لأنّ العرف يراه مفسِّراً للأول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أحد العامّين من وجه على الآخر لقلّة المورد أو ندرة وجوده لو خصّ به؛ مثل أدلة الشك بعد الفراغ مع أدلة الإستصحاب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قدّمت أدلة الإستصحاب لم يبق مورد لقاعدة الفراغ</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دلالة المطابقة على دلالة التضمن والإلتزام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والثانية على الثالثة،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الإلتزام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دلالة الإقتضاء،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دلالة التنبيه، وهي على الإيحاء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ترجع إلى الأظهرية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أحد المجازين على الآخر لأقربيته للمعنى الحقيقي عرفاً أو شهرة أو لكثرة استعماله أو من جهة الأظهرية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تقديم القول على الفعل والتقرير لكونه أصرح وأظهر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بين الأمر بالشيء والنهي عنه بحمله على الكراهة؛ بدعوى أنّ الأمر نص في الجواز وظاهر في الطلب الحتمي، وهو على كل حال يدل على أنّ الجواز والنهي نصّ في رجحان الترك وظاهر في جواز الترك مع المنع من الفعل الذي هو الحرمة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فيقدم نصّ كلّ منهما على ظاهر الآخر فيكون المراد من النهي الكراهة؛ لما مرّ من تقديم النصّ على الظاهر وهو الذي يرتضيه العرف أيضاً بلا فرق بين أن يكون في كلام واحد أو كانا منفصلين؛ وإنْ كان خلافٌ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المشهور هو تقديم الخبر الدال على الحرمة كما حكي عن العضدي</w:t>
      </w:r>
      <w:r>
        <w:rPr>
          <w:rStyle w:val="FootnoteAnchor"/>
          <w:rtl w:val="true"/>
        </w:rPr>
        <w:footnoteReference w:id="2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بوجوه كلها ضعيفة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الدال على الحرمة أقوى 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دفع المفسدة المحتملة أولى من جلب المنفعة المحتملة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أول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الترك الواجب أيضاً فيه مفسدة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 الإستقراء في موارد دوران الأمر بين الوجوب والحرمة أنّ الحرمة المحتملة تقدم على الوجوب المحتمل</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ناقص، ولا اعتبار بالإستقراء الناقص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قول النَّبِيُّ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اجْتَمَعَ الْحَرَامُ والْحَلَالُ إِلَّا غَلَبَ الْحَرَامُ الْحَلَالَ</w:t>
      </w:r>
      <w:r>
        <w:rPr>
          <w:rFonts w:eastAsia="Amiri" w:cs="Amiri" w:ascii="Amiri" w:hAnsi="Amiri"/>
          <w:color w:val="111111"/>
          <w:sz w:val="28"/>
          <w:szCs w:val="28"/>
          <w:rtl w:val="true"/>
          <w:lang w:bidi="ar-SA"/>
        </w:rPr>
        <w:t>)</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 ما إذا أحرز وجود الحلال والحرام، لا المقام الذي يحتمل وجودهما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المتعارضين يدلّ على حكم وضعي، والآخر يدلّ على نفي أثره؛ نظير ما دلّ على أنّ القُبلة ومسّ باطن الفرج ينقض الوضوء، وإنّ من فعل ذلك أعاد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وورد عَنْ أَبِي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الْقُبْلَةِ ولَا الْمُبَاشَرَةِ ولَا مَسِّ الْفَرْجِ وُضُوء</w:t>
      </w:r>
      <w:r>
        <w:rPr>
          <w:rFonts w:eastAsia="Amiri" w:cs="Amiri" w:ascii="Amiri" w:hAnsi="Amiri"/>
          <w:color w:val="111111"/>
          <w:sz w:val="28"/>
          <w:szCs w:val="28"/>
          <w:rtl w:val="true"/>
          <w:lang w:bidi="ar-SA"/>
        </w:rPr>
        <w:t>)</w:t>
      </w:r>
      <w:r>
        <w:rPr>
          <w:rStyle w:val="FootnoteAnchor"/>
          <w:rtl w:val="true"/>
        </w:rPr>
        <w:footnoteReference w:id="2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يُجمع بينهما بحمل الأول على استحباب إعادة الوضوء حتى يلائم الدال على عدم النقض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الخامس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الإطلاق الشمولي، والمراد به شمول الحكم لتمام الأفراد بنحو الإستغراق؛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الفاسق لا تكرمه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الإطلاق البدلي؛ والمراد به ثبوت الحكم لتمام الأفراد بنحو البدل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عالماً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فالمعروف عند الأصوليين الجمع العرفي بينهما بتقييد البدلي بالشمولي وتقديمه على البدلي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المثال المذكور يكرم العالم غير الفاسق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واستدلوا عليه بأنّ الشمولي أظهر من البدلي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ذكرنا سابقاً أنه غير تام؛ لأنّ دلالة كل واحدة منهما على العموم بالإطلاق ومقدمات الحكمة</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يقال بأنّ العرف لما كان يرى الترخيص في الإتيان بأي فرد من الواجب البدلي وترك الباقي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ويرى أنّ من أفراده ما يحتمل فيه وجود المقتضي للمنع بانطباق الشمولي عليه فقد جمع بينهما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يتعلق بذلك 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المورد السادس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تعارض المفاهيم بعضها مع بعض كمفهوم الشرط مع مفهوم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يجمع بينهما بتقييد مفهوم الشرط بمفهوم الغاية لأنّ دلالة الغاية على المفهوم بالوضع بخلاف دلالة الشرط على المفهوم فإنها بمقدمات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السابع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بمفهوم الشرط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 إن كانوا عدولاً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يقيد بمفهوم الشرط لكونه دالاً على الإنتفاء عند الإنتفاء فيرفع اليد عن ظهور العام في العموم عند العرف وأهل اللغة ولكثرة التخصيص حتى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عام إلا وقد 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ونسب إلى بعض العكس؛ فقدموا ظهور العام على مفهوم الشرط لأنّ دلالة العام منطوقية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ودلالة الشرطمفهومية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ذكره المحدث الحرّ العاملي</w:t>
      </w:r>
      <w:r>
        <w:rPr>
          <w:rStyle w:val="FootnoteAnchor"/>
          <w:rtl w:val="true"/>
        </w:rPr>
        <w:footnoteReference w:id="285"/>
      </w:r>
      <w:r>
        <w:rPr>
          <w:rFonts w:ascii="Amiri" w:hAnsi="Amiri" w:eastAsia="Amiri" w:cs="Amiri"/>
          <w:color w:val="111111"/>
          <w:sz w:val="28"/>
          <w:sz w:val="28"/>
          <w:szCs w:val="28"/>
          <w:rtl w:val="true"/>
          <w:lang w:bidi="ar-SA"/>
        </w:rPr>
        <w:t>من أنّ كثيراً من الجمل الشرطية الواردة في القرآن الكريم ليس لها مفهوم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النزاع فيما إذا ثبت للشرط مفهوم، وإلا فليس لكل شرط مفهوم كما تقدم بيانه في بحث المفاهيم</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الثامن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التقييد أو التخصيص مع النسخ فإنَّه يجمع بينهما بتقديم التخصيص على النسخ؛ كما إذا ورد عام بعد وقت حضور وقت العمل بالخاص فإنَّه يدور الأمر بين أن يكون الخاص مخصصاً للعام وبين أن يكون العام ناسخاً للخاص، مثل ما إذا قال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 العالم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بعد أيام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يدور الأمر بين أن يكون العام ناسخاً لحكم الخاص فيجب إكرام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تخصيص العام بالخاص المتقدم فيكرم العلماء إلا زيداً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والمرجح في ذلك هو دوران الأمر بين التصرف في الدلالة الوضعية للعام على عموم الأفراد وبين الدلالة الإطلاقية للخاص على عموم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ونظير ذلك أيضاً ما إذا ورد الخاص بعد حضور وقت العمل بالعام 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قال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تكرم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الأمر يدور في الخاص بين أن يكون الخاص مخصصاً للعام فيكون مضيقاً لدائرة أفراد العام فيلزم التصرف في دلالته الوضعية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الخاص ناسخاً للعام بأن يكون مضيقاً لدائرة استمرار العام ودوامه فيكون التصرف في دلالته الإطلاقية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يرجع إلى المقولة المعروفة عند الأصوليين من أنّ التخصيص والتقييد هو الإخراج من الأعيان، والنسخ هو الإخراج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ورد بعد حضور وقت العمل بالعام شيء ودار الأمر بين كونه ناسخاً أو كاشفاً عن المخصص السابق، أو مخصصاً فعلاً؛ فعن المحقق الأنصاري قدس سره استحالة الثاني، فتكون الناسخية أظهر لا محالة لتوفر الدواعي على ضبط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فالعادة تقتضي استحالة التخصيص كشفاً أو فعلاً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الاهتمام بالضبط مسلّمٌ ولكن وصول كلّ ما ضبطوه إلينا هو أول الكلام، فقد ذُكر أنّ المحقق قدس سره ينقل عن أصول لا رسم لها عندنا ولا 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الجواهر بحث تطهير إناء الولوغ</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بالعكس لأنّ النسخ تصرف في زمان العام والتخصيص تصرف في أفراده، وظهور العام في الأفراد أقوى من ظهوره في الأزمان لأنّ الأول بالوضع والثاني بمقدمات الحكمة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السريان الزماني في الأحكام ليس بمقدمات الحكمة، بل بالأدلة القطعية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 ما ورد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الْحَلَالِ والْحَرَامِ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 مُحَمَّدٍ حَلَالٌ أَبَداً إِلَى يَوْمِ الْقِيَامَةِ وحَرَامُهُ حَرَامٌ أَبَداً إِلَى يَوْمِ الْقِيَامَة</w:t>
      </w:r>
      <w:r>
        <w:rPr>
          <w:rFonts w:eastAsia="Amiri" w:cs="Amiri" w:ascii="Amiri" w:hAnsi="Amiri"/>
          <w:color w:val="111111"/>
          <w:sz w:val="28"/>
          <w:szCs w:val="28"/>
          <w:rtl w:val="true"/>
          <w:lang w:bidi="ar-SA"/>
        </w:rPr>
        <w:t>)</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فيكون التخصيص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 تقديم التخصيص على النسخ عند الدوران بينهما مِمّا عليه بناء العقلاء في محاوراتهم فيكون هذا البناء كالقرينة المعتبرة وهو متين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فرق بين ما إذا علم تاريخ ورود النسخ والتخصيص وبين ما إذا شك في تاريخ ورودهما فإنّ البناء المحاوري العرفي على تقديم التخصيص على النسخ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الإشكال بأنّ الحمل على التخصيص مع العلم بتاريخ صدور الخاص بعد حضور وقت العمل به يلزم تأخير البيان عن وقت الحاجة وهو قبيح لا يصدر عن الحكيم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فلا يصحّ في المخصصات الواردة في أخبار الأئمة علیهم السلام بالنسبة لعموم الكتاب والسنة النبوية مِمّا علم صدورها بعد وقت العمل بالخاص فلا يمكن حملها على التخصيص، بل لا بد من حملها على النسخ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لا نسلّم قبح ذلك إذا كانت المصلحة تقتضي التأخير عن وقت العمل، وحينئذٍ يكون المراد من العمومات هو العموم الأفرادي ظاهراً لا العموم الأفرادي واقعاً ومراداً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يمكن القول بأنه إذا اقتضت المصلحة تأخير البيان عن وقت الحاجة فإنَّه يكون وقت العمل ولم يأت بعد</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التاسع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أحد الخبرين دالاً على التحريم والآخر دالاً على الإباحة؛ فذهب بعضهم إلى تقديم الخبر الدال على التحريم بل نسب إلى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واستدل على ذلك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2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لأنّ الخبر الدال على الحرمة مِمّا لا ريب فيه لجواز ترك المباح، وليس كذلك الخبر الدال على الإباحة فإنَّه محلٌ للريب لاحتمال كونه محرماً فيجب تركه لظاهر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ما يريبك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لمكان صيغة إفعل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يتضمن حكماً إرشادياً لما يحكم به العقل فلا يستفاد منه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يحكم به العقل هو عدم الإلزام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في الحديث المتقدم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اجتمع الحلال والحرام إلا غلب الحرام الحلال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 من أنه ظاهر فيما إذا تحقق وجودها واختلطت الشبهات المحصورة المقرونة بالعلم الإجمالي، فلا يشمل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لو كان كذلك لاستلزم الحكم بالحرمة في الشبهات التحريمية، مع أنّ المشهور على خلاف ذلك فإنهم يحكمون بالإباحة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هو الرجوع في المقام إلى قواعد التعارض وأحكامه من ترجيح ذي المزية، وإلا فالتخيير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الدليلين تعارض التخصّص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بيانه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وذكرنا أنه لا تعارض في البين فلو قام الدليل على وجوب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إكرام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قام دليل آخر يدل على أنّ العالم الذي لم يطابق قوله فعله فليس بعالم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يخرج من عموم العلماء تخصصاً ويسمى بالخروج الموضوعي</w:t>
      </w:r>
      <w:r>
        <w:rPr>
          <w:rFonts w:eastAsia="Amiri" w:cs="Amiri" w:ascii="Amiri" w:hAnsi="Amiri"/>
          <w:color w:val="111111"/>
          <w:sz w:val="28"/>
          <w:szCs w:val="28"/>
          <w:rtl w:val="true"/>
          <w:lang w:bidi="ar-SA"/>
        </w:rPr>
        <w:t xml:space="preserve">. </w:t>
      </w:r>
      <w:bookmarkStart w:id="338" w:name="pg15367_181216"/>
    </w:p>
    <w:p>
      <w:pPr>
        <w:pStyle w:val="BookText"/>
        <w:rPr/>
      </w:pPr>
      <w:bookmarkEnd w:id="338"/>
      <w:r>
        <w:rPr>
          <w:rFonts w:ascii="Amiri" w:hAnsi="Amiri" w:eastAsia="Amiri" w:cs="Amiri"/>
          <w:color w:val="111111"/>
          <w:sz w:val="28"/>
          <w:sz w:val="28"/>
          <w:szCs w:val="28"/>
          <w:rtl w:val="true"/>
          <w:lang w:bidi="ar-SA"/>
        </w:rPr>
        <w:t>المورد الواحد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تعارض الدليل القطعي مع الأصل العملي؛ فإن الأول يزيل موضوع الثاني واقعاً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بيان ذلك في تنبيهات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الثاني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الدليلين ورود أو حكومة كما ذكرنا تفصيل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الثالث والعشرون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كان بين الدليلين توفيق عرفي بأن يوفق العرف بينهما كالجمع بين الظاهر والأظهر، والمجمل والمبين</w:t>
      </w:r>
      <w:r>
        <w:rPr>
          <w:rFonts w:eastAsia="Amiri" w:cs="Amiri" w:ascii="Amiri" w:hAnsi="Amiri"/>
          <w:color w:val="111111"/>
          <w:sz w:val="28"/>
          <w:szCs w:val="28"/>
          <w:rtl w:val="true"/>
          <w:lang w:bidi="ar-SA"/>
        </w:rPr>
        <w:t>.</w:t>
      </w:r>
    </w:p>
    <w:p>
      <w:pPr>
        <w:pStyle w:val="Heading4"/>
        <w:numPr>
          <w:ilvl w:val="3"/>
          <w:numId w:val="1"/>
        </w:numPr>
        <w:rPr/>
      </w:pPr>
      <w:bookmarkStart w:id="339" w:name="__RefHeading___Toc5900722_2142443653"/>
      <w:bookmarkStart w:id="340" w:name="_Toc126"/>
      <w:bookmarkEnd w:id="339"/>
      <w:r>
        <w:rPr>
          <w:rtl w:val="true"/>
        </w:rPr>
        <w:t>المبحث الرابع</w:t>
      </w:r>
      <w:r>
        <w:rPr>
          <w:rtl w:val="true"/>
        </w:rPr>
        <w:t xml:space="preserve">: </w:t>
      </w:r>
      <w:r>
        <w:rPr>
          <w:rtl w:val="true"/>
        </w:rPr>
        <w:t>حكم المتعارضين من جهة الأخبار الخاصة</w:t>
      </w:r>
      <w:r>
        <w:rPr>
          <w:rtl w:val="true"/>
        </w:rPr>
        <w:t>.</w:t>
      </w:r>
      <w:bookmarkEnd w:id="340"/>
    </w:p>
    <w:p>
      <w:pPr>
        <w:pStyle w:val="Heading5"/>
        <w:numPr>
          <w:ilvl w:val="4"/>
          <w:numId w:val="1"/>
        </w:numPr>
        <w:rPr/>
      </w:pPr>
      <w:bookmarkStart w:id="341" w:name="__RefHeading___Toc5900724_2142443653"/>
      <w:bookmarkStart w:id="342" w:name="_Toc127"/>
      <w:bookmarkEnd w:id="341"/>
      <w:r>
        <w:rPr>
          <w:rtl w:val="true"/>
        </w:rPr>
        <w:t>اشارة</w:t>
      </w:r>
      <w:bookmarkEnd w:id="342"/>
    </w:p>
    <w:p>
      <w:pPr>
        <w:pStyle w:val="BookText"/>
        <w:rPr/>
      </w:pPr>
      <w:r>
        <w:rPr>
          <w:rFonts w:ascii="IRNazanin" w:hAnsi="IRNazanin" w:eastAsia="IRNazanin"/>
          <w:color w:val="111111"/>
          <w:sz w:val="28"/>
          <w:sz w:val="28"/>
          <w:szCs w:val="28"/>
          <w:rtl w:val="true"/>
          <w:lang w:bidi="fa-IR"/>
        </w:rPr>
        <w:t>تقدم ما يتعلق بموارد التعارض بين الأدلة بحسب الأدلة العامة وبناء العقلاء والمحاورات العرفية مع غضّ النظر عن الأخبار الخاصة الواردة في هذا الموضوع فلا بُدَّ من إيرادها، ثم ملاحظة ما يتحصل منها مع تلك التي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أنّ مشكلة التعارض بين الروايات قد واجهها أصحاب الأئمة علیهم السلام وعرضوها عليهم علیهم السلام لمعرفة الموقف الشرعي منها وكيفية علاجها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وردت أحاديث كثيرة في هذا الموضوع وهي على قسمين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العلاج</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5900726_2142443653"/>
      <w:bookmarkStart w:id="344" w:name="_Toc128"/>
      <w:bookmarkEnd w:id="343"/>
      <w:r>
        <w:rPr>
          <w:rtl w:val="true"/>
        </w:rPr>
        <w:t>القسم الأول</w:t>
      </w:r>
      <w:r>
        <w:rPr>
          <w:rtl w:val="true"/>
        </w:rPr>
        <w:t xml:space="preserve">: </w:t>
      </w:r>
      <w:r>
        <w:rPr>
          <w:rtl w:val="true"/>
        </w:rPr>
        <w:t>أخبار الطرح</w:t>
      </w:r>
      <w:bookmarkEnd w:id="344"/>
    </w:p>
    <w:p>
      <w:pPr>
        <w:pStyle w:val="Heading6"/>
        <w:numPr>
          <w:ilvl w:val="5"/>
          <w:numId w:val="1"/>
        </w:numPr>
        <w:rPr/>
      </w:pPr>
      <w:bookmarkStart w:id="345" w:name="__RefHeading___Toc5900728_2142443653"/>
      <w:bookmarkStart w:id="346" w:name="_Toc129"/>
      <w:bookmarkEnd w:id="345"/>
      <w:r>
        <w:rPr>
          <w:rtl w:val="true"/>
        </w:rPr>
        <w:t>اشارة</w:t>
      </w:r>
      <w:bookmarkEnd w:id="346"/>
    </w:p>
    <w:p>
      <w:pPr>
        <w:pStyle w:val="BookText"/>
        <w:rPr/>
      </w:pPr>
      <w:r>
        <w:rPr>
          <w:rFonts w:ascii="Amiri" w:hAnsi="Amiri" w:eastAsia="Amiri" w:cs="Amiri"/>
          <w:color w:val="111111"/>
          <w:sz w:val="28"/>
          <w:sz w:val="28"/>
          <w:szCs w:val="28"/>
          <w:rtl w:val="true"/>
          <w:lang w:bidi="ar-SA"/>
        </w:rPr>
        <w:t>وهي تلك الروايات المستفيضة التي تأمر بعرض الأحاديث على الكتاب والأخذ بما وافقه وطرح ما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وردت بألسنة مختلفة يمكن تصنيفها إلى ثلاث طوائف</w:t>
      </w:r>
      <w:r>
        <w:rPr>
          <w:rFonts w:eastAsia="Amiri" w:cs="Amiri" w:ascii="Amiri" w:hAnsi="Amiri"/>
          <w:color w:val="111111"/>
          <w:sz w:val="28"/>
          <w:szCs w:val="28"/>
          <w:rtl w:val="true"/>
          <w:lang w:bidi="ar-SA"/>
        </w:rPr>
        <w:t>:</w:t>
      </w:r>
    </w:p>
    <w:p>
      <w:pPr>
        <w:pStyle w:val="Heading6"/>
        <w:numPr>
          <w:ilvl w:val="5"/>
          <w:numId w:val="1"/>
        </w:numPr>
        <w:rPr/>
      </w:pPr>
      <w:bookmarkStart w:id="347" w:name="__RefHeading___Toc5900730_2142443653"/>
      <w:bookmarkStart w:id="348" w:name="_Toc130"/>
      <w:bookmarkEnd w:id="347"/>
      <w:r>
        <w:rPr>
          <w:rtl w:val="true"/>
        </w:rPr>
        <w:t>الطائفة الأولى</w:t>
      </w:r>
      <w:r>
        <w:rPr>
          <w:rtl w:val="true"/>
        </w:rPr>
        <w:t>:</w:t>
      </w:r>
      <w:bookmarkEnd w:id="348"/>
    </w:p>
    <w:p>
      <w:pPr>
        <w:pStyle w:val="BookText"/>
        <w:rPr/>
      </w:pPr>
      <w:r>
        <w:rPr>
          <w:rFonts w:ascii="IRNazanin" w:hAnsi="IRNazanin" w:eastAsia="IRNazanin"/>
          <w:color w:val="111111"/>
          <w:sz w:val="28"/>
          <w:sz w:val="28"/>
          <w:szCs w:val="28"/>
          <w:rtl w:val="true"/>
          <w:lang w:bidi="fa-IR"/>
        </w:rPr>
        <w:t>ما ورد بلسان استنكار صدور ما يخالف الكتاب من المعصومين علیهم السلام والتحاشي عنه؛ ونذكر منها</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أَيُّوبَ بْنِ الْحُرِّ قَالَ 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مَرْدُودٌ إِلَى الْكِتَابِ والسُّنَّةِ؛ وكُلُّ حَدِيثٍ لَا يُوَافِقُ كِتَابَ الله فَهُوَ زُخْرُف</w:t>
      </w:r>
      <w:r>
        <w:rPr>
          <w:rFonts w:eastAsia="Amiri" w:cs="Amiri" w:ascii="Amiri" w:hAnsi="Amiri"/>
          <w:color w:val="111111"/>
          <w:sz w:val="28"/>
          <w:szCs w:val="28"/>
          <w:rtl w:val="true"/>
          <w:lang w:bidi="ar-SA"/>
        </w:rPr>
        <w:t>)</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أَيُّوبَ بْنِ رَاشِدٍ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يُوَافِقْ مِنَ الْحَدِيثِ الْقُرْآنَ فَهُوَ زُخْرُفٌ</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بالزخرف كل ما هو مموّه مزوّر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به لبيان الإستنكار وعدم صدور ما يخالف الكتاب الكريم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أجل هذا جعلوها من أقسام أخبار الطرح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هشام بن الحكم وغيره؛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النَّبِيُّ صلی الله علیه و آله و سلم بِمِنًى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مَا جَاءَكُمْ عَنِّي يُوَافِقُ كِتَابَ اللَّهِ فَأَنَا 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جَاءَكُمْ يُخَالِفُ كِتَابَ اللَّهِ فَلَمْ أَقُلْهُ</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ونوقش في سندها من ناحية محمد بن اسماعيل؛ فهو مردد بين من ثبت توثيقه ومن لم يثبت، ولكن الصحيح وثاقته؛ لأنَّه شيخ الكليني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والتعبير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منه الإستنكار والتحاشي عن صدوره لا مجرد الأخبار بعدمه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ورواها البرقي</w:t>
      </w:r>
      <w:r>
        <w:rPr>
          <w:rStyle w:val="FootnoteAnchor"/>
          <w:rtl w:val="true"/>
        </w:rPr>
        <w:footnoteReference w:id="292"/>
      </w:r>
      <w:r>
        <w:rPr>
          <w:rFonts w:ascii="Amiri" w:hAnsi="Amiri" w:eastAsia="Amiri" w:cs="Amiri"/>
          <w:color w:val="111111"/>
          <w:sz w:val="28"/>
          <w:sz w:val="28"/>
          <w:szCs w:val="28"/>
          <w:rtl w:val="true"/>
          <w:lang w:bidi="ar-SA"/>
        </w:rPr>
        <w:t>عن أبي أيوب المدائني عن ابن أبي عمير عن الهشامين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ونظيرهما عدة روايات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العياشي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أَتَاكُمْ عَنَّا مِنْ حَدِيثٍ لَا يُصَدِّقُهُ كِتَابُ اللَّهِ فَهُوَ زُخْرُفٌ</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وغيرها من الأخبار المستفيضة التي تدل على استنكار صدورها ما لا يوافق الكتاب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والمستفاد من مجموع هذه الروايات أنها في مقام بيان تأسيس قاعدة كلية في التعامل </w:t>
      </w:r>
    </w:p>
    <w:p>
      <w:pPr>
        <w:pStyle w:val="BookText"/>
        <w:rPr/>
      </w:pPr>
      <w:r>
        <w:rPr>
          <w:rFonts w:ascii="IRNazanin" w:hAnsi="IRNazanin" w:eastAsia="IRNazanin"/>
          <w:color w:val="111111"/>
          <w:sz w:val="28"/>
          <w:sz w:val="28"/>
          <w:szCs w:val="28"/>
          <w:rtl w:val="true"/>
          <w:lang w:bidi="fa-IR"/>
        </w:rPr>
        <w:t>مع روايات المعصومين علیهم السلام وأخبارهم وبيان دستور في الرجوع إليها؛ وهو أنّ الذي يخالف الكتاب الكريم زخرفٌ وباطل، فهو لم يصدر منهم ولا يكون حجة ولا يجوز العمل به فلا يلاحظ معه أي جهة أخرى في الحديث وهي من العموم والشمول ما يأبى عن التخصيص فلا يمكن أن تصدر منهم رواية تتضمن شيئاً مخالفاً لكتاب الله حتى لو كانت من أعلى درجات الصحةمن حيث السند؛ فكلّ حديث لا بُدَّ من عرضه على كتاب الله فإن وافقه فتلاحظ الجهات الأخرى، وإلا فيطرح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أنّ العلماء ذكروا أموراً ترتبط بالمقام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قولهم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لا يوافق 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احتمالان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به المخالفة مع الكتاب؛ بأن يكون الكتاب قد تعرض لأمر والحديث لا يوافقه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الأعمّ؛ وهو ما إذا كان الكتاب متعرضاً له، وما إذا لم يتعرض له أصلاً فيكون عدم موافقة الحديث معه من السالبة بانتفاء الموضوع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والظاهر بحسب الفهم العرفي هو الأول؛ فإنّ العرف يفهم أنّ عدم الموافقة للكتاب يكون مع وجود دلالة في الكتاب عليه، وإنْ أمكن القول أنّ هذه الجملة بحسب الدلالة المنطقية أتمّ من السالبة بانتفاء الموضوع والسالبة بانتفاء المحمول؛ إلا أنّ المدار إنما يكون على الإستظهار العرفي الذي يختص بالثاني، ويرشد إليه قوله صلی الله علیه و آله و سلم في معتبرة هشام المتقدمة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جاءكم يخالف كتاب الله فلم أقله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 جعل المخالفة مقابل ما يوافق الكتاب وسيأتي مزيد بيان إنْ شاء الله تعالى</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المستفاد من هذه الأخبار نفي الصدور أو نفي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ويترتب على ذلك أنه على التقدير الثاني تكون هذه الطائفة كالطائفة الآتية مقيّدة لإطلاق دليل الحجية </w:t>
      </w:r>
    </w:p>
    <w:p>
      <w:pPr>
        <w:pStyle w:val="BookText"/>
        <w:rPr/>
      </w:pPr>
      <w:r>
        <w:rPr>
          <w:rFonts w:ascii="Amiri" w:hAnsi="Amiri" w:eastAsia="Amiri" w:cs="Amiri"/>
          <w:color w:val="111111"/>
          <w:sz w:val="28"/>
          <w:sz w:val="28"/>
          <w:szCs w:val="28"/>
          <w:rtl w:val="true"/>
          <w:lang w:bidi="ar-SA"/>
        </w:rPr>
        <w:t>العام فلا يشمل ما إذا كان الخبر مخالفاً مع القرآن المجيد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التقدير الأول يقع التعارض بين شهادة الراوي بصدور الخبر المخالف للكتاب مع هذه الطائفة التي تنفي صدوره عنهم واقعاً، فلا بُدَّ من الرجوع إلى قواعد التعارض وأحكامه؛ إما الترجيح أو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الخبر المخالف على أساس احتمال صدوره عنهم واقعاً فيكون تخصيصاً لعموم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الجمل الخبرية كالجمل الإنشائية تقبل التخصيص فتكون النتيجة هي عدم صدور ما يخالف الكتاب عنهم إلا في هذا المورد الذي دلّ عليه الخبر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إباء ألسنة هذه الطائفة عن التخصيص باعتبار أنّ لسانها الإستنكار وأنّ ما خالف الكتاب هو زخرف وباطل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 هذه الطائفة تدلّ على نفي صدور صرف وجود المخالف للكتاب عنهم وأنه لا يصدر عنهم ذلك ولو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المقصود أنهم لا يخالفون الكتاب في كل فردٍ فرد من أحاديثهم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إذا احتملنا صدور الحديث المخالف عنهم واقعاً وقع التنافي بين هذه الروايات وبين الخبر المخالف بلحاظ المروي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استبعدنا صدوره عنهم على تقدير صدور هذه الطائفة وقع التنافي بينهما بلحاظ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يعلم إجمالاً بكذب الشهادة في أحدهما؛ فإنْ قلنا بتعميمأحكام التعارض ليشمل مقام التكاذب أيضاً فنرجع إما إلى الترجيح أو التخيير، وإلا فلا، وسيأتي بيانه</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والحقّ؛ أنّ جميع ذلك لا وجه له أصلاً لما ذكرناه من أنّ المستفاد من مجموع هذه الأخبار أنّ الأئمة علیهم السلام في مقام بيان الضابطة في الأخبار الصادرة عنهم في أنه لا بُدَّ من عرضها على الكتاب، فإذا كان الخبر مخالفاً للكتاب فلا يمكن أن يكون صادراً منهم وهو لم يكن حجة </w:t>
      </w:r>
    </w:p>
    <w:p>
      <w:pPr>
        <w:pStyle w:val="BookText"/>
        <w:rPr/>
      </w:pPr>
      <w:r>
        <w:rPr>
          <w:rFonts w:ascii="Amiri" w:hAnsi="Amiri" w:eastAsia="Amiri" w:cs="Amiri"/>
          <w:color w:val="111111"/>
          <w:sz w:val="28"/>
          <w:sz w:val="28"/>
          <w:szCs w:val="28"/>
          <w:rtl w:val="true"/>
          <w:lang w:bidi="ar-SA"/>
        </w:rPr>
        <w:t>على أحد، فيكون نفي الحجية وعدم الصدور من المتلازمين لهذه الضابطة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ورد خبر يكون مخالفاً للكتاب لا تصل النوبة إلى ملاحظة المعارضة حتى ترجع إلى أحكام التعارض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يذكره الأصوليون في المقام مخالف لمضمون هذه الروايات وروحها، وعليه يكون الخبر المخالف للكتاب في نفسه باطلاً ولم يكن حجة بشهادة ما ورد أنه زخرف وباطل وليس بشيء، أو لم نقله، أو أمر بطرحه؛ فإنها كلها تدلّ على أنّ الخبر المعارض للكتاب لا حجية له من أصله ولو لم يكن له معارض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إنّ ما ذُكر من الإستدلال والجواب عنه مخالفٌ لروح هذه الأخبار التي يستفاد منها أنّ الأئمة علیهم السلام في مقام تأسيس الأصل الأولي، والقاعدة في الأخذ برواياتهم والتعامل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كانت مخالفة للكتاب العزيز فهي زخرف وباطل، ومثله لا يصدر منهم علیهم السلام ولم يقولوا بها ولا تكون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فهذه العناوين متلازمة في هذا الموضوع الخطير؛ إذ لا ملاك للحجية فيها فإذا وردت رواية عنهم لا بُدَّ من عرضها على الكتاب فإذا خالفته فلا بُدَّ من طرحها ولا تصل النوبة إلى ملاحظة الجهات الأخرى من السند والمضمون والدلالة وجهة الصدور فإنها إنَّما تكون في مرتبة متأخرة بعد العرض على الكتاب وقبول الخبر الموافق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ذلك يظهر أنه لا وجه لما يقال من أنه إذا ورد خبر مخالف للقرآن تلاحظ النسبة بينه وبين أخبار المقام ثم تعيين حكمه من التعارض أو التخصيص؛ فإنَّه لم يكد يتحقق ذلك إلا في الفرض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لا جدوى للكلام في تعيين أقسام التعارض بين الخبر والكتاب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يشمل جميع أقسام التعارض المستقر وغير المستقر، أو المراد منها قسم خاص فقط</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فإنه بعد ما عرفت من أنّ الخبر المخالف للكتاب العزيز إنَّما هو زخرف وباطل فهو لم يصدر منهم علیهم السلام ولا تصل النوبة إلى ملاحظة النسبة بينه وبين الكتاب حتى يقال بالتعارض </w:t>
      </w:r>
      <w:bookmarkStart w:id="349" w:name="pg15367_181221"/>
    </w:p>
    <w:p>
      <w:pPr>
        <w:pStyle w:val="BookText"/>
        <w:rPr/>
      </w:pPr>
      <w:bookmarkEnd w:id="349"/>
      <w:r>
        <w:rPr>
          <w:rFonts w:ascii="Amiri" w:hAnsi="Amiri" w:eastAsia="Amiri" w:cs="Amiri"/>
          <w:color w:val="111111"/>
          <w:sz w:val="28"/>
          <w:sz w:val="28"/>
          <w:szCs w:val="28"/>
          <w:rtl w:val="true"/>
          <w:lang w:bidi="ar-SA"/>
        </w:rPr>
        <w:t>بينهما؛ هذا إذا أريد من التعارض المستقر منه، أما التعارض غير المستقر فهو لم يكن من موارد المخالفة كما عرفت مفصّلاً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استقر المذهب على جواز تخصيص القرآن أو تقييده، ولم يقل أحد بأنه يستوجب طرح القرآن وتكذيبه ومخالفته؛ فلا بُدَّ من حمل المخالفة وعدم الموافقةعلى التباين الكلي وهو الموافق لمفاد هذه الأخبار التي تدلّ على شدة الإنكار والتحاشي من صدوره عنهم، فلا تشمل مجرد المخالفة الحاصلة بين العام والخاص والمطلق والمقيد؛ فإنَّه لا يصدق عليه المخالفة ولا يناسب هذا النوع من الإنكار والتشدد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هذه الطائفة لا ربط لها بموضوع التعارض المبحوث في المقام</w:t>
      </w:r>
      <w:r>
        <w:rPr>
          <w:rFonts w:eastAsia="Amiri" w:cs="Amiri" w:ascii="Amiri" w:hAnsi="Amiri"/>
          <w:color w:val="111111"/>
          <w:sz w:val="28"/>
          <w:szCs w:val="28"/>
          <w:rtl w:val="true"/>
          <w:lang w:bidi="ar-SA"/>
        </w:rPr>
        <w:t>.</w:t>
      </w:r>
    </w:p>
    <w:p>
      <w:pPr>
        <w:pStyle w:val="Heading6"/>
        <w:numPr>
          <w:ilvl w:val="5"/>
          <w:numId w:val="1"/>
        </w:numPr>
        <w:rPr/>
      </w:pPr>
      <w:bookmarkStart w:id="350" w:name="__RefHeading___Toc5900732_2142443653"/>
      <w:bookmarkStart w:id="351" w:name="_Toc131"/>
      <w:bookmarkEnd w:id="350"/>
      <w:r>
        <w:rPr>
          <w:rtl w:val="true"/>
        </w:rPr>
        <w:t>الطائفة الثانية</w:t>
      </w:r>
      <w:r>
        <w:rPr>
          <w:rtl w:val="true"/>
        </w:rPr>
        <w:t xml:space="preserve">: </w:t>
      </w:r>
      <w:r>
        <w:rPr>
          <w:rtl w:val="true"/>
        </w:rPr>
        <w:t>ما يدل على إناطة العمل بالرواية</w:t>
      </w:r>
      <w:bookmarkEnd w:id="351"/>
    </w:p>
    <w:p>
      <w:pPr>
        <w:pStyle w:val="BookText"/>
        <w:rPr/>
      </w:pPr>
      <w:r>
        <w:rPr>
          <w:rFonts w:ascii="Amiri" w:hAnsi="Amiri" w:eastAsia="Amiri" w:cs="Amiri"/>
          <w:color w:val="111111"/>
          <w:sz w:val="28"/>
          <w:sz w:val="28"/>
          <w:szCs w:val="28"/>
          <w:rtl w:val="true"/>
          <w:lang w:bidi="ar-SA"/>
        </w:rPr>
        <w:t>وذلك بأن يكون موافقاً مع الكتاب وعليه شاهد، وهي عدة روايات أيضاً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وَحَدَّثَنِي الْحُسَيْنُ بْنُ أَبِي الْعَلَاءِ أَنَّهُ حَضَرَ ابْنُ أَبِي يَعْفُورٍ فِي هَذَا الْمَجْلِسِ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اخْتِلَافِ الْحَدِيثِ؛ يَرْوِيهِ مَنْ نَثِقُ بِهِ ومِنْهُمْ مَنْ لَا نَثِقُ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 فَوَجَدْتُمْ لَهُ شَاهِداً مِنْ كِتَابِ اللَّهِ أَوْ مِنْ قَوْلِ رَسُولِ اللَّهِ صلی الله علیه و آله و سلم وإِلَّا فَالَّذِي جَاءَكُمْ بِهِ أَوْلَى بِهِ</w:t>
      </w:r>
      <w:r>
        <w:rPr>
          <w:rFonts w:eastAsia="Amiri" w:cs="Amiri" w:ascii="Amiri" w:hAnsi="Amiri"/>
          <w:color w:val="111111"/>
          <w:sz w:val="28"/>
          <w:szCs w:val="28"/>
          <w:rtl w:val="true"/>
          <w:lang w:bidi="ar-SA"/>
        </w:rPr>
        <w:t>)</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عَنْ عَبْدِ اللَّهِ بْنِ بُكَيْرٍ؛ عَنْ رَجُلٍ عَنْ أَبِي جَعْفَرٍ علیه السلام فِي حَدِيثٍ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جَاءَكُمْ عَنَّا حَدِيثٌ فَوَجَدْتُمْ عَلَيْهِ شَاهِداً أَوْ شَاهِدَيْنِ مِنْ كِتَابِ اللَّهِ فَخُذُوا بِهِ وإِلَّا فَقِفُوا عِنْدَهُ ثُمَّ رُدُّوهُ إِلَيْنَا حَتَّى يَسْتَبِينَ لَكُمْ</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ونحوهما غيرهما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في أسانيد بعضها كلاماً إلا أنه لا يضر بناءً على جبره بالآخر لأنّ المضمون واحد في الجميع إلا في بعض الأمور مِمّا يأتي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البحث حول هذه الطائفة يقتضي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مفاد هذه الطائفة فإنّ المراد من اختلاف الحديث الوارد في كلام السائل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تنوّع الحديث بمعنى مختلف الحديث فيكون بعض الحديث موثوقاً به والبعض الآخر لا يكون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تعارض الحديث وتهافته في موضوع واحد، وفي حديث يأمر به وينهي عنه حديث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الحديث المختلف المتناقض مع المسلمات والمرتكزات الدينية الثابتة بالكتاب والسنة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والظاهر أنّ ذلك لا يضر بالإستدلال؛ فإنّ العبرة بجواب الإمام علیه السلام ، لا بسؤال الراوي فقد ذكر الإمام علیه السلام كبرى كلية مستقلة تدلّ على أنّ كلّ حديث ليس عليهشاهد من الكتاب الكريم أو السنة النبوية فلا يؤخذ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التفسير المشهور لمفاد هذه الطائفة وهو أنّ كلّ حديث لا يكون في القرآن دلالة ولو بالعموم أو الإطلاق توافق مدلوله وتشهد عليه لا يكون مقبولاً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إختلفوا في تفسير هذه الأحاديث ومعناها، وهو على آراء</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الرأي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إليه شيخ الطائفة في التهذيب، وفي البحار نسبته إلى المشهور؛ وهو الذي ذكرناه آنفاً من أنّ كلّ حديث لا تكون له في القرآن أو السنة دلالةٌ ولو بالعموم أو الإطلاق توافق معناه وتشهد عليه لا يكون مقبولاً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وأورد عليه بأنه بناءً عليه لا يكاد يوجد مورد إلا وفي الكتاب أو السنة ما يدلّ عليه، ولو بمثل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لَكُمْ مَا فِي الْأَرْضِ جَمِيعًا</w:t>
      </w:r>
      <w:r>
        <w:rPr>
          <w:rFonts w:eastAsia="Amiri" w:cs="Amiri" w:ascii="Amiri" w:hAnsi="Amiri"/>
          <w:color w:val="111111"/>
          <w:sz w:val="28"/>
          <w:szCs w:val="28"/>
          <w:rtl w:val="true"/>
          <w:lang w:bidi="ar-SA"/>
        </w:rPr>
        <w:t>)</w:t>
      </w:r>
      <w:r>
        <w:rPr>
          <w:rStyle w:val="FootnoteAnchor"/>
          <w:rtl w:val="true"/>
        </w:rPr>
        <w:footnoteReference w:id="2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صلی الله علیه و آله و سلم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بِالْحَنِيفِيَّةِ السَّمْحَة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فإنّ هذا المعنى مقطوع العدم، والتبعيضُ حدّه غير معلوم فلا يوجد ما يدل على هذا التفسير من ظاهر أو 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بها كل ما لم يكن عليه شاهد أو شاهدان أو لم يكن موافقاً للمسلمات التي تستفاد من الكتاب الكريم أو السنة المسلّمة، وليس المراد الموافقة المضمونية للمعنى المطابقي أو التضمني؛ مثال ذلك ما إذا ورد حديث يذكر الشهادة الثالثة في الآذان والإقامة لم يكن مخالفاً للقرآن أو السنة القطعية لأنَّه وإنْ لم يكن بخصوصها مذكور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موافق لهما لوجود شاهد عليه؛ وهو تتابع الولاية لله والرسول وأولي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2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ويؤكد هذا المعنى حديث الْحَسَنِ بْنِ الْجَهْمِ عَنِ الْعَبْدِ الصَّالِحِ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جَاءَكَ الْحَدِيثَانِ الْمُخْتَلِفَانِ فَقِسْهُمَا عَلَى كِتَابِ الله وأَحَادِيثِنَا؛ فَإِنْ أَشْبَهَهَا فَهُوَ حَقٌّ وإِنْ لَمْ يُشْبِهْهَا فَهُوَ بَاطِلٌ</w:t>
      </w:r>
      <w:r>
        <w:rPr>
          <w:rFonts w:eastAsia="Amiri" w:cs="Amiri" w:ascii="Amiri" w:hAnsi="Amiri"/>
          <w:color w:val="111111"/>
          <w:sz w:val="28"/>
          <w:szCs w:val="28"/>
          <w:rtl w:val="true"/>
          <w:lang w:bidi="ar-SA"/>
        </w:rPr>
        <w:t>)</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ونظيره ما روي عَنِ الْحَسَنِ بْنِ جَهْمٍ عَنِ الإمام الرِّضَا علیه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فَقِسْهُ عَلَى كِتَابِ اللَّهِ عَزَّ وَجَلَّ وأَحَادِيثِنَا؛ فَإِنْ كَانَ يُشْبِهُهُمَا فَهُوَ مِنَّا وإِنْ لَمْ يُشْبِهْهُمَا فَلَيْسَ مِنَّا</w:t>
      </w:r>
      <w:r>
        <w:rPr>
          <w:rFonts w:eastAsia="Amiri" w:cs="Amiri" w:ascii="Amiri" w:hAnsi="Amiri"/>
          <w:color w:val="111111"/>
          <w:sz w:val="28"/>
          <w:szCs w:val="28"/>
          <w:rtl w:val="true"/>
          <w:lang w:bidi="ar-SA"/>
        </w:rPr>
        <w:t>)</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والظاهر من الروايتين أنّ قياس الأحاديث على كتاب الله إنَّما هو باعتباره أصل أوليّ يرجع إليه في مقام التعامل مع الأخبار فتكون نظير الروايات السابقة ولا خصوصية للتعارض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بالقياس هو المعنى اللغوي منه؛ الأعمّ من ملاحظة الأشباه والنظائر التي توجب الإطمئنان بالحكم، لا أن يكون المراد منه القياس المنهي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الرأي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هذه الروايات ناظرة إلى ما كان يعتمد عليه العامة في الفقه من الأحاديث أو الأقيسة أو الإستحسانات فتردع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وترشد إلى أنّ الذي يعتمد عليه هو الكتاب والسنة الشريفة القطعية فتكون هذه الروايات كسائر الأدلة الرادعة عن العمل بغير الكتاب وما يكون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التفسير وإنْ كان يناسب موثق ابن بكير السابق إلا أنه ربما لا يناسب ظهور الرواية التي ورد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فالذي جاءكم أولى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وما فيه معتبرة 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تقبلوا علينا حديثاً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مع ذلك أسلم من بقية التفاسير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أورد على هذه الطائفة من الأخبار من اعتراضات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الإعتراض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هذه الأخبار إلغاء حجية الخبر الواحد مطلقاً وذلك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أخبار آحاد، ومن المعلوم أنه لا يمكن الإستناد في إلغاء حجية الخبر الواحد لأنَّه يستلزم الخلف</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مفادها بحكم إلغاء الخبر الواحد لأنَّها وإنْ دلت على عدم حجية خصوص ما ليس عليه شاهد من الكتاب الكريم إلا أنّ ذلك مساوق عرضاً لإلغاء الخبر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الغرض العرفي من جعل الحجية للخبر فيما إذا لم يكن عليه دليل مسلم من كتاب أو سنة قطعية به فإذا كان ما لا شاهد له من كتاب أو سنة باطلاً فيبطل الخبر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الإعتراض صحيح لا دافع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أن يقال بأنه لا دافع لهذا الإعتراض إذا كان المراد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الخاص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المراد غيره من المعاني التي ذكرناها فلهذه الطائفة شواهد عامة في القرآن والسنة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w:t>
      </w:r>
      <w:r>
        <w:rPr>
          <w:rStyle w:val="FootnoteAnchor"/>
          <w:rtl w:val="true"/>
        </w:rPr>
        <w:footnoteReference w:id="301"/>
      </w:r>
      <w:r>
        <w:rPr>
          <w:rFonts w:ascii="Amiri" w:hAnsi="Amiri" w:eastAsia="Amiri" w:cs="Amiri"/>
          <w:color w:val="111111"/>
          <w:sz w:val="28"/>
          <w:sz w:val="28"/>
          <w:szCs w:val="28"/>
          <w:rtl w:val="true"/>
          <w:lang w:bidi="ar-SA"/>
        </w:rPr>
        <w:t>، وما ورد عَنْ أَبِي حَمْزَةَ الثُّمَالِيِّ عَنْ أَبِي جَعْفَرٍ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خَطَبَ رَسُولُ اللَّهِ صلی الله علیه و آله و سلم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مَا مِنْ شَيْ‌ءٍ يُقَرِّبُكُمْ مِنَ الْجَنَّةِ ويُبَاعِدُكُمْ مِنَ النَّارِ إِلَّا وقَدْ أَمَرْتُكُمْ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مِنْ شَيْ‌ءٍ يُقَرِّبُكُمْ مِنَ النَّارِ ويُبَاعِدُكُمْ مِنَ الْجَنَّةِ إِلَّا وقَدْ نَهَيْتُكُمْ عَنْه</w:t>
      </w:r>
      <w:r>
        <w:rPr>
          <w:rFonts w:eastAsia="Amiri" w:cs="Amiri" w:ascii="Amiri" w:hAnsi="Amiri"/>
          <w:color w:val="111111"/>
          <w:sz w:val="28"/>
          <w:szCs w:val="28"/>
          <w:rtl w:val="true"/>
          <w:lang w:bidi="ar-SA"/>
        </w:rPr>
        <w:t>)</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الآيات والأحاديث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وإنْ كان صحيحاً ولكنه يناسب المعنى الأول الذي تقدم الإشكال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الإعتراض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افترضنا أنّ المستفاد من هذه الطائفة إلغاء حجية صنف خاص من الأخبار تخصيصاً كدليل الحجية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تخصيص أدلة حجية خبر الواحد العامة بخصوص الخبر الواحد الذي ليس عليه شاهد من الكتاب الكريم تخصيص غير عرفي فلا يكون تخصيصاً؛ فلا يبقى ما تثبت به حجية هذه الطائفة التي هي من أخبار الآحاد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الاعتراض مردود؛ لأنّ أدلة حجية خبر الواحد لم تنحصر بالأدلة اللفظية كما تقدم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فتصلح هذه الطائفة أنّ تكون رادعة عن السيرة في جزء منها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الإعتراض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دليلية هذه الطائفة مستحيلة لأنَّه يلزم من دليليتها عدم دليليتها؛ فهي أيضاً مِمّا لا شاهد عليها من الكتاب الكريم، وكلّ ما يلزم من ثبوته عدمه فهو محال</w:t>
      </w:r>
      <w:r>
        <w:rPr>
          <w:rFonts w:eastAsia="Amiri" w:cs="Amiri" w:ascii="Amiri" w:hAnsi="Amiri"/>
          <w:color w:val="111111"/>
          <w:sz w:val="28"/>
          <w:szCs w:val="28"/>
          <w:rtl w:val="true"/>
          <w:lang w:bidi="ar-SA"/>
        </w:rPr>
        <w:t xml:space="preserve">. </w:t>
      </w:r>
      <w:bookmarkStart w:id="352" w:name="pg15367_181226"/>
    </w:p>
    <w:p>
      <w:pPr>
        <w:pStyle w:val="BookText"/>
        <w:rPr/>
      </w:pPr>
      <w:bookmarkEnd w:id="352"/>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الأخبار كغيرها لها إطلاقات عديدة بعدد مصاديق الأخبار الآحاد التي لا شاهد عليها من القرآن الكريم؛ ومن جملتها إطلاقها لنفسها بوصفها خبراً واحداً فهو لا شاهد عليه من الكتاب المجيد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والمحذور المذكور إنَّما في هذا الإطلاق خاصة فتكون مستحيلة دون حجية إطلاقاتها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اعتراضات أخرى ذكروها في المقام ولكنها مردودة لا تنفع، وفي ذكرها إطالة في الكلام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من جميع ما ذكرناه؛ أنّ شأن هذه الطائفة شأن الطائفة الأولى في أنها في مقام بيان الدستور العام في كيفية التعامل مع أحاديث الأئمة الهداة علیهم السلام وأنه لا بُدَّ ابتداءً من عرضها على كتاب الله تعالى والسنة القطعية، ولا ربط لها بمبحث التعارض</w:t>
      </w:r>
      <w:r>
        <w:rPr>
          <w:rFonts w:eastAsia="IRNazanin" w:cs="IRNazanin"/>
          <w:color w:val="111111"/>
          <w:sz w:val="28"/>
          <w:szCs w:val="28"/>
          <w:rtl w:val="true"/>
          <w:lang w:bidi="fa-IR"/>
        </w:rPr>
        <w:t>.</w:t>
      </w:r>
    </w:p>
    <w:p>
      <w:pPr>
        <w:pStyle w:val="Heading6"/>
        <w:numPr>
          <w:ilvl w:val="5"/>
          <w:numId w:val="1"/>
        </w:numPr>
        <w:rPr/>
      </w:pPr>
      <w:bookmarkStart w:id="353" w:name="__RefHeading___Toc5900734_2142443653"/>
      <w:bookmarkStart w:id="354" w:name="_Toc132"/>
      <w:bookmarkEnd w:id="353"/>
      <w:r>
        <w:rPr>
          <w:rtl w:val="true"/>
        </w:rPr>
        <w:t>الطائفة الثالثة</w:t>
      </w:r>
      <w:r>
        <w:rPr>
          <w:rtl w:val="true"/>
        </w:rPr>
        <w:t xml:space="preserve">: </w:t>
      </w:r>
      <w:r>
        <w:rPr>
          <w:rtl w:val="true"/>
        </w:rPr>
        <w:t>ما يكون مفاده نفي حجية ما يخالف الكتاب الكريم أو السنة القطعية</w:t>
      </w:r>
      <w:r>
        <w:rPr>
          <w:rtl w:val="true"/>
        </w:rPr>
        <w:t>.</w:t>
      </w:r>
      <w:bookmarkEnd w:id="354"/>
    </w:p>
    <w:p>
      <w:pPr>
        <w:pStyle w:val="BookText"/>
        <w:rPr/>
      </w:pPr>
      <w:r>
        <w:rPr>
          <w:rFonts w:ascii="Amiri" w:hAnsi="Amiri" w:eastAsia="Amiri" w:cs="Amiri"/>
          <w:color w:val="111111"/>
          <w:sz w:val="28"/>
          <w:sz w:val="28"/>
          <w:szCs w:val="28"/>
          <w:rtl w:val="true"/>
          <w:lang w:bidi="ar-SA"/>
        </w:rPr>
        <w:t>وهي عدة 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جميل بن دراج؛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ونظيره معتبرة السكوني؛ عن أبي عبد الله علیه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كُلِ حَقٍ حَقِيقَةً وعَلَى كُلِّ صَوَابٍ نُوراً؛ فَمَا وَافَقَ كِتَابَ اللَّهِ فَخُذُوهُ ومَا خَالَفَ كِتَابَ اللَّهِ فَدَعُوهُ</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ونوقش في سنده من جهة السكوني ولكن الصحيح اعتباره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تَجِدُوهُمَا فِي كِتَابِ اللَّهِ فَاعْرِضُوهُمَا عَلَى أَخْبَارِ </w:t>
      </w:r>
    </w:p>
    <w:p>
      <w:pPr>
        <w:pStyle w:val="BookText"/>
        <w:rPr/>
      </w:pPr>
      <w:r>
        <w:rPr>
          <w:rFonts w:ascii="Amiri" w:hAnsi="Amiri" w:eastAsia="Amiri" w:cs="Amiri"/>
          <w:color w:val="111111"/>
          <w:sz w:val="28"/>
          <w:sz w:val="28"/>
          <w:szCs w:val="28"/>
          <w:rtl w:val="true"/>
          <w:lang w:bidi="ar-SA"/>
        </w:rPr>
        <w:t>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مرسلة العياشي عَنْ سَدِيرٍ قَالَ قَالَ أَبُو جَعْفَرٍ وأَبُو عَبْدِ اللَّهِ علیهما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تُصَدِّقْ عَلَيْنَا إِلَّا بِمَا يُوَافِقُ كِتَابَ اللَّهِ وسُنَّةَ نَبِيِّهِ صلی الله علیه و آله و سلم </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وتشتمل هذه الطائفة على عقدين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سلبي فيه الردع عن حجية ما خالف الكتاب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وعقد إيجابي يأمر بأخذ ما وافق الكتاب العزيز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ولإتمام البحث فيهما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جملة خبرية مفادها تنفي الصدور كما يحتمل أن يكون مفادها نفي الحجية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ويؤيد الأول ما 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على كل حقّ حقيقة، وعلى كل صواب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ظاهر في أنّ ما لا نور له ليس بصواب فلا يكون صادراً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الثاني إنّ مثل هذا التعبير يفهم منه العرف عدم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ويرشد إليه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الوارد في معتبرة جميل فإنَّه يؤكد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معنى الشبهة أنّ هناك احتمال المطابقة مع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 هو الثاني لأنَّه من التعبيرات المتعارضة لبيان أنّ الحقّ والصواب دلائلهما واضحة في أغلب الأحيان وليست الجملة لبيان الملازمة بين الصدق وبين ظهور النور والحقيقة فلا يستفاد من هذه الجملة أكثر من نفي حجية ما خالف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تختص هذه الطائفة بالأخبار فقط أم أنّ نفي الحجية يعمّ كلّ أمارة مخالفة للقرآن؟</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كما يظهر من عباراتهم في المقام فتختلف عن الطائفتين السابقتين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أورد عليه بأنه لو قلنا بالتعميم ليشمل كلّ أمارة مخالفة للقرآن يلزم أن تكون النسبة بينها وبين أدلة حجية خبر الثقة عموماً من وجه لاجتماعهما في الخبر المخالف للقرآن وافتراقهما في الأمارة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الخبر غير المخالف وفي مورد الخبر المخالف يتساقطان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تكون هذه الروايات حجة في ردّ الخبر المخالف وهو خلاف المقصود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الجواب عنه بأنه مضافاً إلى أنّ هذه الروايات نظير الروايات الأخرى في بقية الأقسام والتي تكون منصرفة إلى خصوص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سياق هذه الروايات سياق العنوان الثانوي الناظر إلى الخبر الحجة بما هو هو فتكون حاكمة لا معارضة فلا تساقط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تقديم إطلاق هذه الطائفة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تمت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دليل حجية الخبر إنَّما يكون باعتبار حكومتها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الطائفة يحتمل في مفادها عدة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الإحتمال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ناظرة إلى ما كان يعتمد عليه العامة في الفقه من الأحاديث والأقيسة والإستحسانات والظنّ ونحوها فتردع عنها وترشد إلى أنّ الذي ينبغي الإعتماد عليه هو الكتاب الكريم والسنة الشريفة القطعية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كسائر الأدلة التي تردع عن العمل بغير الكتاب وما يكون بحكمه</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 هذا الإحتمال كون ذلك محلاً للإبتلاء كثيراً في عصر صدور هذه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إطلاقها يبعد هذا الإحتمال، وعدم التقييد بمثل ذلك مع أنّ نفس هذا العنوان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وافق كتاب الله فخذوه وما خالف كتاب الله فدعوه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طبق في روايات أخرى كتلك التي ورد فيها أنّ ما خالف الكتاب فهو زخرف وباطل، ولم نقله؛ فلا موجب لافتراض اختصاصها بأحاديث العامة وأقيستهم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الإحتمال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متعرضة لخصوص ما يخالف الكتاب وما يوافقه فيلقي المخالف عن الحجية ويؤخذ بالموافق مع السكوت عن الخبر الذي لا يوافق الكتاب ولا يخالفه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ظاهر هذه الطائفة من الأخبار أنها في مقام إعطاء دستور عام وبصدد بيان ضابط عملي للمكلفين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يمكن أن نتغافل عن هذا الصنف من الروايات؛ وهي معظم الروايات الصادرة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الإحتمال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بالموافق ما لا يخالف القرآن فيشمل ما لا يخالف ولا يوافق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الإحتمال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بالمخالف ما لا يوافق فيشمل ما لا يوافق ولا يخالف، فتنتفي حجيته ويؤيد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 يحرز النور والحقيقة لا حجية له فكأنه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خذْ بما يوافق الكتاب لأنَّه نور على الصواب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وبناءً على هذا الإحتمال يصير مفاد هذه الطائفة كالطائفة السابقة الدالة على إلغاء ما لا شاهد عليه من الكتاب عن الحجية فيفهم العرف منها إلغاء الخبر عن الحجيةمطلقاً، فلا بُدَّ من تخصيصها بالخبر في أصول الدين مثلاً وحملها على التقية على ما تقدم من المناقشات في الطائفة السابقة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القسم من الأخبار بطوائفه الثلاثة المتقدمة إنَّما يعالج مشكلة السنّة التي افتعلها المخالفون بعد ارتحال الرسول الأعظم صلی الله علیه و آله و سلم إلى الرفيق الأعلى حيث منعت السلطة وقتئذٍ كتابة سنّة الرسول صلی الله علیه و آله و سلم مدة من الزمن فاتخذ الكذابون الوضّاعون هذا المنع وسيلة لوضع الأخبار الكاذبة ودسّها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وحثّ على ذلك بنو أمية مدّة من الزمن فغلبت الأخبار الكاذبة ووقع التحريف في الأخبار الصحيحة، ودُسّت الأكاذيب فيها؛ فخلف من بعدهم جيلاً أمام جملة كبيرة من الروايات المكذوبة على صاحب الرسالة </w:t>
      </w:r>
    </w:p>
    <w:p>
      <w:pPr>
        <w:pStyle w:val="BookText"/>
        <w:rPr/>
      </w:pPr>
      <w:r>
        <w:rPr>
          <w:rFonts w:ascii="IRNazanin" w:hAnsi="IRNazanin" w:eastAsia="IRNazanin"/>
          <w:color w:val="111111"/>
          <w:sz w:val="28"/>
          <w:sz w:val="28"/>
          <w:szCs w:val="28"/>
          <w:rtl w:val="true"/>
          <w:lang w:bidi="fa-IR"/>
        </w:rPr>
        <w:t>صلی الله علیه و آله و سلم ، وقد تصدى الأئمة الهداة علیهم السلام لمعالجة هذه المشكلة الكبرى بأساليب مختلفة حفظاً للتراث النبوي الطاهر المخزون عندهم ورفع الضلالة من بين المسلمين وإرشاد أصحابهم إلى ما هو الصحيح لئلا يقعوا في مثل ما وقع فيه أعدائهم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الطوائف الثلاثة ترشد إلى ذلك وقد اعتمد عليها الأئمة علیهم السلام في إنارة الطريق وكيفية التعامل مع روايات المخالفين حتى مع الروايات الصادرة عنهم علیهم السلام أيضاً لدفع دسائس المندسّين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فجعلوا الحكم هو كتاب الله والسنّة القطعية التي لا اختلاف فيها بين المسلمين في حجية الأخبار والتعامل معها والأخذ بها، وبذلك أسقطوا جملة كبيرة من الروايات المتداولة والتي اعتمدوا عليها في العقيدة والأحكام الفقهية ونزهوا أخبارهم عنها، وفي ضمن ذلك أشاروا إلى أنّ الأخذ بروايات أهل البيت علیهم السلام لا بُدَّ أن يكون على هذا المقياس مطلقاً فلا يُنظر لهذه الروايات الموضوعة في مقام التعارض الحاصل في رواياتهم نتيجة الإختلاف فيها لأسباب تقدم ذكرها، والبحث طويل ليس المقام موضع ذكره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بما وافق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هو العقد الإيجابي في تلك الروايات يدلّ على لزوم الأخذ بما وافق الكتاب؛ فهل المستفاد منه تأسيس حجية جديدة غير حجية خبر الثقة الثابتة بأدلة حجية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تكفي الموافقة للكتاب في حجية الخبر ولو كان من غير ثقة، أو أنه إرشاد إلى رفع المانع عن الحجية الناتج من مخالفة الخبر للكتاب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يكون حجة إلا إذا اجتمعت شروط الحجية الأخرى فيه؛ شأنه في ذلك شأن أدلة الشرطية والمانعية الأخرى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الذي يستفاد مِمّا ذكرناه في الأمر السابق هو الثاني؛ بأي معنى فسرنا الموافقة مِمّا تقدم بيانه، فإنّ هذه الأخبار إنَّما تدل على تأسيس الضابط في قبول الأخبار والقاعدة العملية في العمل بالروايات فلا بُدَّ وقبل كلّ شيء عرضها على الكتاب؛ فما وافقه يؤخذ به وإلا فلا بُدَّ من </w:t>
      </w:r>
    </w:p>
    <w:p>
      <w:pPr>
        <w:pStyle w:val="BookText"/>
        <w:rPr/>
      </w:pPr>
      <w:r>
        <w:rPr>
          <w:rFonts w:ascii="Amiri" w:hAnsi="Amiri" w:eastAsia="Amiri" w:cs="Amiri"/>
          <w:color w:val="111111"/>
          <w:sz w:val="28"/>
          <w:sz w:val="28"/>
          <w:szCs w:val="28"/>
          <w:rtl w:val="true"/>
          <w:lang w:bidi="ar-SA"/>
        </w:rPr>
        <w:t>طرحه؛ فتكون الموافقة شرطاً في العمل بالأخبار وتقتضيه مناسبة الحكم والموضوع العرفية لأنّ مجرد عدم المخالفة مثلاً لا يصلح لأن يكونسبباً للحجية القائمة على الطريقية والكاشفية، على أنّ مجرد تأسيس حجية جديدة وإنْ لم يكن لغواً ولكنه أثر عقلي وليس أثراً عرفياً، فالمستفاد من الأمر بأخذ ما يوافق الكتاب هو التعويل على الكتاب الكريم لا جعل الحجية فيه للخبر الموافق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مانع من حجيته بدليل آخر إذا اجتمعت سائر الشروط للحجية لأنّ المانع هو المخالفة للكتاب والمفروض انتفاؤها</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قوله صلی الله علیه و آله و سلم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خالف الكتاب فردوه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وهو العقد السلبي من تلك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إلغاء ما يخالف الكتاب عن الحجية؛ فإنْ كان المراد من المخالفة مطلق التنافي؛ فيشمل التنافي بنحو التباين والعموم من وجه كما يشمل التنافي بنحو الخصوص أو التقييد أو الحكومة لأنّ كلّ ذلك يصدق عليه المخالفة عرفاً، فيكون مقتضى إطلاقها طرح ما يعارض الكتاب المجيد مطلقاً، وهذا مِمّا لم يلتزم به الأصوليون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أجاب المحققون عن هذا الإشكال بوجوه؛ أحسنها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بالمخالفة التخالف بالحمل الشائع الذي يراه العرف كونه مخالفاً، وينحصر ذلك في التنافي بالتباين والعموم من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المخالفة بالعموم المطلق من التخصيص والتقييد والحكومة والورود فهي خارجة عن مورد هذه الروايات لما عرفت من أنّ المعارضة بالتخصيص أو التقييد أو الحكومة ليست بمخالفة 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الخاص والمقيد والحاكم والوارد إنَّما هي قرائن تدلّ على المراد من العام والمطلق والمحكوم، فلا تعارض بينها فهي خارجة عن التعارض تخصصاً كما تقدم بيان ذلك مفصلاً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إنه على فرض التنزّل فإننا نعلم إجمالاً بصدور كثير من التخصيصات والتقييدات ونحوهما عن المعصومين علیهم السلام ، وهذا العلم الإجمالي قرينة داخلية صارفة لأن يصدق عنوان المخالفة عليها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ويمكن أن يستدل عليه أيضاً بمعتبرة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307"/>
      </w:r>
      <w:r>
        <w:rPr>
          <w:rFonts w:ascii="IRNazanin" w:hAnsi="IRNazanin" w:eastAsia="IRNazanin"/>
          <w:color w:val="111111"/>
          <w:sz w:val="28"/>
          <w:sz w:val="28"/>
          <w:szCs w:val="28"/>
          <w:rtl w:val="true"/>
          <w:lang w:bidi="fa-IR"/>
        </w:rPr>
        <w:t xml:space="preserve">فإنّ الظاهر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ورد عليكم حديثان مختلفان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بصدد علاج مشكلة التعارض بين حديثين معتبرين في أنفسهما لولا التعارض، فيكون دليلاً على عدم قدح المخالفة مع الكتاب في الحجية الإقتضائية لكلّ منهما، وليس فيه إطلاق يشمل جميع أقسام الخبر المخالف مع الكتاب لأنَّه ليس في مقام بيان هذه الجهة ليتمّ في الإطلاق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الإقتصار على المتيقنفي مفاده، والقدر المتيقن منه هو المخالفة على نحو القرينية، والجمع العرفي كما في موارد التخصيص والتقييد والحكومة والورود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المفاد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عما ذكرناه في الوجه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المخالفة بنحو العموم من وجه فهل يسقط الخبر عن الحجية رأساً حتى في مورد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 يسقط في خصوص مورد التنافي فقط ويبقى مورد الافتراق على الحجية؟</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الظاهر هو الثاني؛ إما لأنَّه هو الذي يصدق عليه المخالفة فقط دون مورد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لأنّ العناوين الواردة في روايات الردّ مثل؛ زخرف وباطل، ولم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ظاهرة في طرح السند إلا أنّ المنصرف منها هو المخالفة التباينية؛ بمعنى طرح ذلك السند الذي يكون مخالفاً للقرآن لا بإطلاقه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المستفاد منها عرفاً إسقاط السند الذي لو أخذ به لزم منه طرح مفاد الكتاب القطعي، وهذا لا يلزم في موارد التعارض بنحو العموم من وجه؛ إذ لم يكن التعارض من جهة المنافاة بين الدلالتين، وإنما من جهة خصوصية الإطلاق في الخبر بحيث لو لم يشمل مورد الإفتراق لكان مقدماً على إطلاق الكتاب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ليس بأشدّ من العلم الوجداني بمخالفة الإطلاق للواقع وعدم مطابقته له حيث لا يسقط المطلق صدوراً، بل يسقطه إطلاقاً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تعارض الخبر مع ظاهر القرآن الكريم بالعموم من وجه فإنّ المخالفة بينهما تكون على أنحاء 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 بالعموم الوضعي لكليهما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بينهما بالإطلاق فيهما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الكتاب بالوضع والخبر بالإطلاق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بالعكس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الفرق بينها كما عليه السيرة العملية للفقهاء في الفقه، فيسقط عموم أو إطلاق الخبر مقابل عموم أو إطلاق الكتاب لصدق المخالفة في جميع تلك الأنواع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واختلاف أسباب الدلالة على العموم مطلقاً؛ الإستغراقي والبدلي من الوضع أو مقدمات الحكمة لا يوجب الفرق في صدق عنوان المخالفة في الجميع</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ذهب بعض الأصوليين</w:t>
      </w:r>
      <w:r>
        <w:rPr>
          <w:rStyle w:val="FootnoteAnchor"/>
          <w:rtl w:val="true"/>
        </w:rPr>
        <w:footnoteReference w:id="308"/>
      </w:r>
      <w:r>
        <w:rPr>
          <w:rFonts w:ascii="Amiri" w:hAnsi="Amiri" w:eastAsia="Amiri" w:cs="Amiri"/>
          <w:color w:val="111111"/>
          <w:sz w:val="28"/>
          <w:sz w:val="28"/>
          <w:szCs w:val="28"/>
          <w:rtl w:val="true"/>
          <w:lang w:bidi="ar-SA"/>
        </w:rPr>
        <w:t>إلى عدم صدق المخالفة إذا كان الخبر مخالفاً مع إطلاق القرآن الكريم مدعياً في وجه ذلك أنّ الإطلاق غير داخل في مدلول اللفظ، بل الحاكم عليه هو العقل ببركة مقدمات الحكمة التي لا يمكن جريانها في هذه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فالمستفاد </w:t>
      </w:r>
    </w:p>
    <w:p>
      <w:pPr>
        <w:pStyle w:val="BookText"/>
        <w:rPr/>
      </w:pPr>
      <w:r>
        <w:rPr>
          <w:rFonts w:ascii="Amiri" w:hAnsi="Amiri" w:eastAsia="Amiri" w:cs="Amiri"/>
          <w:color w:val="111111"/>
          <w:sz w:val="28"/>
          <w:sz w:val="28"/>
          <w:szCs w:val="28"/>
          <w:rtl w:val="true"/>
          <w:lang w:bidi="ar-SA"/>
        </w:rPr>
        <w:t>من الكتاب؛ ذات المطلق لا إطلاقه كي يقال إنّ مخالفته زخرف أو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إذا كان العموم في الخبر وضعياً، وفي الكتاب أو السنة إطلاقياً يقدم عموم الخبر في مورد الإجتماع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العموم في كلّ منهما بالإطلاق يسقط الإطلاقان في مورد الإجتماع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يتقدم القرآن والسنة القطعية على الخبر في صورتين من تلك الصور الأربعة؛ وهما كونهما بالعموم الوضعي، أو كون القرآن بالعموم الوضعي والخبر بالعموم الإطلاقي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وتساقطها في صورة كونهما بالإطلاق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الخبر إذا كان بالعموم الوضعي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والسنة بالعموم الإطلاقي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أنّ المراد بمخالفة القرآن والسنّة كونه مخالفاً للدليل القطعي، ولذا قلنا بالتعميم لمخالف الخبر المتواتر والمخالف لما هو المحفوف بالقرائن التي توجب القطع بالصدور أو القطع بالمراد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في أنّ الإطلاق القرآني من هذا القبيل وإنْ لم يصدق عليه القرآن كما 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عدم صدق القرآن على الإطلاق القرآني ممنوع جداً؛ فقد ورد في الروايات نسبة الإطلاق إليه عَزَّ وَجَلَّ مثل ما ورد في الموثق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الرَّبَائِبُ عَلَيْكُمْ حَرَامٌ مِنَ الْأُمَّهَاتِ اللَّاتِي قَدْ دُخِلَ بِهِنَّ هُنَّ فِي الْحُجُورِ وغَيْرِ الْحُجُورِ سَوَاءٌ والْأُمَّهَاتُ مُبْهَمَات</w:t>
      </w:r>
      <w:r>
        <w:rPr>
          <w:rFonts w:eastAsia="Amiri" w:cs="Amiri" w:ascii="Amiri" w:hAnsi="Amiri"/>
          <w:color w:val="111111"/>
          <w:sz w:val="28"/>
          <w:szCs w:val="28"/>
          <w:rtl w:val="true"/>
          <w:lang w:bidi="ar-SA"/>
        </w:rPr>
        <w:t>)</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حَدِيثٍ عنه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والْأُمَّهَاتُ مُبْهَمَاتٌ دُخِلَ بِالْبَنَاتِ أَوْ لَمْ يُدْخَلْ بِهِنَّ فَحَرِّمُوا وأَبْهِمُوا مَا أَبْهَمَ اللَّهُ‌</w:t>
      </w:r>
      <w:r>
        <w:rPr>
          <w:rStyle w:val="FootnoteAnchor"/>
          <w:rtl w:val="true"/>
        </w:rPr>
        <w:footnoteReference w:id="3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أطلق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والتعبير بذلك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مرسل الْعَيَّاشِيُّ فِي تَفْسِيرِهِ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w:t>
      </w:r>
    </w:p>
    <w:p>
      <w:pPr>
        <w:pStyle w:val="BookText"/>
        <w:rPr/>
      </w:pPr>
      <w:r>
        <w:rPr>
          <w:rFonts w:ascii="Amiri" w:hAnsi="Amiri" w:eastAsia="Amiri" w:cs="Amiri"/>
          <w:color w:val="111111"/>
          <w:sz w:val="28"/>
          <w:sz w:val="28"/>
          <w:szCs w:val="28"/>
          <w:rtl w:val="true"/>
          <w:lang w:bidi="ar-SA"/>
        </w:rPr>
        <w:t>علیه السلام عَنْ رَجُلٍ تَزَوَّجَ امْرَأَةً وطَلَّقَهَا قَبْلَ أَنْ يَدْخُلَ بِهَا؛ أَ تَحِلُّ لَهُ ابْنَتُهَا؟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قَضَى فِي هَذَا أَمِيرُ الْمُؤْمِنِينَ علیه السلام ؛ لَا بَأْسَ بِهِ؛ إِنَّ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وَرَبَائِبُكُمُ اللَّاتِي فِي حُجُورِكُمْ مِنْ نِسَائِكُمُ اللَّاتِي دَخَلْتُمْ بِهِنَّ فَإِنْ لَمْ تَكُونُوا دَخَلْتُمْ بِهِنَّ فَلَا جُنَاحَ عَلَيْكُمْ</w:t>
      </w:r>
      <w:r>
        <w:rPr>
          <w:rFonts w:eastAsia="Amiri" w:cs="Amiri" w:ascii="Amiri" w:hAnsi="Amiri"/>
          <w:color w:val="111111"/>
          <w:sz w:val="28"/>
          <w:szCs w:val="28"/>
          <w:rtl w:val="true"/>
          <w:lang w:bidi="ar-SA"/>
        </w:rPr>
        <w:t>)</w:t>
      </w:r>
      <w:r>
        <w:rPr>
          <w:rStyle w:val="FootnoteAnchor"/>
          <w:rtl w:val="true"/>
        </w:rPr>
        <w:footnoteReference w:id="3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تَزَوَّجَ الِابْنَةَ ثُمَّ طَلَّقَهَا قَبْلَ أَنْ يَدْخُلَ بِهَا لَمْ تَحِلَّ لَهُ 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هُمَا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لَيْسَ هَذِهِ مِثْلَ هَذِهِ؛ إِنَّ اللَّهَ يَقُولُ وأُمَّهاتُ نِسائِكُمْ؛ لَمْ يَسْتَثْنِ فِي هَذِهِ كَمَا اشْتَرَطَ فِي 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هُنَا مُبْهَمَةٌ لَيْسَ فِيهَا شَرْطٌ وتِلْكَ فِيهَا شَرْطٌ</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أي مطلقة لم يشترط بالدخول كالعكس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فالمطلقكما أنه من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فالإطلاق أيضاً كذلك يكون من القرآن للصدق العرفي عليه الذي هو الملاك في الموضوعات التي ترد في لسان الشرع الحنيف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ما ذكره فإنّ إطلاق السنّة يقتضي أن لا يكون من السنّة مطلقاً؛ لا في السنّة القطعية ولا في السنّة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 الإطلاق وكذا الخبر والحديث ونحو ذلك، وهو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الظهور في العموم في كلّ واحد من العموم الوضعي والعموم الإطلاقي واحد وإنْ كان السبب مختلفاً؛ ففي الأول يكون السبب هو الوضع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 هو 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لا يضرّ في صدق العموم والظهور فيه فإنَّه واحد فيهما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ذكره مبني على ما سلكه في باب المطلقات من توقف تمامية الإطلاق على عدم البيان الأعمّ من المتصل والمنفصل والكتاب؛ إذا كان بالعموم كان بياناً رافعاً لموضوع </w:t>
      </w:r>
    </w:p>
    <w:p>
      <w:pPr>
        <w:pStyle w:val="BookText"/>
        <w:rPr/>
      </w:pPr>
      <w:r>
        <w:rPr>
          <w:rFonts w:ascii="Amiri" w:hAnsi="Amiri" w:eastAsia="Amiri" w:cs="Amiri"/>
          <w:color w:val="111111"/>
          <w:sz w:val="28"/>
          <w:sz w:val="28"/>
          <w:szCs w:val="28"/>
          <w:rtl w:val="true"/>
          <w:lang w:bidi="ar-SA"/>
        </w:rPr>
        <w:t>الإطلاق في الخبر، وإذا كان بالإطلاق ومقدمات الحكمة لم يحكم العقل بالإطلاق في شيء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عدم تمامية هذا المبنى وما 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عدم الفرق بين الأنحاء الأربعة المتقدمة في المخالفة؛ سواء كانت المخالفة بين الوضعين العمومين أو إطلاقين أو بالإختلاف، فيسقط الخبر ويجب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قد يُستشكل في التعارض بالعموم بين الخبر والكتاب أو السنّة القطعية بأنّ سقوط الخبر في مورد الإجتماع بناءً على المشهور فيستلزم التفكيك بين أبعاض المدلول، فهل التفكيك يكون في الصدور أو يكون من حيث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هو الثاني حتى لو قلنا بتبعية الدلالة الإلتزامية للمطابقية في الثبوت والسقوط معاً، لأنّ المبحوث عنه في المقام هو الدلالة التضمنية لا الدلالة الإلتزامية، ولا تبعيةَ بين التضمنية والمطابقية لأنّ دلالة اللفظ على بعض مدلوله ليست تابعة لدلالته على البعض الآخر، وهذا واضح لا إشكال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والتبعيض في الدلالة أمر شائع عند العلماء وفي خصوص الفقه أيضاً مثل ما إذا قامت بينة تقول بأنّ الدراهم العشرة التي في يد زيد هي ملك لخالد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وقامت بينة أخرى تقول بأنّ خمسة منها لعمرو، وكانت الخمسة له، وتعارضت البينتان في الخمسة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إنّ التعبد إنَّما يكون بالصدور لا بالعموم؛ إذ قد يوجد مانع بالنسبة إلى الأخير فقط دون الصدور؛ لإمكان صدور الكلام عن المعصوم علیه السلام بغير وجه العموم لقرينة لم تصل إلينا، وهذا واضح لا إشكال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لا تصل النوبة إلى القول بالتفكيك في الصدور حتى يقال بامتناعه فيبنى عليه التساقط رأساً بخلاف القول بالتفكيك في الحجية فإنَّهما يتساقطان في مورد المعارضة فقط</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كله فيما إذا لم يكن ترجيح لأحدهما في البين، وإلا فالأمر واضح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تقدم بيانه في مخالفة السنّة القطعية النبوية أو مطلق السنّة القطعية أم لا؛ لا بُدَّ من ملاحظة ملاك المخالفة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الدلالة القرآنية تشتمل على ثلاث خصائص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كلام الله تعالى المعجز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قطعية الجهة حيث لا يحتمل فيها التقية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قطعية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وتشترك السنّة النبوية القطعية مع الكتاب في الثانية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تشترك السنّة القطعية غير النبوية مع الكتاب في الأخيرة فقط إذا لم تكن قطعية الجهة كما هو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أخبار المقام واستبيان أنّ أي واحدة من تلك الخصائص دخيلة في الحكم بطرح المخالف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مناسبات الحكم والموضوع تقتضي أن نقول بأنّ الخصيصة الأولى لا دخل لها في الحكم المزبور لأنَّها تناسب الحكم باحترام القرآن ووجوب الإنصات إليه وتلاوته وعدم مسّه بغير طهارة ونحو ذلك، لا الحكم بالحجية المبنية على الكاشفية والطريقية بخلاف الخصيصة الثانية والثالثة فإنّ احتمال دخالتهما معاً في المقام وإنْ كان معقولاً في حدّ نفسه إلا أنه يبعده دعوى الإنسباق العرفي إلى الذهن من هذه الروايات؛ وهو الحكم بإلغاء ما يخالف الكتاب على أساس كونه قطعياً سنداً لأنّ قطعية السند هي الصفة البارزة عند المتشرعة للقرآن المجيد كدليل شرعي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التقية فلم تكن معروفة لدى الجميع لا سيما في عصر صاحب الرسالة صلی الله علیه و آله و سلم الذي أسندت إليه جملة من الروايات الواردة في قاعدة طرح ما خالف القرآن</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عرفنا الملاك في الحكم بالطرح يمكن التعميم إلى المخالفة مع كل دليل قطعي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الأمر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ما ذكرناه في هذا القسم من الأخبار؛ وهي أخبار الطرح بطوائفها الثلاثة إنَّما هو بناءً على ما فهمه الأصوليون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بناءً على ما أشرنا إليه في مطاوي البحث من أنها في مقام بيان أمر أهمّ؛ وهو جعل ضابطة ودستور في العمل بالأخبار المنسوبة إلى المعصومين علیهم السلام باعتبار أنها أدلة ظنية لا بُدَّ من عرضها على مستند قطعي، فإذا لم يكن منسجماً مع طبيعة المعارف والتشريعات الواردة في القرآن لم يكن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المراد الموافقة والمخالفة المضمونية الجدية مع آياته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هو الذي يقتضيه الوضع الإجتماعي العام في عصر صدور الروايات مع تسلط الطاغين ومعاداتهم للأئمة المعصومين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ودعمهم للوضّاعين وحثّهم على الدسّ في الأخبار بما يناسب سياستهم، كما أنّ ذلك هو ما يقتضيه دور الأئمةالطاهرين علیهم السلام في الدفاع عن شريعة جدّهم صلی الله علیه و آله و سلم وإبعادها عن كلّ زور وباطل فكان دورهم في بيان الأحكام وكلّ ما يرتبط بهذه المهمة بالحفاظ على كلّ ما يرتبط بالحق وأهله؛ فقد أمروا بالتفقّه في الدين والإطلاع على تفاصيله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ذلك يشكّل قرينة متصلة لهذه الأحاديث تصرفها إلى إرادة هذا المعنى وترشد إليه بعض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هذا الأساس نقول بأنّ أخبار الطرح لا تدلّ على إلغاء الأدلة الظنية المعارضة مع الكتاب الكريم معارضة لا توجب إلغاء أصل مفاد قرآني واضح؛ كما في موارد التعارض غير المستقر والتعارض بنحو العموم من وجه أيضاً، وإنما يحكم بسقوطها في مورد المعارضة فقط كما تقدم بيانه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الطائفة الأخيرة تشير إلى أمر عظيم شأنه؛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على كل حقّ حقيقة، وعلى كل صواب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استفاد منه العلماء ما تقدم بيانه، ولكنه قول صادر من أهل العصمة الطاهرين علیهم السلام ؛ وهو حقّ فعليه حقيقة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صواب عليه نور</w:t>
      </w:r>
      <w:r>
        <w:rPr>
          <w:rFonts w:eastAsia="IRNazanin" w:cs="IRNazanin"/>
          <w:color w:val="111111"/>
          <w:sz w:val="28"/>
          <w:szCs w:val="28"/>
          <w:rtl w:val="true"/>
          <w:lang w:bidi="fa-IR"/>
        </w:rPr>
        <w:t xml:space="preserve">, </w:t>
      </w:r>
      <w:bookmarkStart w:id="355" w:name="pg15367_181239"/>
    </w:p>
    <w:p>
      <w:pPr>
        <w:pStyle w:val="BookText"/>
        <w:rPr/>
      </w:pPr>
      <w:bookmarkEnd w:id="355"/>
      <w:r>
        <w:rPr>
          <w:rFonts w:ascii="Amiri" w:hAnsi="Amiri" w:eastAsia="Amiri" w:cs="Amiri"/>
          <w:color w:val="111111"/>
          <w:sz w:val="28"/>
          <w:sz w:val="28"/>
          <w:szCs w:val="28"/>
          <w:rtl w:val="true"/>
          <w:lang w:bidi="ar-SA"/>
        </w:rPr>
        <w:t xml:space="preserve">والنور الذي يكون على أقوال أئمتنا الهداة المعصومين علیهم السلام من النور الذي على كلام الله المجيد لا يدركه إلا من كان له قلب سليم ونفس مصفّاة من الكدورات فيجعل الله له نوراً يدرك به الحقائق ويمشي به في الظلمات؛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يَجْعَلِ اللَّهُ لَهُ نُورًا فَمَا لَهُ مِنْ نُورٍ</w:t>
      </w:r>
      <w:r>
        <w:rPr>
          <w:rFonts w:eastAsia="Amiri" w:cs="Amiri" w:ascii="Amiri" w:hAnsi="Amiri"/>
          <w:color w:val="111111"/>
          <w:sz w:val="28"/>
          <w:szCs w:val="28"/>
          <w:rtl w:val="true"/>
          <w:lang w:bidi="ar-SA"/>
        </w:rPr>
        <w:t>)</w:t>
      </w:r>
      <w:r>
        <w:rPr>
          <w:rStyle w:val="FootnoteAnchor"/>
          <w:rtl w:val="true"/>
        </w:rPr>
        <w:footnoteReference w:id="3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كثيراً من العلماء أدركوا الحقائق بهذا النور الفطري الذي اقترن مع النور الكسبي الذي أفاضه الله تعالى عليهم بجهادهم واجتهادهم، ولكنهم لم يشيروا إلى ذلك في كلماتهم لئلا يتخذه الجاهلون المدّعون وسيلة في تصحيح الروايات وتضعيفها فيختلّ بذلك نظام الإجتهاد وقواعده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نفيس، ومن راجع كلمات المحققين من علمائنا الأبرار يستفيد كثيراً من الإشارات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تعالى أن يلهمنا الصواب ويرزقنا النور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وأخيراً</w:t>
      </w:r>
      <w:r>
        <w:rPr>
          <w:rFonts w:eastAsia="Amiri" w:cs="Amiri" w:ascii="Amiri" w:hAnsi="Amiri"/>
          <w:color w:val="111111"/>
          <w:sz w:val="28"/>
          <w:szCs w:val="28"/>
          <w:rtl w:val="true"/>
          <w:lang w:bidi="ar-SA"/>
        </w:rPr>
        <w:t>.</w:t>
      </w:r>
    </w:p>
    <w:p>
      <w:pPr>
        <w:pStyle w:val="Heading5"/>
        <w:numPr>
          <w:ilvl w:val="4"/>
          <w:numId w:val="1"/>
        </w:numPr>
        <w:rPr/>
      </w:pPr>
      <w:bookmarkStart w:id="356" w:name="__RefHeading___Toc5900736_2142443653"/>
      <w:bookmarkStart w:id="357" w:name="_Toc133"/>
      <w:bookmarkEnd w:id="356"/>
      <w:r>
        <w:rPr>
          <w:rtl w:val="true"/>
        </w:rPr>
        <w:t>القسم الثاني</w:t>
      </w:r>
      <w:r>
        <w:rPr>
          <w:rtl w:val="true"/>
        </w:rPr>
        <w:t xml:space="preserve">: </w:t>
      </w:r>
      <w:r>
        <w:rPr>
          <w:rtl w:val="true"/>
        </w:rPr>
        <w:t>أخبار العلاج</w:t>
      </w:r>
      <w:bookmarkEnd w:id="357"/>
    </w:p>
    <w:p>
      <w:pPr>
        <w:pStyle w:val="Heading6"/>
        <w:numPr>
          <w:ilvl w:val="5"/>
          <w:numId w:val="1"/>
        </w:numPr>
        <w:rPr/>
      </w:pPr>
      <w:bookmarkStart w:id="358" w:name="__RefHeading___Toc5900738_2142443653"/>
      <w:bookmarkStart w:id="359" w:name="_Toc134"/>
      <w:bookmarkEnd w:id="358"/>
      <w:r>
        <w:rPr>
          <w:rtl w:val="true"/>
        </w:rPr>
        <w:t>اشارة</w:t>
      </w:r>
      <w:bookmarkEnd w:id="359"/>
    </w:p>
    <w:p>
      <w:pPr>
        <w:pStyle w:val="BookText"/>
        <w:rPr/>
      </w:pPr>
      <w:r>
        <w:rPr>
          <w:rFonts w:ascii="IRNazanin" w:hAnsi="IRNazanin" w:eastAsia="IRNazanin"/>
          <w:color w:val="111111"/>
          <w:sz w:val="28"/>
          <w:sz w:val="28"/>
          <w:szCs w:val="28"/>
          <w:rtl w:val="true"/>
          <w:lang w:bidi="fa-IR"/>
        </w:rPr>
        <w:t>وهي مجموعة من الأخبار المروية عن الأئمة الأطهار علیهم السلام لعلاج حالات التعارض والإختلاف الواقع بين الروايات، وهي على طوائف مختلفة تبعاً لمضامينها المتعارضة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هنا نجد أنّ الأخبار قد ابتليت بالتعارض فيما بينها؛ حيث قد يستفاد من بعضها التخيير، ومن بعضها الآخر الترجيح على اختلافٍ بينها في ذكر المرجّحات وتقدُّم بعضها على 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ثالث تدلّ على التوقفوالإرجاء الذي تكون نتيجته الإحتياط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على طوائف، وقد قسم السيد الوالد قدس سره </w:t>
      </w:r>
      <w:r>
        <w:rPr>
          <w:rStyle w:val="FootnoteAnchor"/>
          <w:rtl w:val="true"/>
        </w:rPr>
        <w:footnoteReference w:id="314"/>
      </w:r>
      <w:r>
        <w:rPr>
          <w:rFonts w:ascii="Amiri" w:hAnsi="Amiri" w:eastAsia="Amiri" w:cs="Amiri"/>
          <w:color w:val="111111"/>
          <w:sz w:val="28"/>
          <w:sz w:val="28"/>
          <w:szCs w:val="28"/>
          <w:rtl w:val="true"/>
          <w:lang w:bidi="ar-SA"/>
        </w:rPr>
        <w:t>تلك الأخبار إلى أقسام عديدة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الأخذ بالأخير</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التوقّف</w:t>
      </w:r>
      <w:r>
        <w:rPr>
          <w:rFonts w:eastAsia="Amiri" w:cs="Amiri" w:ascii="Amiri" w:hAnsi="Amiri"/>
          <w:color w:val="111111"/>
          <w:sz w:val="28"/>
          <w:szCs w:val="28"/>
          <w:rtl w:val="true"/>
          <w:lang w:bidi="ar-SA"/>
        </w:rPr>
        <w:t xml:space="preserve">. </w:t>
      </w:r>
      <w:bookmarkStart w:id="360" w:name="pg15367_181240"/>
    </w:p>
    <w:p>
      <w:pPr>
        <w:pStyle w:val="BookText"/>
        <w:rPr/>
      </w:pPr>
      <w:bookmarkEnd w:id="36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الأخذ بما يوافق الإحتياط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إضافة أقسام أخرى تبعاً لبعض العناوين الواردة فيها، إلا أنه يمكن تصنيفها على طوائف ثلاث</w:t>
      </w:r>
      <w:r>
        <w:rPr>
          <w:rFonts w:eastAsia="Amiri" w:cs="Amiri" w:ascii="Amiri" w:hAnsi="Amiri"/>
          <w:color w:val="111111"/>
          <w:sz w:val="28"/>
          <w:szCs w:val="28"/>
          <w:rtl w:val="true"/>
          <w:lang w:bidi="ar-SA"/>
        </w:rPr>
        <w:t>:</w:t>
      </w:r>
    </w:p>
    <w:p>
      <w:pPr>
        <w:pStyle w:val="Heading6"/>
        <w:numPr>
          <w:ilvl w:val="5"/>
          <w:numId w:val="1"/>
        </w:numPr>
        <w:rPr/>
      </w:pPr>
      <w:bookmarkStart w:id="361" w:name="__RefHeading___Toc5900740_2142443653"/>
      <w:bookmarkStart w:id="362" w:name="_Toc135"/>
      <w:bookmarkEnd w:id="361"/>
      <w:r>
        <w:rPr>
          <w:rtl w:val="true"/>
        </w:rPr>
        <w:t>الطائفة الأولى</w:t>
      </w:r>
      <w:r>
        <w:rPr>
          <w:rtl w:val="true"/>
        </w:rPr>
        <w:t xml:space="preserve">: </w:t>
      </w:r>
      <w:r>
        <w:rPr>
          <w:rtl w:val="true"/>
        </w:rPr>
        <w:t>أخبار التخيير</w:t>
      </w:r>
      <w:r>
        <w:rPr>
          <w:rtl w:val="true"/>
        </w:rPr>
        <w:t>.</w:t>
      </w:r>
      <w:bookmarkEnd w:id="362"/>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العلاج بالترجيح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التوقف والإرجاء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يقع البحث عن عناوين أخرى في ضمن تلك، ويتمّ البحث عن الجميع تباعاً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أخبار التخيير</w:t>
      </w:r>
    </w:p>
    <w:p>
      <w:pPr>
        <w:pStyle w:val="BookText"/>
        <w:rPr/>
      </w:pPr>
      <w:r>
        <w:rPr>
          <w:rFonts w:ascii="Amiri" w:hAnsi="Amiri" w:eastAsia="Amiri" w:cs="Amiri"/>
          <w:color w:val="111111"/>
          <w:sz w:val="28"/>
          <w:sz w:val="28"/>
          <w:szCs w:val="28"/>
          <w:rtl w:val="true"/>
          <w:lang w:bidi="ar-SA"/>
        </w:rPr>
        <w:t>وهي جملة من الأخبار لها ظهور في التخيير عند تعارض الروايات من دون ملاحظة المرجّحات، ولكن ذهب المشهور إلى التخيير إذا لم يكن ما يوجب الترجيح بأحد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استندوا إلى جملة من الروايات التي تدلّ على التخيير الظاهري الذي هو أحد الأصول العملية التي موضوعها الشك بالواقع لا التخيير الواقعي الذي ظرفها الشك وهي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الرواية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وذكروا في تقريب الإستدلال بها على المدّعى بأنّ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جواز الأخذ بأيهما شاء وهو معنى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يُرْجِئُهُ حَتَّى يَلْقَى مَنْ </w:t>
      </w:r>
    </w:p>
    <w:p>
      <w:pPr>
        <w:pStyle w:val="BookText"/>
        <w:rPr/>
      </w:pPr>
      <w:r>
        <w:rPr>
          <w:rFonts w:ascii="Amiri" w:hAnsi="Amiri" w:eastAsia="Amiri" w:cs="Amiri"/>
          <w:color w:val="111111"/>
          <w:sz w:val="28"/>
          <w:sz w:val="28"/>
          <w:szCs w:val="28"/>
          <w:rtl w:val="true"/>
          <w:lang w:bidi="ar-SA"/>
        </w:rPr>
        <w:t>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يرجع إلى الحكم الواقعي بعد اكتشافه، وهذا لا ينافي التخيير في الحجية الذي هم حكم 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اعترض على ذلك بوجوه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موردها الدوران بين المحذورين؛ بقرينة ما افترض فيها من أنّ أحد المخبرين يأمر بشيء، والآخر ينهى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في مثل ذلك على مقتضى القاعدة فلا تشتمل الرواية على حكم جديد</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العملي في موارد الدوران بين المحذورين إنَّما يُنتهى إليه إذا لم يكن أصل حاكم فيكون تخييراً عقلياً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وإطلاق الرواية أعمّ من التخيير العقلي والتخيير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الرواية قد تضمنت حكماً شرعياً غير عقلي في المحذورين، وهو حكم جديد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المستفاد من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فِي سَعَةٍ حَتَّى يَلْقَاهُ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الأخذ بأحدهما في مقام العمل بالحجة، أو مجرد الترخيص الظاهري في مقام الإمتثال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الوارد في موارد الدوران بين المحذورين عند من يقول به إنَّما هو فيما إذا كان جنس الإلتزام معلوماً، فيحمل التخيير على التخيير العملي الثابت بمقتضى القاعدة في مورد المحذورين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لا بُدَّ من حمل الرواية على ذلك إذا أردنا أن نستفيد التخيير العملي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لم يظهر من سؤال السائل فرض العلم بالإلزام، وإنما فرض ورود خبرين متعارضين؛ وهذا لا يلزم منه العلم بجنس الإلزام إذ يحتمل كذبهما معاً</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الرواية وردت في العقيدة بما يرتبط بمسائل الجبر والتفويض والقضاء والقدر والبداء والمشيئة؛ بقرينة قول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أحدهما يأمر بأخذه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النظر لو كان في الفروع </w:t>
      </w:r>
    </w:p>
    <w:p>
      <w:pPr>
        <w:pStyle w:val="BookText"/>
        <w:rPr/>
      </w:pPr>
      <w:r>
        <w:rPr>
          <w:rFonts w:ascii="Amiri" w:hAnsi="Amiri" w:eastAsia="Amiri" w:cs="Amiri"/>
          <w:color w:val="111111"/>
          <w:sz w:val="28"/>
          <w:sz w:val="28"/>
          <w:szCs w:val="28"/>
          <w:rtl w:val="true"/>
          <w:lang w:bidi="ar-SA"/>
        </w:rPr>
        <w:t xml:space="preserve">لكان الأنسب التعبير عنه بالأمر بفعله، والتعبير عنه بالأخذ يناسب الأمور الإعتقادية، وكذلك التعبير الوارد في كلام الإمام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يُرْجِئُهُ حَتَّى يَلْقَى مَنْ يُخْبِرُهُ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الإرجاء ومن يخبره يناسب الإعتقاد لا الفروع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دليل على ذلك، إذ التعبير يستعمل في المعارف والتشريع كلاهما، وإطلاقه يشملهما كما فهمه العلماء أمثال الكليني وغيره الذين ذكروا الرواية في عنوان اختلاف الحديث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إجمال الحديث؛ فإنّ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فِي سَعَةٍ حَتَّى يَلْقَاهُ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يحتمل فيه أن يكون بياناً لمطلب على خلاف القاعدة؛ وهو التخيير في الحجية والسعة من حيث الأخذ بكلّ منهما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يحتمل فيه أن يكون المراد من السعة؛ الفحص أو شدّ الرحال إلى الإمام علیه السلام ، لا الحكم الواقعي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أقلّ من الإجمال فلا دلالة على التخيير</w:t>
      </w:r>
      <w:r>
        <w:rPr>
          <w:rStyle w:val="FootnoteAnchor"/>
          <w:rtl w:val="true"/>
        </w:rPr>
        <w:footnoteReference w:id="31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خلاف الظاهر فيكون من مجرد الإحتمال، ويحتمل أن تكون من أخبار التوقف التي يأتي ذكرها باعتبار أنّ المراد بالسعة في كلام الإمام علیه السلام ؛ أي السعة في ترك العمل بالخبرين وعدم المحاسبة عليه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لِعَبْدِ اللَّهِ بْنِ مُحَمَّدٍ إِلَى أَبِي الْحَسَنِ علیه السلام اخْتَلَفَ أَصْحَابُنَا فِي رِوَايَاتِهِمْ عَنْ أَبِي عَبْدِ اللَّهِ علیه السلام فِي رَكْعَتَيِ الْفَجْرِ فِي السَّفَرِ؛ فَرَوَى بَعْضُهُمْ أَنْ صَلِّهِمَا فِي الْمَحْمِلِ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بَعْضُهُمْ لَا تُصَلِّهِمَا إِلَّا عَلَى الْأَرْضِ؛ فَأَعْلِمْنِي كَيْفَ تَصْنَعُ أَنْتَ لِأَقْتَدِيَ بِكَ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مُوَسَّعٌ عَلَيْكَ؛ بِأَيَّةٍ عَمِلْتَ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الدلالة على التخيير وصحة العمل بكل واحد من الخبرين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المراد السعة والتخيير الواقعي لا التخيير الظاهري بين الحجتين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ظاهر كلٍّ من سؤال الراوي وجواب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سؤال الراوي؛ فمن أجل أنه مقتضى التنصيص في سؤاله على الحكم الذي تعارض فيه الخبران فيكون ظاهراً في السؤال عن الحكم الواقعي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فَأَعْلِمْنِي كَيْفَ تَصْنَعُ أَنْتَ لِأَقْتَدِيَ بِكَ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كالصريح في أنّ السؤال عن الحكم الواقعي للمسألة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المطابقة بين السؤال وبين الجواب كون الجواب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جواب الإمام علیه السلام ؛ فإنَّه ظاهر في التخيير الواقعي أيضاً باعتبار إنه المناسب مع حال الإمام علیه السلام العارف بالأحكام الواقعية والمتصدي لبيانها فيما إذا كان السؤال عن واقعة معينة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الجمع الدلالي العرفي بين الخبرين؛ بأن يحمل الأمر على الإستحباب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والصلاة في المحمل على الترخيص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التوسعة الواردة في الجواب من أجل ذلك فلا يستفاد من الخبر التخيير الظاهري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الحديث مختص بواقعة معينة فلا يستفاد العموم منه؛ لا من سؤال الراوي ولا من جواب الإمام علیه السلام إلا أن يدلّ على إلغاء الخصوصية ظهور عرفي ليعمّ الحكم؛ وهو مفقود لاحتمال كون التوسعة التخيير في اللاإقتضائيات فلا يتعدى منها إلى الإقتضائيات لعدم إحراز الملاك</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الرواية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في الغيبة بسنده فِي جَوَابِ مُكَاتَبَةِ مُحَمَّدِ بْنِ عَبْدِ اللَّهِ بْنِ جَعْفَرٍ الْحِمْيَرِيِّ إِلَى صَاحِبِ الزَّمَانِ علیه السلام إِلَى أَنْ قَالَ علیه السلام فِي الْجَوَابِ عَنْ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حَدِيثَانِ؛ أَمَّا أَحَدُهُمَا؛ فَإِذَا انْتَقَلَ مِنْ حَالَةٍ إِلَى أُخْرَى فَعَلَيْهِ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الْآخَرُ؛ فَإِنَّهُ رُوِيَ أَنَّهُ إِذَا رَفَعَ </w:t>
      </w:r>
    </w:p>
    <w:p>
      <w:pPr>
        <w:pStyle w:val="BookText"/>
        <w:rPr/>
      </w:pPr>
      <w:r>
        <w:rPr>
          <w:rFonts w:ascii="Amiri" w:hAnsi="Amiri" w:eastAsia="Amiri" w:cs="Amiri"/>
          <w:color w:val="111111"/>
          <w:sz w:val="28"/>
          <w:sz w:val="28"/>
          <w:szCs w:val="28"/>
          <w:rtl w:val="true"/>
          <w:lang w:bidi="ar-SA"/>
        </w:rPr>
        <w:t>رَأْسَهُ مِنَ السَّجْدَةِ الثَّانِيَةِ وكَبَّرَ ثُمَّ جَلَسَ ثُمَّ قَامَ فَلَيْسَ عَلَيْهِ فِي الْقِيَامِ بَعْدَ الْقُعُودِ 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التَّشَهُّدُ الْأَوَّلُ يَجْرِي هَذَا الْمَجْرَى؛ وبِأَيِّهِمَا أَخَذْتَ مِنْ بَابِ التَّسْلِيمِ كَانَ صَوَاباً</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وأشكل عليه تارةً؛ من حيث السند من جهة كون أحمد بن إبراهيم النونجتي مجهولاً أو مهملاً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 أحمد بن إبراهيم النونجتي كان كاتباً للحسين بن روح، وهو لا يخلو من مدح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محمد بن أحمد بن داود قال بأنه إملاء الحسين بن روح على الحميري، فلا يضرّ 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الإعتماد على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وأخرى؛ من حيث الدلالة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عموم في السؤال والجواب كما ذكرنا في الخبر المتقدم فلا يستفاد التعميم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المسألة من غير الإلزاميات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إشكال في عدم وجوب التكبير، فلا يمكن التعدي إلى الواجبات التي هي مورد البحث عن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الإلزاميات يمكن الجمع العرفي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الحديث في الرخصة الواقعية لا الظاهرية؛ إما لظهور حال المعصوم علیه السلام لبيان الحكم الواقعي، وإما لكون ظاهر السؤال عن الواقع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ولكن ظهور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جهة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الرخصة الظاهرية مِمّا يجعل الحديث مجملاً إنْ لم نقل بأنّ ظهور حال الإمام والسؤال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مورد الحديث جمعاً عرفياً، ولا ينسحب إلى ما لا جمع عرفي فيه كما تقدم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لو تمت دلالتها على التخيير الظاهري في الحجية، فإنّ موردها الحديثان القطعيان اللذان نقلهما الإمام علیه السلام بنفسه كما هو المناسب لتعبيره عنهما بالحديثين؛ المشعر بكونه سنّة </w:t>
      </w:r>
    </w:p>
    <w:p>
      <w:pPr>
        <w:pStyle w:val="BookText"/>
        <w:rPr/>
      </w:pPr>
      <w:r>
        <w:rPr>
          <w:rFonts w:ascii="Amiri" w:hAnsi="Amiri" w:eastAsia="Amiri" w:cs="Amiri"/>
          <w:color w:val="111111"/>
          <w:sz w:val="28"/>
          <w:sz w:val="28"/>
          <w:szCs w:val="28"/>
          <w:rtl w:val="true"/>
          <w:lang w:bidi="ar-SA"/>
        </w:rPr>
        <w:t>ثابتة عند المعصومين علیهم السلام ، فلا يمكن التعدي منه إلى التعارض بين خبرين ظنيين من حيث السند لاحتمال أن يكون مزيد اهتمام الشارع بالقطعيين موجباً لجعل الحجة التخييرية في موردهما خاصة، فلا إطلاق في الرواية حتى يتمسك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الإحتجاج؛ عن الْحَارِثِ بْنِ الْمُغِيرَةِ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سَمِعْتَ مِنْ أَصْحَابِكَ الْحَدِيثَ وكُلُّهُمْ ثِقَةٌ فَمُوَسَّعٌ عَلَيْكَ حَتَّى تَرَى الْقَائِمَ علیه السلام فَتَرُدَّ إِلَيْه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والإستدلال بهما على التخيير من جهة التوسعة في الأخذ بأي واحد من الحديثين واضح كما هو الظاهر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أشكل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مفاد المرسلة حجية أخبار الثقة إلى ظهور الحجة علیه السلام ، ولا دلالة لها على حكم المتعارضين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دلالة المرسلة تامة، فإنّ ظاهر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وكُلُّهُمْ 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التعارض مِمّا لا يمكن إنكاره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فلا معنى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ولو سلّمنا عدم ورودها في التعارض، ولكنّ استفادة التخيير من إطلاقها يشمل موارد التعارض لأنّ دليل الحجية إذا كان بلسان التوسعة وأنّ للمكلف أن يعمل به يشمل المتعارضين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جواز العمل بأحد المتعارضين لا ينافي جواز العمل بالآخر أيضاً، فلا إشكال في دلالة الحديث من هذه الجهة على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يقال بأنّ المرسلة من الأخبار التي تدل على حجية خبر الثقة كما هو مقتضى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فرْضَ وثاقة الكلّ مأخوذ على نحو الإنحلال لتصبح وثاقة كل راوٍ دخيلة في الحكم بالسعة في مقام الأخذ بالرواية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نستفيد من خبرٍ جهاتٍ متعددةً، وهو واقع في الأحاديث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من التوسعةِ التوسعةُ في الوظيفة العملية وبملاك الأصول المؤمّنة مع افتراض سقوط المتعارضين عن الحجية، فلا يكون دليلاً على التخيير في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خلاف ظاهر الحديث، مع أنّ مجاري الأصول العملية لا تكون دائماً في موارد</w:t>
      </w:r>
    </w:p>
    <w:p>
      <w:pPr>
        <w:pStyle w:val="BookText"/>
        <w:rPr/>
      </w:pPr>
      <w:r>
        <w:rPr>
          <w:rFonts w:ascii="Amiri" w:hAnsi="Amiri" w:eastAsia="Amiri" w:cs="Amiri"/>
          <w:color w:val="111111"/>
          <w:sz w:val="28"/>
          <w:sz w:val="28"/>
          <w:szCs w:val="28"/>
          <w:rtl w:val="true"/>
          <w:lang w:bidi="ar-SA"/>
        </w:rPr>
        <w:t>التعارض، بل قد تكون مورداً للتخيير لوجود دليل من عموم أو إطلاق لا بُدَّ من الرجوع إليه بعد التعارض، أو أصل عملي منجّز كما في باب المعاملات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ولكن يمكن أن يقال بأنّ المرسلة يحتمل أن تكون من أخبار التوقف؛ بأن يكون المراد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فَمُوَسَّعٌ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التوسعة وعدم المحاسبة في ترك الخبرين المتعارضين حتى تلقى الحجة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وكيف كان؛ فإنّ هذه المرسلة مِمّا تدل على التخيير، وإنَّما يصار إليه بعد التكافؤ بين الخبرين المتعارضين كما هو مفروض كلامه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وكُلُّهُمْ 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الرواية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الطبرسي في الإحتجاج مرسلاً عَنِ الْحَسَنِ بْنِ الْجَهْمِ عَنِ الإمام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تَجِيئُنَا الْأَحَادِيثُ عَنْكُمْ مُخْتَلِفَةً؟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 عَلَى كِتَابِ اللَّهِ عَزَّ وَجَلَّ وأَحَادِيثِنَا؛ فَإِنْ كَانَ يُشْبِهُهُمَا فَهُوَ مِنَّا وإِنْ لَمْ يَكُنْ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ولَا نَعْلَمُ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الرواية من أوضح الروايات في الدلالة على التخيير ولم يرد عليها أي إشكال مِمّا سبق، إلا أنها ساقطة سنداً بالإرسال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جبر بالعمل لوجود الخلاف بين العلماء في التخيير مطلقاً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الرواية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مرفوعة زرارة التي يأتي ذكرها في أخبار الترجيح فقد ورد في ذيلها عند فقد المرجّحات،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الإمام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إِنَّهُمَا مَعاً مُوَافِقَانِ لِلِاحْتِيَاطِ أَوْ مُخَالِفَانِ لَهُ؛ فَكَيْفَ أَصْنَعُ؟ فَقَالَ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فَتَخَيَّرْ أَحَدَهُمَا فَتَأْخُذَ بِهِ وتَدَعَ الْأَخِيرَ</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ويرد عليه مضافاً إلى قصور سنده بالإرسال أنه علیه السلام قال في 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إِذَنْ فَأَرْجِهْ حَتَّى تَلْقَى إِمَامَكَ فَتَسْأَلَهُ</w:t>
      </w:r>
      <w:r>
        <w:rPr>
          <w:rFonts w:eastAsia="Amiri" w:cs="Amiri" w:ascii="Amiri" w:hAnsi="Amiri"/>
          <w:color w:val="111111"/>
          <w:sz w:val="28"/>
          <w:szCs w:val="28"/>
          <w:rtl w:val="true"/>
          <w:lang w:bidi="ar-SA"/>
        </w:rPr>
        <w:t>)</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الإشكال عليها بأنّ المراد من الشهرة التي ذكرت في المرجّحات هي الشهرة الروائية لا الفتوائية، وهي مساوقة مع قطعية سندها؛ فهو خارج عن محل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البحث عن التخيير في الخبرين المتعارضين غير القطعيين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سيأتي في الكلام عن المقصود من الشهرة المذكورة في مرجحات هذه الرواية، مع أنه يمكن أن نفرض أنّ الشهرة هي الروائية ولكنها لم تصل إلى مرتبة التواتر حتى يكونا قطعيين كما يشهد له سياق الحديث على ما سيأتي بيانه</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أهم ما يمكن الإستدلال به من الأخبار على التخيير، وهي بين ما تكون قاصرة سنداً أو قاصرة دلالةً؛ إما من جهة إنها لا عموم لها، أو أنها تدلّ على التخيير الواقعي لا الظاهري إلا الرواية الأولى فإنها معتبرة سنداً ودلالة على عرفت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مجموعها يمكن استفادة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التخيير بحسب المرتكزات إنَّما يكون في مورد التحيّر المطلق، وهو منتفٍ مع المرجح، فيختصّ بصورة فقْد المرجّحات لهذه القرينة الإرتكازية المحفوفة بالروايات فلا إطلاق لها حتىتُعارض بها بقية الروايات من المقبولة وغيرها مِمّا يدلّ على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وجه لحمل ما يدلّ على الترجيح على الندب</w:t>
      </w:r>
      <w:r>
        <w:rPr>
          <w:rFonts w:eastAsia="Amiri" w:cs="Amiri" w:ascii="Amiri" w:hAnsi="Amiri"/>
          <w:color w:val="111111"/>
          <w:sz w:val="28"/>
          <w:szCs w:val="28"/>
          <w:rtl w:val="true"/>
          <w:lang w:bidi="ar-SA"/>
        </w:rPr>
        <w:t xml:space="preserve">. </w:t>
      </w:r>
      <w:bookmarkStart w:id="363" w:name="pg15367_181248"/>
    </w:p>
    <w:p>
      <w:pPr>
        <w:pStyle w:val="Heading6"/>
        <w:numPr>
          <w:ilvl w:val="5"/>
          <w:numId w:val="1"/>
        </w:numPr>
        <w:rPr/>
      </w:pPr>
      <w:bookmarkStart w:id="364" w:name="__RefHeading___Toc5900742_2142443653"/>
      <w:bookmarkStart w:id="365" w:name="_Toc136"/>
      <w:bookmarkEnd w:id="363"/>
      <w:bookmarkEnd w:id="364"/>
      <w:r>
        <w:rPr>
          <w:rtl w:val="true"/>
        </w:rPr>
        <w:t>الطائفة الثانية</w:t>
      </w:r>
      <w:r>
        <w:rPr>
          <w:rtl w:val="true"/>
        </w:rPr>
        <w:t xml:space="preserve">: </w:t>
      </w:r>
      <w:r>
        <w:rPr>
          <w:rtl w:val="true"/>
        </w:rPr>
        <w:t>أخبار الترجيح</w:t>
      </w:r>
      <w:bookmarkEnd w:id="365"/>
    </w:p>
    <w:p>
      <w:pPr>
        <w:pStyle w:val="Heading6"/>
        <w:numPr>
          <w:ilvl w:val="5"/>
          <w:numId w:val="1"/>
        </w:numPr>
        <w:rPr/>
      </w:pPr>
      <w:bookmarkStart w:id="366" w:name="__RefHeading___Toc5900744_2142443653"/>
      <w:bookmarkStart w:id="367" w:name="_Toc137"/>
      <w:bookmarkEnd w:id="366"/>
      <w:r>
        <w:rPr>
          <w:rtl w:val="true"/>
        </w:rPr>
        <w:t>اشارة</w:t>
      </w:r>
      <w:bookmarkEnd w:id="367"/>
    </w:p>
    <w:p>
      <w:pPr>
        <w:pStyle w:val="BookText"/>
        <w:rPr/>
      </w:pPr>
      <w:r>
        <w:rPr>
          <w:rFonts w:ascii="Amiri" w:hAnsi="Amiri" w:eastAsia="Amiri" w:cs="Amiri"/>
          <w:color w:val="111111"/>
          <w:sz w:val="28"/>
          <w:sz w:val="28"/>
          <w:szCs w:val="28"/>
          <w:rtl w:val="true"/>
          <w:lang w:bidi="ar-SA"/>
        </w:rPr>
        <w:t>وهي عدّة أخبار تدلّ على تقديم أحد الخبرين المتعارضين على أساس المرجّحات التي هي عديدة ومختلفة</w:t>
      </w:r>
      <w:r>
        <w:rPr>
          <w:rFonts w:eastAsia="Amiri" w:cs="Amiri" w:ascii="Amiri" w:hAnsi="Amiri"/>
          <w:color w:val="111111"/>
          <w:sz w:val="28"/>
          <w:szCs w:val="28"/>
          <w:rtl w:val="true"/>
          <w:lang w:bidi="ar-SA"/>
        </w:rPr>
        <w:t>.</w:t>
      </w:r>
    </w:p>
    <w:p>
      <w:pPr>
        <w:pStyle w:val="Heading6"/>
        <w:numPr>
          <w:ilvl w:val="5"/>
          <w:numId w:val="1"/>
        </w:numPr>
        <w:rPr/>
      </w:pPr>
      <w:bookmarkStart w:id="368" w:name="__RefHeading___Toc5900746_2142443653"/>
      <w:bookmarkStart w:id="369" w:name="_Toc138"/>
      <w:bookmarkEnd w:id="368"/>
      <w:r>
        <w:rPr>
          <w:rtl w:val="true"/>
        </w:rPr>
        <w:t>تمهيد</w:t>
      </w:r>
      <w:r>
        <w:rPr>
          <w:rtl w:val="true"/>
        </w:rPr>
        <w:t>:</w:t>
      </w:r>
      <w:bookmarkEnd w:id="369"/>
    </w:p>
    <w:p>
      <w:pPr>
        <w:pStyle w:val="Heading6"/>
        <w:numPr>
          <w:ilvl w:val="5"/>
          <w:numId w:val="1"/>
        </w:numPr>
        <w:rPr/>
      </w:pPr>
      <w:bookmarkStart w:id="370" w:name="__RefHeading___Toc5900748_2142443653"/>
      <w:bookmarkStart w:id="371" w:name="_Toc139"/>
      <w:bookmarkEnd w:id="370"/>
      <w:r>
        <w:rPr>
          <w:rtl w:val="true"/>
        </w:rPr>
        <w:t>اشارة</w:t>
      </w:r>
      <w:bookmarkEnd w:id="371"/>
    </w:p>
    <w:p>
      <w:pPr>
        <w:pStyle w:val="BookText"/>
        <w:rPr/>
      </w:pPr>
      <w:r>
        <w:rPr>
          <w:rFonts w:ascii="Amiri" w:hAnsi="Amiri" w:eastAsia="Amiri" w:cs="Amiri"/>
          <w:color w:val="111111"/>
          <w:sz w:val="28"/>
          <w:sz w:val="28"/>
          <w:szCs w:val="28"/>
          <w:rtl w:val="true"/>
          <w:lang w:bidi="ar-SA"/>
        </w:rPr>
        <w:t>الترجيح لغةً؛ بمعنى جعل الشيء راجحاً، واصطلاحاً؛ هو اقتران إحدى الأمارتين بما يوجب تقويتها على معارضها، ونتيجته هو تقديم الأمارة الراجحة على الأخرى في العمل بالمؤدى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ذلك من أعمال المجتهدين في مقام الإستنباط، ولا خلاف بينهم في وجوب الترجيح عند وجود المزية لأحد المتعارضين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الاختلاف في أنّ المزية المرجحة لا بُدَّ أن تكون منصوصاً عليها كما ذهب إليه جمعٌ؛ منهم المحقق النراقي</w:t>
      </w:r>
      <w:r>
        <w:rPr>
          <w:rStyle w:val="FootnoteAnchor"/>
          <w:rtl w:val="true"/>
        </w:rPr>
        <w:footnoteReference w:id="3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التوني</w:t>
      </w:r>
      <w:r>
        <w:rPr>
          <w:rStyle w:val="FootnoteAnchor"/>
          <w:rtl w:val="true"/>
        </w:rPr>
        <w:footnoteReference w:id="325"/>
      </w:r>
      <w:r>
        <w:rPr>
          <w:rFonts w:ascii="Amiri" w:hAnsi="Amiri" w:eastAsia="Amiri" w:cs="Amiri"/>
          <w:color w:val="111111"/>
          <w:sz w:val="28"/>
          <w:sz w:val="28"/>
          <w:szCs w:val="28"/>
          <w:rtl w:val="true"/>
          <w:lang w:bidi="ar-SA"/>
        </w:rPr>
        <w:t>والمحدث البحراني</w:t>
      </w:r>
      <w:r>
        <w:rPr>
          <w:rStyle w:val="FootnoteAnchor"/>
          <w:rtl w:val="true"/>
        </w:rPr>
        <w:footnoteReference w:id="326"/>
      </w:r>
      <w:r>
        <w:rPr>
          <w:rFonts w:ascii="Amiri" w:hAnsi="Amiri" w:eastAsia="Amiri" w:cs="Amiri"/>
          <w:color w:val="111111"/>
          <w:sz w:val="28"/>
          <w:sz w:val="28"/>
          <w:szCs w:val="28"/>
          <w:rtl w:val="true"/>
          <w:lang w:bidi="ar-SA"/>
        </w:rPr>
        <w:t>، بل الإخباريين قاطبة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نسب إلى أكثر الأصوليين القول بوجوب الترجيح بكلّ مزية وإنْ لم تكن منصوصاً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 الأخبار المتضمنة للمرجحات قد اشتملت على جملة من العناوين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الكتاب ومخالفة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بالأحدثية</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بصفات الراوي</w:t>
      </w:r>
      <w:r>
        <w:rPr>
          <w:rFonts w:eastAsia="Amiri" w:cs="Amiri" w:ascii="Amiri" w:hAnsi="Amiri"/>
          <w:color w:val="111111"/>
          <w:sz w:val="28"/>
          <w:szCs w:val="28"/>
          <w:rtl w:val="true"/>
          <w:lang w:bidi="ar-SA"/>
        </w:rPr>
        <w:t xml:space="preserve">. </w:t>
      </w:r>
      <w:bookmarkStart w:id="372" w:name="pg15367_181249"/>
    </w:p>
    <w:p>
      <w:pPr>
        <w:pStyle w:val="BookText"/>
        <w:rPr/>
      </w:pPr>
      <w:bookmarkEnd w:id="3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بالإجماع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للحكم على المتشابه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بموافقة الإحتياط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تصنيفها إلى أربعة أصناف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بالأحدثية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يدلّ على الترجيح بصفات الراوي</w:t>
      </w:r>
      <w:r>
        <w:rPr>
          <w:rFonts w:eastAsia="Amiri" w:cs="Amiri" w:ascii="Amiri" w:hAnsi="Amiri"/>
          <w:color w:val="111111"/>
          <w:sz w:val="28"/>
          <w:szCs w:val="28"/>
          <w:rtl w:val="true"/>
          <w:lang w:bidi="ar-SA"/>
        </w:rPr>
        <w:t>.</w:t>
      </w:r>
    </w:p>
    <w:p>
      <w:pPr>
        <w:pStyle w:val="Heading6"/>
        <w:numPr>
          <w:ilvl w:val="5"/>
          <w:numId w:val="1"/>
        </w:numPr>
        <w:rPr/>
      </w:pPr>
      <w:bookmarkStart w:id="373" w:name="__RefHeading___Toc5900750_2142443653"/>
      <w:bookmarkStart w:id="374" w:name="_Toc140"/>
      <w:bookmarkEnd w:id="373"/>
      <w:r>
        <w:rPr>
          <w:rtl w:val="true"/>
        </w:rPr>
        <w:t>الصنف الأول</w:t>
      </w:r>
      <w:r>
        <w:rPr>
          <w:rtl w:val="true"/>
        </w:rPr>
        <w:t xml:space="preserve">: </w:t>
      </w:r>
      <w:r>
        <w:rPr>
          <w:rtl w:val="true"/>
        </w:rPr>
        <w:t>الترجيح بموافقة الكتاب ومخالفة العامة</w:t>
      </w:r>
      <w:r>
        <w:rPr>
          <w:rtl w:val="true"/>
        </w:rPr>
        <w:t>.</w:t>
      </w:r>
      <w:bookmarkEnd w:id="374"/>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ودلت عليه جملة من الأخبار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يعدّ من أهمّ الأخبار في هذا الموضوع، وهو ما نقله الحر العاملي في الوسائل عن قطب الدين سعيد بن هبة الله الراوندي في رسالته التي ألّفها في أحوال أحاديث أصحابنا عن محمد وعلي ابني علي بن عبد الصمد عن أبيهما عن أبي البركات علي بن الحسين عن أبي جعفر بن بابويه عن أبيه عن سعد بن عبد الله عن أيوب بن نوح عن محمد ابن أبي عمير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الإمام الصَّادِقُ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فَاعْرِضُوهُمَا عَلَى كِتَابِ اللَّهِ؛ فَمَا وَافَقَ كِتَابَ اللَّهِ فَخُذُوهُ ومَا خَالَفَ كِتَابَ اللَّهِ فَرُدُّوهُ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تَجِدُوهُمَا فِي كِتَابِ اللَّهِ فَاعْرِضُوهُمَا عَلَى أَخْبَارِ الْعَامَّةِ؛ فَمَا وَافَقَ أَخْبَارَهُمْ فَذَرُوهُ ومَا خَالَفَ أَخْبَارَهُمْ فَخُذُوهُ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وتمام الكلام حول هذا الخبر يقتضي البحث عن سنده، وعن دلالته، وعن علاقته مع غيره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البحث عن سنده؛ فقد نوقش فيه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إستبعاد وجود كتاب لقطب الدين الراوندي؛ لأنّ اثنين من تلامذته وهما ابن شهر آشوب ومنتجب الدين قد ترجماه في كتابيهما معالم العلماء والفهرست ولم يذكرا هذه الرسالة ضمن مؤلفاته</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وقال في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القاضي ركن الدين محمد بن سعد بن هبة الله بن دعويدار؛ فاضل فقيه دين له نظم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المصدر السابق؛ ص</w:t>
      </w:r>
      <w:r>
        <w:rPr>
          <w:rFonts w:eastAsia="Amiri" w:cs="Amiri" w:ascii="Amiri" w:hAnsi="Amiri"/>
          <w:color w:val="111111"/>
          <w:sz w:val="28"/>
          <w:szCs w:val="28"/>
          <w:lang w:bidi="ar-SA"/>
        </w:rPr>
        <w:t>122</w:t>
      </w:r>
      <w:r>
        <w:rPr>
          <w:rFonts w:ascii="Amiri" w:hAnsi="Amiri" w:eastAsia="Amiri" w:cs="Amiri"/>
          <w:color w:val="111111"/>
          <w:sz w:val="28"/>
          <w:sz w:val="28"/>
          <w:szCs w:val="28"/>
          <w:rtl w:val="true"/>
          <w:lang w:bidi="ar-SA"/>
        </w:rPr>
        <w:t xml:space="preserve">، رقم الترجمة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إنهما اثنين لاختلاف الأوصاف والأسماء والألقاب، والأول هوشيخه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ابن شهر آشوب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شيخي أبوالحسين سعيد بن هبة الله الراوندي؛ له كتب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ضياء الشهاب ومشكلات النهاية، وجني الجنتين في ذكر ولد العسكريين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معالم العلماء؛ ص</w:t>
      </w:r>
      <w:r>
        <w:rPr>
          <w:rFonts w:eastAsia="Amiri" w:cs="Amiri" w:ascii="Amiri" w:hAnsi="Amiri"/>
          <w:color w:val="111111"/>
          <w:sz w:val="28"/>
          <w:szCs w:val="28"/>
          <w:lang w:bidi="ar-SA"/>
        </w:rPr>
        <w:t>55</w:t>
      </w:r>
      <w:r>
        <w:rPr>
          <w:rFonts w:ascii="Amiri" w:hAnsi="Amiri" w:eastAsia="Amiri" w:cs="Amiri"/>
          <w:color w:val="111111"/>
          <w:sz w:val="28"/>
          <w:sz w:val="28"/>
          <w:szCs w:val="28"/>
          <w:rtl w:val="true"/>
          <w:lang w:bidi="ar-SA"/>
        </w:rPr>
        <w:t xml:space="preserve">، رقم الترجمة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وأيّد هذا الإشكال الشيخ أسد الله التستري قدس سره ؛ فاحتمل أن تكون هذه الرسالة للسيد الراوندي الذي كان معاصراً مع الشيخ الراوندي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على هذا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فُرض تمامية طريق صاحب الوسائل إلى أحد تلامذة الراوندي فإنّ ذلك يكفي في الإنتساب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ومجرد سكوت منتجب الدين وابن شهر آشوب عن ذكرها في ترجمة الراوندي لا يكفي في إسقاط طريق صاحب الوسائل عن الإعتبار؛ إذ لعل الرسالة وصلت إلى ثالث لم يكن زميلاً لهما لا سيما أنّ الرسالة وهي رسالة مختصرة لم تكن ذا شأن بالغ، ولذلك لم يكن لها إسم خاص أو عنوان واضح، وأنّ صاحب الوسائل ذكرها بالوصف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البحار ذكر</w:t>
      </w:r>
      <w:r>
        <w:rPr>
          <w:rStyle w:val="FootnoteAnchor"/>
          <w:rtl w:val="true"/>
        </w:rPr>
        <w:footnoteReference w:id="329"/>
      </w:r>
      <w:r>
        <w:rPr>
          <w:rFonts w:ascii="Amiri" w:hAnsi="Amiri" w:eastAsia="Amiri" w:cs="Amiri"/>
          <w:color w:val="111111"/>
          <w:sz w:val="28"/>
          <w:sz w:val="28"/>
          <w:szCs w:val="28"/>
          <w:rtl w:val="true"/>
          <w:lang w:bidi="ar-SA"/>
        </w:rPr>
        <w:t>أنّ هناك رسالة للراوندي سماها برسالة الفقهاء، وقال أنها وصلت إليه عن طريق الثقاة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والمظنون أنها عين هذه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إبن شهرآشوب ومنتجب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من حالهما أنهما كانا بصدد حصر جميع مؤلفات الشيخ الراوندي، فلم يذكرا جميع كتبه، بل ذكر أحدهما كتاباً لم تذكره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كتب أخرى نسبت إلى الراوندي مع عدم ذكر التلميذين لها من قبيل كتاب قصص الأنبياء، والخرائج والجرائح؛ فلم ينقلا عن الراوندي قدس سره ذلك، وذكر السيد ابن طاووس في مهج الدعوات</w:t>
      </w:r>
      <w:r>
        <w:rPr>
          <w:rStyle w:val="FootnoteAnchor"/>
          <w:rtl w:val="true"/>
        </w:rPr>
        <w:footnoteReference w:id="330"/>
      </w:r>
      <w:r>
        <w:rPr>
          <w:rFonts w:ascii="Amiri" w:hAnsi="Amiri" w:eastAsia="Amiri" w:cs="Amiri"/>
          <w:color w:val="111111"/>
          <w:sz w:val="28"/>
          <w:sz w:val="28"/>
          <w:szCs w:val="28"/>
          <w:rtl w:val="true"/>
          <w:lang w:bidi="ar-SA"/>
        </w:rPr>
        <w:t>أنهما لسعيد بن هبة الدين الراوندي</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يقال؛ بأنَّ الراوندي لقب علمَين من أعلامنا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قُدِّست أسرارهم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ذلك يحصل اشتباه في نسبة الكتب إليهما؛ فتأمل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الإشكال في أنه لا بُدَّ من طريق لصاحب الوسائل إلى هذه الرسالة، ولكنه لم يذكر طريقه إليها في كتاب الوسائل، وإنما الموجود في فوائد الخاتمة هو الطريق الذي اعتمد عليه إلى كتاب قصص الأنبياء وكتاب الخرائج والجرائح للراوندي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الشيخ الحرّ قدس سره قد ذكر طريقه إلى الراوندي في كتابه قصص الأنبياء والخرائج</w:t>
      </w:r>
    </w:p>
    <w:p>
      <w:pPr>
        <w:pStyle w:val="BookText"/>
        <w:rPr/>
      </w:pPr>
      <w:r>
        <w:rPr>
          <w:rFonts w:ascii="Amiri" w:hAnsi="Amiri" w:eastAsia="Amiri" w:cs="Amiri"/>
          <w:color w:val="111111"/>
          <w:sz w:val="28"/>
          <w:sz w:val="28"/>
          <w:szCs w:val="28"/>
          <w:rtl w:val="true"/>
          <w:lang w:bidi="ar-SA"/>
        </w:rPr>
        <w:t>بالإسناد الذي ذكرناه عن العلامة عن والده عن الشيخ مهذب الدين الحسين بن ردة عن القاضي أحمد بن عبد الجبار الطبرسي عن سعيد بن هبة الله الراوندي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قدس سره في آخر الفائدة الخامسة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ونروي باقي الكتب بالطرق المشار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والطريق المذكور عن مشايخنا وعلمائنا رضي الله عنهم جميعاً وجزاهم الله عنا وعن الإسلام خيراً</w:t>
      </w:r>
      <w:r>
        <w:rPr>
          <w:rFonts w:eastAsia="Amiri" w:cs="Amiri" w:ascii="Amiri" w:hAnsi="Amiri"/>
          <w:color w:val="111111"/>
          <w:sz w:val="28"/>
          <w:szCs w:val="28"/>
          <w:rtl w:val="true"/>
          <w:lang w:bidi="ar-SA"/>
        </w:rPr>
        <w:t>)</w:t>
      </w:r>
      <w:r>
        <w:rPr>
          <w:rStyle w:val="FootnoteAnchor"/>
          <w:rtl w:val="true"/>
        </w:rPr>
        <w:footnoteReference w:id="3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فإنه يستظهر من هذين الكلامين أنّ إسناده إلى بقية الكتب هو نفس الإسناد إلى كتابَي الخرائج وقصص الأنبیاء وإنْ لم يصرّح بها في المشيخة عن مؤلفيها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ومما يؤيد ذلك أنّ إسناد صاحب الوسائل إلى الكتابين ينتهي إلى العلامة قدس سره كما صرح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والعلامة ذكر في طريقة إلى الشيخ الراوندي أنه يروي بهذا الطريق جميع كتب سعيد بن هبة الله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أورد العلامة ذلك في الإجازة المعروفة منه لآل زهرة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الوسائل نقل هذه الرسالة عن العلامة عن مشايخه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لم نجد لها عيناً ولا أثراً في كتب العلامة ومشايخه كتهذيب العلامة ومعتبر المحقق ومعارجه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أننا لم نجد أنهم استدلوا بهذه الرسالة ولو كان لظهر وبان</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عدم استدلالهم بهذا الخبر لا يدلّ على عدم وجوده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 من رواية كانت عندهم ولم يستدلوا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اقتصر المحقق في المعارج على بعض روايات الترجيح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محمداً وعلياً ابني علي بن عبد الصمد الواقعان في السند؛ قيل إنهما ليسا محمداً وعلياً ابني علي بن الصمد، وإنما هما محمد وعلي ابنا عبد الصمد لأنَّهما شخصان معروفان ومن مشايخ ابن شهرآشوب وأساتذته الذين يروي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وقعا في طرق صاحب الوسائل كثيراً، وأما محمد وعلي ابنا علي عبد الصمد فلم يقعا في طرق صاحب الوسائل وإجازته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البعيد أن يكون الشيخ الراوندي المتقدم على ابن شهر آشوب ينقل عن أولاد علي بن عبد الصمد الذي هو من أساتذة ابن شهر آشوب ومن ينقل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يوجب وجود خطأ في البين بأن يكون المقصود محمداً وعلياً ابني عبد الصمد وهما ثقتان بلا إشكال، ولكن الإشكال في أبيهما عبد الصمد فإنَّه لم تثبت وثاقته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محمداً وعلياً ابنا علي بن عبد الصمد واقعان في أسانيد الراوندي، وقد تكرر ذلك في قصص الأنبياء كما يشهد به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رياض العلماء؛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ممن ترجم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ذكروا محمداً وعلياً ابنا علي بن عبد الصمد في عداد مشايخه، ولم يجيء ذكر محمد وعلي ابني عبد الصمد أصلاً</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الإلتباس وقع في تشخيص علي بن عبد الصمد من جهة تشابه الأسماء؛ حتى أنّ الشيخ الحر قدس سره في كتابه أمل الآمل ترجم عدة أشخاص بهذا الاسم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علي بن عبد الصمد النيسابوري فاضل جليل من مشايخ ابن شهر آشوب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بن عبد الصمد النيسابوري عالم فاضل جليل القدر من مشايخ ابن شهر آشوب</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علي بن عبد الصمد التميمي النيسابوري فقيه ثقة قرأ على والده وعلى الشيخ أبي علي بن الشيخ أبي جعفر</w:t>
      </w:r>
      <w:r>
        <w:rPr>
          <w:rFonts w:eastAsia="Amiri" w:cs="Amiri" w:ascii="Amiri" w:hAnsi="Amiri"/>
          <w:color w:val="111111"/>
          <w:sz w:val="28"/>
          <w:szCs w:val="28"/>
          <w:rtl w:val="true"/>
          <w:lang w:bidi="ar-SA"/>
        </w:rPr>
        <w:t>)</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الشيخ علي بن عبد الصمد التميمي السبزواري فقيه دين ثقة قرأ على الشيخ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منتجب الدين</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أبو الحسن علي بن عبد الصمد النيسابوري التميمي فاضل عالم يروي عن شهر آشوب ولا يبعد اتحاده مع التميمي السبزواري السابق، بل الظاهر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هناك عبد الصمد الجد، وعبد الصمد الحفيد ولكليهما ابن مسمى بعلي، وشيخُ ابنِ شهرآشوب هو علي بن عبد الصمد الحفيد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وشيخُ القطبِ الراوندي هو علي بن عبد الصمد الجدّ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الراوي عن الصدوق قدس سره ؛ وهو أبو البركات علي بن الحسين الحلي الخوزي</w:t>
      </w:r>
      <w:r>
        <w:rPr>
          <w:rStyle w:val="FootnoteAnchor"/>
          <w:rtl w:val="true"/>
        </w:rPr>
        <w:footnoteReference w:id="335"/>
      </w:r>
      <w:r>
        <w:rPr>
          <w:rFonts w:ascii="Amiri" w:hAnsi="Amiri" w:eastAsia="Amiri" w:cs="Amiri"/>
          <w:color w:val="111111"/>
          <w:sz w:val="28"/>
          <w:sz w:val="28"/>
          <w:szCs w:val="28"/>
          <w:rtl w:val="true"/>
          <w:lang w:bidi="ar-SA"/>
        </w:rPr>
        <w:t>الذي يروي عنه الراوندي لم يوثَّق إلا بشهادة صاحب الوسائل قدس سره بوثاقته، وهي غير معتبرة لاحتمال أن تكون عن حدس لا عن حسّ للبعد الزماني الممتد بينهما بما يقرب من سبعمائة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المقياس في منشأ الحسّ مقابل الحدس ليس طول الزمان أو قصره فحسب، وإنما يتحكم فيه ما يحيط بذلك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كان طويلاً أم قصيراً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الملابسات والقرائن والمدارك مِمّا يستوجب أن تكون الشهادة حسّية؛ فقد يكون الزمان قصيراً ولكن لم يكن </w:t>
      </w:r>
    </w:p>
    <w:p>
      <w:pPr>
        <w:pStyle w:val="BookText"/>
        <w:rPr/>
      </w:pPr>
      <w:r>
        <w:rPr>
          <w:rFonts w:ascii="IRNazanin" w:hAnsi="IRNazanin" w:eastAsia="IRNazanin"/>
          <w:color w:val="111111"/>
          <w:sz w:val="28"/>
          <w:sz w:val="28"/>
          <w:szCs w:val="28"/>
          <w:rtl w:val="true"/>
          <w:lang w:bidi="fa-IR"/>
        </w:rPr>
        <w:t>فيه ما يوفر للباحث ما يحتاجه من المدارك الواضحة بحيث توجب الشهادة أن تكون حسّياً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فالمناط كون الشهادة في توثيق الرواة هذا المعنى من الحسّية التي لا تنافي في الحدس أيضاً فهي ليست اجتهادية محضة، كما أنها لم تكن حسّية كذلك؛ إذ لا يمكن أن تكون الشهادة حسية في أصحاب الأئمة علیهم السلام ورواة الأحاديث، وكلّ من يدعيها يكون مكابراً، وهذا هو المقياس في التوثيقات في مرّ العصور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ذلك تفتح أبواب في توثيق الروايات من ناحية الأسانيد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هذا الأساس تصحّ توثيقات الشيخ الطوسي وغيره من العلماء الذين تكون الفاصلة الزمنية بينهم وبين أصحاب الأئمة علیهم السلام والرواة الذين شهدوا بوثاقتهم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القاعدة تنطبق على صاحب الوسائل وأبي البركات أيضاً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قطع النظر عن ذلك فإنّ أبا البركات من الموثوقين بحدّ نفسه؛ فقد ذُكر في رياض العلماء</w:t>
      </w:r>
      <w:r>
        <w:rPr>
          <w:rStyle w:val="FootnoteAnchor"/>
          <w:rtl w:val="true"/>
        </w:rPr>
        <w:footnoteReference w:id="336"/>
      </w:r>
      <w:r>
        <w:rPr>
          <w:rFonts w:ascii="Amiri" w:hAnsi="Amiri" w:eastAsia="Amiri" w:cs="Amiri"/>
          <w:color w:val="111111"/>
          <w:sz w:val="28"/>
          <w:sz w:val="28"/>
          <w:szCs w:val="28"/>
          <w:rtl w:val="true"/>
          <w:lang w:bidi="ar-SA"/>
        </w:rPr>
        <w:t>في حقّ أبي البركات عن أحد رواة الحديث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حدثنا الإمام الزاهد أبو البركات الخوزي عن الصدوق</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فإنّ مثل هذا التعبير يدلّ على التوثيق وزيادة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جملة من القرائن تدلّ على وثاقته كما هو مذكور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ذلك أنّ الحديث معتبر سنداً ولا إشكال فيه، وما ذكروه تطويل لا طائل تحته ومن لزوم ما يلزم كما يأتي التنبيه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عن دلالته؛ فقد أُشكل على مفاده بأنه يشتمل على مرجّحين طوليين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والمخالفة مع الكتاب، فيرجح الموافق للكتاب على ما خالفه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الموافقة والمخالفة مع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فيرجح المخالف مع العامة على الموافق معهم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تقدم البحث في المراد من الموافق والمخالف، ولا يدلّ هذا الحديث على شيء خلاف ما ذكرناه سوى أنه يمكن القول بأنّ ظاهر النصّ ومقتضى مناسبات الحكم والموضوع أن يكون المراد منهما؛ في القرآن المخالف له فيطرح، وفي العامة الموافق لهم فيطرح، وهو صحيح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الكلام في أنّ المخالفة والموافقة مع العامة تختص بأخبارهم كما هو نصّ الحديث فيرجح ما خالفها على ما يوافقها، أو أنها تشمل فتاواهم وآرائهم؛ والظاهر هو الثاني لأنَّهم لم يعتمدوا على الأخبار فقط بل، اعتمدوا عليها وعلى الإستحسان حيث جعلوهما من أدلة الاستنباط عندهم ويدلّ على ذلك بعض أخبار المقام، فيكون ذكر الأخبار في الحديث المزبور إما لكثرتها أو من باب 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استفادة الطولية من الرواية بالنسبة إلى الترجيحين فإنّ الأول منهما مقدم في مقام علاج التعارض على الثاني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الحديث عن نسبة هذا الحديث إلى سائر الأخبار؛ فلا إشكال في عدم المعارضة بين معتبرة الراوندي مع أخبار التخيير التي تقدم ذكرها باعتبار أنّ المعتبرة تثبت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سابقاً أنّ أخبار التخيير تختص بما إذا لم تكن مزية لأحدهما على الآخر وتحقق التحيّر المطلق، ومع وجود المزية لا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نسبة هذه المعتبرة مع بقية أخبار الترجيح أو أخبار التوقف أو الإرجاء فيأتي الكلام فيها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الراوندي بإسناده عن الصدوق عن شيخه ابن الوليد عن الصفار عن أحمد بن محمد بن عيسى عن رجل عَنْ يُونُسَ بْنِ عَبْدِ الرَّحْمَنِ عَنِ الْحُسَيْنِ‌</w:t>
      </w:r>
      <w:r>
        <w:rPr>
          <w:rStyle w:val="FootnoteAnchor"/>
          <w:rtl w:val="true"/>
        </w:rPr>
        <w:footnoteReference w:id="338"/>
      </w:r>
      <w:r>
        <w:rPr>
          <w:rFonts w:ascii="Amiri" w:hAnsi="Amiri" w:eastAsia="Amiri" w:cs="Amiri"/>
          <w:color w:val="111111"/>
          <w:sz w:val="28"/>
          <w:sz w:val="28"/>
          <w:szCs w:val="28"/>
          <w:rtl w:val="true"/>
          <w:lang w:bidi="ar-SA"/>
        </w:rPr>
        <w:t>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حَدِيثَانِ مُخْتَلِفَانِ فَخُذُوا بِمَا خَالَفَ الْقَوْمَ</w:t>
      </w:r>
      <w:r>
        <w:rPr>
          <w:rFonts w:eastAsia="Amiri" w:cs="Amiri" w:ascii="Amiri" w:hAnsi="Amiri"/>
          <w:color w:val="111111"/>
          <w:sz w:val="28"/>
          <w:szCs w:val="28"/>
          <w:rtl w:val="true"/>
          <w:lang w:bidi="ar-SA"/>
        </w:rPr>
        <w:t>)</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أشكل عليه بضعف السند، ولكنه ليس بشيء لجبره بورود نصّه في الرواية المتقدمة للراوندي المعتبرة وغيرها مِمّا جعلت مخالفة العامة من موجبات الترجيح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معتبرة الراوندي تختصّ بأخبار العامة، وفي هذه الرواية مطلق ما خالف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عرفت صحة التعدي عن مفاد المعتبرة كما هو ظاهر الأخبار الواردة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القبول نقول بتخصيص هذه الرواية بالمعتبرة المتقدمة فتختص بمخالفة أخبارهم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لِلْعَبْدِ الصَّالِحِ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يَسَعُنَا فِيمَا وَرَدَ عَلَيْنَا مِنْكُمْ إِلَّا التَّسْلِيمُ لَكُمْ؟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لَا يَسَعُكُمْ إِلَّا التَّسْلِيمُ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فَيُرْوَى عَنْ أَبِي عَبْدِ اللَّهِ علیه السلام شَيْ‌ءٌ ويُرْوَى عَنْهُ خِلَافُهُ؛ فَبِأَيِّهِمَا نَأْخُذُ؟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خَالَفَ الْقَوْمَ؛ ومَا وَافَقَ الْقَوْمَ فَاجْتَنِبْهُ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الخبر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مُحَمَّدِ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نَصْنَعُ بِالْخَبَرَيْنِ الْمُخْتَلِفَيْنِ؟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وَرَدَ عَلَيْكُمْ خَبَرَانِ مُخْتَلِفَانِ فَانْظُرُوا إِلَى مَا يُخَالِفُ مِنْهُمَا الْعَامَّةَ فَخُذُوهُ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وانْظُرُوا إِلَى مَا يُوَافِقُ أَخْبَارَهُمْ فَدَعُوهُ</w:t>
      </w:r>
      <w:r>
        <w:rPr>
          <w:rFonts w:eastAsia="Amiri" w:cs="Amiri" w:ascii="Amiri" w:hAnsi="Amiri"/>
          <w:color w:val="111111"/>
          <w:sz w:val="28"/>
          <w:szCs w:val="28"/>
          <w:rtl w:val="true"/>
          <w:lang w:bidi="ar-SA"/>
        </w:rPr>
        <w:t>)</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كسابقتهما في الدلالة</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مرسلة الطبرسي عَنْ سَمَاعَةَ بْنِ مِهْرَانَ عَنْ أَبِي عَبْدِ اللَّهِ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عَلَيْنَا حَدِيثَانِ وَاحِدٌ يَأْمُرُنَا بِالْأَخْذِ بِهِ والْآخَرُ يَنْهَانَا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تَعْمَلْ بِوَاحِدٍ مِنْهُمَا حَتَّى تَلْقَى صَاحِبَكَ فَتَسْأَلَهُ،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أَنْ نَعْمَلَ بِوَاحِدٍ مِنْهُمَا</w:t>
      </w:r>
      <w:r>
        <w:rPr>
          <w:rStyle w:val="FootnoteAnchor"/>
          <w:rtl w:val="true"/>
        </w:rPr>
        <w:footnoteReference w:id="342"/>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بِمَا فِيهِ خِلَافُ الْعَامَّةِ</w:t>
      </w:r>
      <w:r>
        <w:rPr>
          <w:rFonts w:eastAsia="Amiri" w:cs="Amiri" w:ascii="Amiri" w:hAnsi="Amiri"/>
          <w:color w:val="111111"/>
          <w:sz w:val="28"/>
          <w:szCs w:val="28"/>
          <w:rtl w:val="true"/>
          <w:lang w:bidi="ar-SA"/>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الرواية تدلّ على الترجيح بمخالفة العامة، ولكن قيل أنها مقيدة بحال حضور الإمام علیه السلام فيختص العمل بأحد المتعارضين في عصر الحضور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وسيأتي الكلام عنه في هذه الجهة؛ في روايات التوقف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أيضاً ساكتة عن الترجيح بموافقة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يمكن استفادة كون الخبرين المتعارضين موافقين للكتاب الكريم بشهادة قول السائل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بُدّ من العمل بواحد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حاجة إلى القول بتقييد هذه الرواية برواية الراوندي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تخرج دلالتها عن سائر روايات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الخبر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عُبَيْدِ بْنِ زُرَارَةَ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سَمِعْتَهُ‌</w:t>
      </w:r>
      <w:r>
        <w:rPr>
          <w:rStyle w:val="FootnoteAnchor"/>
          <w:rtl w:val="true"/>
        </w:rPr>
        <w:footnoteReference w:id="344"/>
      </w:r>
      <w:r>
        <w:rPr>
          <w:rFonts w:ascii="Amiri" w:hAnsi="Amiri" w:eastAsia="Amiri" w:cs="Amiri"/>
          <w:color w:val="111111"/>
          <w:sz w:val="28"/>
          <w:sz w:val="28"/>
          <w:szCs w:val="28"/>
          <w:rtl w:val="true"/>
          <w:lang w:bidi="ar-SA"/>
        </w:rPr>
        <w:t>مِنِّي يُشْبِهُ قَوْلَ النَّاسِ فِيهِ التَّقِيَّةُ ومَا سَمِعْتَ مِنِّي لَا يُشْبِهُ قَوْلَ النَّاسِ فَلَا تَقِيَّةَ فِيهِ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إشارة فيه إلى الخبر من المتعارضين المبحوث عنه في المقام، بل الظاهر منه أنّ كلّ خبر يتضمن الأساليب المعروفة عند الناس في مقام استنباط الحكم الشرعي فيكون بصدد التقية فيكون ساقطاً عن الحجية، فيكون مضمون الحديث وارداً في طبيعي الخبر، فيدل على سقوط ما يشبه العامة عن الحجية مطلقاً</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الخبر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الْحَسَنِ بْنِ الْجَهْمِ عَنِ الإمام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تَجِيئُنَا الْأَحَادِيثُ عَنْكُمْ 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جَاءَكَ عَنَّا فَقِسْ عَلَى كِتَابِ اللَّهِ عَزَّ وَجَلَّ وأَحَادِيثِنَا؛ فَإِنْ كَانَ يُشْبِهُهُمَا فَهُوَ مِنَّا وإِنْ لَمْ يَكُنْ يُشْبِهُهُمَا فَلَيْسَ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يَجِيئُنَا الرَّجُلَانِ وكِلَاهُمَا ثِقَةٌ بِحَدِيثَيْنِ مُخْتَلِفَيْنِ ولَا نَعْلَمُ أَيُّهُمَا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لَمْ تَعْلَمْ فَمُوَسَّعٌ عَلَيْكَ؛ بِأَيِّهِمَا أَخَذْتَ</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وهو لا يرتبط بالمقام؛ لا صدره ولا ذيله؛ أما صدره؛ فهو في مقام بيان الكبرى في العمل بالأخبار مطلقاً فيدلّ على الطرح إذا لم يوافق الكتاب والسنة؛ فيشبه بذلك الأخبار المتقدمة التي نقلناها في القسم الأول من أخبار الطرح التي تدلّ على أنّ حجية الأخبار منوطة بوجود شاهد منه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ذيله؛ فيدلّ على التخيير في موارد التعارض فيكون من أخبار التخيير، وقد عرفت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الأخبار التي تدلّ على الترجيح بموافقة الكتاب ومخالفة العامة مقبولة عمر بن حنظلة ومرفوعة زرارة التي سيأتي الكلام في مفادها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من جميع ما تقدم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دلالة الأحاديث المتقدمة بمجموعها في الترجيح بموافقة الكتاب ومخالفة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الأحاديث تختلف في ما ورد فيها؛ فقد ذُكر في بعضها موافقة الكتاب فقط، وفي آخر مخالفة العامة، وفي ثالث ذُكر فيه الأمران معاً، وفي رابع ذكر فيه الأمران وغيرهما كمقبولة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 العرفي حمل المطلق على المقيد كما تقدم بيانه إلا إذا كانت قرائن تدلّ على خلاف ذلك بسبب ورود مرجحات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اختُلف في تقديم بعضها على بعض وتأخيره مِمّا ينافي التقييد، وحينئذٍ لا بُدَّ من حمل التقييد إما على مطلق الرجحان، أو الرجحان الإضافي، أو غير ذلك مِمّا سيأتي بيانه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إطلاق الأحاديث ينافي أخبار التخيير، وقد عرفت أنه لا منافاة بين الطائفتين لأنّ الرجوع إلى التخيير إنَّما يكون بعد فقْد المرجح والمزية، وهذه الطائفة تثبتهما فلا تخيير</w:t>
      </w:r>
      <w:r>
        <w:rPr>
          <w:rFonts w:eastAsia="Amiri" w:cs="Amiri" w:ascii="Amiri" w:hAnsi="Amiri"/>
          <w:color w:val="111111"/>
          <w:sz w:val="28"/>
          <w:szCs w:val="28"/>
          <w:rtl w:val="true"/>
          <w:lang w:bidi="ar-SA"/>
        </w:rPr>
        <w:t xml:space="preserve">. </w:t>
      </w:r>
      <w:bookmarkStart w:id="375" w:name="pg15367_181260"/>
    </w:p>
    <w:p>
      <w:pPr>
        <w:pStyle w:val="Heading6"/>
        <w:numPr>
          <w:ilvl w:val="5"/>
          <w:numId w:val="1"/>
        </w:numPr>
        <w:rPr/>
      </w:pPr>
      <w:bookmarkStart w:id="376" w:name="__RefHeading___Toc5900752_2142443653"/>
      <w:bookmarkStart w:id="377" w:name="_Toc141"/>
      <w:bookmarkEnd w:id="375"/>
      <w:bookmarkEnd w:id="376"/>
      <w:r>
        <w:rPr>
          <w:rtl w:val="true"/>
        </w:rPr>
        <w:t>الصنف الثاني</w:t>
      </w:r>
      <w:r>
        <w:rPr>
          <w:rtl w:val="true"/>
        </w:rPr>
        <w:t xml:space="preserve">: </w:t>
      </w:r>
      <w:r>
        <w:rPr>
          <w:rtl w:val="true"/>
        </w:rPr>
        <w:t>أخبار الترجيح بالشهرة</w:t>
      </w:r>
      <w:bookmarkEnd w:id="377"/>
    </w:p>
    <w:p>
      <w:pPr>
        <w:pStyle w:val="BookText"/>
        <w:rPr/>
      </w:pPr>
      <w:r>
        <w:rPr>
          <w:rFonts w:ascii="Amiri" w:hAnsi="Amiri" w:eastAsia="Amiri" w:cs="Amiri"/>
          <w:color w:val="111111"/>
          <w:sz w:val="28"/>
          <w:sz w:val="28"/>
          <w:szCs w:val="28"/>
          <w:rtl w:val="true"/>
          <w:lang w:bidi="ar-SA"/>
        </w:rPr>
        <w:t>وأهمّ ما ورد فيها هو مقبولة عمر بن حنظلة ومرفوعة زرارة، وفي رواية الطبرسي</w:t>
      </w:r>
      <w:r>
        <w:rPr>
          <w:rStyle w:val="FootnoteAnchor"/>
          <w:rtl w:val="true"/>
        </w:rPr>
        <w:footnoteReference w:id="34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عَنْهُمْ علیهم السلام أَنَّهُمْ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اخْتَلَفَتْ أَحَادِيثُنَا عَلَيْكُمْ فَخُذُوا بِمَا اجْتَمَعَتْ عَلَيْهِ شِيعَتُنَا؛ فَإِنَّهُ لَا رَيْبَ فِيه</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الرواية وإنْ كانت ضعيفة سنداً بالإرسال إلا أنها مشهورة في الفقه وعلى لسان الفقهاء بحيث يعدّونها قاعدة عامة، وعليها عملهم فتكون جابرة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اجتمعت عليه شيعتنا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الاجتماع في الرواية فيكون مساوقاً للتواتر، ولا إشكال حينئذٍ في لزوم العمل به وطرح الخبر المخالف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يراد به الإجتماع عليه في العمل والفتوى فيرجع إلى مرجّحية الشهرة الفتوائية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هو الأخير من جهة إضافة الإجتماع فيها إلى الشيعة لا إلى الرواة بالخصوص وهذا يناسب الإجتماع في الرأي والعمل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تقدم هذه الطائفة على أخبار التخيير كما تقدم بيانه، وأما نسبتها إلى أخبار الترجيح بالموافقة للكتاب والمخالفة للعامة كمعتبرة الراوندي وغيرها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فتكون النسبة بينهما 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وسوف يأتي الكلام في هذه الجهة إنْ شاء الله تعالى</w:t>
      </w:r>
      <w:r>
        <w:rPr>
          <w:rFonts w:eastAsia="Amiri" w:cs="Amiri" w:ascii="Amiri" w:hAnsi="Amiri"/>
          <w:color w:val="111111"/>
          <w:sz w:val="28"/>
          <w:szCs w:val="28"/>
          <w:rtl w:val="true"/>
          <w:lang w:bidi="ar-SA"/>
        </w:rPr>
        <w:t>.</w:t>
      </w:r>
    </w:p>
    <w:p>
      <w:pPr>
        <w:pStyle w:val="Heading6"/>
        <w:numPr>
          <w:ilvl w:val="5"/>
          <w:numId w:val="1"/>
        </w:numPr>
        <w:rPr/>
      </w:pPr>
      <w:bookmarkStart w:id="378" w:name="__RefHeading___Toc5900754_2142443653"/>
      <w:bookmarkStart w:id="379" w:name="_Toc142"/>
      <w:bookmarkEnd w:id="378"/>
      <w:r>
        <w:rPr>
          <w:rtl w:val="true"/>
        </w:rPr>
        <w:t>الصنف الثالث</w:t>
      </w:r>
      <w:r>
        <w:rPr>
          <w:rtl w:val="true"/>
        </w:rPr>
        <w:t xml:space="preserve">: </w:t>
      </w:r>
      <w:r>
        <w:rPr>
          <w:rtl w:val="true"/>
        </w:rPr>
        <w:t>أخبار الترجيح بالأحدث</w:t>
      </w:r>
      <w:bookmarkEnd w:id="379"/>
    </w:p>
    <w:p>
      <w:pPr>
        <w:pStyle w:val="Heading6"/>
        <w:numPr>
          <w:ilvl w:val="5"/>
          <w:numId w:val="1"/>
        </w:numPr>
        <w:rPr/>
      </w:pPr>
      <w:bookmarkStart w:id="380" w:name="__RefHeading___Toc5900756_2142443653"/>
      <w:bookmarkStart w:id="381" w:name="_Toc143"/>
      <w:bookmarkEnd w:id="380"/>
      <w:r>
        <w:rPr>
          <w:rtl w:val="true"/>
        </w:rPr>
        <w:t>اشارة</w:t>
      </w:r>
      <w:bookmarkEnd w:id="381"/>
    </w:p>
    <w:p>
      <w:pPr>
        <w:pStyle w:val="BookText"/>
        <w:rPr/>
      </w:pPr>
      <w:r>
        <w:rPr>
          <w:rFonts w:ascii="Amiri" w:hAnsi="Amiri" w:eastAsia="Amiri" w:cs="Amiri"/>
          <w:color w:val="111111"/>
          <w:sz w:val="28"/>
          <w:sz w:val="28"/>
          <w:szCs w:val="28"/>
          <w:rtl w:val="true"/>
          <w:lang w:bidi="ar-SA"/>
        </w:rPr>
        <w:t>والمراد بالأحدثية هو صدور الخبر في زمن يتأخر عن زمن صدور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وردت عدة روايات يستفاد منها ترجيح الأحدث من المتعارضين على الآخر، وهي</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الْحُسَيْنِ بْنِ الْمُخْتَارِ عَنْ بَعْضِ أَصْحَابِنَا عَنْ أَبِي عَبْدِ اللَّهِ 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 رَأَيْتَكَ لَوْ حَدَّثْتُكَ بِحَدِيثٍ الْعَامَ ثُمَّ جِئْتَنِي مِنْ قَابِلٍ فَحَدَّثْتُكَ بِخِلَافِهِ بِأَيِّهِمَا كُنْتَ تَأْخُذُ؟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آخُذُ بِالْأَخِيرِ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رَحِمَكَ الله </w:t>
      </w:r>
      <w:r>
        <w:rPr>
          <w:rFonts w:eastAsia="Amiri" w:cs="Amiri" w:ascii="Amiri" w:hAnsi="Amiri"/>
          <w:color w:val="111111"/>
          <w:sz w:val="28"/>
          <w:szCs w:val="28"/>
          <w:rtl w:val="true"/>
          <w:lang w:bidi="ar-SA"/>
        </w:rPr>
        <w:t>)</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 عَنِ الْحَيِ؛ فَإِنْ بَلَغَكُمْ عَنِ الْحَيِّ فَخُذُوا بِقَوْلِهِ،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لَا نُدْخِلُكُمْ إِلَّا فِيمَا يَسَعُكُمْ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أَبِي عَمْرٍو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عَمْرٍو؛ أَ رَأَيْتَ لَوْ حَدَّثْتُكَ بِحَدِيثٍ أَوْ أَفْتَيْتُكَ بِفُتْيًا ثُمَّ جِئْتَنِي بَعْدَ ذَلِكَ فَسَأَلْتَنِي عَنْهُ فَأَخْبَرْتُكَ بِخِلَافِ مَا كُنْتُ أَخْبَرْتُكَ أَوْ أَفْتَيْتُكَ بِخِلَافِ ذَلِكَ بِأَيِّهِمَا كُنْتَ تَأْخُذُ؟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بِأَحْدَثِهِمَا وأَدَعُ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يَا أبَا عَمْرٍو؛ أَبَى اللَّهُ إِلَّا أَنْ يُعْبَدَ سِرّاً؛ أَمَا واللَّهِ لَئِنْ فَعَلْتُمْ ذَلِكَ إِنَّهُ لَخَيْرٌ لِي ولَكُمْ؛ أَبَى اللَّهُ عَزَّ وَجَلَّ لَنَا فِي دِينِهِ إِلَّا التَّقِيَّةَ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 الكليني</w:t>
      </w:r>
      <w:r>
        <w:rPr>
          <w:rStyle w:val="FootnoteAnchor"/>
          <w:rtl w:val="true"/>
        </w:rPr>
        <w:footnoteReference w:id="3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بِالْأَحْدَثِ</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 ذلك من الأخبار التي ذكروها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حول هذه الأخبار يقع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إسنادها</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أشكلوا عليها بضعفها؛ أما خبر الحسين المختار ورواية الكليني؛ فلإرسالهما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خبر الكناني ومعلى بن خنيس؛ فلضعفهما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ولكن يمكن القول بأنّ معلّى بن خنيس معتبر على ما هو الأصحّ كما ذكرناه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أبو عمرو الكناني فإنَّهم وإنْ قالوا بعدم ثبوت وثاقته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دفعه بوجهين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السيد البروجردي قدس سره </w:t>
      </w:r>
      <w:r>
        <w:rPr>
          <w:rStyle w:val="FootnoteAnchor"/>
          <w:rtl w:val="true"/>
        </w:rPr>
        <w:footnoteReference w:id="354"/>
      </w:r>
      <w:r>
        <w:rPr>
          <w:rFonts w:ascii="IRNazanin" w:hAnsi="IRNazanin" w:eastAsia="IRNazanin"/>
          <w:color w:val="111111"/>
          <w:sz w:val="28"/>
          <w:sz w:val="28"/>
          <w:szCs w:val="28"/>
          <w:rtl w:val="true"/>
          <w:lang w:bidi="fa-IR"/>
        </w:rPr>
        <w:t>نقل سنداً آخر لهذه الرواية عن هشام بن سالم عن أبي عبد الله علیه السلام بدون واسطة الكناني بينه وبين الإمام الصادق علیه السلام فيكون السند صحيحاً يمكن الإستناد عليه؛ إلا أن يقال بسقوط أبي عمر في هذا السند سهواً بقرينة كون الخطاب في كلام الإمام علیه السلام إلى أبي عمرو مرتين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دفعه بأنّ الخطاب وإنْ كان متوجهاً إلى أبي عمرو ولكن هشام بن سالم كان حاضراً في المجلس ونقل الخبر مباشرة من دون واسطة الكناني، وهذا أولى من احتمال السهو الذي هو خلاف الأصل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وهذه الرواية لم ترد في الوسائل حسب ما نقله بعضٍ</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مع ذلك من عدم وجود الرواية في الوسائل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عدم نقلها في الوسائل لا يضرّ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فيصحّ لنا أن نستفيد اعتبار الكناني، بل جلالة قدره من جوابه للإمام علیه السلام بالأخذ بالأحدث ولا يعرف هذا عادة إلا الخواص، مضافاً إلى تعقيب الإمام علیه السلام معه بالسرّ والتقية وأنه خير له ولهم مِمّا لا يتحقق إلا للخواص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والإشكال بأنه يستلزم الدور غير 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دلالتها</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إشكال في دلالة مجموع هذه الروايات على رجحان الأحدث وترك السابق عند تعارض الروايات سواء كان من أجل النسخ كما تشير إليه معتبرة محمد بن مسلم؛ عَنْ أَبِي عَبْدِ الله </w:t>
      </w:r>
    </w:p>
    <w:p>
      <w:pPr>
        <w:pStyle w:val="BookText"/>
        <w:rPr/>
      </w:pPr>
      <w:r>
        <w:rPr>
          <w:rFonts w:ascii="Amiri" w:hAnsi="Amiri" w:eastAsia="Amiri" w:cs="Amiri"/>
          <w:color w:val="111111"/>
          <w:sz w:val="28"/>
          <w:sz w:val="28"/>
          <w:szCs w:val="28"/>
          <w:rtl w:val="true"/>
          <w:lang w:bidi="ar-SA"/>
        </w:rPr>
        <w:t>علیه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الْحَدِيثَ يُنْسَخُ كَمَا يُنْسَخُ الْقُرْآنُ</w:t>
      </w:r>
      <w:r>
        <w:rPr>
          <w:rFonts w:eastAsia="Amiri" w:cs="Amiri" w:ascii="Amiri" w:hAnsi="Amiri"/>
          <w:color w:val="111111"/>
          <w:sz w:val="28"/>
          <w:szCs w:val="28"/>
          <w:rtl w:val="true"/>
          <w:lang w:bidi="ar-SA"/>
        </w:rPr>
        <w:t>)</w:t>
      </w:r>
      <w:r>
        <w:rPr>
          <w:rStyle w:val="FootnoteAnchor"/>
          <w:rtl w:val="true"/>
        </w:rPr>
        <w:footnoteReference w:id="356"/>
      </w:r>
      <w:r>
        <w:rPr>
          <w:rFonts w:ascii="Amiri" w:hAnsi="Amiri" w:eastAsia="Amiri" w:cs="Amiri"/>
          <w:color w:val="111111"/>
          <w:sz w:val="28"/>
          <w:sz w:val="28"/>
          <w:szCs w:val="28"/>
          <w:rtl w:val="true"/>
          <w:lang w:bidi="ar-SA"/>
        </w:rPr>
        <w:t>، أم من أجل التقية كما ورد في خبر الكناني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بيان أنه كما يقع النسخ في القرآن كذلك يقع النسخ في السنّة فينسخ بعضها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نسخ القرآن بالسنّة فهو موضوع آخر يبحث عنه في غير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تمامية دلالة هذه الطائفة على الترجيح بالأحدثية، وقد ذكرنا أنّ ظاهرها وإنْ كان دالاً على الترجيح بالأحدث ولكنها غير صالحة للحجية لجهات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لو كان الأخذ بالأحدث عند التعارض مطلقاً قاعدةً عامة لتواتَرَ نقلُه واشتهر وبان عند الأصحاب كلّهم لكثرة الإبتلاء بالروايات المتعارضة، وليس بناء العقلاء في موارد</w:t>
      </w:r>
    </w:p>
    <w:p>
      <w:pPr>
        <w:pStyle w:val="BookText"/>
        <w:rPr/>
      </w:pPr>
      <w:r>
        <w:rPr>
          <w:rFonts w:ascii="Amiri" w:hAnsi="Amiri" w:eastAsia="Amiri" w:cs="Amiri"/>
          <w:color w:val="111111"/>
          <w:sz w:val="28"/>
          <w:sz w:val="28"/>
          <w:szCs w:val="28"/>
          <w:rtl w:val="true"/>
          <w:lang w:bidi="ar-SA"/>
        </w:rPr>
        <w:t>التعارض بين الحجج على الأخذ بالأحدث مطلقاً فلا يفرق في التعارض بين السبق واللحوق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إعراض الأصحاب قديماً وحديثاً عن الترجيح بالأحدث، وهذا مِمّا يدل على أنّ هذه الروايات وردت في قضايا معينة لقرائن خاصة في البين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تنزّلنا عن ذلك كلّه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الروايات إنَّما تدل على الأخذ بالأحدث لبيان الوظيفة الفعلية لا لبيان الواقع، ويرشد إلى ذلك مناسبات الحكم والموضوع لأنّ الأمرين المتنافيين الصادرين من المعصوم علیه السلام غالباً مّا يصدر منهم من أجل كثرة ابتلاءهم بالتقية، وهذه التقية كما تتحقق في السابق فهي تتحقق في اللاحق، وكلاهما يحتمل فيهما التقية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وربما يتكرر الأحدث في واقعة معينة عن الإمام علیه السلام ، ومن أجل ذلك كلّه فلا دلالة لهذه الأخبار على الترجيح بالأحدث كقاعدة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أجاد السيد الوالد قدس سره في ردّ الإستدلال بهذه الأخبار؛ لا سيما الخبران المتقدمان</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خبرا المختار والكناني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لإثبات الترجيح بالأحدثية، حيث قال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وفيه مضافاً إلى مخالفتهما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خبر حسين المختار وخبر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للمشهور؛ إذا لم أجد عاملاً بهما في ما </w:t>
      </w:r>
    </w:p>
    <w:p>
      <w:pPr>
        <w:pStyle w:val="BookText"/>
        <w:rPr/>
      </w:pPr>
      <w:r>
        <w:rPr>
          <w:rFonts w:ascii="IRNazanin" w:hAnsi="IRNazanin" w:eastAsia="IRNazanin"/>
          <w:color w:val="111111"/>
          <w:sz w:val="28"/>
          <w:sz w:val="28"/>
          <w:szCs w:val="28"/>
          <w:rtl w:val="true"/>
          <w:lang w:bidi="fa-IR"/>
        </w:rPr>
        <w:t>تفحصت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ومعارضتهما بغيرهما مِمّا هو كثير أنهما ليسا في مقام بيان حكم المتعارضين، بل في مقام التنبيه على الإختلاف إنَّما كان لأجل التقية أو نحوها من المصالح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ربط لهما ببيان حكم العلاج بين المتعارضين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لذلك ذيل خبر الكناني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أنه لا وجه يتصور في الأخير إلا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عليه لا ربط لهما بالمقام أيضاً لعدم التعارض بين الناسخ والمنسوخ فإنَّه لا وجه لاحتمال الأخذ بالأخير ولو كان مخالفاً للكتاب وموافقاً للعامة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الأول بالعكس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يرضى بذلك فقيه فكيف بالمعصوم علیه السلام فلا وجه لعدّ هذه الأخبار من أخبار علاج المتعارضين</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النسبة بين هذا المرجّح وسائر المرجّحات؛ فهل تكون معارضة أو مخصصة؟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بيان ذلك لا بُدَّ من بيان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المعلوم أنّ هذا البحث يبتني على فرض كون الأحدث مرجّحاً في مورد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أنكرنا هذا المرجّح كما تقدم بيانه فلا ثمرة لهذا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شك في أنّ النسبة بين هذا المرجّح وبين الترجيح بموافقة الكتاب ومخالفة العامة وموافقة الشهرة هي النسبة بين سائر المرجّحات الأخرى بعضها مع بعض؛ وهي نسبة العموم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يكون الأحدث موافقاً للكتاب وقد يكون مخالفاً له، وكذا النسبة بين موافقة الشهرة ومخالفة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في صفات الراوي</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والقاعدة عند المشهور كما عرفت سابقاً تقتضي التساقط في مورد الإجتماع إلا إذا استفيد من الأدلة رجحان أحد العامين من وجه على الآخر؛ فقد يقال بتقديم الموافق للكتاب والمخالف للعامة على الأحدث لأنّ المخالف للكتاب زخرفٌ، أو باطلٌ، أو لم نقله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المخالف للعامة ففيه الرشد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الشهرة فهي مقدمة على سائر المرجّحات فضلاً عن الأحدث، وأما الترجيح بالصفات فقد يقال بأنه لا دليل على الترجيح بها على الأحدث فيتعارضان؛ ولا يمكن الأخذ بالأحدث لأنَّه دور، ولا الأخذ بالصفات من أجله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الكلام في هذه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ذلك على فرض 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ثبوت التعارض بين أخبار العلاج مطلقاً والبحث عن علاقة أخبار الأحدثية وأخبار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وأخبار الترجيح بأحد المرجّحات الأخرى يختلف بحسب اختلاف المباني في تعارض الأدلة الظاهرية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المبنى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بتعارضها في مرحلة الثبوت كالأحكام الواقعية لتحقق التناقض في تلك المرحلة؛ فلا محالة يتعارض الأحدث مع التخيير وسائر المرجّحات، ولا يصحّ التمسك بشيء من أدلتها بناءً على ما هو المشهور في تعارض الأدلة لتساقطها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الرجوع إلى الأصول العامة كل بحسب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المختار من التخيير في المتعارضين بعد فقْد المرجّح مطلقاً في الروايات المتعارضة وغيرها، أو في خصوص الروايات كما هو مختار بعض كالشيخ الكليني وجمعٌ من المتقدمين وجمهور المتأخرين، وحينئذٍ تكون النتيجة بناءً على هذا الرأي هي تقديم أخبار التخيير المقابل للترجيح بالأحدث والمقابل للترجيح بسائر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فرض اقتران المتعارضين حيث لا أحدث نادرٌ جداً ولا وجود 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المبنى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المشهور؛ من أنها تتعارض في مرحلة الإثبات والوصول إلى التنجيز والإعذار فإنَّه ينحصر في صورة العلم بالأحدث، وفي غيره لا يظهر التعارض بين روايات الأخذ بالأحدث مع سائر أخبار المقام فيمكن تخصيص هذه الأخبار بغير مورد العلم بالأحدث، وهو نادر جداً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والعلم الإجمالي بأحدثية أحدهما لا أثر له لأنَّه علم إجمالي مردد بين الترخيص والإلزام فلا يكون منجزاً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فُرض أنّ روايات الأحدث كانت أخصّ مطلقاً من تلك الأخبار كما هو كذلك بالنسبة إلى أخبار التخيير فهي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التخيير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تختص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كانت النسبة العموم من وجه كما هو الحال بالنسبة لأدلة الترجيح؛ كانت النسبة عموماً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عرفت ذلك نقول في موضوع بحثنا وهو بيان العلاج بين أخبار التخيير وأخبار الأحدثية وأخبار سائر المرجّحات وتقديم إحداهما على الأخرى بعد فرض تحقق التعارض واستحكامه بينها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يقال بتقديم أخبار التخيير أو الترجيح بسائر المرجّحات على أخبار الأحدثية وبأحد وجهين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تطبيق مفاد هذه الطائفة على غيرها لأنّ في أخبار التخيير أو الترجيح بسائر المرجّحات ما هو أحدث من روايات الأخذ بالأحدث؛ لورود بعضها عن الأئمة المتأخرين زماناً عن الإمام الصادق علیه السلام فتُقدَّم على هذه الطائفة بحكم هذه الأخبار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الوجه إنَّما يصحّ فيما إذا علم بصدور إحدى الطائفتين المتعارضتين فيحكم بلزوم الأخذ بإحداهما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أخبار التخيير أو الترجيح بسائر المرجّحات؛ إمالكونها هي الصادرة واقعاً، أو لأنّ أخبار الأخذ بالأحدث تأمر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لا نعلم بصدور إحدى الطائفتين فلا بُدَّ من الرجوع إلى دليل الحجية العام ونسبته إليهما على حدٍّ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لا يمكن شموله لهما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وشموله لإحداهما دون الأخرى ترجيح بلا مرجح</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العلم بصدور إحداهما، ولكنه أيضاً لا يتمّ هذا الوجه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يلزم منه سقوط أخبار الأخذ بالأحدث عن الحجية في تمام الموارد سوى مورد واحد؛ وهو تقديم </w:t>
      </w:r>
      <w:bookmarkStart w:id="382" w:name="pg15367_181267"/>
    </w:p>
    <w:p>
      <w:pPr>
        <w:pStyle w:val="BookText"/>
        <w:rPr/>
      </w:pPr>
      <w:bookmarkEnd w:id="382"/>
      <w:r>
        <w:rPr>
          <w:rFonts w:ascii="Amiri" w:hAnsi="Amiri" w:eastAsia="Amiri" w:cs="Amiri"/>
          <w:color w:val="111111"/>
          <w:sz w:val="28"/>
          <w:sz w:val="28"/>
          <w:szCs w:val="28"/>
          <w:rtl w:val="true"/>
          <w:lang w:bidi="ar-SA"/>
        </w:rPr>
        <w:t>معارضها الأحدث المتمثل في أخبار التخيير أو الترجيح بسائر المرجّحات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قبيل تخصيص الأكثر، وهو يوجب إلغاء الدليل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يقال بأنّ أخبار الأخذ بالأحدث بشمولها لنفسها بلحاظ معارضتها مع ما هو أحدث منها تسقط عن الحجية فيلزم من حجيتها عدم حجيتها فنأخذ بأخبار التخيير أو الترجيح بسائر المرجّحات بدون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الساقط عن الحجية لاستلزام حجيته هو إطلاق أخبار الأخذ بالأحدث لا أصلها، فلا موجب لرفع اليد عن حجيتها بلحاظ موارد التعارض الأخرى فيكون معارضاً مع أدلة التخيير وأدلة سائر المرجّحات</w:t>
      </w:r>
      <w:r>
        <w:rPr>
          <w:rFonts w:eastAsia="Amiri" w:cs="Amiri" w:ascii="Amiri" w:hAnsi="Amiri"/>
          <w:color w:val="111111"/>
          <w:sz w:val="28"/>
          <w:szCs w:val="28"/>
          <w:rtl w:val="true"/>
          <w:lang w:bidi="ar-SA"/>
        </w:rPr>
        <w:t>.</w:t>
      </w:r>
    </w:p>
    <w:p>
      <w:pPr>
        <w:pStyle w:val="Heading6"/>
        <w:numPr>
          <w:ilvl w:val="5"/>
          <w:numId w:val="1"/>
        </w:numPr>
        <w:rPr/>
      </w:pPr>
      <w:bookmarkStart w:id="383" w:name="__RefHeading___Toc5900758_2142443653"/>
      <w:bookmarkStart w:id="384" w:name="_Toc144"/>
      <w:bookmarkEnd w:id="383"/>
      <w:r>
        <w:rPr>
          <w:rtl w:val="true"/>
        </w:rPr>
        <w:t>ختام</w:t>
      </w:r>
      <w:bookmarkEnd w:id="384"/>
    </w:p>
    <w:p>
      <w:pPr>
        <w:pStyle w:val="BookText"/>
        <w:rPr/>
      </w:pPr>
      <w:r>
        <w:rPr>
          <w:rFonts w:ascii="IRNazanin" w:hAnsi="IRNazanin" w:eastAsia="IRNazanin"/>
          <w:color w:val="111111"/>
          <w:sz w:val="28"/>
          <w:sz w:val="28"/>
          <w:szCs w:val="28"/>
          <w:rtl w:val="true"/>
          <w:lang w:bidi="fa-IR"/>
        </w:rPr>
        <w:t>إنّ المتحصل من جميع ما ذكرناه حول دلالة هذه الطائفة على الترجيح بالأحدثية هو عدم دلالتها على المطلوب، ولو فرضت دلالتها فلا إطلاق لها لأنّ الترجيح بالأحدثية حكم تعبدي بحت لا يطابق القواعد العقلائية، فلا بُدَّ من الإقتصار على مورد النص وذلك لأنّ كلمات الأئمة علیهم السلام تنظر إلى وقت واحد وتكشف عن حكم قد شرع في صدر الإسلام، فلا أثر لمجرد كون أحد الخبرين أحدث من الآخر صدوراً في الكاشفية والطريقية التي هي ملاك الحجية والاعتبار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نقول بأنّ مورد هذه الطائفة تتضمن خصوصيتين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 الحديثين قطعيين سنداً ومسموعين من الإمام علیه السلام مباشرةً فلا يمكن التعدي منهما إلى الظنيين لاحتمال دخل القطع بالصدور في هذا الحكم، فهو ليس حكماً واقعياً، بل هو حكم ظاهري تعبدي، ومن المعقول دخل اليقين والشك فيه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معاصرة السامع للخبر الأحدث وحضوره في مجلس الصدور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المفروض فيها بمقتضى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جئتني من قابل فحدثتك بخلافه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فيحتمل دخل هذه الخصوصية في الحكم المذكور أيضاً</w:t>
      </w:r>
      <w:r>
        <w:rPr>
          <w:rFonts w:eastAsia="IRNazanin" w:cs="IRNazanin"/>
          <w:color w:val="111111"/>
          <w:sz w:val="28"/>
          <w:szCs w:val="28"/>
          <w:rtl w:val="true"/>
          <w:lang w:bidi="fa-IR"/>
        </w:rPr>
        <w:t xml:space="preserve">. </w:t>
      </w:r>
      <w:bookmarkStart w:id="385" w:name="pg15367_181268"/>
    </w:p>
    <w:p>
      <w:pPr>
        <w:pStyle w:val="BookText"/>
        <w:rPr/>
      </w:pPr>
      <w:bookmarkEnd w:id="385"/>
      <w:r>
        <w:rPr>
          <w:rFonts w:ascii="Amiri" w:hAnsi="Amiri" w:eastAsia="Amiri" w:cs="Amiri"/>
          <w:color w:val="111111"/>
          <w:sz w:val="28"/>
          <w:sz w:val="28"/>
          <w:szCs w:val="28"/>
          <w:rtl w:val="true"/>
          <w:lang w:bidi="ar-SA"/>
        </w:rPr>
        <w:t>ويشهد لذلك ما ورد في خبر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حَدِيثٌ عَنْ أَوَّلِكُمْ وحَدِيثٌ عَنْ آخِرِكُمْ بِأَيِّهِمَا نَأْخُذُ؟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بِهِ حَتَّى يَبْلُغَكُمْ‌عَنِ الْحَيِ؛ فَإِنْ بَلَغَكُمْ عَنِ الْحَيِّ فَخُذُوا بِقَوْلِهِ</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وإطلاقه وإنْ كان يشمل المقطوع الصدور ومظنونه إلا أنه يدلّ على الخصوصية الثانية كما هو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 هذه الطائفة ليست من أدلة الترجيح، بل مفادها أمر آخر وهو ما ذكرناه من بيان الوظيفة الفعلية للسامع التي قد تكون واقعية، وقد تكون ظاهرية لظروف التقية والأخذ بالأحدث في هذه الروايات ملاحظةٌ ثانية دون الأولى، وتدلّ على التأكيد على لزوم اتّباعه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ويرشد إلى ذلك فهم السائل والتفاته لذلك وجوابه بالأخذ بالأحدث مِمّا يدلّ على أنه كان أمراً مركوزاً في ذهنه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عليه أيضاً ذيل خبر الكناني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وأبى الله عَزَّ وَجَلَّ لنا ولكم في دينه إلا التقية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تدل على ذلك روايات أخرى مثل ما ورد عن أَبِي عُبَيْدَةَ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زِيَادُ مَا تَقُولُ لَوْ أَفْتَيْنَا رَجُلًا مِمَّنْ يَتَوَلَّانَا بِشَيْ‌ءٍ مِنَ التَّقِيَّةِ؟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أَخَذَ بِهِ فَهُوَ خَيْرٌ لَهُ وأَعْظَمُ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 إِنْ أَخَذَ بِهِ أُجِرَ وإِنْ تَرَكَهُ والله أَثِمَ</w:t>
      </w:r>
      <w:r>
        <w:rPr>
          <w:rFonts w:eastAsia="Amiri" w:cs="Amiri" w:ascii="Amiri" w:hAnsi="Amiri"/>
          <w:color w:val="111111"/>
          <w:sz w:val="28"/>
          <w:szCs w:val="28"/>
          <w:rtl w:val="true"/>
          <w:lang w:bidi="ar-SA"/>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5900760_2142443653"/>
      <w:bookmarkStart w:id="387" w:name="_Toc145"/>
      <w:bookmarkEnd w:id="386"/>
      <w:r>
        <w:rPr>
          <w:rtl w:val="true"/>
        </w:rPr>
        <w:t>الصنف الرابع</w:t>
      </w:r>
      <w:r>
        <w:rPr>
          <w:rtl w:val="true"/>
        </w:rPr>
        <w:t xml:space="preserve">: </w:t>
      </w:r>
      <w:r>
        <w:rPr>
          <w:rtl w:val="true"/>
        </w:rPr>
        <w:t>الترجيح بالصفات</w:t>
      </w:r>
      <w:bookmarkEnd w:id="387"/>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وأهم ما يستدل به على الترجيح بالصفات هو مقبولة عمر بن حنظلة ومرفوعة زرارة؛ أما المقبولة فقد رواها المحدث العاملي في الوسائل في الباب التاسع من أبواب صفات القاضي عَنْ عُمَرَ بْنِ حَنْظَلَةَ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رَجُلَيْنِ مِنْ أَصْحَابِنَا بَيْنَهُمَا مُنَازَعَةٌ فِي دَيْنٍ أَوْ مِيرَاثٍ فَتَحَاكَمَا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كَانَ كُلُّ وَاحِدٍ اخْتَارَ رَجُلًا مِنْ </w:t>
      </w:r>
    </w:p>
    <w:p>
      <w:pPr>
        <w:pStyle w:val="BookText"/>
        <w:rPr/>
      </w:pPr>
      <w:r>
        <w:rPr>
          <w:rFonts w:ascii="Amiri" w:hAnsi="Amiri" w:eastAsia="Amiri" w:cs="Amiri"/>
          <w:color w:val="111111"/>
          <w:sz w:val="28"/>
          <w:sz w:val="28"/>
          <w:szCs w:val="28"/>
          <w:rtl w:val="true"/>
          <w:lang w:bidi="ar-SA"/>
        </w:rPr>
        <w:t>أَصْحَابِنَا فَرَضِيَا أَنْ يَكُونَا النَّاظِرَيْنِ فِي حَقِّهِمَا واخْتَلَفَا فِيمَا حَكَمَا وكِلَاهُمَا اخْتَلَفَا فِي حَدِيثِكُمْ‌</w:t>
      </w:r>
      <w:r>
        <w:rPr>
          <w:rStyle w:val="FootnoteAnchor"/>
          <w:rtl w:val="true"/>
        </w:rPr>
        <w:footnoteReference w:id="360"/>
      </w:r>
      <w:r>
        <w:rPr>
          <w:rFonts w:ascii="Amiri" w:hAnsi="Amiri" w:eastAsia="Amiri" w:cs="Amiri"/>
          <w:color w:val="111111"/>
          <w:sz w:val="28"/>
          <w:sz w:val="28"/>
          <w:szCs w:val="28"/>
          <w:rtl w:val="true"/>
          <w:lang w:bidi="ar-SA"/>
        </w:rPr>
        <w:t>فَقَالَ الْحُكْمُ مَا حَكَمَ بِهِ أَعْدَلُهُمَا وأَفْقَهُهُمَا وأَصْدَقُهُمَا فِي الْحَدِيثِ وأَوْرَعُهُمَا ولَا يُلْتَفَتُ إِلَى مَا يَحْكُمُ بِهِ الْآخَرُ قَالَ فَقُلْتُ فَإِنَّهُمَا عَدْلَانِ مَرْضِيَّانِ عِنْدَ أَصْحَابِنَا لَا يُفَضَّلُ‌</w:t>
      </w:r>
      <w:r>
        <w:rPr>
          <w:rStyle w:val="FootnoteAnchor"/>
          <w:rtl w:val="true"/>
        </w:rPr>
        <w:footnoteReference w:id="361"/>
      </w:r>
      <w:r>
        <w:rPr>
          <w:rFonts w:ascii="Amiri" w:hAnsi="Amiri" w:eastAsia="Amiri" w:cs="Amiri"/>
          <w:color w:val="111111"/>
          <w:sz w:val="28"/>
          <w:sz w:val="28"/>
          <w:szCs w:val="28"/>
          <w:rtl w:val="true"/>
          <w:lang w:bidi="ar-SA"/>
        </w:rPr>
        <w:t>وَاحِدٌ مِنْهُمَا عَلَى صَاحِبِهِ قَالَ فَقَالَ يُنْظَرُ إِلَى مَا كَانَ مِنْ رِوَايَاتِهِمَا</w:t>
      </w:r>
      <w:r>
        <w:rPr>
          <w:rStyle w:val="FootnoteAnchor"/>
          <w:rtl w:val="true"/>
        </w:rPr>
        <w:footnoteReference w:id="362"/>
      </w:r>
      <w:r>
        <w:rPr>
          <w:rFonts w:ascii="Amiri" w:hAnsi="Amiri" w:eastAsia="Amiri" w:cs="Amiri"/>
          <w:color w:val="111111"/>
          <w:sz w:val="28"/>
          <w:sz w:val="28"/>
          <w:szCs w:val="28"/>
          <w:rtl w:val="true"/>
          <w:lang w:bidi="ar-SA"/>
        </w:rPr>
        <w:t>عَنَّا فِي ذَلِكَ الَّذِي حَكَمَا بِهِ الْمُجْمَعَ عَلَيْهِ عِنْدَ أَصْحَابِكَ فَيُؤْخَذُ بِهِ مِنْ حُكْمِنَا ويُتْرَكُ الشَّاذُّ الَّذِي لَيْسَ بِمَشْهُورٍ عِنْدَ أَصْحَابِكَ فَإِنَّ الْمُجْمَعَ عَلَيْهِ لَا رَيْبَ فِيهِ إِلَى أَنْ قَالَ فَإِنْ كَانَ الْخَبَرَانِ عَنْكُمْ مَشْهُورَيْنِ قَدْ رَوَاهُمَا الثِّقَاتُ عَنْكُمْ قَالَ يُنْظَرُ فَمَا وَافَقَ حُكْمُهُ حُكْمَ الْكِتَابِ والسُّنَّةِ وخَالَفَ الْعَامَّةَ فَيُؤْخَذُ بِهِ ويُتْرَكُ مَا خَالَفَ حُكْمُهُ حُكْمَ الْكِتَابِ والسُّنَّةِ ووَافَقَ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أَ رَأَيْتَ إِنْ كَانَ الْفَقِيهَانِ‌</w:t>
      </w:r>
      <w:r>
        <w:rPr>
          <w:rStyle w:val="FootnoteAnchor"/>
          <w:rtl w:val="true"/>
        </w:rPr>
        <w:footnoteReference w:id="363"/>
      </w:r>
      <w:r>
        <w:rPr>
          <w:rFonts w:ascii="Amiri" w:hAnsi="Amiri" w:eastAsia="Amiri" w:cs="Amiri"/>
          <w:color w:val="111111"/>
          <w:sz w:val="28"/>
          <w:sz w:val="28"/>
          <w:szCs w:val="28"/>
          <w:rtl w:val="true"/>
          <w:lang w:bidi="ar-SA"/>
        </w:rPr>
        <w:t>عَرَفَا حُكْمَهُ مِنَ الْكِتَابِ والسُّنَّةِ ووَجَدْنَا أَحَدَ الْخَبَرَيْنِ مُوَافِقاًلِلْعَامَّةِ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مُخَالِفاً لَهُمْ بِأَيِّ الْخَبَرَيْنِ يُؤْخَذُ فَقَالَ مَا خَالَفَ الْعَامَّةَ فَفِيهِ الرَّشَادُ فَقُلْتُ جُعِلْتُ فِدَاكَ فَإِنْ وَافَقَهُمَا الْخَبَرَانِ جَمِيعاً قَالَ يُنْظَرُ إِلَى مَا هُمْ إِلَيْهِ أَمْيَلُ حُكَّامُهُمْ وقُضَاتُهُمْ فَيُتْرَكُ ويُؤْخَذُ بِالْآخَرِ قُلْتُ فَإِنْ وَافَقَ حُكَّامُهُمْ الْخَبَرَيْنِ جَمِيعاً قَالَ إِذَا كَانَ ذَلِكَ 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المرفوعة فقد رواها ابن أبي جمهور الإحسائي في عوالي اللئالي عن العلامة مرفوعاً إلى زُرَارَة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يَأْتِي عَنْكُمُ الْخَبَرَانِ أَوِ الْحَدِيثَانِ الْمُتَعَارِضَانِ فَبِأَيِّهِمَا آخُذُ؟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زُرَارَةُ خُذْ بِمَا اشْتَهَرَ بَيْنَ أَصْحَابِكَ ودَعِ الشَّاذَّ النَّادِرَ </w:t>
      </w:r>
    </w:p>
    <w:p>
      <w:pPr>
        <w:pStyle w:val="BookText"/>
        <w:rPr/>
      </w:pPr>
      <w:r>
        <w:rPr>
          <w:rFonts w:ascii="Amiri" w:hAnsi="Amiri" w:eastAsia="Amiri" w:cs="Amiri"/>
          <w:color w:val="111111"/>
          <w:sz w:val="28"/>
          <w:sz w:val="28"/>
          <w:szCs w:val="28"/>
          <w:rtl w:val="true"/>
          <w:lang w:bidi="ar-SA"/>
        </w:rPr>
        <w:t xml:space="preserve">فَقُلْتُ يَا سَيِّدِي إِنَّهُمَا مَعاً مَشْهُورَانِ مَرْوِيَّانِ مَأْثُورَانِ عَنْكُمْ فَقَالَ علیه السلام خُذْ بِقَوْلِ أَعْدَلِهِمَا عِنْدَكَ وأَوْثَقِهِمَا فِي نَفْسِكَ فَقُلْتُ إِنَّهُمَا مَعاً عَدْلَانِ مَرْضِيَّانِ مُوَثَّقَانِ فَقَالَ انْظُرْ إِلَى مَا وَافَقَ مِنْهُمَا مَذْهَبَ الْعَامَّةِ فَاتْرُكْهُ وخُذْ بِمَا خَالَفَهُمْ فَإِنَّ الْحَقَّ فِيمَا خَالَفَهُمْ فَقُلْتُ رُبَّمَا كَانَا مَعاً مُوَافِقَيْنِ لَهُمْ أَوِ مُخَالِفَيْنِ فَكَيْفَ أَصْنَعُ فَقَالَ إِذَنْ فَخُذْ بِمَا فِيهِ الْحَائِطَةُ لِدِينِكَ واتْرُكْ مَا خَالَفَ الِاحْتِيَاطَ فَقُلْتُ إِنَّهُمَا مَعاً موافقين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مُوَافِقَانِ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لِلِاحْتِيَاطِ أَوْ مخالفين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مُخَالِفَانِ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فَكَيْفَ أَصْنَعُ فَقَالَ علیه السلام إِذَنْ فَتَخَيَّرْ أَحَدَهُمَا فَتَأْخُذُ بِهِ وتَدَعُ الْآخَر</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والبحث عن هاتين الروايتين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سنديهما</w:t>
      </w:r>
    </w:p>
    <w:p>
      <w:pPr>
        <w:pStyle w:val="BookText"/>
        <w:rPr/>
      </w:pPr>
      <w:r>
        <w:rPr>
          <w:rFonts w:ascii="Amiri" w:hAnsi="Amiri" w:eastAsia="Amiri" w:cs="Amiri"/>
          <w:color w:val="111111"/>
          <w:sz w:val="28"/>
          <w:sz w:val="28"/>
          <w:szCs w:val="28"/>
          <w:rtl w:val="true"/>
          <w:lang w:bidi="ar-SA"/>
        </w:rPr>
        <w:t>أما المرفوعة فقد قيل أنه لا إشكال في سقوطها سنداً لما فيها من 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قالوا بأنّ هذه الرواية لم توجد في كتب العلامة التي بأيدينا، والجبر بالعمل غير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يمكن القول بأنها إذا كانت ساقطة سنداً ولا اعتبار بها فلا مبرّر للحديث عن معارضتها مع المقبولة والكلام في تقديم بعض المرجّحات وتأخيرها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أخذ ذلك حيزاً في كلماتهم وليس ذلك إلا من جهة الوثوق بصدورها كما سيأتي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المقبولة فقد يقال بسقوط سندها عن الحجية أيضاً باعتبار عدم توثيق عمر بن حنظلة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يمكن الجواب عنه</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وثاقة عمر بن حنظلة كما عليه جمع من العلماء لوجوه عديدة، منها ما ورد في رواية يَزِيدَ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بْنَ حَنْظَلَة أَتَانَا عَنْكَ بِوَقْتٍ، فَقَالَ أَبُو عَبْدِ اللَّهِ علیه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لَا يَكْذِبَ عَلَيْنَا وَذَكَرَ الْحَدِيثَ إِلَى أَنْ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وهو ظاهر في وثاقة عمر بن حنظلة عند الإمام علیه السلام ، إلا أن يقال بأنّ يزيد بن خليفة نفسه ممن لم يوثق فلا يمكن الإعتماد على هذه الرواية في توثيق عمر بن حنظلة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الجواب عنه بأنّ صفوان بن يحيى يروي عن يزيد وهو ممن لا يروي إلا عن ثقة كما هو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ثبت وثاقة يزيد بن خليفة في الوثوق بروايته يصح إثبات وثاقة عمر بن حنظلة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إعتناء المشايخ الأجلاء من المحدثين والفقهاء في كلّ طبقة بهذه الرواية ضبطاً وعملاً وبحثاً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صفوان بن يحيى في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تلقيهم هذه الرواية بالقبول حتى أسموها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القرائن مِمّا يوجب الوثوق بصدورها، ومن جميع ذلك يتبين صحة سند 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الإشكالات عليها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وردت في مورد الحكومة والقضاء فلا تشمل غيرها</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إنها تنصّ في أنّ المدار على منشأ الحكم ودليله من دون أن يكون لنفس الحكم من حيث هو موضوعية خاصة، ويدلّ على ذلك قول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كلّ واحد اختار رجلاً من أصحابنا فرضيا أن يكونا الناظرين في حقهما فاختلفا فيما حكما وكلاهما اختلفا في حديثكم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ينظر إلى ما كان من روايتهما عنا في ذلك الذي حكما به المجمع عليه عند أصحابك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وغير ذلك مِمّا هو ظاهر في ذلك أو نصّ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فرق حينئذٍ بين كون الدليل دليلاً للحكم أو للفتوى فتشمل جميع الأحاديث المتعارضة الصالحة للدليلية مطلقاً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الإشكال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معارضة المقبولة بمرفوعة زرارة؛ حيث ذكر في الأخيرة الشهرة أول المرجّحات، بخلاف المقبولة التي وردت الشهرة بعد صفات الراوي؛ مع أنّ سيرة العلماء على تقديم الشهرة في الترجيح على سائر المرجّحات مطلقاً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اختلاف بينهما؛ فإنّ أول المرجّحات الخبرية هي الشهرة نصاً وفتوى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المقبولة ذكرت الشهرة أول المرجّحات الخبرية أيضاً، وإنما ذكرت الصفات للحاكم من حيث أنه حاكم لذكر منصب الحكومة في صدر المقبولة لا للخبر المتعارض من حيث أنه خبر متعارض؛ فيكون الترجيح بالصفات في المقبولة للحاظ أحد الحكمين على الآخر لا الروايتين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ويرشد إلى ذلك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الحكم ما حكم أعدلهما وأفقههما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ظاهر فيما ذكرناه كظهور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ينظر إلى ما كان من روايتهما عنا في ذلك الذي حكما به المجمع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فتكون الشهرة أول المرجّحات الخبرية، فلا تنافي بين المقبولة والمرفوعة، وما استقرعليه عمل المشهور من تقديم الشهرة على جميع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 إنْ شاء الله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الإشكال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إختصاص المقبولة بزمان الحضور لقوله علیه السلام في ذيلها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فأرجئه حتى تلقى إمامك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التعبيرات في الروايات مختلفة؛ ففي المقبولة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تلقى إمامك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موثق سماعة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يلقى من يخبره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يأتيكم بيان من عندنا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خبر رابع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ترى القائم فيرد عليه</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والمستفاد من جميع ذلك أنه ليس ملاقاة الإمام ورؤية القائم علیه السلام موضوعية، بل المناط كله في الوصول إلى الحجة المعتبرة الصادرة عن المعصوم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وبعد التأمل في مجموع الأخبار الواردة عنهم علیهم السلام وردّ متشابهاتها إلى محكماتها يظهر بوضوح أنّ الحجة المعتبرة عنهم علیهم السلام إنَّما هي التخيير بعد التكافؤ من جميع الجهات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تقدم أنه لم يزد ما صدر عن الأئمة الهداة علیهم السلام في حكم التعارض على ما ارتكز في العقل من العمل بالراجح، ثم التخيير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جميع ما صدر عنهم إرشاد إلى الفطرة وداعٍ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وسيأتي مزيد بيان إنْ شاء الله تعالى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مفادها</w:t>
      </w:r>
    </w:p>
    <w:p>
      <w:pPr>
        <w:pStyle w:val="BookText"/>
        <w:rPr/>
      </w:pPr>
      <w:r>
        <w:rPr>
          <w:rFonts w:ascii="Amiri" w:hAnsi="Amiri" w:eastAsia="Amiri" w:cs="Amiri"/>
          <w:color w:val="111111"/>
          <w:sz w:val="28"/>
          <w:sz w:val="28"/>
          <w:szCs w:val="28"/>
          <w:rtl w:val="true"/>
          <w:lang w:bidi="ar-SA"/>
        </w:rPr>
        <w:t>لا إشكال في أنهما تتضمنان على مرجحين زائداً على ما دلّت عليه رواية الراوندي من المرجّحات؛ وهما الترجيح بالشهرة والترجيح بالصفات مع ما عرفت من الفرق بين تقديم أحدهما على الآخر في الروايتين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الجواب عنه، وإنما الكلام في كيفية الترجيح بهذين المرجحين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ناقش جملة من المحققين في استفادة الترجيح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ذهبوا إلى أنّ المراد بالشهرة التواتر والإستفاضة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مثل ذلك تسقط الرواية المعارضة لدليل قطعيّ عن الحجية لشذوذها مقابل الترجيح بالشهرة، فلا يكون الأخذ بالمشهور من باب الترجيح بل يكون من باب تمييز الحجة عن اللاحجة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ذلك غير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الشهرة بأيّ معنى أخذت سواء كانت الشهرة في الرواية أم الشهرة في الفتوى ليست هي المساوقة مع قطعية الصدور؛ إذ لا يناسب فرض السائل من إمكان اشتهار الروايتين المتعارضتين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فرض ذلك لم يبق مجال بعد ذلك للترجيح بالأعدلية والأوثقية كما هو واضح</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ودعوى أنّ الشهرة الروائية حيثما توجد في المتعارضين معاً لا يحصل القطع بالصدور فيها؛ مدفوعةٌ بأنّ هذا يتم فيما إذا كان يستبعد صدور أحاديث متعارضة من الأئمة علیهم السلام ، </w:t>
      </w:r>
    </w:p>
    <w:p>
      <w:pPr>
        <w:pStyle w:val="BookText"/>
        <w:rPr/>
      </w:pPr>
      <w:r>
        <w:rPr>
          <w:rFonts w:ascii="Amiri" w:hAnsi="Amiri" w:eastAsia="Amiri" w:cs="Amiri"/>
          <w:color w:val="111111"/>
          <w:sz w:val="28"/>
          <w:sz w:val="28"/>
          <w:szCs w:val="28"/>
          <w:rtl w:val="true"/>
          <w:lang w:bidi="ar-SA"/>
        </w:rPr>
        <w:t>ولكن عرفت أنه لا استبعاد في صدورها عنهم بعد ابتلاءهم بظروف التقية وغيرها من الملابسات التي كانت تضطرهم إلى الإحتياط والتحفظكما تقدم بيان ذلك مفصلاً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يؤثر مجرد تعارض الخبرين المشهورين بحسب الظهور في حصول القطع أو الإطمئنان بصدورهما معاً أثراً معتداً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إنه قد يقال بأنّ سياق المرفوعة يشير إلى الشهرة الفتوائية؛ لأنّ ذكر الترجيح بالصفات فيها يأبى أن يراد بها الشهرة الروائية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 لو كان المراد ذلك لكان المناسب أن يرجح ما كان مجموع رواته أعدل وأصدق، مع أنّ الوارد في تعبير الإمام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يقول أعدلهما عندك وأوثقهما في نفسك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وجاء في تعبير السائل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أنهما عدلان مرضيان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ظاهر في ملاحظة الراويين المباشرين، وهذا يدل على استفادة الترجيح بالشهرة الفتوائية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بخلاف المقبولة فإنّ احتمال إرادة الشهرة في الرواية منها أظهر من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كان الخبران عنكم مشهورين قد رواهما الثقاة عنكم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ولكن الصحيح أنّ إطلاق الخبرين يشمل الشهرتين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عرفت أنّ المقبولة والمرفوعة تميزتا عن معتبرة الراوندي باشتمالهما على الترجيح بالشهرة والترجيح بالصفات، وقد اتفقتا في إثبات جميع المرجّحات التي وردت فيهما إلا أنهما تختلفان في موارد</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بدأت الترجيح بالصفات وثنّت بالشهرة، بينما في المرفوعة عكس ذلك، فيقع بين إطلاقيهما تعارض من هذه الناحية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المحقق الأنصاري قدس سره </w:t>
      </w:r>
      <w:r>
        <w:rPr>
          <w:rStyle w:val="FootnoteAnchor"/>
          <w:rtl w:val="true"/>
        </w:rPr>
        <w:footnoteReference w:id="367"/>
      </w:r>
      <w:r>
        <w:rPr>
          <w:rFonts w:ascii="Amiri" w:hAnsi="Amiri" w:eastAsia="Amiri" w:cs="Amiri"/>
          <w:color w:val="111111"/>
          <w:sz w:val="28"/>
          <w:sz w:val="28"/>
          <w:szCs w:val="28"/>
          <w:rtl w:val="true"/>
          <w:lang w:bidi="ar-SA"/>
        </w:rPr>
        <w:t>أنه يمكن العمل بالمقبولة بحكم المرفوعة التي تقضي بتقديم المشهور على الشاذ؛ باعتبار أنّ المقبولة مشهورة، بخلاف المرفوعة التي لم تنقل إلا عن عوالي اللئالي مرفوعاً إلى زرارة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واعترض عليه المحقق الإصفهاني قدس سره </w:t>
      </w:r>
      <w:r>
        <w:rPr>
          <w:rStyle w:val="FootnoteAnchor"/>
          <w:rtl w:val="true"/>
        </w:rPr>
        <w:footnoteReference w:id="368"/>
      </w:r>
      <w:r>
        <w:rPr>
          <w:rFonts w:ascii="Amiri" w:hAnsi="Amiri" w:eastAsia="Amiri" w:cs="Amiri"/>
          <w:color w:val="111111"/>
          <w:sz w:val="28"/>
          <w:sz w:val="28"/>
          <w:szCs w:val="28"/>
          <w:rtl w:val="true"/>
          <w:lang w:bidi="ar-SA"/>
        </w:rPr>
        <w:t>بأنّ هذا مستحيل؛ إذ يلزم منه سقوط المرفوعة عن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ما يلزم من وجوده عدمه يكون محالاً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عرفت من أنه لا تعارض بين المقبولة والمرفوعة في هذا المورد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وجوده فليس على نحو التباين، بل بنحو العموم من وجه بمعنى التعارض بين إطلاق الترجيح بكلّ من المرجّحين المتعاكسين فيهما مع إطلاق الآخر؛ فإنّ المقبولة تثبت الترجيح بالصفات سواء كان الآخر مشهوراً أم لا، والمرفوعة تثبت الترجيح بالشهرة سواء كان الآخر واجداً للصفات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فيتعارضان في خصوص ما إذا كان أحدهما واجداً للصفات والآخر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 التكافؤ بين المقبولة والمرفوعة؛ إما يقتضي التساقط بناءً على المشهور أو الرجوع إلى التخيير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تقدم أنّ الترجيح بالشهرة من أقوى المرجّحات عند العقلاء، وعليه إجماع العلماء فلا تصل النوبة إلى التكافؤ والتخيير، أو نقول بأنّ الترجيح بالمرجّحات المنصوصة يشمل العامّين من وجه فتصحّ دعوى الشيخ الأنصاري قدس 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قلنا بأنّ المرجّحات الواردة في هذه الأخبار مخصوصة بالتعارض السندي فلا وجه لترجيح المقبولة على المرفوعة بكونها 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فصّل السيد الصدر قدس سره </w:t>
      </w:r>
      <w:r>
        <w:rPr>
          <w:rStyle w:val="FootnoteAnchor"/>
          <w:rtl w:val="true"/>
        </w:rPr>
        <w:footnoteReference w:id="369"/>
      </w:r>
      <w:r>
        <w:rPr>
          <w:rFonts w:ascii="Amiri" w:hAnsi="Amiri" w:eastAsia="Amiri" w:cs="Amiri"/>
          <w:color w:val="111111"/>
          <w:sz w:val="28"/>
          <w:sz w:val="28"/>
          <w:szCs w:val="28"/>
          <w:rtl w:val="true"/>
          <w:lang w:bidi="ar-SA"/>
        </w:rPr>
        <w:t>بين صورتين</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إحداهما؛ افتراض كون المقبولة مشهورة من دون أن تكون المرفوعة واجدة لمزية صفتية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هذه الحالة نحكم بتقديم المقبولة في مادة التعارض لدخول المرفوعة في مادة الإفتراق، </w:t>
      </w:r>
    </w:p>
    <w:p>
      <w:pPr>
        <w:pStyle w:val="BookText"/>
        <w:rPr/>
      </w:pPr>
      <w:r>
        <w:rPr>
          <w:rFonts w:ascii="Amiri" w:hAnsi="Amiri" w:eastAsia="Amiri" w:cs="Amiri"/>
          <w:color w:val="111111"/>
          <w:sz w:val="28"/>
          <w:sz w:val="28"/>
          <w:szCs w:val="28"/>
          <w:rtl w:val="true"/>
          <w:lang w:bidi="ar-SA"/>
        </w:rPr>
        <w:t>وبالتالي تكون المرفوعة بإطلاقها في مادة الإفتراق لهذا المورد من موارد التعارض قد خصصت مادةَ اجتماعهما مع المقبولة فلا يلزم من وجوده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يلزم من إسقاط مادة اجتماعهما تخصيصهما بالفرد النادر لبقاء مورد الإقتران، ولا موجب لفرض ندرتها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والأخرى؛ فرض كون المرفوعة أرجح من حيث صفات الراوي من المقبولة وإنْ كانت هذه 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الحالة لا يتم ما أفاده الشيخ قدس سره لأنّ ترجيح المقبولة على المرفوعة بالشهرة عملاً بالمرفوعة ليس بأولى من ترجيح المرفوعة على المقبولة بالصفات عملاً بالمقبولة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ذكره قدس سره لا يجدي شيئاً؛ لأنّ الصورة الأولى يستلزم منها أن لا تكون النسبة عموم من وجه بين المقبولة والمرفوعة؛ فإنْ فرض عدم كون الأخيرة واجدة للصفات فلا تشملها المقبولة فيتعين العمل بها حتى تعارضها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الصورة الثانية فالمشهور بين العلماء أنّ الشهرة من أقوى المرجّحات؛ فعند التعارض بين المرجّحات تُقدَّم المشهورة على غيرها، وعليه تتقدم المقبولة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المحقق الإصفهاني قدس سره من محذور الاستحالة فهو غير وارد؛ فإنّ الإستحالة المذكورة موطنها التكوينيات والواقعيات دون الإعتباريات التي منها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فرضه لا مانع من سقوط الدليل في نقطة، ويكون حجة في نقاط أخرى لأنّ المرفوعة قد اشتملت على عدة مرجحات وتضمنت إطلاقات متعددة، فإذا كانت في مورد تتعارض مع المقبولة وتتقدم الأخيرة عليها من أجل تطبيق مضمون المرفوعة عليها لا يستلزم منه 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إنَّما كان التقديم في هذه المرتبة دون بقية المراتب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افتراض التعارض بين المرفوعة والمقبولة واستحكامه بينهما</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إذا أمكن الجمع بينهما جمعاً عرفياً فلا إشكال؛ فإنَّه يمكن الجمع بينهما بوجود مقبولة عند العرف كالتخصيص والتقييد ونحو ذلك، وله وجوه عديدة يمكن افتراضها في دليلي </w:t>
      </w:r>
    </w:p>
    <w:p>
      <w:pPr>
        <w:pStyle w:val="BookText"/>
        <w:rPr/>
      </w:pPr>
      <w:r>
        <w:rPr>
          <w:rFonts w:ascii="Amiri" w:hAnsi="Amiri" w:eastAsia="Amiri" w:cs="Amiri"/>
          <w:color w:val="111111"/>
          <w:sz w:val="28"/>
          <w:sz w:val="28"/>
          <w:szCs w:val="28"/>
          <w:rtl w:val="true"/>
          <w:lang w:bidi="ar-SA"/>
        </w:rPr>
        <w:t>الترجيح المختلفين،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يقتصر كلٌّ منهما على مرجّح غير ما تكفّله الآخر؛ كما إذا كان في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اشتهر بين أصحابك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يرويه أعدلهما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يقتصر إحداهما على مرجّح، ويذكر الآخر مرجّحين أحدهما غير ما ذكر في الأول؛ كما جاء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بالمشهور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وورد في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بما يرويه الأعدل وإنْ لم يكن فبالمشهور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الحالة السابقة ولكن على عكسها؛ بأن كان المرجح الثاني 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بالمشهور وإنْ لم يكن فبالأعدل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يذكر كلٌّ من الدليلين كلا المرجّحين مع التعاكس في الترتيب كما هو الحال في المرفوعة والمقبولة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واستحكام التعارض إنَّما يكون في الحالة الأولى التي تكون المعارضة بنحو العموم من وجه دون الحالات الثلاثة الأخرى لأنّ الحالة الثانية يكون الدليل المشتمل على مرجحين فيها أخصّ مطلقاً من دليل الترجيح فيقيّد به، وفي الحالة الثانية لا تعارض بينهما أصلاً لأنّ الدليل المشتمل على المرجّح الأول فقط ساكت عن وجود ترجيح آخر طولي لا ينفيه</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الحالة الرابعة يكون لكلّ واحد من الدليلين المتعاكسين ظهوران؛ ظهور إطلاقي يقتضي تقدُّم المرجّح الأول على المرجّح الثاني، وظهور عرفي في أنّ المرجح المذكور أولاً ليس متأخراً رتبة عن المذكور ثانياً، بل إنه إما مقدم عليه أو في عرضه، وإلا لما قُدِّم عليه في التسلسل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الظهور أقوى من الإطلاق فالتعارض واقعاً بين الظهور الإطلاقي وهذا الظهور العرفي، وهو مقدم على الظهور الآخر كما تقدم بيانه في موارد الجمع العرفي</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هذا إذا كان الترتيب في كلام الإمام علیه السلام ابتداءً، وأما إذا استفدنا من كلامه علیه السلام الترتيب عن طريق الترتيب في سؤال الراوي فقد لا يكون الجمع العرفي المزبور واضحاً لاحتمال أنّ جواب الإمام علیه السلام كان على عكس ترتيب سؤال الراوي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والصحيح أن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كلّ ذلك من الفرضيات التي هي بعيدة عن كلمات الأئمة علیهم السلام ، ولا بدَّ من الرجوع حينئذٍ إلى عمل الأصحاب وفهمهم لما ورد في الأحاديث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مِمّا يهون الخطب أنّ هذا البحث برمّته مبني على الفرض كما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أحسن السيد الوالد قدس سره صنيعاً حيث أهمل البحث لعدم الجدوى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المورد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الإختلاف بين المقبولة والمرفوعة في الصفات التي جعلت وجوهاً للترجيح في كلّ منها؛ فالمقبولة تضمنت الترجيح بأربع صفات وهي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الأعدلية والأفقهية والأصدقية في الحديث والأورعية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المرفوعة فقد ذكرت صفتين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الأعدلية والأوثقية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والأصدقية إنَّما تكون بالنسبة إلى الحديث؛ لأنَّه القابل للتفاضل بأن يكون أحد الروايتين يصدر منه الكذب الجائز شرعاً أحياناً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لا يصدر منه حتى ذلك ولا تكون الأصدقية بالنسبة إلى نفس مطابقة الواقع لأنَّها تتصف بالوجود والعدم ولا تقبل الشدة والضعف حتى يتحقق فيها التفاضل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يمكن إرجاع الأورعية إلى الأعدلية باعتبار أنها الإستقامة على جادة الشرع والإلتزام بها فيكون المراد بالأورعية مزيد الإستقامة وشدة الإلتزام، فلا فرق بينهما من هذه الجهة فتصير الصفات الترجيحية ثلاثة في المقبولة</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وحينئذٍ؛ إنْ قلنا بأنّ الصفات في المقبولة لأجل ترجيح أحد الحكمين على الآخر؛ فلم يكن تعارض بينها وبين 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إذا قلنا أنها لترجيح أحد الخبرين؛ فإن استظهرنا من الروايتين أنه لا خصوصية لهذه الصفات، وإنما ذكرت أمثلة لوجود المزية العقلائية </w:t>
      </w:r>
    </w:p>
    <w:p>
      <w:pPr>
        <w:pStyle w:val="BookText"/>
        <w:rPr/>
      </w:pPr>
      <w:r>
        <w:rPr>
          <w:rFonts w:ascii="Amiri" w:hAnsi="Amiri" w:eastAsia="Amiri" w:cs="Amiri"/>
          <w:color w:val="111111"/>
          <w:sz w:val="28"/>
          <w:sz w:val="28"/>
          <w:szCs w:val="28"/>
          <w:rtl w:val="true"/>
          <w:lang w:bidi="ar-SA"/>
        </w:rPr>
        <w:t>الموجبة للترجيح وقرب أحد الخبرين للواقع من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عليه جمعٌ من 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في بداية بحث التعارض منه من الأمور العرفية الدائرة في محاورات الناس وخطاباتهم، وانّ أصل الترجيح في المتعارضين عقلاني في الجملة، وكذلك يكون نوع الترجيح أيضاً؛ فلا اختصاص بما ورد في المقبولة والمرفوعة وسيأتي مزيد بيان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فلا إشكال أيضاً في عدم تحقق التعارض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لأننا استفدنا من تعدد الصفات المذكورة المثالية فيلغي الخصوصية لها فيكون المقصود الترجيح بكل مزية يوجب قرب أحد الخبرين إلى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جمدنا على النصّ؛ إما من جهة استظهاره من النصّ، أو للشك في استظهار المثالية، أو استظهرنا المثالية في المقبولة بالخصوص بقرينة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عدلان مرضيان عند أصحابنا لا يفضّل واحد منها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واستظهرنا الخصوصية في المرفوعة فبناءً على ذلك كلّه يقع التعارض بينهما؛ فإنّ أحدهما يقتصر على اثنين ويحكم بالرجوع إلى المرجّحات الأخرى عند فقدهما بخلاف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والعلاج لهذا التعارض يتحقق بتقييد أحدهما بالآخر فتكون هذه المرجّحات في عرض واحد، فلا تصل النوبة إلى المرجّحات الأخرى إلا بعد فقدها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المراد من الأوثقية شدة الإعتماد عليه؛ كما ذكره الشيخ الأنصاري قدس سره وله أسباب عديدة ربما تكون الأصدقية أحدها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والمرفوعة قد اشتركتا في ذكر مرجّحين؛ وهما الشهرة ومخالفة العامة ويقع التعارض بينهما من ناحيتين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المعارضة بالعموم من وجه وبين نفس المرجحين؛ حيث إنّ مقتضى كلّ منهما تقدمه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حكمه آنفاً في المورد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بلحاظ مورد افتراق كلّ من المرجحين بأن كان أحدهما موافقاً للكتاب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الآخر مخالفاً للعامة بعد تساويهما في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وحكم هذه الصورة هو تقييد إطلاق المرجح الثالث بما إذا لم يوجد المرجح الثاني فيكون المرجح الثالث في طول المرجح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صور أخرى في المقام وقع الخلاف فيها لا حاجة إلى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نقل بتقديم مرجح الشهرة على سائر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الإختلاف بين المقبولة والمرفوعة في الترجيح بمخالفة العامة وموافقة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والكلام فيه يقع في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الخبر كونهما مرجحين مستقلين كما فهمه العلماء لاختلاف الروايات فيهما؛ فإنّ بعضها ذكرت أحد الوصفين دون الآخر كالمرفوعة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ذلك خلاف ظاهر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 على كون الموضوع للترجيح الوصفين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النقطة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المتصور لاجتماع الوصفين أو انفرادهما في كلّ من المتعارضين عديدة، وربما تبلغ ستة عشر صورة حاصلة من ضرب الأربعة في أحد الخبرين؛ اجتماع الوصفين وفقدهما، وهذا وحده وذاك وحده في الأربعة في الآخر، والأربعة منها مكررات والباقي اثنتا عشرة والتي ينبغي بحثها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تعارض المزيتين؛ والظاهر الطولية لما دلّ على أنّ مخالف الكتاب زخرف وباطل ونحو ذلك</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صورة ما إذا كان في أحد الخبرين كلتا المزيتين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الآخر مزية واحدة وفيها تفصيل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النقطة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المقبولة قد ذكرت الترجيح بالصفات أولاً، ثم ذكرت الترجيح بالشهرة، ثم ثلّثت بموافقة الكتاب فتكون مخالفة العامة المرجّحَ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في المرفوعة تكون مخالفة العامة المرجّحَ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بناءً على الطولية بينهما تكون مخالفة العامة مقيّدة بقيدين، ولكن في المقبولة مقيّدة بثلاثة قيود؛ وهو عدم الترجيح بموافقة الكتاب، فلا بُدَّ حينئذٍ من تقييد المرفوعة بالمقبولية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دلّت المقبولة على مرجحية الصفات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فرضنا عدم مرجّحيتها فالمقبولة والمرفوعة تتفقان في المرجّحين الأول والثالث وتختلفان في المرجّح الثاني وهو الترجيح بالشهرة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وقوع التعارض بين إطلاقيهما بنحو العموم من وجه؛ المقتضي بعد التساقط عرضيتهما وتأخّر المرجّح الثالث عنهما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المورد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المقبولة بعد الترجيح بمخالفة العامة ترجيحُ ما يكون قضاتهم وحكامهم أبعد عنه، وترك ما يكون أميل لهم، مع إنه لم يرد هذا في المرفوعة بينما ورد فيها الأمر بأخذ ما فيه الحائطة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عدم التنافي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المرفوعة مطلقة والمقبولة هي المقيدة فيحمل المطلق على المقيد هذا إنْ لم نقل بأنّ المتفاهم عرفاً أنّ المخالفة العامة لها مراتب أدناها الإبتعاد عما هو أميل لحكامهم وقضاتهم ويكفي هذه المرتبة في الترجيح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المورد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 أمرت المقبولة عند فقدان جميع المرجّحات بالإحتياط والوقوف عند الشبهة وإرجاء الواقعة إلى أن يلقى الإمام علیه السلام بينما أمرت المرفوعة بالأخذ بما فيه الحائط للدين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تساويهما من هذه الجهة حكم بالتخيير بينهما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أنه لا اختلاف بينهما لما يلي</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الإرجاء يلازم الإحتياط في المسألة الفرعية من حيث كونه أصلاً عملياً إنْ لم يكن الأمر بالإحتياط في المرفوعة ترجيح الخبر الموافق للاحتياط فيكون فتوى بالإحتياط وسيأتي بيانه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تقدم من أنّ الأمر بالإحتياط أو الرجوع إلى الإمام علیه السلام من أجل استبيان الحجة المعتبرة الصادرة عن الإمام علیه السلام والمستفاد من جميع أخبار المقام بعد ردّ متشابهاتها إلى محكماتها يظهر بوضوح أنّ الحجة المعتبرة عندهم إنَّما هو التخيير بعد التكافؤ من جميع الجهات فلا تعارض بين هذين الخبرين من هذه الجهة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إنه هل المستفاد من المرفوعة هو الترجيح بموافقة الإحتياط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التساقط والرجوع إلى أصالة الإحتياط في المسألة الفرعية؟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قد يقال بأنّ الظاهر من المرفوعة هو الترجيح بموافقة الإحتياط دون التساقط والرجوع إلى أصالة الإحتياط في المسألة الفرعية لظاهر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بما فيه الحائطة لدينك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المراد بالإسم الموصول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الحديث الموافق للإحتياط، والأمر بأخذه إرشاد إلى حجيته في مقابل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معنى الترجيح ولا سيما مع فرض الراوي بعد ذلك أنّ الحديثين معاً موافقان للإحتياط أو مخالفان فإنّ ذلك ينسجم مع نظر الراوي إلى الحديث الذي هو المفاد المطابقي للكلام</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بالنظر إلى مفردات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بلحاظ مجموع ما يستفاد من الخبر ولو التزاماً بحيث يشمل نفي الآخر فليس الأمر كذلك؛ فإذا كان نظر الراوي إلى المجموع فإنَّه لم يتحقق فرض كون الحديثين معاً موافقين للإحتياط في مقابل كونهما معاً مخالفين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إنْ أُريد الموافقة المطلقة فهي مستحيلة مع فرض التعارض كاستحالة المخالفة المطلقة، وإنْ أريد الموافقة من وجه المساوقة للمخالفة من وجه كذلك فلا يتصور في قباله شقّ آخر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الصحيح أنهخلاف ظاهر الرواية وهذا بخلاف ما إذا كان نظر الراوي إلى المفاد المطابقي خاصة فإنَّه يحمل فرض موافقة الحديثين للاحتياط على الموافقة ولو من ناحية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مثال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إذا لو دلّ خبر على وجوب التمام، وخبر آخر يدل على وجوب القصر فإنَّه يحمل فرض مخالفة الخبرين للإحتياط على المخالفة المطلقة؛ كما إذا دلّت رواية على أن مواطن التخيير بين القصر والتمام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مكة والمدينة ومسجد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رواية أخرى على أنها ثلاثة وهي مكة المكرمة والمدينة المنورة والحائر الحسيني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يتبين أنّ فرض الحديثين معاً موافقين للإحتياط أو مخالفين له لا يساوق عدم إمكان الإحتياط حتى يقال بأنّ الحجية التخييرية ضرورة يلتجئ إليها المولى في فرض عدم إمكان إجراء أصل الإحتياط، بل يلائم مع إمكان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ذلك يكون التفكيك بين صورة كون أحد الحديثين موافقاً للإحتياط والآخر مخالفاً له وبين صورة كون كلا الحديثين على نحو واحد من جهة الإحتياط موافقة أو مخالفة والإلتزام بالتساقط في الصورة الأولى دون الصورة الثانية على خلاف الإرتكاز العرفي لمناسبات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مجرد كون أحد الخبرين موافقاً للإحتياط دون الآخر لا يكون سبباً لأسوئية حال الخبرين وسقوطها عن الحجية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إنّ ما ذكر من وجه كون الأمر بالإحتياط ظاهر في حجية ما هو الموافق للإحتياط وترجيحه على الآخر فيكون مرجحاً، وما قيل في وجه التساقط والرجوع إلى الإحتياط في المسألة الفرعية؛ كلّ ذلك لا يرفع الإجمال من هذه الجهة لاحتمال الأعمّ منها فلا بُدَّ من الرجوع إلى مجموع ما دلّ على ذلك مع القرائن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جميع ما دلّ على الأخذ بما وافق الإحتياط؛ أنها مضافاً إلى المعارضة بينها كالمقبولة والمرفوعة وغيرها، وكون المورد ما لا يمكن فيه الإحتياط، وكونه خلاف المشهور وخلاف سهولة الشريعة وسماحتها؛ أنه إرشاد إلى حسنه ولا يستفاد أكثر من ذلك فليس فيه ما يخالف بناء العقلاء وسيرتهم</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ما ذكره الأصوليون في الخبرين المتقدمين وهو لا يخلو من نقاش وتعقيد وبعد عن ظاهرهما</w:t>
      </w:r>
      <w:r>
        <w:rPr>
          <w:rFonts w:eastAsia="Amiri" w:cs="Amiri" w:ascii="Amiri" w:hAnsi="Amiri"/>
          <w:color w:val="111111"/>
          <w:sz w:val="28"/>
          <w:szCs w:val="28"/>
          <w:rtl w:val="true"/>
          <w:lang w:bidi="ar-SA"/>
        </w:rPr>
        <w:t xml:space="preserve">. </w:t>
      </w:r>
      <w:bookmarkStart w:id="388" w:name="pg15367_181284"/>
    </w:p>
    <w:p>
      <w:pPr>
        <w:pStyle w:val="Heading6"/>
        <w:numPr>
          <w:ilvl w:val="5"/>
          <w:numId w:val="1"/>
        </w:numPr>
        <w:rPr/>
      </w:pPr>
      <w:bookmarkStart w:id="389" w:name="__RefHeading___Toc5900762_2142443653"/>
      <w:bookmarkStart w:id="390" w:name="_Toc146"/>
      <w:bookmarkEnd w:id="388"/>
      <w:bookmarkEnd w:id="389"/>
      <w:r>
        <w:rPr>
          <w:rtl w:val="true"/>
        </w:rPr>
        <w:t>أمور ختامية</w:t>
      </w:r>
      <w:bookmarkEnd w:id="390"/>
    </w:p>
    <w:p>
      <w:pPr>
        <w:pStyle w:val="BookText"/>
        <w:rPr/>
      </w:pPr>
      <w:r>
        <w:rPr>
          <w:rFonts w:ascii="Amiri" w:hAnsi="Amiri" w:eastAsia="Amiri" w:cs="Amiri"/>
          <w:color w:val="111111"/>
          <w:sz w:val="28"/>
          <w:sz w:val="28"/>
          <w:szCs w:val="28"/>
          <w:rtl w:val="true"/>
          <w:lang w:bidi="ar-SA"/>
        </w:rPr>
        <w:t>وفي الختام نذكر أموراً ترتبط بالخبرين مضافاً إلى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المرجّحات المذكورة في المقبولة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سندية ومضمونية وجهتية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كالأعدلية والأصدقية وكون الخبر مشهوراً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كموافقة الكتاب والسنة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كمخالفة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ذكرها في سياق موافقة الكتاب كونها من المرجّحات المضمونية أيضاً فينطبق عليها المرجح المضموني والجهتي معاً، ولا محذور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بحسب الأفراد فهي ثمانية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الأعدلية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الأفقهية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الأصدقية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الأورعية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موافقة 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العامة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المرجّحات الثلاثة المذكورة هي الدائرة في المتعارضات العرفية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وتنحصر عند العرف إلا أنّ المرجح المضموني عبارة عن موافقة أحد المتعارضين لما تعارض عندهم من القوانين المعتبرة لديهم خالقية كانت أو خلقية فكما أنّ أصل الترجيح في المتعارضين في الجملة عقلائي يكون نوع الترجيح كذلك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الشهرة وموافقة الكتاب ومخالفة العامة من المرجّحات المعروفة في الأخبار عند علمائنا الأبرار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بأنها وردت لتمييز الحجة عن غير الحجة لأنّ الشاذ وموافق العامة ومخالف الكتاب ساقط عن الإعتبار بالمرة، فلا وجه لعدّها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عرفت في بحوثنا السابقة أنّ معنى الترجيح هو جعل الحجة الإقتضائية فعلية وليس الترجيح باعتبار الحجية الفعلية من كلّ جهة في واحد من المتعارضين لعدم تصورها كذلك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الترجيح هو إبداء المانع عن الحجية، لا إسقاط المقتضي لها وبذلك يمكن الجمع بين الكلمات؛ فمن قال بأنها من المرجّحات؛ أي لما فيه اقتضاء الحجية، ومن قال بالعدم يعني في مقام الحجية الفعلية من كل 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ما يتعلق بذلك فراجع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الأمر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المعلوم الذي لا يخفى على أحد أنّ المعصوم علیه السلام إنَّما يدعو إلى كتاب الله عَزَّ وَجَلَّ وهو المفسّر والمبيّن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والداعي إلى الشيء والمفسّر والمبيّن له لا يعقل أن يكون مخالفاً ومبايناً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فعدم صدور مخالف الكتاب من المعصوم علیه السلام من الفطريات التي تلازم دعوته إلى الكتاب وليس من التعبديات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وكذلكيكون الحال بالنسبة إلى مخالف العامة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أهل كلّ مذهب وملّة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كان أم باطلاً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يقدمون على أخذ شيء من أحكام مذهبهم من المذهب المخالف لهم إلا إذا ثبت الإتحاد فيه بالدليل المعتبر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أيضاً من المسلّمات إنْ لم يكن من الفطريات، وإنما أوجب الشارع ذلك احتفاظاً على المذهب الحقّ وحرصاً منه على عدم دخول المذاهب الفاسدة فيه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هو أهمّ المصالح والمقاصد في أخذ ما يخالف العامة وجعله من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الوجه هو من أحسن الوجوه التي قيل في هذا الحكم وهو الأمر بأخذ مخالف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w:t>
      </w:r>
    </w:p>
    <w:p>
      <w:pPr>
        <w:pStyle w:val="BookText"/>
        <w:rPr/>
      </w:pPr>
      <w:r>
        <w:rPr>
          <w:rFonts w:ascii="Amiri" w:hAnsi="Amiri" w:eastAsia="Amiri" w:cs="Amiri"/>
          <w:color w:val="111111"/>
          <w:sz w:val="28"/>
          <w:sz w:val="28"/>
          <w:szCs w:val="28"/>
          <w:rtl w:val="true"/>
          <w:lang w:bidi="ar-SA"/>
        </w:rPr>
        <w:t xml:space="preserve">ذكره السيد الوالد قدس سره </w:t>
      </w:r>
      <w:r>
        <w:rPr>
          <w:rStyle w:val="FootnoteAnchor"/>
          <w:rtl w:val="true"/>
        </w:rPr>
        <w:footnoteReference w:id="370"/>
      </w:r>
      <w:r>
        <w:rPr>
          <w:rFonts w:ascii="Amiri" w:hAnsi="Amiri" w:eastAsia="Amiri" w:cs="Amiri"/>
          <w:color w:val="111111"/>
          <w:sz w:val="28"/>
          <w:sz w:val="28"/>
          <w:szCs w:val="28"/>
          <w:rtl w:val="true"/>
          <w:lang w:bidi="ar-SA"/>
        </w:rPr>
        <w:t xml:space="preserve">وقد ذكر فيه وجوه أخرى لا تخلو عن نقاش، وهي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التعبد المحض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يخفى، فإنَّه بعيد عن الأذهان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لنفس المخالفة من حيث هي موضوعية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رجع إلى ما قلناه فلا بأس به فهو يحتاج إلى دليل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مفقود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الصواب في خلافهم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حقّ في الجملة ويرشد إليه ما ورد في بعض النصوص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الموافق صدر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يرجع إلى ما 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لأجل إلقاء الخلاف وإنْ كان الموافق أقرب إلى الواقع ويشهد له صحيح زرارة قال أبو جعفر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اجْتَمَعْتُمْ عَلَى أَمْرٍ وَاحِدٍ لَصَدَّقَكُمُ النَّاسُ عَلَيْنَا ولَكَانَ أَقَلَّ لِبَقَائِنَا وبَقَائِكُم</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خبر أبي خديجة عن أبي عبد الله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صَلَّوْا عَلَى وَقْتٍ وَاحِدٍ عُرِفُوا فَأُخِذُوا بِرِقَابِهِمْ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الوجه حسن ويتوافق مع الوضع السياسي القائم في عصر الأئمة علیهم السلام بالنسبة إليهم وإلى شيعتهم</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وجوه أخرى ذكروها في الكتب المبسوطة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يخفى أنّ طرح الموافق للعامة عند التعارض لا ينافي وجوب الأخذ به أحياناً للتقية لأنّ كلّ واحد من الطرح والأخذ جهتي، لا أن يكون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موافقة الكتاب من المرجّحات، وتقدم المراد من الموافق والمخالف له وذكرنا أنّ المنساق منها ما كان الحكم مذكوراً في الكتابوكان الخبر موافقاً له، ولكن يمكن أن يكون المراد منها عدم المخالفة ويدلّ عليه بعض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أردنا من عدم المخالفة مطلق عدم المخالفة ولو على نحو السالبة بانتفاء الموضوع فيصير عدم المخالفة حينئذٍ أوسع دائرة من الموافقة كما لا يخفى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في الكتاب مبيّنات ومتشابهات، والمراد بالمخالف له ما كان مخالفاً للمبينات لا المجملات والمتشابهات لأنَّها حمالة لوجوهٍ يستدل بها كلّ واحد من المذاهب الإسلامية لنصرة مذهبه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كما أنّ المرد بالمخالفة ما تحيّر أبناء المحاورة في الجمع بينهما إلا ما أمكن الجمع بينهما كالمطلق والمقيد والعموم والخصوص ونحوهما مِمّا تقدم بيانه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 المراد بموافقة السنّة أيضاً كذلك، أي؛ السنّة المبيّنة التي علم صدورها من النبي صلی الله علیه و آله و سلم والتي لم يصدر من المعصومين علیهم السلام خلافها بالمعنى الذي تقدم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وعرفت أنّ الوجه في ذلك كله يرجع إلى ما ذكرناه من أنّ الداعي إلى الشيء والحافظ والمبيّن له لا يخالفه ولا يصدر منه ما ينافيه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فالمراد بالكتاب الكتاب المبيّن بذاته أو المشروح بالسنّة المعتبرة</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بين العلماء أنّ الشهرة هي أقوى المرجّحات كما صرح به صاحب الجواهر في أول كتاب الكفارات</w:t>
      </w:r>
      <w:r>
        <w:rPr>
          <w:rStyle w:val="FootnoteAnchor"/>
          <w:rtl w:val="true"/>
        </w:rPr>
        <w:footnoteReference w:id="373"/>
      </w:r>
      <w:r>
        <w:rPr>
          <w:rFonts w:ascii="Amiri" w:hAnsi="Amiri" w:eastAsia="Amiri" w:cs="Amiri"/>
          <w:color w:val="111111"/>
          <w:sz w:val="28"/>
          <w:sz w:val="28"/>
          <w:szCs w:val="28"/>
          <w:rtl w:val="true"/>
          <w:lang w:bidi="ar-SA"/>
        </w:rPr>
        <w:t xml:space="preserve">، كما أنّ سيرة المشهور قد استقرت فتوى وعملاً على </w:t>
      </w:r>
    </w:p>
    <w:p>
      <w:pPr>
        <w:pStyle w:val="BookText"/>
        <w:rPr/>
      </w:pPr>
      <w:r>
        <w:rPr>
          <w:rFonts w:ascii="Amiri" w:hAnsi="Amiri" w:eastAsia="Amiri" w:cs="Amiri"/>
          <w:color w:val="111111"/>
          <w:sz w:val="28"/>
          <w:sz w:val="28"/>
          <w:szCs w:val="28"/>
          <w:rtl w:val="true"/>
          <w:lang w:bidi="ar-SA"/>
        </w:rPr>
        <w:t>تقديم الشهرة على جميع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أنه لا فرق بين المقبولة والمرفوعة في اعتبار الشهرة أول المرجّحات الخبرية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تنافي بينهما من هذه الناحية وإن تقدم الترجيح بالصفات عليها في المقبولة، ولكنّا ذكرنا أنها صفات الحَكَمين دون الخبرين المتعارضين الذي هو موضوع بحثنا لابتداء المقبولة بالحكم والقضاء فاقتضى ذكر صفات الحاكم والقاضي قبل ذكر مرجّحات الخبرين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المشهور بين الفقهاء فتوىً وعملاً أنّ الشهرة أقوى المرجّحات، فلا يبقى مجال معها لإعمال سائر المرجّحات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موضوع معها لإطلاق أدلة التخيير ويشهد له العرف أيضاً فإنّ الظاهر أنهم يقدمون الشهرة الإستنادية في أمورهم المعاشية والمعادية على سائر المرجّحات في موارد التعارض</w:t>
      </w:r>
      <w:r>
        <w:rPr>
          <w:rFonts w:eastAsia="Amiri" w:cs="Amiri" w:ascii="Amiri" w:hAnsi="Amiri"/>
          <w:color w:val="111111"/>
          <w:sz w:val="28"/>
          <w:szCs w:val="28"/>
          <w:rtl w:val="true"/>
          <w:lang w:bidi="ar-SA"/>
        </w:rPr>
        <w:t>)</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أنّ الشهرة على ثلاث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الإستنادية؛ والمراد بها إحراز استناد القدماء إلى الرواية لاعتمادهم عليها في الإحتجاج والعمل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النقلية؛ والمراد منها نقل الرواية في الجوامع والمجامع من غير إحراز استنادهم إليها في العمل والإحتجاج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 الفتوائية؛ وتعني اشتاهر الفتوى بشيء عند القدماء مطابقة للرواية من غير إحراز استنادهم إليها</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في أنّ الشهرة الإستنادية جابرة لضعف الرواية، وهذا القسم هو المتيقن من المقبولة والمرفوعة ويشهد له الإعتبار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اعتماد جمع من خبراء الفن على شيء من فنّهم واحتجاجهم به مِمّا يوجب حصول الإطمئنان العقلائي باعتبار ذلك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w:t>
      </w:r>
    </w:p>
    <w:p>
      <w:pPr>
        <w:pStyle w:val="BookText"/>
        <w:rPr/>
      </w:pPr>
      <w:r>
        <w:rPr>
          <w:rFonts w:ascii="Amiri" w:hAnsi="Amiri" w:eastAsia="Amiri" w:cs="Amiri"/>
          <w:color w:val="111111"/>
          <w:sz w:val="28"/>
          <w:sz w:val="28"/>
          <w:szCs w:val="28"/>
          <w:rtl w:val="true"/>
          <w:lang w:bidi="ar-SA"/>
        </w:rPr>
        <w:t>إعراضهم كذلك عن خبر صحيح موهن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السر في ذلك يرجع إلى أنّ إعراض الخبراء عما هو صحيح يكشف ظفرهم عما يوجب الوهن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الشهرة النقلية والشهرة الفتوائية فقد تكونان من المرجّحات، وقد لا تكونان كذلك، ولا كلية في ذلك إلا إذا حصل الوثوق والإطمئنان بالصدور من الشهرتين فلا إشكال في اعتبارهما حينئذٍ وإن اختلف العلماء في كفاية الوثوق بالصدور في العمل بالروايات، أو أنه لا بُدَّ من الإعتماد على السند في تصحيح الرواية والعمل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والمعروف المشهور بين المحققين من الفقهاء هو الأول وعليه اعتمادهم في الفقه، ومن يقول بالثاني فإنَّه يتعب نفسه في سبيل توثيق الخبر أو تضعيفه ولكنه يرجع في كثير من الأوقات إلى الطريق الأول حيث لا يشعر حتى في تضعيفاته للرواة وتوثيقهم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الكلام في مبحث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الكلام في الترتيب بين المرجّحات المنصوصة فقد ذهب إليه جمعٌ باعتبار كونها مذكورة في المقبولة مرتبة؛ ويترتب على ذلك أنه إذا اجتمع في أحد الخبرين المتعارضين مزية وفي الآخر مزية أخرى؛ فإنْ كان بينهما ترتيب يقدّم السابق من المزيتين على اللاحق منهما، وإذا اجتمعت مزيتين في إحداهما وفي الآخر مزية واحدة هي في الترتيب أسبق مرتبة منها يقدّم صاحب المزية على صاحب المزيتين كما تقدم بيان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آخرون إلى عدم الترتيب بين المرجّحات لوجوه</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أنّ المرجّحات لا موضوعية فيها، بل هي طريق إلى الوثوق بالصدور والوصول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سيأتي الكلام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يبقى موضوع للبحث عن الترتيب بينها لفرض تحقق مناط الترجيح في الجميع فكلّ مرتبة أوجبت الإطمئنان المزبور تتقدم على الأخرى وإنْ كانت دونها في الرتبة، وإنْ ذكرنا أنّ الشهرة من أقوى المرجّحات</w:t>
      </w:r>
      <w:r>
        <w:rPr>
          <w:rFonts w:eastAsia="Amiri" w:cs="Amiri" w:ascii="Amiri" w:hAnsi="Amiri"/>
          <w:color w:val="111111"/>
          <w:sz w:val="28"/>
          <w:szCs w:val="28"/>
          <w:rtl w:val="true"/>
          <w:lang w:bidi="ar-SA"/>
        </w:rPr>
        <w:t xml:space="preserve">. </w:t>
      </w:r>
      <w:bookmarkStart w:id="391" w:name="pg15367_181290"/>
    </w:p>
    <w:p>
      <w:pPr>
        <w:pStyle w:val="BookText"/>
        <w:rPr/>
      </w:pPr>
      <w:bookmarkEnd w:id="391"/>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مقتضى الأصل عدم الترتيب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وجه اعتبار الترتيب مخدوش لأنّ الترتيب الذكري اللفظي أعمّ من الواقعي مع أنها وإنْ ذكرت في المقبولة مرتبة ولكنه لم تذكر في سائر الأخبار ولم تكن كذلك وسياقها آبٍ عن التخصيص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مع وجودها في المتعارضين من دون ملاحظة الترتيب يشك في شمول إطلاق دليل التخيير له فلا بُدَّ من مراعاة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وجه للشك مع إحراز اتحاد المناط وإطلاقات الأدلة في المرجّحات الآبية عن التقييد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إنْ أوجبت إحداهما الإطمئنان بالوثوق بالصدور والقرب إلى الواقع فيؤخذ به ويترك الآخر إلا الشهرة فإنها مقدمة على جميع المرجّحات كما تقدم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جميع ذلك يظهر أنه لا وجه للبحث عن نسبة المقبولة والمرفوعة إلى رواية الراوندي وتفصيل الكلام فيه فإنَّه من التطويل الذي لا طائل تحته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ينتهي البحث عن أخبار الترجيح؛ وحاصله؛ إنّ المرجّحات الثابتة هي موافقة المشهور عند التعارض من جهة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وموافقة الكتاب عند تعارض المضمون، ومخالفة العامة من ناحية المعارضة الجهتية بمراتبها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موافقة الكتاب هي الأصل الأولى بالعمل بالروايات فمع المخالفة لا يلاحظ سائر المرجّحات حينئذٍ</w:t>
      </w:r>
      <w:r>
        <w:rPr>
          <w:rFonts w:eastAsia="Amiri" w:cs="Amiri" w:ascii="Amiri" w:hAnsi="Amiri"/>
          <w:color w:val="111111"/>
          <w:sz w:val="28"/>
          <w:szCs w:val="28"/>
          <w:rtl w:val="true"/>
          <w:lang w:bidi="ar-SA"/>
        </w:rPr>
        <w:t>.</w:t>
      </w:r>
    </w:p>
    <w:p>
      <w:pPr>
        <w:pStyle w:val="Heading6"/>
        <w:numPr>
          <w:ilvl w:val="5"/>
          <w:numId w:val="1"/>
        </w:numPr>
        <w:rPr/>
      </w:pPr>
      <w:bookmarkStart w:id="392" w:name="__RefHeading___Toc5900764_2142443653"/>
      <w:bookmarkStart w:id="393" w:name="_Toc147"/>
      <w:bookmarkEnd w:id="392"/>
      <w:r>
        <w:rPr>
          <w:rtl w:val="true"/>
        </w:rPr>
        <w:t>الطائفة الثالثة</w:t>
      </w:r>
      <w:r>
        <w:rPr>
          <w:rtl w:val="true"/>
        </w:rPr>
        <w:t xml:space="preserve">: </w:t>
      </w:r>
      <w:r>
        <w:rPr>
          <w:rtl w:val="true"/>
        </w:rPr>
        <w:t>أخبار التوقف والإرجاء</w:t>
      </w:r>
      <w:bookmarkEnd w:id="393"/>
    </w:p>
    <w:p>
      <w:pPr>
        <w:pStyle w:val="Heading6"/>
        <w:numPr>
          <w:ilvl w:val="5"/>
          <w:numId w:val="1"/>
        </w:numPr>
        <w:rPr/>
      </w:pPr>
      <w:bookmarkStart w:id="394" w:name="__RefHeading___Toc5900766_2142443653"/>
      <w:bookmarkStart w:id="395" w:name="_Toc148"/>
      <w:bookmarkEnd w:id="394"/>
      <w:r>
        <w:rPr>
          <w:rtl w:val="true"/>
        </w:rPr>
        <w:t>اشارة</w:t>
      </w:r>
      <w:bookmarkEnd w:id="395"/>
    </w:p>
    <w:p>
      <w:pPr>
        <w:pStyle w:val="BookText"/>
        <w:rPr/>
      </w:pPr>
      <w:r>
        <w:rPr>
          <w:rFonts w:ascii="Amiri" w:hAnsi="Amiri" w:eastAsia="Amiri" w:cs="Amiri"/>
          <w:color w:val="111111"/>
          <w:sz w:val="28"/>
          <w:sz w:val="28"/>
          <w:szCs w:val="28"/>
          <w:rtl w:val="true"/>
          <w:lang w:bidi="ar-SA"/>
        </w:rPr>
        <w:t>وقد يستدل بها على لزوم التوقف عند تعارض الخبرين وعدم الأخذ بشيء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تقسيمها بحسب ألسنتها إلى صنفين</w:t>
      </w:r>
      <w:r>
        <w:rPr>
          <w:rFonts w:eastAsia="Amiri" w:cs="Amiri" w:ascii="Amiri" w:hAnsi="Amiri"/>
          <w:color w:val="111111"/>
          <w:sz w:val="28"/>
          <w:szCs w:val="28"/>
          <w:rtl w:val="true"/>
          <w:lang w:bidi="ar-SA"/>
        </w:rPr>
        <w:t>:</w:t>
      </w:r>
    </w:p>
    <w:p>
      <w:pPr>
        <w:pStyle w:val="Heading6"/>
        <w:numPr>
          <w:ilvl w:val="5"/>
          <w:numId w:val="1"/>
        </w:numPr>
        <w:rPr/>
      </w:pPr>
      <w:bookmarkStart w:id="396" w:name="__RefHeading___Toc5900768_2142443653"/>
      <w:bookmarkStart w:id="397" w:name="_Toc149"/>
      <w:bookmarkEnd w:id="396"/>
      <w:r>
        <w:rPr>
          <w:rtl w:val="true"/>
        </w:rPr>
        <w:t>الصنف الأول</w:t>
      </w:r>
      <w:r>
        <w:rPr>
          <w:rtl w:val="true"/>
        </w:rPr>
        <w:t xml:space="preserve">: </w:t>
      </w:r>
      <w:r>
        <w:rPr>
          <w:rtl w:val="true"/>
        </w:rPr>
        <w:t>ما ورد بلسان الأمر بالردّ إلى الأئمة علیهم السلام</w:t>
      </w:r>
      <w:bookmarkEnd w:id="39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ما رواه في السرائر</w:t>
      </w:r>
      <w:r>
        <w:rPr>
          <w:rStyle w:val="FootnoteAnchor"/>
          <w:rtl w:val="true"/>
        </w:rPr>
        <w:footnoteReference w:id="375"/>
      </w:r>
      <w:r>
        <w:rPr>
          <w:rFonts w:ascii="Amiri" w:hAnsi="Amiri" w:eastAsia="Amiri" w:cs="Amiri"/>
          <w:color w:val="111111"/>
          <w:sz w:val="28"/>
          <w:sz w:val="28"/>
          <w:szCs w:val="28"/>
          <w:rtl w:val="true"/>
          <w:lang w:bidi="ar-SA"/>
        </w:rPr>
        <w:t xml:space="preserve">مُحَمَّدُ بْنُ إِدْرِيسَ نَقْلًا مِنْ كِتَابِ مَسَائِلِ الرِّجَالِ لِعَلِيِّ بْنِ مُحَمَّدٍ علیه السلام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أَنَّ مُحَمَّدَ بْنَ عَلِيِّ بْنِ عِيسَى كَتَبَ إِلَيْهِ يَسْأَلُهُ عَنِ الْعِلْمِ الْمَنْقُولِ إِلَيْنَا عَنْ آبَائِكَ وأَجْدَادِكَ علیهم السلام قَدِ اخْتُلِفَ عَلَيْنَا فِيهِ فَكَيْفَ الْعَمَلُ بِهِ عَلَى اخْتِلَافِهِ أَوِ الرَّدُّ إِلَيْكَ فِيمَا اخْتُلِفَ فِيهِ؛ فَكَتَبَ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عَلِمْتُمْ أَنَّهُ قَوْلُنَا فَالْزَمُوهُ ومَا لَمْ تَعْلَمُوا</w:t>
      </w:r>
      <w:r>
        <w:rPr>
          <w:rStyle w:val="FootnoteAnchor"/>
          <w:rtl w:val="true"/>
        </w:rPr>
        <w:footnoteReference w:id="376"/>
      </w:r>
      <w:r>
        <w:rPr>
          <w:rFonts w:ascii="Amiri" w:hAnsi="Amiri" w:eastAsia="Amiri" w:cs="Amiri"/>
          <w:color w:val="111111"/>
          <w:sz w:val="28"/>
          <w:sz w:val="28"/>
          <w:szCs w:val="28"/>
          <w:rtl w:val="true"/>
          <w:lang w:bidi="ar-SA"/>
        </w:rPr>
        <w:t>فَرُدُّوهُ إِلَيْنَا</w:t>
      </w:r>
      <w:r>
        <w:rPr>
          <w:rFonts w:eastAsia="Amiri" w:cs="Amiri" w:ascii="Amiri" w:hAnsi="Amiri"/>
          <w:color w:val="111111"/>
          <w:sz w:val="28"/>
          <w:szCs w:val="28"/>
          <w:rtl w:val="true"/>
          <w:lang w:bidi="ar-SA"/>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وروى عنه</w:t>
      </w:r>
      <w:r>
        <w:rPr>
          <w:rStyle w:val="FootnoteAnchor"/>
          <w:rtl w:val="true"/>
        </w:rPr>
        <w:footnoteReference w:id="378"/>
      </w:r>
      <w:r>
        <w:rPr>
          <w:rFonts w:ascii="IRNazanin" w:hAnsi="IRNazanin" w:eastAsia="IRNazanin"/>
          <w:color w:val="111111"/>
          <w:sz w:val="28"/>
          <w:sz w:val="28"/>
          <w:szCs w:val="28"/>
          <w:rtl w:val="true"/>
          <w:lang w:bidi="fa-IR"/>
        </w:rPr>
        <w:t xml:space="preserve">في الصحيح عن محمد بن عيسى عن أبي الحسن الثالث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وغيرهما من الأخبار التي ورد فيها المضمون، وقد وردت في مورد اختلاف الأحاديث وتعارضها وهي ليست واردة في طبيعي الخبر حتى يكون مفادها نفي حجية خبر الواحد حتى تخصّص بأدلة حجية خبر الثقة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من هذه الأخبار كون السؤال فيها عن تحديد الموقف بسبب الإختلاف في الموارد التي يلزم الأخذ بالخبر لولا الإختلاف فتكون واردة في خصوص مورد التعارض بين دليلين معتبرين في نفسهما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وأُشكل على الإستدلال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بضعف السند للجهل بحال صاحب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مسائل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ينقل عنه المحقق ابن إدريس الحلي</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صحيح السند منقولٌ في بصائر الدرجات عن محمد بن عيسى الذي هو والد أحمد بن محمد بن عيسى اليقطيني الثقة كما هو المعروف، وبشهادة محمد بن عيسى بأنّ الخطّ خطّ الإمام الهادي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ينقله الحر العاملي في وسائله وإنما نقله جامع أحاديث الشيعة والمجلسي في البحار عن بصائر الدرجات، كما أنه ورد في رسائل الشيخ الأنصاري قدس سره </w:t>
      </w:r>
      <w:r>
        <w:rPr>
          <w:rFonts w:eastAsia="IRNazanin" w:cs="IRNazanin"/>
          <w:color w:val="111111"/>
          <w:sz w:val="28"/>
          <w:szCs w:val="28"/>
          <w:rtl w:val="true"/>
          <w:lang w:bidi="fa-IR"/>
        </w:rPr>
        <w:t xml:space="preserve">. </w:t>
      </w:r>
      <w:bookmarkStart w:id="398" w:name="pg15367_181292"/>
    </w:p>
    <w:p>
      <w:pPr>
        <w:pStyle w:val="BookText"/>
        <w:rPr/>
      </w:pPr>
      <w:bookmarkEnd w:id="398"/>
      <w:r>
        <w:rPr>
          <w:rFonts w:ascii="Amiri" w:hAnsi="Amiri" w:eastAsia="Amiri" w:cs="Amiri"/>
          <w:color w:val="111111"/>
          <w:sz w:val="28"/>
          <w:sz w:val="28"/>
          <w:szCs w:val="28"/>
          <w:rtl w:val="true"/>
          <w:lang w:bidi="ar-SA"/>
        </w:rPr>
        <w:t>وأما الإشكال في مؤلف مسائل الرجال فهو مردّد بين الثقة والمجهول حاله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المنقول عن المحقق ابن إدريس اعتبار ابن عياش الجوهري فيكون معتبراً على الأصحّ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الحميري فهو ثقة بلا إشكال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فالإشكال السندي غير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تختص بعصر الحضور حيث يمكن الردّ إليهم واستظهار الواقع، فلا موضوع لها في عصر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وقد ذكرنا فيما سبق أنه غير تام؛ إذ أنّ المراد بلقاء الإمام علیه السلام هو استبيان الحقّ لا لخصوصيته في مقابلته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مخصّصة بما تمّ من أدلة الترجيح بموافقة الكتاب ومخالفة العامة ونحوهما، كما أنها معارضة بأدلة التخيير على فرض تمامية الدلالة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الإرجاء على فرض قبوله إنَّما يتمّ فيما إذا أمكن ولكنه لا يتم فيما لم يمكن الإرجاء، بل لا بُدَّ من العمل بأحد الخبرين</w:t>
      </w:r>
      <w:r>
        <w:rPr>
          <w:rFonts w:eastAsia="Amiri" w:cs="Amiri" w:ascii="Amiri" w:hAnsi="Amiri"/>
          <w:color w:val="111111"/>
          <w:sz w:val="28"/>
          <w:szCs w:val="28"/>
          <w:rtl w:val="true"/>
          <w:lang w:bidi="ar-SA"/>
        </w:rPr>
        <w:t>.</w:t>
      </w:r>
    </w:p>
    <w:p>
      <w:pPr>
        <w:pStyle w:val="Heading6"/>
        <w:numPr>
          <w:ilvl w:val="5"/>
          <w:numId w:val="1"/>
        </w:numPr>
        <w:rPr/>
      </w:pPr>
      <w:bookmarkStart w:id="399" w:name="__RefHeading___Toc5900770_2142443653"/>
      <w:bookmarkStart w:id="400" w:name="_Toc150"/>
      <w:bookmarkEnd w:id="399"/>
      <w:r>
        <w:rPr>
          <w:rtl w:val="true"/>
        </w:rPr>
        <w:t>الصنف الثاني</w:t>
      </w:r>
      <w:r>
        <w:rPr>
          <w:rtl w:val="true"/>
        </w:rPr>
        <w:t xml:space="preserve">: </w:t>
      </w:r>
      <w:r>
        <w:rPr>
          <w:rtl w:val="true"/>
        </w:rPr>
        <w:t>جملة من الأخبار التي وردت بلسان الأمر بالوقوف عند الشبهة</w:t>
      </w:r>
      <w:bookmarkEnd w:id="400"/>
    </w:p>
    <w:p>
      <w:pPr>
        <w:pStyle w:val="BookText"/>
        <w:rPr/>
      </w:pPr>
      <w:r>
        <w:rPr>
          <w:rFonts w:ascii="IRNazanin" w:hAnsi="IRNazanin" w:eastAsia="IRNazanin"/>
          <w:color w:val="111111"/>
          <w:sz w:val="28"/>
          <w:sz w:val="28"/>
          <w:szCs w:val="28"/>
          <w:rtl w:val="true"/>
          <w:lang w:bidi="fa-IR"/>
        </w:rPr>
        <w:t xml:space="preserve">جملة من الأخبار التي وردت بلسان الأمر بالوقوف عند الشبهة وإرجاء الواقعة إلى حين لقاء 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 سَمَاعَةَ؛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اخْتَلَفَ عَلَيْهِ رَجُلَانِ مِنْ أَهْلِ دِينِهِ فِي أَمْرٍ كِلَاهُمَا يَرْوِيهِ؛ أَحَدُهُمَا يَأْمُرُ بِأَخْذِهِ والْآخَرُ يَنْهَاهُ عَنْهُ؛ كَيْفَ يَصْنَعُ؟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يُرْجِئُهُ حَتَّى يَلْقَى مَنْ يُخْبِرُهُ فَهُوَ فِي سَعَةٍ حَتَّى يَلْقَاهُ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مقبولة عمر بن حنظلة المتقدمة في أخبار الترجيح؛ حيث ورد فيها بعد افتراض السائل تساوي الخبرين المتعارضين من جميع المرجّحات؛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كَانَ ذَلِكَ </w:t>
      </w:r>
    </w:p>
    <w:p>
      <w:pPr>
        <w:pStyle w:val="BookText"/>
        <w:rPr/>
      </w:pPr>
      <w:r>
        <w:rPr>
          <w:rFonts w:ascii="Amiri" w:hAnsi="Amiri" w:eastAsia="Amiri" w:cs="Amiri"/>
          <w:color w:val="111111"/>
          <w:sz w:val="28"/>
          <w:sz w:val="28"/>
          <w:szCs w:val="28"/>
          <w:rtl w:val="true"/>
          <w:lang w:bidi="ar-SA"/>
        </w:rPr>
        <w:t>فَأَرْجِئْهُ حَتَّى تَلْقَى إِمَامَكَ فَإِنَّ الْوُقُوفَ عِنْدَ الشُّبُهَاتِ خَيْرٌ مِنَ الِاقْتِحَامِ فِي الْهَلَكَاتِ</w:t>
      </w:r>
      <w:r>
        <w:rPr>
          <w:rFonts w:eastAsia="Amiri" w:cs="Amiri" w:ascii="Amiri" w:hAnsi="Amiri"/>
          <w:color w:val="111111"/>
          <w:sz w:val="28"/>
          <w:szCs w:val="28"/>
          <w:rtl w:val="true"/>
          <w:lang w:bidi="ar-SA"/>
        </w:rPr>
        <w:t>)</w:t>
      </w:r>
      <w:r>
        <w:rPr>
          <w:rStyle w:val="FootnoteAnchor"/>
          <w:rtl w:val="true"/>
        </w:rPr>
        <w:footnoteReference w:id="380"/>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معتبرة الْمِيثَمِيِّ عَنِ الإمام الرِّضَا علیه السلام فِي حَدِيثِ اخْتِلَافِ الْأَحَادِيثِ قَالَ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لَمْ تَجِدُوهُ فِي شَيْ‌ءٍ مِنْ هَذِهِ الْوُجُوهِ فَرُدُّوا إِلَيْنَا عِلْمَهُ؛ فَنَحْنُ أَوْلَى بِذَلِكَ؛ ولَا تَقُولُوا فِيهِ بِآرَائِكُمْ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وعَلَيْكُمْ بِالْكَفِ والتَّثَبُّتِ والْوُقُوفِ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الإشكال على الإستدلال بها بأنه مضافاً إلى مخالفتها للمشهور ومعارضتها بالمقبولة وغيرها مِمّا دلت على الترجيح لأنَّها تدل على التوقف بعد فقدان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المراد بالتوقف في هذه الروايات ترك العمل ابتداءً وترك الإستعجال بالعمل أو الطرح من غير تأمُّل وتفحُّص في الأخبار والقرائن، فلا بُدَّ من التفحُّص حتى العثور على المرجّح ثم العمل بالراجح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المراد بالتوقف أبداً وترك العمل مطلقاً حتى لو ثبت الرجحان في أحدهما</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كما أنّ المراد من الإرجاء حتى يلقى من يخبره، أو حتى يأتي البيان من عندهم، أو حتى يشرح لكم، أو حتى تلقي صاحبك هو العرض على ما ورد عنهم علیهم السلام في هذا الباب، ثم الحكم بالحصول مِمّا يستفاد من 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وحينئذٍ؛ إذا ظفرنا بالمتعارضين وعرضناهما على المقبولة وغيرها مِمّا يدل على الترجيح يصدق أننا توقفنا؛ أي تركنا العمل بدواً ورجعنا إلى بيانهم علیهم السلام وما شرحوه لنا وغير ذلك من العناوين التي وردت في أخبار التوقف</w:t>
      </w:r>
      <w:r>
        <w:rPr>
          <w:rFonts w:eastAsia="IRNazanin" w:cs="IRNazanin"/>
          <w:color w:val="111111"/>
          <w:sz w:val="28"/>
          <w:szCs w:val="28"/>
          <w:rtl w:val="true"/>
          <w:lang w:bidi="fa-IR"/>
        </w:rPr>
        <w:t xml:space="preserve">. </w:t>
      </w:r>
      <w:bookmarkStart w:id="401" w:name="pg15367_181294"/>
    </w:p>
    <w:p>
      <w:pPr>
        <w:pStyle w:val="BookText"/>
        <w:rPr/>
      </w:pPr>
      <w:bookmarkEnd w:id="401"/>
      <w:r>
        <w:rPr>
          <w:rFonts w:ascii="Amiri" w:hAnsi="Amiri" w:eastAsia="Amiri" w:cs="Amiri"/>
          <w:color w:val="111111"/>
          <w:sz w:val="28"/>
          <w:sz w:val="28"/>
          <w:szCs w:val="28"/>
          <w:rtl w:val="true"/>
          <w:lang w:bidi="ar-SA"/>
        </w:rPr>
        <w:t>ومن هنا يمكن القول بأنّ التوقف عن العمل في المتعارضين الذين يكونان مورد الإبتلاء ملازم عرفاً للإحتياط والتفحّص عن القرائن الموجبة لصحة العمل بأحدهما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والمقبولة وغيرها تشتمل على تلك القرائن فيكون لها الحكومة على غيرها من الأخبار التي تدل على التوقف الذي هو عبارة عن التثبّت والتفحّص عما يوجب الرجحان والإطمئنان بأحدهما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التوقف ذكر في خبر سماعة قبل المرجّح وهو مخالفة العامة، وفي المقبولة ذكر بعد تمام المرجّحات فيتعارضان من هذه الجهة؛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مدفوعٌ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ما ذكر في خبر سماعة هو التوقف عن العمل من أجل الفحص والظفر بالمرجّح، وما ذكر في المقبولة إنَّما هو التوقف بعد الظفر به واليأس عن غيره فلا ربط لأحدهما بالآخر حتى يتعارضان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إنه ليس في أخبار التوقف ما يخالف بناء العقلاء وسيرتهم في المتعارضين</w:t>
      </w:r>
      <w:r>
        <w:rPr>
          <w:rFonts w:eastAsia="Amiri" w:cs="Amiri" w:ascii="Amiri" w:hAnsi="Amiri"/>
          <w:color w:val="111111"/>
          <w:sz w:val="28"/>
          <w:szCs w:val="28"/>
          <w:rtl w:val="true"/>
          <w:lang w:bidi="ar-SA"/>
        </w:rPr>
        <w:t>.</w:t>
      </w:r>
    </w:p>
    <w:p>
      <w:pPr>
        <w:pStyle w:val="Heading6"/>
        <w:numPr>
          <w:ilvl w:val="5"/>
          <w:numId w:val="1"/>
        </w:numPr>
        <w:rPr/>
      </w:pPr>
      <w:bookmarkStart w:id="402" w:name="__RefHeading___Toc5900772_2142443653"/>
      <w:bookmarkStart w:id="403" w:name="_Toc151"/>
      <w:bookmarkEnd w:id="402"/>
      <w:r>
        <w:rPr>
          <w:rtl w:val="true"/>
        </w:rPr>
        <w:t>خاتمة؛ وفيها تنبيهات</w:t>
      </w:r>
      <w:bookmarkEnd w:id="403"/>
    </w:p>
    <w:p>
      <w:pPr>
        <w:pStyle w:val="Heading6"/>
        <w:numPr>
          <w:ilvl w:val="5"/>
          <w:numId w:val="1"/>
        </w:numPr>
        <w:rPr/>
      </w:pPr>
      <w:bookmarkStart w:id="404" w:name="__RefHeading___Toc5900774_2142443653"/>
      <w:bookmarkStart w:id="405" w:name="_Toc152"/>
      <w:bookmarkEnd w:id="404"/>
      <w:r>
        <w:rPr>
          <w:rtl w:val="true"/>
        </w:rPr>
        <w:t>التنبيه الأول</w:t>
      </w:r>
      <w:r>
        <w:rPr>
          <w:rtl w:val="true"/>
        </w:rPr>
        <w:t xml:space="preserve">: </w:t>
      </w:r>
      <w:r>
        <w:rPr>
          <w:rtl w:val="true"/>
        </w:rPr>
        <w:t>التعدّي في المزايا المنصوصة</w:t>
      </w:r>
      <w:bookmarkEnd w:id="405"/>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ذكرنا إنه وقع الخلاف في التعدي عن المزايا المنصوصة التي وردت في أخبار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نسب إلى أكثر المجتهدين القول بوجوب الترجيح بكلّ مزية وإنْ لم تكن منصوصاً عليها عدا الفاضل النراقي</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والسيد صدر الدين شارح الوافية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والفاضل التوني</w:t>
      </w:r>
      <w:r>
        <w:rPr>
          <w:rStyle w:val="FootnoteAnchor"/>
          <w:rtl w:val="true"/>
        </w:rPr>
        <w:footnoteReference w:id="383"/>
      </w:r>
      <w:r>
        <w:rPr>
          <w:rFonts w:ascii="Amiri" w:hAnsi="Amiri" w:eastAsia="Amiri" w:cs="Amiri"/>
          <w:color w:val="111111"/>
          <w:sz w:val="28"/>
          <w:sz w:val="28"/>
          <w:szCs w:val="28"/>
          <w:rtl w:val="true"/>
          <w:lang w:bidi="ar-SA"/>
        </w:rPr>
        <w:t>، والمحدث البحراني</w:t>
      </w:r>
      <w:r>
        <w:rPr>
          <w:rStyle w:val="FootnoteAnchor"/>
          <w:rtl w:val="true"/>
        </w:rPr>
        <w:footnoteReference w:id="384"/>
      </w:r>
      <w:r>
        <w:rPr>
          <w:rFonts w:ascii="Amiri" w:hAnsi="Amiri" w:eastAsia="Amiri" w:cs="Amiri"/>
          <w:color w:val="111111"/>
          <w:sz w:val="28"/>
          <w:sz w:val="28"/>
          <w:szCs w:val="28"/>
          <w:rtl w:val="true"/>
          <w:lang w:bidi="ar-SA"/>
        </w:rPr>
        <w:t>، بل الإخباريين قاطبة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هو القول الأول وعدم وجوب الاقتصار على المزايا المنصوصة فقط</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الإستدلال عليه بوجوه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القاعدة إنّ ما يّشك في حجّيته هو عدمها للأدلة الأربعة الدالة على حرمة العمل بما وراء العلم، وقد خرج عن هذا العموم ذو المزية قطعاً لعموم أدلة حجية الأمارة بخلاف الفاقد لها فإنَّه يُشك في الخروج عن تلك القاعدة فيكون عملاً بالظنّ وبغير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 بأنّه من الشك في شمول أدلة حجية الأمارة لغير المزية المنصوصة؛ فمقتضى القاعدة عدم حجيتها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قاعدة الإشتغال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الأمر يدور بين تعيين الأخذ بذي المزية وبين التخيير بينه وبين الفاقد لها فيكون الأخذ بذي المزية موجباً للقطع ببراءة الذمة بخلاف الأخذ بالفاقد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والإشتغال اليقيني يستدعي الفراغ اليقيني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المورد إنْ كان من موارد دوران الأمر بين التعيين والتخيير فإنّ أصل البراءة يقتضي عدم التعيين لأنّ فيه كلفة زائدة، والأصل عدمها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إذا كانت أدلة الحجية شاملة لها فمقتضى القاعدة سقوطهما لا دوران الأمر بين التعيين والتخيير، وإنْ لم تشملهما باعتبار إجمالهما إلا القدر المتيقن منها وهو ذي المزية، ولازم ذلك أن يكون الفاقد للمزية غير حجة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فالصحيح في الجواب عن هذا الوجه كما ذكره المحقق الرشتي قدس سره </w:t>
      </w:r>
      <w:r>
        <w:rPr>
          <w:rStyle w:val="FootnoteAnchor"/>
          <w:rtl w:val="true"/>
        </w:rPr>
        <w:footnoteReference w:id="385"/>
      </w:r>
      <w:r>
        <w:rPr>
          <w:rFonts w:ascii="Amiri" w:hAnsi="Amiri" w:eastAsia="Amiri" w:cs="Amiri"/>
          <w:color w:val="111111"/>
          <w:sz w:val="28"/>
          <w:sz w:val="28"/>
          <w:szCs w:val="28"/>
          <w:rtl w:val="true"/>
          <w:lang w:bidi="ar-SA"/>
        </w:rPr>
        <w:t>من أنّ احتمال تعيين ذي المزية لا يجعل وجوب العمل بالآخر مشكوكاً إذ المفروض شمول الدليل لهما 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خرج المقام من باب التعارض فلا يصحّ ترجيح أحدهما على الآخر إلا بقيام دليل خاص يدلّ على أنّ هذه المزية موجبة لوجوب العمل به بعينه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قيام الدليل على ذلك إذ ليس في البين سوى دليل المتعارضين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ذا المزية أرجح من غيره، والعدول من الراجح إلى المرجوح قبيح عقلاً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استدلّ جمع من فطاحل العلم باعتبار أنّ ذا المزية أهمّ، والفاقد لها مهم، ويقبح تقديم المهم على الأهمّ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بالراجح إنَّما هو بعد شمول دليل الحجية لهما وإلا لما صارا متعارضين فيكون تقديم الراجح بحكم العقل ممنوعاً لوجود ملاك الحجية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وقاعدة تقديم الأهمّ على المهم لا مجرى لها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لأنّ الأهمّ الذي يقدّم ما كان وجوبه في نظر الشارع واهتمامه به أكثر؛ فهو الذي لا ريب في وجوب تقديمه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الأهمية لا تثبت إلا من الشرع والمفروض أنه لم يقم دليل على الأهمية لذي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بناء العقلاء والفطرة على وجوب ترجيح ذي المزية عند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أرباب الصناعات إذا كان الخالي من المزية أقلّ كلفة أو أقرب تناولاً وألين عريكة ونحو ذلك فإنهم يرجعون إليه وإلا لبارت سلعة المفضولين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مسامحة واضحة؛ فإنّ بناء العقلاء شيء والتسامح في موارد لأجل غرض خاص شيء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توضيح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 أمير المؤمنين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r>
        <w:rPr>
          <w:rStyle w:val="FootnoteAnchor"/>
          <w:rtl w:val="true"/>
        </w:rPr>
        <w:footnoteReference w:id="3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مِمّا ورد في الروايات بهذا المضمون فإنّ المستفاد منها أنه إذا دار الأمر بين أمرين في أحدهما ريب، وليس في الآخر ذلك الريب يجب الأخذ به</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بالريب هو الإضافي لا الحقيقي؛ بمعنى أنّ الخبر الذي ليس فيه ريب مثل الريب الذي في الخبر الآخر يجب الأخذ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فيدلّ هذا الخبر الشريف على قاعدة كلية في تعارض الأخبار وهي وجوب الأخذ بكلّ ما فيه نوع أقريبة للواقع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 الشيخ الأنصاري قدس سره </w:t>
      </w:r>
      <w:r>
        <w:rPr>
          <w:rStyle w:val="FootnoteAnchor"/>
          <w:rtl w:val="true"/>
        </w:rPr>
        <w:footnoteReference w:id="387"/>
      </w:r>
      <w:r>
        <w:rPr>
          <w:rFonts w:ascii="Amiri" w:hAnsi="Amiri" w:eastAsia="Amiri" w:cs="Amiri"/>
          <w:color w:val="111111"/>
          <w:sz w:val="28"/>
          <w:sz w:val="28"/>
          <w:szCs w:val="28"/>
          <w:rtl w:val="true"/>
          <w:lang w:bidi="ar-SA"/>
        </w:rPr>
        <w:t>بعد نقل الحديث النبوي المزبور أنه دلّ على وجوب الأخذ بالخبر الذي لا ريب فيه مثل ريب المعارض له؛ ومثل لذلك بما إذا فرض كون أحد المتعارضين منقولاً بلفظه والآخر منقولاً بالمعنى؛ وجب الأخذ بالأول لأنّ احتمال الخطأ والسهو في الأول منفي بخلاف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كان أحدهما أعلى سنداً بقلّة الوسائط إلى غير ذلك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فيه بأنّ ما ذكره في المقام خلاف ما ذكره في باب البراءة من أنّ الأمر في الحديث للإرشاد وهو تابع للمرشد إليه الذي هو العقل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والعقل في المقام يدعو إلى التخيير بينهما ويستحسنه؛ فإنّ المولى إذا جعل طريقاً لمعرفة مطلوبه ولميخصصه بتلك المزية فإنّ العقل يحكم بعدم وجوب العمل بها نظير الإحتياط في تحصيل مطلوب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يضاف إلى ذلك أنه لو دلّ الحديث على الوجوب لكان يقتضي الإحتياط أو العمل بما هو الأحوط من مدلولي المتعارضين ولو كان في غير ذي المزية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 لو ثبت حجية كلّ منهما عند الشارع فإنَّه لم يكن في الأخذ بالمرجوح ريب بالنسبة إلى الراجح إذا لم يكن له بيان في أرجحيته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وهناك وجوه أخرى لا تخلو من نقاش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أجل ذلك أصبح من يقول بالإختصاص بالمرجّحات المخصوصة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والمزايا المنصوصة بعدم الدليل على وجوب الترجيح بالمرجّحات غير المخصوصة فتمسكوا بأدلة حرمة العمل بالظنّ</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المحدث البحراني</w:t>
      </w:r>
      <w:r>
        <w:rPr>
          <w:rStyle w:val="FootnoteAnchor"/>
          <w:rtl w:val="true"/>
        </w:rPr>
        <w:footnoteReference w:id="3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علماء الأصول من وجوه الترجيحات في هذا المقام بما لا يرجع أكثره الى محصول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والمعتمد عندنا على ما ورد من أهل بيت الرسول علیهم السلام من الأخبار المشتملة على وجوه الترجيحات، إلا أنها بعد لا تخلو من شوب الإشكال، فلا بد من بسط جملة منها في هذا المجال، والكلام فيها بما يكشف نقاب الإجمال وينجلي به غياهب الإشكال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ورد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بناءً على هذا التساقط عند تعارض الأمارتين فإنْ كان في البين أصلاً موافقاً لأحدهما فلا يجوز الترجيح بالمزية غير المنصوصة؛ لاستلزامه إلغاء الأصل المعتبر بأمر لم يقم عليه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التخيير الشرعي للأخبار المطلقة الدالة على التخيير فلم يصحّ الترجيح أيضاً؛ لأنَّه يلزم منه تقييد إطلاق أدلة التخيير بما لم يثبت ترجيحه وشرعيته، ولا ريب أنّ الأصل عدم التقييد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بنينا على التخيير العقلي لا الشرعي وقلنا بأنّ الدليل الذي دلّ على حجيته المتعارضين يقتضي العمل بهما؛ وحيث لا يمكن العمل بهما معاً وكان الممكن من امتثال الخطاب المتعلّق بهما هو وجوب العمل بأحدهما تخييراً لمساواتهما في دليل الحجية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بأنّ المتزاحمين إذا كان أحدهما أرجح فإنّ العقل يحكم بتقديمه مع تساويهما في دليل طلبهما</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يختص بما إذا علم بأرجحية أحدهما عند المولى فيقدّم الراجح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الشك فلا يحكم العقل بوجوب تقديمه لقبح العقاب بلا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نحنفيه يكون كذلك فإنّ المفروض أنّ المزية لم يعلم إرادة الشارع الترجيح بها وإنما يحتمل ذلك والأصل يقتضي عدم إرادتها ويقبح عقابه على المخالفة بترك العمل بذي المزية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الصدوق في العيون عن أحمد بن الحسن الميثمي في حديث طويل عن الإمام الرضا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وَرَدَ عَلَيْكُمْ مِنْ خَبَرَيْنِ مُخْتَلِفَيْنِ فَاعْرِضُوهُمَا عَلَى كِتَابِ اللَّهِ، فَمَا كَانَ فِي كِتَابِ اللَّهِ مَوْجُوداً حَلَالًا أَوْ حَرَاماً فَاتَّبِعُوا مَا وَافَقَ الْكِتَابَ، ومَا لَمْ يَكُنْ فِي الْكِتَابِ، فَاعْرِضُوهُ عَلَى سُنَنِ رَسُولِ اللَّهِ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كَانَ فِي السُّنَّةِ مَوْجُوداً مَنْهِيّاً عَنْهُ نَهْيَ حَرَامٍ ومَأْمُوراً بِهِ عَنْ رَسُولِ اللَّهِ صلی الله علیه و آله و سلم أَمْرَ إِلْزَامٍ فَاتَّبِعُوا مَا وَافَقَ نَهْيَ رَسُولِ اللَّهِ صلی الله علیه و آله و سلم وأَمْرَهُ ومَا كَانَ فِي السُّنَّةِ نَهْيَ إِعَافَةٍ أَوْ كَرَاهَةٍ ثُمَّ كَانَ الْخَبَرُ الْأَخِيرُ خِلَافَهُ فَذَلِكَ رُخْصَةٌ فِيمَا عَافَهُ رَسُولُ اللَّهِ صلی الله علیه و آله و سلم وكَرِهَهُ ولَمْ يُحَرِّمْهُ فَذَلِكَ الَّذِي يَسَعُ الْأَخْذُ بِهِمَا جَمِيعاً وبِأَيِّهِمَا شِئْتَ وَسِعَكَ الِاخْتِيَارُ مِنْ بَابِ التَّسْلِيمِ والِاتِّبَاعِ والرَّدِّ إِلَى رَسُولِ اللَّهِ صلی الله علیه و آله و سلم ومَا لَمْ تَجِدُوهُ فِي شَيْ‌ءٍ مِنْ هَذِهِ الْوُجُوهِ فَرُدُّوا إِلَيْنَا عِلْمَهُ فَنَحْنُ أَوْلَى بِذَلِكَ ولَا تَقُولُوا فِيهِ بِآرَائِكُمْ وعَلَيْكُمْ بِالْكَفِّ والتَّثَبُّتِ والْوُقُوفِ وأَنْتُمْ طَالِبُونَ بَاحِثُونَ حَتَّى يَأْتِيَكُمُ الْبَيَانُ مِنْ عِنْدِنَا</w:t>
      </w:r>
      <w:r>
        <w:rPr>
          <w:rFonts w:eastAsia="Amiri" w:cs="Amiri" w:ascii="Amiri" w:hAnsi="Amiri"/>
          <w:color w:val="111111"/>
          <w:sz w:val="28"/>
          <w:szCs w:val="28"/>
          <w:rtl w:val="true"/>
          <w:lang w:bidi="ar-SA"/>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وموضع الإستشهاد 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وما لم تجدوه في شيء من هذه الوجوه فردوا إلينا علمه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وهو صريح في المنع من الترجيح بغير المنصوص، فلا يجوز الأخذ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جميع الأخبار التي تدلّ على التخيير بين المتعارضين والتي تدلّ على الترجيح بالمرجّحات المنصوصة متفقة على عدم الترجيح بالمزية غير المنصوص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لو كان ذلك جائزاً لما أمره بالإرجاء في بعضها ولما خصّ الأخذ في بعضها بخصوص موافقة الكتاب وبعضها بموافقة السنة وإخراج ما عداهما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أمر في بعضها بالتخيير</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 بأنّ أخبار التخيير واردة في مورد السؤال بصورة التحيّر، ومع وجود المزية وإنْ كانت غير منصوصة لا تحيّر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ظاهرة في خصوص هذه الصورة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وأورد عليه المحقق الشيخ موسى بن جعفر التبريزي قدس سره </w:t>
      </w:r>
      <w:r>
        <w:rPr>
          <w:rStyle w:val="FootnoteAnchor"/>
          <w:rtl w:val="true"/>
        </w:rPr>
        <w:footnoteReference w:id="390"/>
      </w:r>
      <w:r>
        <w:rPr>
          <w:rFonts w:ascii="Amiri" w:hAnsi="Amiri" w:eastAsia="Amiri" w:cs="Amiri"/>
          <w:color w:val="111111"/>
          <w:sz w:val="28"/>
          <w:sz w:val="28"/>
          <w:szCs w:val="28"/>
          <w:rtl w:val="true"/>
          <w:lang w:bidi="ar-SA"/>
        </w:rPr>
        <w:t>بأنّ مجرد وجود المزية في أحد الخبرين لا يرفع التحيّر، لأنّ الرافع له هو معرفة اعتبار الشارع لها لا مجرد وجودها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والصحيح أنّ كلاً من هذه الوجوه قابل للمناقشة ويتضح ذلك من مطاوي بحوثنا السابقة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ذهب إليه جمهور الأصوليين هو الصحيح الذي يعتمد عليه فلا يختص الترجيح بالمزايا المنصوصة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يتعدى إلى كلّ ما يقبله العرف ويتقبله الطبع المستقيم من المزايا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السيد الوالد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الكلام في أنّ المرجّحات المنصوصة هل تكون لها موضوعية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التعدي إلى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أنها ذكرت لأجل كونها موجبة للإطمئنان بالصدور غالباً، فيتعدى إلى كل ما كان كذلك؟ أقواهما الأخير، لأنّ اعتبار نفس الأمارة من حيث الطريقية المحضة فتكون المرجّحات أيضا كذلك، فكلما يوجب الإطمئنان العقلائي بالصدور يوجب الترجيح ما لم يردع عنه الشرع</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ذكرنا سابقاً بأنه لا وجه للتمسك بإطلاقات التخيير مع وجود محتمل الترجيح لكونه من التمسك بالدليل في الشبهة الموضوعية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حاجة إلى الإستدلال على التعدي كما صنعه الشيخ الأنصاري قدس سره </w:t>
      </w:r>
      <w:r>
        <w:rPr>
          <w:rStyle w:val="FootnoteAnchor"/>
          <w:rtl w:val="true"/>
        </w:rPr>
        <w:footnoteReference w:id="392"/>
      </w:r>
      <w:r>
        <w:rPr>
          <w:rFonts w:ascii="Amiri" w:hAnsi="Amiri" w:eastAsia="Amiri" w:cs="Amiri"/>
          <w:color w:val="111111"/>
          <w:sz w:val="28"/>
          <w:sz w:val="28"/>
          <w:szCs w:val="28"/>
          <w:rtl w:val="true"/>
          <w:lang w:bidi="ar-SA"/>
        </w:rPr>
        <w:t xml:space="preserve">وغيره بقوله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الرُّشْدَ فِي خِلَافِهِمْ</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 xml:space="preserve">باعتبار أنّ إطلاقه يدلّ على أخذ كلّ ما كان فيه الرشد النسبي، وقوله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خُذُوا بِالْمُجْمَعِ عَلَيْهِ؛ فَإِنَّ الْمُجْمَعَ عَلَيْهِ لَا رَيْبَ فِيه</w:t>
      </w:r>
      <w:r>
        <w:rPr>
          <w:rFonts w:eastAsia="Amiri" w:cs="Amiri" w:ascii="Amiri" w:hAnsi="Amiri"/>
          <w:color w:val="111111"/>
          <w:sz w:val="28"/>
          <w:szCs w:val="28"/>
          <w:rtl w:val="true"/>
          <w:lang w:bidi="ar-SA"/>
        </w:rPr>
        <w:t>)</w:t>
      </w:r>
      <w:r>
        <w:rPr>
          <w:rStyle w:val="FootnoteAnchor"/>
          <w:rtl w:val="true"/>
        </w:rPr>
        <w:footnoteReference w:id="394"/>
      </w:r>
      <w:r>
        <w:rPr>
          <w:rFonts w:ascii="IRNazanin" w:hAnsi="IRNazanin" w:eastAsia="IRNazanin"/>
          <w:color w:val="111111"/>
          <w:sz w:val="28"/>
          <w:sz w:val="28"/>
          <w:szCs w:val="28"/>
          <w:rtl w:val="true"/>
          <w:lang w:bidi="fa-IR"/>
        </w:rPr>
        <w:t xml:space="preserve">باعتبار أنّ ما </w:t>
      </w:r>
    </w:p>
    <w:p>
      <w:pPr>
        <w:pStyle w:val="BookText"/>
        <w:rPr/>
      </w:pPr>
      <w:r>
        <w:rPr>
          <w:rFonts w:ascii="Amiri" w:hAnsi="Amiri" w:eastAsia="Amiri" w:cs="Amiri"/>
          <w:color w:val="111111"/>
          <w:sz w:val="28"/>
          <w:sz w:val="28"/>
          <w:szCs w:val="28"/>
          <w:rtl w:val="true"/>
          <w:lang w:bidi="ar-SA"/>
        </w:rPr>
        <w:t>لا ريب فيه مطلقاً؛ يعني صدوراً ودلالةً وجهةً يختص بالنصوص القرآنية، فهو غير مراد، وأنّ المراد عدم الريب النسبي الإضافي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فيشمل كلّ ما لا ريب فيه بالإضافة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ترجيح بالنسبة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ووجه عدم الحاجة إلى ذلك هو عدم وجود ما يدلّ في الروايات على أنّ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الرشد في خلافهم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المجمع عليه لا ريب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العلّة التامة المنحصرة المستقلة للحكم حتى يستفاد منه التعدّي إلى كلّ مورد فيه هذه العلة كالإسكار في حرمة الخمر، بل الظاهر إنه من قبيل بيان الحكمة والشك في ذلك يكفي في عدم استفادة العلية فإنَّه من المحتمل أن يكون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لمجمع لا ريب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عند الناس لا بالنسبة إلى الواقع، فإنّ الناس مجبولون على الأخذ بالمشهور لديهم مطلقاً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كان المناط هو الوثوق بالصدور والإطمئنان فيمكن تحصيله من أمور كثيرة؛ منها ما ذكره المحدث العاملي قدس سره في خاتمة الوسائل في الفائدة الثامنة</w:t>
      </w:r>
      <w:r>
        <w:rPr>
          <w:rStyle w:val="FootnoteAnchor"/>
          <w:rtl w:val="true"/>
        </w:rPr>
        <w:footnoteReference w:id="395"/>
      </w:r>
      <w:r>
        <w:rPr>
          <w:rFonts w:ascii="Amiri" w:hAnsi="Amiri" w:eastAsia="Amiri" w:cs="Amiri"/>
          <w:color w:val="111111"/>
          <w:sz w:val="28"/>
          <w:sz w:val="28"/>
          <w:szCs w:val="28"/>
          <w:rtl w:val="true"/>
          <w:lang w:bidi="ar-SA"/>
        </w:rPr>
        <w:t>مِمّايمكن تحصيل الوثوق بالصدور فراجع ما ذكره، فإنّ جملة منها مِمّا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 قول الإمام الصادق علیه السلام لجميل بن دراج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جَمِيلُ لَا تُحَدِّثْ أَصْحَابَنَا بِمَا لَمْ يُجْمِعُوا عَلَيْهِ فَيُكَذِّبُوكَ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 الإمام الرضا علیه السلام ليونس بن عبد الرحمن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يُونُسُ حَدِّثِ النَّاسَ بِمَا يَعْرِفُونَ، واتْرُكْهُمْ مِمَّا لَا يَعْرِفُون</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الأخبار؛ فإنَّه يمكن استفادة صحة التعدّي وتشهد له التجربة القطعية</w:t>
      </w:r>
      <w:r>
        <w:rPr>
          <w:rFonts w:eastAsia="Amiri" w:cs="Amiri" w:ascii="Amiri" w:hAnsi="Amiri"/>
          <w:color w:val="111111"/>
          <w:sz w:val="28"/>
          <w:szCs w:val="28"/>
          <w:rtl w:val="true"/>
          <w:lang w:bidi="ar-SA"/>
        </w:rPr>
        <w:t xml:space="preserve">. </w:t>
      </w:r>
      <w:bookmarkStart w:id="406" w:name="pg15367_181302"/>
    </w:p>
    <w:p>
      <w:pPr>
        <w:pStyle w:val="BookText"/>
        <w:rPr/>
      </w:pPr>
      <w:bookmarkEnd w:id="406"/>
      <w:r>
        <w:rPr>
          <w:rFonts w:ascii="Amiri" w:hAnsi="Amiri" w:eastAsia="Amiri" w:cs="Amiri"/>
          <w:color w:val="111111"/>
          <w:sz w:val="28"/>
          <w:sz w:val="28"/>
          <w:szCs w:val="28"/>
          <w:rtl w:val="true"/>
          <w:lang w:bidi="ar-SA"/>
        </w:rPr>
        <w:t>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أقصى ما يستفاد منه الظنّ بالصدور فإذا لم يقم دليل على اعتباره فالأصل يقتضي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الظنّ إنْ قام على اعتباره الدليل فلا إشكال في صلاحيته للترجيح، كما أنه لا ريب في أنه إذا قام الدليل على عدم اعتباره فلا يصحّ التعويل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لم يكن الظن من الأول ولا من الثاني فقد جرت سيرة الفقهاء على معاملة الترجيح معه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فتراهم 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الأكثر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جمع من القدماء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عليه الشهيدان والمحققان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غير ذلك من التعبيرات الكثيرة التي توجب الإعتماد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أنّ عادة الفقهاء قد جرت على عدِّ الموافقة للأصل من المرجّحات، فراجع الجواهر وغيره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ولعل الوجه في ذلك أنه مع وجود هذه الظنون يحصل الشك في شمول إطلاقات أدلة التخيير فلا يصحّ التمسك بها حينئذٍ، لا سيما مع ثبوت ملاك سائر المرجّحات فيها وهو حصول الإطمئنان في الجملة</w:t>
      </w:r>
      <w:r>
        <w:rPr>
          <w:rFonts w:eastAsia="Amiri" w:cs="Amiri" w:ascii="Amiri" w:hAnsi="Amiri"/>
          <w:color w:val="111111"/>
          <w:sz w:val="28"/>
          <w:szCs w:val="28"/>
          <w:rtl w:val="true"/>
          <w:lang w:bidi="ar-SA"/>
        </w:rPr>
        <w:t>.</w:t>
      </w:r>
    </w:p>
    <w:p>
      <w:pPr>
        <w:pStyle w:val="Heading6"/>
        <w:numPr>
          <w:ilvl w:val="5"/>
          <w:numId w:val="1"/>
        </w:numPr>
        <w:rPr/>
      </w:pPr>
      <w:bookmarkStart w:id="407" w:name="__RefHeading___Toc5900776_2142443653"/>
      <w:bookmarkStart w:id="408" w:name="_Toc153"/>
      <w:bookmarkEnd w:id="407"/>
      <w:r>
        <w:rPr>
          <w:rtl w:val="true"/>
        </w:rPr>
        <w:t>التنبيه الثاني</w:t>
      </w:r>
      <w:r>
        <w:rPr>
          <w:rtl w:val="true"/>
        </w:rPr>
        <w:t xml:space="preserve">: </w:t>
      </w:r>
      <w:r>
        <w:rPr>
          <w:rtl w:val="true"/>
        </w:rPr>
        <w:t>في بيان حكم المتعارضين بعد التكافؤ</w:t>
      </w:r>
      <w:bookmarkEnd w:id="408"/>
    </w:p>
    <w:p>
      <w:pPr>
        <w:pStyle w:val="BookText"/>
        <w:rPr/>
      </w:pPr>
      <w:r>
        <w:rPr>
          <w:rFonts w:ascii="Amiri" w:hAnsi="Amiri" w:eastAsia="Amiri" w:cs="Amiri"/>
          <w:color w:val="111111"/>
          <w:sz w:val="28"/>
          <w:sz w:val="28"/>
          <w:szCs w:val="28"/>
          <w:rtl w:val="true"/>
          <w:lang w:bidi="ar-SA"/>
        </w:rPr>
        <w:t>ذكرنا في بداية بحث التعارض أنه كما أنّ حجية الخبر الموثوق به تكون ببناء العقلاء؛ كذلك لا بُدَّ أن تكون متمّمات الحجية وفروعها إنَّما يرجع فيها إلى بناء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والتعارض وأحكامه من لوازم الحجية التي هي دائرة بين خطابات العقلاء وموجودة في محاوراتهم، ولا يعقل أن يكون هذا الأصل النظامي دائراً بينما تكون لوازمها وفروعها مغفولاً عنها لديهم مع كونها من مقومات محاوراتهم واحتجاجاتهم</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تقدم أنّ الأنواع الثلاثة للمرجّحات ثابتة عند المتعارف في محاوراتهم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يقع البحث عن حكم المتعارضين بعد التكافؤ من جميع الجهات عند العقلاء وأنه بعد استقرار الحيرة لديهم؛ هل يختارون الإحتياط في العمل إنْ أمكن أو يتوقفون عنه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أنهم </w:t>
      </w:r>
    </w:p>
    <w:p>
      <w:pPr>
        <w:pStyle w:val="BookText"/>
        <w:rPr/>
      </w:pPr>
      <w:r>
        <w:rPr>
          <w:rFonts w:ascii="Amiri" w:hAnsi="Amiri" w:eastAsia="Amiri" w:cs="Amiri"/>
          <w:color w:val="111111"/>
          <w:sz w:val="28"/>
          <w:sz w:val="28"/>
          <w:szCs w:val="28"/>
          <w:rtl w:val="true"/>
          <w:lang w:bidi="ar-SA"/>
        </w:rPr>
        <w:t>يرجعون إلى التخيير بحكم فطرتهم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يرجعون إلى التساقط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ذكرنا ما يتعلق بذلك في بحوثنا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الذي ينبغي البحث عنه في هذا التنبيه هو الكلام في التخيير لو فرض اختياره عند فرض التكافؤ وعدم رجحان أحد الخبرين على الآخر، أو افترضنا تمامية الإستدلال بأخبار التخيير في حالات التعارض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الثابت في التخيير في المسألة الأصولية أو التخيير في المسألة الفقهية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والبحث عن ذلك يقع من 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الفرق بين التخييرين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في أنّ الحكم بالتخيير في حالات التعارض حكمٌ شرعي ظاهري، وليس هو تخيير واقعي وإنما البحث في أنه حكم تكليفيّ فرعيّ فيكون التخيير في المسألة الفقهية، أو أنه حكم وضعيّ أصوليّ فيكون التخيير في المسألة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بالحكم الوضعيّ الأصوليّ حجية أحد الخبرين المتعارضين إذا اختار المكلف أحدهما بالطرق التي تقدم البحث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المراد بالحكم الفرعيّ الترخيص العمليّ للمكلفين في تطبيق أعمالهم وفق أحد الدليلين المتعارضين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الفرق الثبوتي بين التخييرين هو أنّ الحكم العملي للمكلفين لا يتحدد في التخيير الأصولي بنفس ما هو المجعول التشريعي فيه، بخلاف التخيير الفقهي وإنما يحدده اختيار المكلف فيكون مفاده حجة عليه تعييناً بعد اختياره؛ فإذا كان أحد المتعارضين يدلّ على وجوب القصر في المواطن الأربعة واختاره المكلف صار حجةً عليه وأصبح تكليفه العملي وجوب القصر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شأنه شأن سائر الأحكام التكليفية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إشكال في معقولية التخيير الفقهي؛ كأن يرخّص المولى أن يطبّق العبد عمله على أحد الخبرين بنحو لا يخالفهما معاً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التخيير في المسألة الأصولية فقد اختلفوا في معقوليته،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سنخ ما يقال في الوجوب التخييري،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يعقل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فإنّ الصياغة المعروفة في جعل الوجوب التخييري أحد وجهين؛ إما إيجاب الجامع بين الفعلين، وإما إيجاب كلّ منهما مشروطاً بترك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يستبطن جعلاً واحداً، بينما الثاني يتضمن جعلين مستقلين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أنّ المعقول في المقام هو الثاني لا الأول، والكلام فيهما وإن تقدم تفصيلاً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جميع ما ذكروه أنّ الإحتمال الأول غير معقول في جعل الحجية التخييرية كجعل واحد على حدّ جعل وجوب الجامع في الوجوب التخييري، بخلاف الإحتمال الثاني فمن المعقول جعل الحجية التخييرية كجعلين مشروطين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عدم معقولية الأول هو أنّ الغرض المطلوب في باب الوجوب التخييري بعث المكلف على إيجاد أحد الفردين من الجامع لا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وهذاالغرض إنَّما يحصل بتعلّق الوجوب بالجامع بنحو صرف الوجود، ويكفي هذا المقدار في بعث المكلف نحو الإتيان بفرد من الأفراد لأنّ الجامع لا يتحقق إلا بذلك، وهذا غير متحقق في الحجية التخييرية لأنّ الغرض في جعلها هو تخيير مفاد أحد الدليلين المتعارضين تعييناً؛ كما إذا لم يكن له معارض، وهذا المقدار لا يتحقق عن طريق جعل الحجية للجامع بين الخبرين، بل لا بُدَّ من نصب الجعل على شخص أحد الدليلين المتعارضين</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الدليل على معقولية الوجه الثاني؛ هو أنّ جعل الحجية المشروطة في الطرفين معقول وينسجم مع الغرض المطلوب من الحجية التخييرية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الإشكال في كيفية تحديد الشرط لهذه الحجية بنحو لا يستوجب الجمع بين الحجّتين في بعض الأحيان؛ فقد ذكر المشهور أنّ الشرط عبارة عن التزام المكلف بأحد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ما التزم به من المتعارضين </w:t>
      </w:r>
    </w:p>
    <w:p>
      <w:pPr>
        <w:pStyle w:val="BookText"/>
        <w:rPr/>
      </w:pPr>
      <w:r>
        <w:rPr>
          <w:rFonts w:ascii="Amiri" w:hAnsi="Amiri" w:eastAsia="Amiri" w:cs="Amiri"/>
          <w:color w:val="111111"/>
          <w:sz w:val="28"/>
          <w:sz w:val="28"/>
          <w:szCs w:val="28"/>
          <w:rtl w:val="true"/>
          <w:lang w:bidi="ar-SA"/>
        </w:rPr>
        <w:t>يكون هو الحجة فعلاً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العاقل لا يختار التزامين متهافتين فلا يتفق أن تجتمع في حقّه حجتان، وإنْ كان يجب عليه أحد الإلتزامين وجوباً طريقياً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المعنى وإنْ كان أمراً معقولاً في حدّ نفسه ولكنه لا يخلو عن غرابة في التشريع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يكن فيه اختيار المكلف والتزامه شرطاً في حجية دليل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دفع هذه الغرابة بتبديل الشرط وجعله عبارة عن ما يختاره المكلف مع لزوم أحد الإختيارين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ولكنه لا يفي برفع الإستغراب لأنّ فيه تجويز التشريع وإعطاءه بيد المكلف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التخيير؛ إما تكويني محض، كما في دوران الأمر بين المحذورين مع عدم كون أحدهما قريباً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عقلائي، كما في موارد تعارض الخبرين ونظائرهما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شرعي كما في خصال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والتخيير العقلائي إنَّما يصار إليه عند تعذّر جميع ما يوجب ترجيح أحد المتعارضين على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قلنا بأنه لا يختص التخيير بخصوص الأخبار، بل يشمل جميع موارد التعارض من أقوال الرجال وأهل اللغة والمفسرين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بناءً على كون التخيير شرعياً محضاً في المقام لاختص بخصوص الأخبار المتعارضة لاختصاص أدلة التعارض بها</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الصحيح أنها قد وردت في مقام عدم الردع عن طريق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الأصوليون في المقام من التطويل الذي لا طائل تحته، وقد ذكرنا في بحوث الإجتهاد والتقليد وقلنا بمعقولية التخيير الفقهي والتخيير الأصولي باحتماليه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 ما ذكرناه هناك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التخيير بكلا قسميه الأصولي والفقهي من وظيفة الفقهاء، وليس للعامي نصيب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والفقيه إنَّما يفتي بالتخيير في المسألة الفقهية كحكم تكليفي ظاهري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التخيير في المسألة الأصولية؛ فإن اختار الفقيه أحدالخبرين المتعارضين فهل يفتي المقلدين بالتخيير الأصولي فيجعل اختيار الخبرين على ذمة المكلف، أو يفتيهم بمفاد الخبر الذي اختاره وتعين عليه؟</w:t>
      </w:r>
    </w:p>
    <w:p>
      <w:pPr>
        <w:pStyle w:val="BookText"/>
        <w:rPr/>
      </w:pPr>
      <w:r>
        <w:rPr>
          <w:rFonts w:ascii="Amiri" w:hAnsi="Amiri" w:eastAsia="Amiri" w:cs="Amiri"/>
          <w:color w:val="111111"/>
          <w:sz w:val="28"/>
          <w:sz w:val="28"/>
          <w:szCs w:val="28"/>
          <w:rtl w:val="true"/>
          <w:lang w:bidi="ar-SA"/>
        </w:rPr>
        <w:t>أما الإحتمال الأول وهو الإفتاء بالتخيير الأصولي فقد يقال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الأحكام الأصولية مختصة بالمجتهدين ولا تثبت في حقّ المقلدين، ولكنه ليس بسديد كما ذكرناه في مباحث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الإحتمال الثاني وهو إفتاؤه بمفاد الخبر الذي صار حجة في حقه؛ فتارةً؛ يلاحظ فيه كونه إخباراً منه بما أنزله الله وفرضه على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صحيح بعد فرض حجية الخبر الذي اختاره، فلا محذور بالنسبة إليه أن يخبر بمدلوله كحكم شرعي كما هو الحال في غير موارد التعارض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يلاحظ فيه كونه حجة على المقلدين بحيث يتعين عليهم الإلتزام به والسير عليه؛ فقد يستشكل في إثباته في المقام لأنّ التقليد ليس أمراً تعبدياً صرفاً وإنما هو أمر عقلائي، وبملاك رجوع الجاهل إلى العالم وإفتاء الفقيه بمفاد الخبر الذي أصبح حجة عليه مقابل الخبر الآخر لم يكن على أساس علم وخبرة مفقودٌ بالنسبة للمقلد، وإنما هو لمحض الرغبة والإختيار الشخصي، فالمقلد شأنه شأن المجتهد في أنه يختار أي واحد من الخبرين ويكون هو الحجة عليه</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يمكن أن يقال بأنّ هذا المقدار لا يكفي في جعل التخيير الأصولي بهذا المعنى من الشؤون التي يشترك فيها المجتهد والعامي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الدليل الذي ذكره مخدوش كما هو واضح، فالتخيير في المسألة الأصولية بمعنى اختيار الحجية من مختصات المجتهدين والعامي بمعزل عن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استفادة أحد التخييرين من الأخبار الواردة في المقام على فرض تمامية دلالتها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يقال باستفادة التخيير الأصولي بأحد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بعض أخبار التخيير من التعبير بالأخذ كقوله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بِأَيِّهِمَا أَخَذْتَ</w:t>
      </w:r>
      <w:r>
        <w:rPr>
          <w:rFonts w:eastAsia="Amiri" w:cs="Amiri" w:ascii="Amiri" w:hAnsi="Amiri"/>
          <w:color w:val="111111"/>
          <w:sz w:val="28"/>
          <w:szCs w:val="28"/>
          <w:rtl w:val="true"/>
          <w:lang w:bidi="ar-SA"/>
        </w:rPr>
        <w:t>)</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إطلاقه شموله للأخذ العملي والأخذ المفادي معاً، وهو مساوق مع الحجية الأصولية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التقريب لا يتأتى في تلك الأخبار التي لم يرد فيه لفظ الأخذ؛ من قبيل قوله علیه 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فَمُوَسَّعٌ عَلَيْكَ حَتَّى تَرَى الْقَائِمَ علیه السلام فَتَرُدَّ إِلَيْه</w:t>
      </w:r>
      <w:r>
        <w:rPr>
          <w:rFonts w:eastAsia="Amiri" w:cs="Amiri" w:ascii="Amiri" w:hAnsi="Amiri"/>
          <w:color w:val="111111"/>
          <w:sz w:val="28"/>
          <w:szCs w:val="28"/>
          <w:rtl w:val="true"/>
          <w:lang w:bidi="ar-SA"/>
        </w:rPr>
        <w:t>)</w:t>
      </w:r>
      <w:r>
        <w:rPr>
          <w:rStyle w:val="FootnoteAnchor"/>
          <w:rtl w:val="true"/>
        </w:rPr>
        <w:footnoteReference w:id="399"/>
      </w:r>
      <w:r>
        <w:rPr>
          <w:rFonts w:ascii="Amiri" w:hAnsi="Amiri" w:eastAsia="Amiri" w:cs="Amiri"/>
          <w:color w:val="111111"/>
          <w:sz w:val="28"/>
          <w:sz w:val="28"/>
          <w:szCs w:val="28"/>
          <w:rtl w:val="true"/>
          <w:lang w:bidi="ar-SA"/>
        </w:rPr>
        <w:t>فإنّ السعة عرفاً مقابل التضييق، ولا ضيق عرفاً من عدم التخيير الأصولي وإنما الضيق في الإحتياط العملي فتكون السعة عبارة عن التخيير العملي الفقهي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إستظهار ناظرية أخبار التخيير إلى دليل الحجية العام لتدارك قصوره عن شمول موارد التعارض فيكون مفادها جعل الحجية أيضاً؛ لا مجرد جعل التخيير العملي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ما يتعلق بذلك في بحوث الإجتهاد والتقليد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التخيير إبتدائي أو إستمراري؟</w:t>
      </w:r>
    </w:p>
    <w:p>
      <w:pPr>
        <w:pStyle w:val="BookText"/>
        <w:rPr/>
      </w:pPr>
      <w:r>
        <w:rPr>
          <w:rFonts w:ascii="Amiri" w:hAnsi="Amiri" w:eastAsia="Amiri" w:cs="Amiri"/>
          <w:color w:val="111111"/>
          <w:sz w:val="28"/>
          <w:sz w:val="28"/>
          <w:szCs w:val="28"/>
          <w:rtl w:val="true"/>
          <w:lang w:bidi="ar-SA"/>
        </w:rPr>
        <w:t>والظاهر هو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التخيير استمرارياً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بأنه بعد الأخذ بأحدهما يصير ذا حجة معتبرة فلا يبقى موضوع للتخيير حينئذٍ</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يقال بأنّ التخيير إستمراري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واستدلّ عليه تارة بأنه ظاهر أخبار التخيير لإطلاق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إذن فتخيّر</w:t>
      </w:r>
      <w:r>
        <w:rPr>
          <w:rFonts w:eastAsia="IRNazanin" w:cs="IRNazanin"/>
          <w:color w:val="111111"/>
          <w:sz w:val="28"/>
          <w:szCs w:val="28"/>
          <w:rtl w:val="true"/>
          <w:lang w:bidi="fa-IR"/>
        </w:rPr>
        <w:t>)</w:t>
      </w:r>
      <w:r>
        <w:rPr>
          <w:rStyle w:val="FootnoteAnchor"/>
          <w:rtl w:val="true"/>
        </w:rPr>
        <w:footnoteReference w:id="400"/>
      </w:r>
      <w:r>
        <w:rPr>
          <w:rFonts w:ascii="Amiri" w:hAnsi="Amiri" w:eastAsia="Amiri" w:cs="Amiri"/>
          <w:color w:val="111111"/>
          <w:sz w:val="28"/>
          <w:sz w:val="28"/>
          <w:szCs w:val="28"/>
          <w:rtl w:val="true"/>
          <w:lang w:bidi="ar-SA"/>
        </w:rPr>
        <w:t>الشامل للإستمرار أيضاً</w:t>
      </w:r>
      <w:r>
        <w:rPr>
          <w:rFonts w:eastAsia="Amiri" w:cs="Amiri" w:ascii="Amiri" w:hAnsi="Amiri"/>
          <w:color w:val="111111"/>
          <w:sz w:val="28"/>
          <w:szCs w:val="28"/>
          <w:rtl w:val="true"/>
          <w:lang w:bidi="ar-SA"/>
        </w:rPr>
        <w:t xml:space="preserve">. </w:t>
      </w:r>
      <w:bookmarkStart w:id="409" w:name="pg15367_181308"/>
    </w:p>
    <w:p>
      <w:pPr>
        <w:pStyle w:val="BookText"/>
        <w:rPr/>
      </w:pPr>
      <w:bookmarkEnd w:id="409"/>
      <w:r>
        <w:rPr>
          <w:rFonts w:ascii="Amiri" w:hAnsi="Amiri" w:eastAsia="Amiri" w:cs="Amiri"/>
          <w:color w:val="111111"/>
          <w:sz w:val="28"/>
          <w:sz w:val="28"/>
          <w:szCs w:val="28"/>
          <w:rtl w:val="true"/>
          <w:lang w:bidi="ar-SA"/>
        </w:rPr>
        <w:t>ويمكن الإشكال عليه بأنّ الإطلاق فيه بدليٌ بلحاظ مجموع الوقائع كواقعة واحدة،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الوقائع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مخيّر في الأخذ بأيهما شئت، فلا دلالة لهما على الإستمرار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عدم استفادة الإطلاقين من الأخبار فكلّ من الشمولية والبدلية محتملة فيكون صرف التخيير هو المستفاد منها فتصل النوبة إلى الأصول العملية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وأخرى التمسك باستصحاب التخيير لإثبات الإستمرار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باختلاف الموضوع في القضيتين؛ إذ موضوع التخيير هو التحيّر، وبعد الأخذ بأحدهما لا تحيّر فلا يجري الإستصحاب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لم يرد في الأخبار كون الموضوع هو التحيّر، وعلى فرضه هو التحيّر في الحكم الواقعي وهو باقٍ وإن ارتفع التحيّر بالنسبة إلى الحكم الظاهري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غير سديد لما ذكرنا من أنّ التخيير في موارد التعارض إنَّما هو تخيير عقلائي، والعقلاء لا يرجعون إلى التخيير إلا بعد تكافؤ الخبرين المتعارضين، وتحقق الحيرة عندهم فإذا ارتفع التحيّر عندهم باختيار أحد الخبرين سقط الإختيار حينئذٍ بلا فرق بين التخيير الفقهي أو الأصولي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وتفصيل الكلام في ذلك من التطويل الذي لا طائل تحته</w:t>
      </w:r>
      <w:r>
        <w:rPr>
          <w:rFonts w:eastAsia="Amiri" w:cs="Amiri" w:ascii="Amiri" w:hAnsi="Amiri"/>
          <w:color w:val="111111"/>
          <w:sz w:val="28"/>
          <w:szCs w:val="28"/>
          <w:rtl w:val="true"/>
          <w:lang w:bidi="ar-SA"/>
        </w:rPr>
        <w:t>.</w:t>
      </w:r>
    </w:p>
    <w:p>
      <w:pPr>
        <w:pStyle w:val="Heading6"/>
        <w:numPr>
          <w:ilvl w:val="5"/>
          <w:numId w:val="1"/>
        </w:numPr>
        <w:rPr/>
      </w:pPr>
      <w:bookmarkStart w:id="410" w:name="__RefHeading___Toc5900778_2142443653"/>
      <w:bookmarkStart w:id="411" w:name="_Toc154"/>
      <w:bookmarkEnd w:id="410"/>
      <w:r>
        <w:rPr>
          <w:rtl w:val="true"/>
        </w:rPr>
        <w:t>التنبيه الثالث</w:t>
      </w:r>
      <w:r>
        <w:rPr>
          <w:rtl w:val="true"/>
        </w:rPr>
        <w:t xml:space="preserve">: </w:t>
      </w:r>
      <w:r>
        <w:rPr>
          <w:rtl w:val="true"/>
        </w:rPr>
        <w:t>في شمول أخبار العلاج لموارد الجمع العرفي</w:t>
      </w:r>
      <w:bookmarkEnd w:id="411"/>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عرفت أنّ الجمع العرفي عبارة عن التصرّف في الدليلين أو أحدهما بحيث إذا عرضناه على المتعارف من أهل اللسان يعترفون بأنه لا تعارض بينهما مع هذا النحو من التصرّف، ولكن بشرط أن تدلّ قرينة معتبرة على هذا التصرف والجمع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وذكرنا أنّ موارد الجمع العرفي هي الحكومة والورود والتخصيص والتخصّص والتقييد، وقد تقدم البحث في كلّ واحد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وقلنا بأنّ هذه الموارد هي من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قلنا أنه لا تعارض في البين أصلاً</w:t>
      </w:r>
      <w:r>
        <w:rPr>
          <w:rFonts w:eastAsia="Amiri" w:cs="Amiri" w:ascii="Amiri" w:hAnsi="Amiri"/>
          <w:color w:val="111111"/>
          <w:sz w:val="28"/>
          <w:szCs w:val="28"/>
          <w:rtl w:val="true"/>
          <w:lang w:bidi="ar-SA"/>
        </w:rPr>
        <w:t xml:space="preserve">. </w:t>
      </w:r>
      <w:bookmarkStart w:id="412" w:name="pg15367_181309"/>
    </w:p>
    <w:p>
      <w:pPr>
        <w:pStyle w:val="BookText"/>
        <w:rPr/>
      </w:pPr>
      <w:bookmarkEnd w:id="412"/>
      <w:r>
        <w:rPr>
          <w:rFonts w:ascii="Amiri" w:hAnsi="Amiri" w:eastAsia="Amiri" w:cs="Amiri"/>
          <w:color w:val="111111"/>
          <w:sz w:val="28"/>
          <w:sz w:val="28"/>
          <w:szCs w:val="28"/>
          <w:rtl w:val="true"/>
          <w:lang w:bidi="ar-SA"/>
        </w:rPr>
        <w:t>والكلام يقع في المقام في شمول أخبار العلاج لهذه الموارد لإطلاق لسانها؛ حيث لا تختص بالتعارض المستقر فتشمل التعارض غير المستقر؛ باعتبار أنّ الملاك في الرجوع إلى أخبار العلاج ليس هو التنافي في الحجية، بل يشمل ما إذا كان بين مدلولي الدليلين تعارضاً حقيقياً ففي هذا القسم وإنْ لم يكن التعارض سارياً إلى دليل الحجية ولكن الوارد في مفاد أخبار العلاج مطلق التعارض والإختلاف في الحديث، وهو ثابت في موارد الجمع العرفي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عدم تمامية ذلك لما عرفت في محلّه أنّ في موارد الجمع العرفي لم يثبت التعارض بين الدليلين عند العرف مع وجود هذا الجمع المقبول عندهم فلا تشملها أخبار العلاج لانتفاء موضوعه وهو التعارض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لا غبار عليه، ولكن القوم أطالوا الكلام في الردّ على البيان المتقدم بوجوه عديدة؛ وهي إنْ رجعت إلى ما ذكرناه كما لا يبعد ذلك وإن قصرت عباراتهم 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فهي قابلة للمناقشة لا حاجة إلى إيرادها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التطويل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مزيد بيان في التنبيه التالي</w:t>
      </w:r>
      <w:r>
        <w:rPr>
          <w:rFonts w:eastAsia="Amiri" w:cs="Amiri" w:ascii="Amiri" w:hAnsi="Amiri"/>
          <w:color w:val="111111"/>
          <w:sz w:val="28"/>
          <w:szCs w:val="28"/>
          <w:rtl w:val="true"/>
          <w:lang w:bidi="ar-SA"/>
        </w:rPr>
        <w:t>.</w:t>
      </w:r>
    </w:p>
    <w:p>
      <w:pPr>
        <w:pStyle w:val="Heading6"/>
        <w:numPr>
          <w:ilvl w:val="5"/>
          <w:numId w:val="1"/>
        </w:numPr>
        <w:rPr/>
      </w:pPr>
      <w:bookmarkStart w:id="413" w:name="__RefHeading___Toc5900780_2142443653"/>
      <w:bookmarkStart w:id="414" w:name="_Toc155"/>
      <w:bookmarkEnd w:id="413"/>
      <w:r>
        <w:rPr>
          <w:rtl w:val="true"/>
        </w:rPr>
        <w:t>التنبيه الرابع</w:t>
      </w:r>
      <w:r>
        <w:rPr>
          <w:rtl w:val="true"/>
        </w:rPr>
        <w:t xml:space="preserve">: </w:t>
      </w:r>
      <w:r>
        <w:rPr>
          <w:rtl w:val="true"/>
        </w:rPr>
        <w:t>في شمول أخبار العلاج لموارد التعارض بالعموم من وجه</w:t>
      </w:r>
      <w:bookmarkEnd w:id="414"/>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اختلف الأصوليون في ذلك فقد ذهب المحقق النائيني قدس سره </w:t>
      </w:r>
      <w:r>
        <w:rPr>
          <w:rStyle w:val="FootnoteAnchor"/>
          <w:rtl w:val="true"/>
        </w:rPr>
        <w:footnoteReference w:id="401"/>
      </w:r>
      <w:r>
        <w:rPr>
          <w:rFonts w:ascii="Amiri" w:hAnsi="Amiri" w:eastAsia="Amiri" w:cs="Amiri"/>
          <w:color w:val="111111"/>
          <w:sz w:val="28"/>
          <w:sz w:val="28"/>
          <w:szCs w:val="28"/>
          <w:rtl w:val="true"/>
          <w:lang w:bidi="ar-SA"/>
        </w:rPr>
        <w:t>إلى التفصيل بين المرجّحات السندية وبين المرجّحات الدلالية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المرجّح السندي لا يأتي في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تطبيقه؛ إما أن يستلزم إسقاط الخبرين في مادة الإفتراق لكلّ منهما وهو مِمّا لا موجب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أن يستلزم التبعيض في السند الواحد وهو غير معقول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بخلاف المرجّح الدلالي فإنَّه بالإمكان إعماله في مادة الإجتماع فقط لتعدد الدلالات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وذهب آخرون ومنهم السيد الوالد قدس سره </w:t>
      </w:r>
      <w:r>
        <w:rPr>
          <w:rStyle w:val="FootnoteAnchor"/>
          <w:rtl w:val="true"/>
        </w:rPr>
        <w:footnoteReference w:id="402"/>
      </w:r>
      <w:r>
        <w:rPr>
          <w:rFonts w:ascii="Amiri" w:hAnsi="Amiri" w:eastAsia="Amiri" w:cs="Amiri"/>
          <w:color w:val="111111"/>
          <w:sz w:val="28"/>
          <w:sz w:val="28"/>
          <w:szCs w:val="28"/>
          <w:rtl w:val="true"/>
          <w:lang w:bidi="ar-SA"/>
        </w:rPr>
        <w:t>بأنّ حكم التعارض من الترجيح والتخيير يختص بالمتباينين فقط، وقد تقدم أنه لا يشمل العام والخاص ولا المطلق والمقيد لتحقق الجمع العرفي المعقول فيهما، بل تقدم عدم كونهما من التعارض في المحاورات أصلاً فيخرجان عنه تخصصاً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لا تجري أحكام التعارض في موارد العموم من وجه لأنّ المتفاهم من أدلة المقام ما إذا لم يمكن الأخذ بالدليلين في الجملة؛ وهو ممكن في مورد الإفتراق من الدليلين، بل وكذا في مورد الاجتماع لأنّ المنساق من دليل حكم التعارض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ترجيحاً أو تخييراً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في ما إذا لزم من الطرح والرجوع إلى الأصول العملية محذور 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يلزم ذلك في مورد الإجتماع من العامين من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الشائع في المحاورات هو الطرح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محذور فيه إلا لزوم التفكيك في العمل بمدلول الدليل ولا محذور فيه، بل هو شائع في الفقه كما لا يخفى والمختار هو القول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وتمام الكلام في ذلك يقع ضمن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مخدوش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أورد عليه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الدال وإنْ كان واحداً والدلالة متعددة إلا أنّ الأحكام المترتبة في باب النقل والأخبار بعضها يترتب على الدال وبعضها يترتب على الدلالة؛ والأول كما في حرمة الكذب فإنّ موضوعها 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من في البلد قد 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كذباً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وبالتالي حراماً واحداً رغم تعدد الدلالات بعدد أفراد مَن في البلد، والثاني مثل حرمة الغيبة فإنّ موضوعها الدلالة فيتعدد بتعددها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هؤلاء فساق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ارتكب الحرمة بعدد أفرادهم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والحجية من قبيل الثاني لأنَّها حكم مترتب على الدلالة لا على الدال، فالعام من وجه وإنْ كان دالاً واحداً لكن دلالته في مادة الإجتماع غير دلالته في مادة الإفتراق، وكلّ منهما موضوع لحجية مستقلة بناءً على عدم التبعية بين الدلالات التضمنية في الحجية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محذور في سقوطه عن الحجية في خصوص مادة الإجتماع لوجود ترجيح في معارضه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وأورد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في النقل والأخبار دالّين ودلالتين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نقل الراوي دالّ وله مدلول واحد وهو صدور الحديث عن الإمام علیه السلام ، وحديث الإمام علیه السلام دالّ آخر وله دلالات عديدة بعدد ما يتضمنه من أحكام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المقصود في المرجّح السندي ترجيح أحد كلامي المعصوم علیه السلام على كلامه الآخر بمرجّح حتى يقال أنّ الحجية تكون بلحاظ الدلالة وهي متعددة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المقصود ترجيح أحد الدالّين الأولين على الآخر؛ أي ترجيح نقل أحد الراويين على نقل الآخر، وكلّ من النقلين له دلالة واحدة ومدلول واحد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ذكره المحقق النائيني قدس سره من أنّ إسقاط العام في مادة الإفتراق يكون بلا موجب فلا يمكن تطبيق المرجّحات السندية عليه، فما ذكره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لا بُدَّ من النظر إلى الأخبار العلاجية من حيث شمولها للعامين من وجه فإنْ فرض شمولها لهما وفرض عدم إمكان التفكيك بين مادة الإجتماع ومادة الإفتراق سقط العام حتى في مورد افتراقه، فلم يكن بلا موجب، بل هو بموجب أخبار العلاج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قدس سره لا يمكن المساعدة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 ما ذكرناه من عدم شمول أحكام التعارض علاجاً وتخييراً للعامّين من وجه في مورد الإجتماع فيسقطان إنْ لم يكن الجمع بينهما بوجه مقبول</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يقال بأنّ التفكيك سنداً في مادة الإجتماع ومادة الإفتراق في موارد التعارض بالعموم من وجه ممكن ثبوتاً؛ وذلك لأنّ لكلٍّ من الروايتين شهادتين؛ شهادة </w:t>
      </w:r>
    </w:p>
    <w:p>
      <w:pPr>
        <w:pStyle w:val="BookText"/>
        <w:rPr/>
      </w:pPr>
      <w:r>
        <w:rPr>
          <w:rFonts w:ascii="IRNazanin" w:hAnsi="IRNazanin" w:eastAsia="IRNazanin"/>
          <w:color w:val="111111"/>
          <w:sz w:val="28"/>
          <w:sz w:val="28"/>
          <w:szCs w:val="28"/>
          <w:rtl w:val="true"/>
          <w:lang w:bidi="fa-IR"/>
        </w:rPr>
        <w:t>إيجابية بأنّ العام قاله الإمام علیه السلام ، وشهادة سلبية سكوتية بعدم استثناء الإمام علیه السلام مورد الإجتماع عن حكمه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والتعارض إنَّما يكون بلحاظ الشهادتين السلبيتين فيتعارض الحديثان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أسقط الشارع الشهادة السلبية لإحدى الروايتين أمكن بقاء الشهادة الإيجابية فيها على الحجية وبها يثبت حكم العام في مادة الإفتراق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وهو صحيح ولكن إثبات الشهادتين يحتاج إلى دليل؛ وعلى فرض القبول في مادة الإجتماع فهو غير صحيح لما ذكرنا من أنّ مورد الاجتماع خارج عن أحكام التعارض تخصصاً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بعض الأصوليون</w:t>
      </w:r>
      <w:r>
        <w:rPr>
          <w:rStyle w:val="FootnoteAnchor"/>
          <w:rtl w:val="true"/>
        </w:rPr>
        <w:footnoteReference w:id="403"/>
      </w:r>
      <w:r>
        <w:rPr>
          <w:rFonts w:ascii="Amiri" w:hAnsi="Amiri" w:eastAsia="Amiri" w:cs="Amiri"/>
          <w:color w:val="111111"/>
          <w:sz w:val="28"/>
          <w:sz w:val="28"/>
          <w:szCs w:val="28"/>
          <w:rtl w:val="true"/>
          <w:lang w:bidi="ar-SA"/>
        </w:rPr>
        <w:t>التعارض بنحو العموم من وجه إلى ثلاثة أقسام؛ فإما أن يكون كلاهما بالوضع، وإما أن يكونا بالإطلاق ومقدمات الحكمة، وإما أن يكون أحدهما بالوضع والآخر بمقدمات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بأنّ الأول؛ هو القدر المتيقن لتطبيق المرجّحات عليه بناءً على جريانها في التعارض غير المستوعب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 يقدم فيه العموم الوضعي على الإطلاق الحكمي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فقد استشكل في تطبيق المرجّحات عليه لأنّ المرجّحات إنَّما تثبت في الحديثين المتعارضين والإطلاق ليس حديثاً وإنما هو بحكم العقل ومقدمات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بطلان ما ذكره لأنّ الإطلاق وإن استفيد من مقدمات الحكمة التي من جملتها السكوت عن القيد ولكنها مِمّا يوجب إيجاد الدلالة والظهور في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فيرجع الإطلاق إلى مدلول اللفظ عرفاً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أمراً سكوتياً بحتاً</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السكوت عن القيد حيثية تعليلية عرفاً لإيجاد الظهور للفظ 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ذكره مخالف لفهم العرف</w:t>
      </w:r>
      <w:r>
        <w:rPr>
          <w:rFonts w:eastAsia="Amiri" w:cs="Amiri" w:ascii="Amiri" w:hAnsi="Amiri"/>
          <w:color w:val="111111"/>
          <w:sz w:val="28"/>
          <w:szCs w:val="28"/>
          <w:rtl w:val="true"/>
          <w:lang w:bidi="ar-SA"/>
        </w:rPr>
        <w:t xml:space="preserve">. </w:t>
      </w:r>
      <w:bookmarkStart w:id="415" w:name="pg15367_181313"/>
    </w:p>
    <w:p>
      <w:pPr>
        <w:pStyle w:val="BookText"/>
        <w:rPr/>
      </w:pPr>
      <w:bookmarkEnd w:id="415"/>
      <w:r>
        <w:rPr>
          <w:rFonts w:ascii="Amiri" w:hAnsi="Amiri" w:eastAsia="Amiri" w:cs="Amiri"/>
          <w:color w:val="111111"/>
          <w:sz w:val="28"/>
          <w:sz w:val="28"/>
          <w:szCs w:val="28"/>
          <w:rtl w:val="true"/>
          <w:lang w:bidi="ar-SA"/>
        </w:rPr>
        <w:t>يضاف إلى ذلك أنّ الإطلاق ومقدمات الحكمة إنَّما يرجع إلى حال المتكلم في مقام الكشف عن تمام مراده من خطابه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المقصود من مقدمات الحكمة البراهين العقلية الخارجة عن مداليل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اختصاص المرجّحات بالأخبار المتعارضة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بناءً على التعميم لكلّ أمارة متعارضة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اخترناه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فرق حينئذٍ بين المستفاد من اللفظأو من دليل معتبر عند العرف، فيشمل الإطلاق على فرض عدم استفادته من اللفظ</w:t>
      </w:r>
      <w:r>
        <w:rPr>
          <w:rFonts w:eastAsia="Amiri" w:cs="Amiri" w:ascii="Amiri" w:hAnsi="Amiri"/>
          <w:color w:val="111111"/>
          <w:sz w:val="28"/>
          <w:szCs w:val="28"/>
          <w:rtl w:val="true"/>
          <w:lang w:bidi="ar-SA"/>
        </w:rPr>
        <w:t>.</w:t>
      </w:r>
    </w:p>
    <w:p>
      <w:pPr>
        <w:pStyle w:val="Heading6"/>
        <w:numPr>
          <w:ilvl w:val="5"/>
          <w:numId w:val="1"/>
        </w:numPr>
        <w:rPr/>
      </w:pPr>
      <w:bookmarkStart w:id="416" w:name="__RefHeading___Toc5900782_2142443653"/>
      <w:bookmarkStart w:id="417" w:name="_Toc156"/>
      <w:bookmarkEnd w:id="416"/>
      <w:r>
        <w:rPr>
          <w:rtl w:val="true"/>
        </w:rPr>
        <w:t>التنبيه الخامس</w:t>
      </w:r>
      <w:r>
        <w:rPr>
          <w:rtl w:val="true"/>
        </w:rPr>
        <w:t xml:space="preserve">: </w:t>
      </w:r>
      <w:r>
        <w:rPr>
          <w:rtl w:val="true"/>
        </w:rPr>
        <w:t>تقدّم الترجيح بالمرجّحات السندية على المرجّح الجهتي</w:t>
      </w:r>
      <w:bookmarkEnd w:id="417"/>
    </w:p>
    <w:p>
      <w:pPr>
        <w:pStyle w:val="BookText"/>
        <w:rPr/>
      </w:pPr>
      <w:r>
        <w:rPr>
          <w:rFonts w:ascii="Amiri" w:hAnsi="Amiri" w:eastAsia="Amiri" w:cs="Amiri"/>
          <w:color w:val="111111"/>
          <w:sz w:val="28"/>
          <w:sz w:val="28"/>
          <w:szCs w:val="28"/>
          <w:rtl w:val="true"/>
          <w:lang w:bidi="ar-SA"/>
        </w:rPr>
        <w:t>تقدم أنه لا تمايز بين المرجّحات وإنْ قلنا بأنّ أقوى المرجّحات هو المشهور، ولكن ذهب جملة من المحققين</w:t>
      </w:r>
      <w:r>
        <w:rPr>
          <w:rStyle w:val="FootnoteAnchor"/>
          <w:rtl w:val="true"/>
        </w:rPr>
        <w:footnoteReference w:id="404"/>
      </w:r>
      <w:r>
        <w:rPr>
          <w:rFonts w:ascii="Amiri" w:hAnsi="Amiri" w:eastAsia="Amiri" w:cs="Amiri"/>
          <w:color w:val="111111"/>
          <w:sz w:val="28"/>
          <w:sz w:val="28"/>
          <w:szCs w:val="28"/>
          <w:rtl w:val="true"/>
          <w:lang w:bidi="ar-SA"/>
        </w:rPr>
        <w:t>إلى أنّ الترجيح بالمرجّحات السندية يتقدم على الترجيح الجهتي بالمعنى الأعمّ الشامل للترجيح المضموني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ذكروا في وجه ذلك أنّ الترجيح الجهتي إنَّما تصل النوبة إليه بعد الفراغ عن صدور الحديث فيكون الترجيح السندي في مرتبة متقدمة فلا يبقى موضوع للترجيح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ونحن في غنى عن ذلك بعدما عرفت من أنّ الملاك في قوة المرجّح هو أقربيته إلى الواقع وقوة الكشف فيه وما يورث الإطمئنان بالصدور</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أجل هذا تعدّينا عن المرجّحات المنصوصة إلى غيرها وقلنا بأنّ المرجح المشهور من أقوى المرجّحات كما عليه جملة من الفقهاء، وألغينا الترتيب بين المرجّحات فراجع ما يتعلق بذلك في البحوث السابقة، إلا أنّ بعض الأصوليين</w:t>
      </w:r>
      <w:r>
        <w:rPr>
          <w:rStyle w:val="FootnoteAnchor"/>
          <w:rtl w:val="true"/>
        </w:rPr>
        <w:footnoteReference w:id="405"/>
      </w:r>
      <w:r>
        <w:rPr>
          <w:rFonts w:ascii="Amiri" w:hAnsi="Amiri" w:eastAsia="Amiri" w:cs="Amiri"/>
          <w:color w:val="111111"/>
          <w:sz w:val="28"/>
          <w:sz w:val="28"/>
          <w:szCs w:val="28"/>
          <w:rtl w:val="true"/>
          <w:lang w:bidi="ar-SA"/>
        </w:rPr>
        <w:t xml:space="preserve">ذكر في المقام مقالاً لا بأس بذكره؛ </w:t>
      </w:r>
    </w:p>
    <w:p>
      <w:pPr>
        <w:pStyle w:val="BookText"/>
        <w:rPr/>
      </w:pPr>
      <w:r>
        <w:rPr>
          <w:rFonts w:ascii="Amiri" w:hAnsi="Amiri" w:eastAsia="Amiri" w:cs="Amiri"/>
          <w:color w:val="111111"/>
          <w:sz w:val="28"/>
          <w:sz w:val="28"/>
          <w:szCs w:val="28"/>
          <w:rtl w:val="true"/>
          <w:lang w:bidi="ar-SA"/>
        </w:rPr>
        <w:t>فقد ذكر بأنّ البحث تارةً؛ يكون بحسب ظهور دليل الترجيح في الترتيب بين المرجّحات، وأخرى؛ يكون بين المرجح السندي وغير السندي كما ورد في دليل خاص إذا لم يعرف وجود ترتيب بينهما، وثالثة؛ باعتبار المرجّحات المنصوصة لا باعتبار خصوصية فيها، بل لما يستلزم من تلك المرجّحات قوة أحد الدليلين في مقام الكشف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هذه الفرضيات يختلف الموقف من تقديم المرجّح السندي على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على الفرض الثالث؛ وهو الذي اخترناه كما تقدم تفصيل الكلام فيه في التنبيه الأول فلا بُدَّ من ملاحظة درجة القوة في الكشف التي تحصل على أساس قياس المرجّحات بعضها مع بعض، ثم يؤخذ بأقواها كشفاً وأقربها إلى 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ذلك لا يدخل تحت ضابطة وقاعدة نوعية، بل يختلف باختلاف الحالات والملابسات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 معظم الفقهاء اعتبروا الشهرة من أقواها فتُقدَّم على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الإحتمال الذي قويناه يعرف حال الفرض الأول والفرض الثاني ولا حاجة لتطويل الكلام فيهما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وخلاصة ما ذكره في الفرض الأول؛ إنه بناءً عليها لا مجال إلا الإلتزام بالترتيب الوارد في أدلة الترجيح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بناءً على الفرض الثاني؛ فإنّ المستفاد من كلماتهم أنّ هناك تقريبان لتخريج الترتيب بين المرجحين يختص أحدهما بالإفتراض الأول بينما يجري ثانيهما على كلا التقديرين</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التقريب الأول؛ فهو يبتني على أساس الفراغ عن الصدور؛ إذ لو لم يكن صادراً من المعصوم علیه السلام فلا معنى لكونه بداعي الجدّ أو التقية فيكون الترجيح الصدوري حاكماً على الترجيح الجهتي الجاري في مرحلة الدلالة، أو رافعاً لموضوعه وعليه يكون دليلاً آخر لما اخترناه أيضاً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وقد قيل أنّ ذلك غير تام على إطلاقه لأنَّه يتصور على أنحاء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قد أخذ في موضوع الترجيح الجهتي إحراز صدور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فإذا فرض تساوي الخبرين من حيث المرجّحات السندية فالخبر المخالف نحرز صدوره لا بدليل الترجيح الجهتي، بل بدليل الحجية العام فإنَّه بضمّه إلى دليل الترجيح يثبت صدور الخبر المخالف جدّاً، وعدم صدور الخبر الموافق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 كون الخبر الموافق للعامة أرجح صدوراً فإنّ دليل الترجيح الصدوري يلغي التعبّد بصدور الخبر المخالف فلا يحرز صدوره؛ لا بدليل الترجيح الجهتي لأنَّه يثبت موضوعه، ولا بدليل الحجية العام لأنَّه قد خصص بدليل الترجيح الصدوري فينتفي الترجيح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يثبت حكومة الترجيح السندي على الترجيح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الترجيح الجهتي هو الصدور الواقعي للحديث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التقدير لو فرض تساوي الخبرين من حيث المرجّحات فيمكن إثبات صدور الخبر المخالف بدليل الحجية ورجحانه على معارضه بالبيان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فرضنا رجحان الخبر الموافق سنداً؛ فإذا فرضنا أنّ دليل الترجيح السندي ينفي صدور الخبر المرجوح فإنَّه يحكم على الترجيح السندي ظاهراً ويعبدنا بعدم صدور الخبر المخالف، ولو فرض عدم التعبد بصدور الخبر المرجوح فإنَّه يمكن الرجوع إلى استصحاب عدم الصدور لنفي موضوع المرجح الجهتي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فالنتيجة على كلّ حال على هذا التقدير هي تقديم المرجح السندي على الجهتي أيضاً</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النحو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موضوع الترجيح الجهتي تمامية مقتضى الحجية في سند الخبر المخالف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فعليه يرجع دليل المرجّح الجهتي إلى قضية شرطية؛ شرطُها كون الخبر المخالف خبر ثقة، وجزاؤها إسقاط أصالة الجدّ في الخبر الموافق فلا يمكن نفي موضوع الترجيح </w:t>
      </w:r>
    </w:p>
    <w:p>
      <w:pPr>
        <w:pStyle w:val="BookText"/>
        <w:rPr/>
      </w:pPr>
      <w:r>
        <w:rPr>
          <w:rFonts w:ascii="Amiri" w:hAnsi="Amiri" w:eastAsia="Amiri" w:cs="Amiri"/>
          <w:color w:val="111111"/>
          <w:sz w:val="28"/>
          <w:sz w:val="28"/>
          <w:szCs w:val="28"/>
          <w:rtl w:val="true"/>
          <w:lang w:bidi="ar-SA"/>
        </w:rPr>
        <w:t xml:space="preserve">الجهتي بدليل الترجيح السندي لأنّ موضوعه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وهوخبر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ثابت وجداناً ولا يوجد ما ينفيه ولو تعبداً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المرجّحان السندي وغير السندي في عرض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قدس سره بأنّ المتعين من هذه الإحتمالات الثلاثة هو الأخير لعدم وجود قرينة خاصة في دليل الترجيح الجهتي تقتضي أحد الإحتمالين الأولين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والصحيح؛ أنّ مناسبة الحكم للموضوع تقتضي أحد النحوين الأولين؛ وذلك لأنّ السائلين في الأخبار إنَّما كانوا يفرضون سؤالهم في الخبرين المعتبرين عندهم، وهذا الإرتكاز يكفي أن يكون قرينة على أحد النحوين الأولين، ويرشد إلى ذلك فهم العلماء واتفاقهم على تقديم الشهرة على غيرها من المرجّحات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التقريب الثاني؛ وهو ما إذا كان مصبّ الترجيح فيها هو الصدور، والفرق إنما يكون في نكتة الترجيح، فقد تكون حيثية في السند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حيثية في الجهة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الملاك في المرجّح السندي هو استحكام الخبر وقوة مفاده في الكشف عن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والملاك في المرجح الجهتي هو وهن كاشفية الموافق للعامة المستوجب لاحتمال صدوره 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هذا الوهن يختص بموارد التعارض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ولذلك لا يستوجب حمل الخبر على التقية في غير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والنتيجة المترتبة على ذلك أمران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مرجع الترجيح بمخالفة العامة إلى أمارية موافقة العامة على التقية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الأمارية تختصّ بصورة التعارض وعدم إمكان الأخذ بالخبرين معاً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ذلك؛ كلما أمكن حمل التعارض في رتبة سابقة على الترجيح الجهتي بالخبر الموافق للعامة لم يصحّ حمله على التقية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دليل المرجّح السندي محققاً لهذا الشرط فيرتفع موضوع الترجيح الجهتي</w:t>
      </w:r>
      <w:r>
        <w:rPr>
          <w:rFonts w:eastAsia="Amiri" w:cs="Amiri" w:ascii="Amiri" w:hAnsi="Amiri"/>
          <w:color w:val="111111"/>
          <w:sz w:val="28"/>
          <w:szCs w:val="28"/>
          <w:rtl w:val="true"/>
          <w:lang w:bidi="ar-SA"/>
        </w:rPr>
        <w:t xml:space="preserve">. </w:t>
      </w:r>
      <w:bookmarkStart w:id="418" w:name="pg15367_181317"/>
    </w:p>
    <w:p>
      <w:pPr>
        <w:pStyle w:val="BookText"/>
        <w:rPr/>
      </w:pPr>
      <w:bookmarkEnd w:id="418"/>
      <w:r>
        <w:rPr>
          <w:rFonts w:ascii="Amiri" w:hAnsi="Amiri" w:eastAsia="Amiri" w:cs="Amiri"/>
          <w:color w:val="111111"/>
          <w:sz w:val="28"/>
          <w:sz w:val="28"/>
          <w:szCs w:val="28"/>
          <w:rtl w:val="true"/>
          <w:lang w:bidi="ar-SA"/>
        </w:rPr>
        <w:t>وأورد على الأمر الأول؛ إنه كما يحتمل ذلك يحتمل أيضاً بملاك استحكام الخبر المخالف في الكشف عن الحكم الشرعي لعدم تطرق احتمال التقية فيه، فيكون كشفه أقوى من الكشف الآخر على حدّ الأقوائية في الكشف الثابتة في الأعدلية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الأمر الثاني؛ إنّ هذه الأمارية وإنْ كانت مطلقة ولكنها مقيدة بحال التعارض بلحاظ دليل الحجية العام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يجري رفع التعارض بلحاظ دليل ثانوي متمثلاً في أخبار العلاج في انتفاء موضوع الترجيح الجهتي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والحقّ؛ أنّ ما ذكر غير 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كلا الإحتمالين يبتنيان مسبقاً على تحديد صدور الخبر وكون مفاده كاشفاً عن الحكم الشرعي، فلا فرق بينهما من هذه الجهة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الإيراد على الأمر الثاني؛ فإنّ دليل حجية العام يثبت الحجية الإقتضائية في مورد التعارض والمرجح السندي يوصلها إلى الفعلية فتُقدّم على الجهتي</w:t>
      </w:r>
      <w:r>
        <w:rPr>
          <w:rFonts w:eastAsia="Amiri" w:cs="Amiri" w:ascii="Amiri" w:hAnsi="Amiri"/>
          <w:color w:val="111111"/>
          <w:sz w:val="28"/>
          <w:szCs w:val="28"/>
          <w:rtl w:val="true"/>
          <w:lang w:bidi="ar-SA"/>
        </w:rPr>
        <w:t>.</w:t>
      </w:r>
    </w:p>
    <w:p>
      <w:pPr>
        <w:pStyle w:val="Heading6"/>
        <w:numPr>
          <w:ilvl w:val="5"/>
          <w:numId w:val="1"/>
        </w:numPr>
        <w:rPr/>
      </w:pPr>
      <w:bookmarkStart w:id="419" w:name="__RefHeading___Toc5900784_2142443653"/>
      <w:bookmarkStart w:id="420" w:name="_Toc157"/>
      <w:bookmarkEnd w:id="419"/>
      <w:r>
        <w:rPr>
          <w:rtl w:val="true"/>
        </w:rPr>
        <w:t>التنبيه السادس</w:t>
      </w:r>
      <w:r>
        <w:rPr>
          <w:rtl w:val="true"/>
        </w:rPr>
        <w:t xml:space="preserve">: </w:t>
      </w:r>
      <w:r>
        <w:rPr>
          <w:rtl w:val="true"/>
        </w:rPr>
        <w:t>تعارض أخبار الطرح وأخبار العلاج</w:t>
      </w:r>
      <w:bookmarkEnd w:id="420"/>
    </w:p>
    <w:p>
      <w:pPr>
        <w:pStyle w:val="BookText"/>
        <w:rPr/>
      </w:pPr>
      <w:r>
        <w:rPr>
          <w:rFonts w:ascii="IRNazanin" w:hAnsi="IRNazanin" w:eastAsia="IRNazanin"/>
          <w:color w:val="111111"/>
          <w:sz w:val="28"/>
          <w:sz w:val="28"/>
          <w:szCs w:val="28"/>
          <w:rtl w:val="true"/>
          <w:lang w:bidi="fa-IR"/>
        </w:rPr>
        <w:t>ذكرنا ما يتعلق بأخبار الطرح التي وردت بلسان ما وافق الكتاب وما خالف العامة فخذوه، وما خالف الكتاب ووافق العامة فذروه واتركوه، ونحو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وقلنا بأنها تبيّن القاعدة الأساسية في التعامل مع الأخبار للمعصومين علیهم السلام والمنهج العام في الكشف عن المعارف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ربط لها بموضوع بحثنا وهو التعارض وأحكامه</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ذكر بعض الأصوليين</w:t>
      </w:r>
      <w:r>
        <w:rPr>
          <w:rStyle w:val="FootnoteAnchor"/>
          <w:rtl w:val="true"/>
        </w:rPr>
        <w:footnoteReference w:id="406"/>
      </w:r>
      <w:r>
        <w:rPr>
          <w:rFonts w:ascii="Amiri" w:hAnsi="Amiri" w:eastAsia="Amiri" w:cs="Amiri"/>
          <w:color w:val="111111"/>
          <w:sz w:val="28"/>
          <w:sz w:val="28"/>
          <w:szCs w:val="28"/>
          <w:rtl w:val="true"/>
          <w:lang w:bidi="ar-SA"/>
        </w:rPr>
        <w:t>أنه ربما يتصور التعارض بين هذه الأخبار وأخبار العلاج الدالة على التخيير، أو الدالة على الترجيح به والتي لم يرد فيها موافقة الكتاب ومخالفة العامة، أو وردت متأخراً من الترجيح بسائر المرجّحات؛ بدعوى أنّ كلتا الطائفتين إنَّما وردتا تخصيصاً على دليل الحجية العام والنسبة بينهما العموم من وجه</w:t>
      </w:r>
      <w:r>
        <w:rPr>
          <w:rFonts w:eastAsia="Amiri" w:cs="Amiri" w:ascii="Amiri" w:hAnsi="Amiri"/>
          <w:color w:val="111111"/>
          <w:sz w:val="28"/>
          <w:szCs w:val="28"/>
          <w:rtl w:val="true"/>
          <w:lang w:bidi="ar-SA"/>
        </w:rPr>
        <w:t xml:space="preserve">. </w:t>
      </w:r>
      <w:bookmarkStart w:id="421" w:name="pg15367_181318"/>
    </w:p>
    <w:p>
      <w:pPr>
        <w:pStyle w:val="BookText"/>
        <w:rPr/>
      </w:pPr>
      <w:bookmarkEnd w:id="421"/>
      <w:r>
        <w:rPr>
          <w:rFonts w:ascii="Amiri" w:hAnsi="Amiri" w:eastAsia="Amiri" w:cs="Amiri"/>
          <w:color w:val="111111"/>
          <w:sz w:val="28"/>
          <w:sz w:val="28"/>
          <w:szCs w:val="28"/>
          <w:rtl w:val="true"/>
          <w:lang w:bidi="ar-SA"/>
        </w:rPr>
        <w:t>والصحيح عدم التعارض بينهما لما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آنفاً من أنّ أخبار الطرح تُثبت عدم وجود المقتضي لحجية الأخبار المخالفة للكتاب والموافقة للعامة، فلا وجه لإثبات التعارض بين ما هو حجة وما 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سياق أخبار العلاج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سؤالاً وجواباً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المفروغية من اشتمال الخبرين المتعارضين على شرائط الحجية العامة بحيث كان منشأ التوقف والحيرة منحصراً في التعارض والإختلاف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تعالج مشكلة التنافي ورفع الإختلاف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بينما تدلّ أخبار الطرح على عدم مقتضي الحجية فيما خالف الكتاب الكريم في نفسه، فتكون أخبار الطرح واردة على أخبار العلاج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وقوع التعارض بين الطائفتين فإنما تتقدم أخبار الطرح على أخبار العلاج لإباء سياقها عن التخصيص</w:t>
      </w:r>
      <w:r>
        <w:rPr>
          <w:rFonts w:eastAsia="Amiri" w:cs="Amiri" w:ascii="Amiri" w:hAnsi="Amiri"/>
          <w:color w:val="111111"/>
          <w:sz w:val="28"/>
          <w:szCs w:val="28"/>
          <w:rtl w:val="true"/>
          <w:lang w:bidi="ar-SA"/>
        </w:rPr>
        <w:t>.</w:t>
      </w:r>
    </w:p>
    <w:p>
      <w:pPr>
        <w:pStyle w:val="Heading6"/>
        <w:numPr>
          <w:ilvl w:val="5"/>
          <w:numId w:val="1"/>
        </w:numPr>
        <w:rPr/>
      </w:pPr>
      <w:bookmarkStart w:id="422" w:name="__RefHeading___Toc5900786_2142443653"/>
      <w:bookmarkStart w:id="423" w:name="_Toc158"/>
      <w:bookmarkEnd w:id="422"/>
      <w:r>
        <w:rPr>
          <w:rtl w:val="true"/>
        </w:rPr>
        <w:t>التنبيه السابع</w:t>
      </w:r>
      <w:r>
        <w:rPr>
          <w:rtl w:val="true"/>
        </w:rPr>
        <w:t xml:space="preserve">: </w:t>
      </w:r>
      <w:r>
        <w:rPr>
          <w:rtl w:val="true"/>
        </w:rPr>
        <w:t>في تخريج الترجيحات</w:t>
      </w:r>
      <w:bookmarkEnd w:id="423"/>
    </w:p>
    <w:p>
      <w:pPr>
        <w:pStyle w:val="BookText"/>
        <w:rPr/>
      </w:pPr>
      <w:r>
        <w:rPr>
          <w:rFonts w:ascii="Amiri" w:hAnsi="Amiri" w:eastAsia="Amiri" w:cs="Amiri"/>
          <w:color w:val="111111"/>
          <w:sz w:val="28"/>
          <w:sz w:val="28"/>
          <w:szCs w:val="28"/>
          <w:rtl w:val="true"/>
          <w:lang w:bidi="ar-SA"/>
        </w:rPr>
        <w:t>ذكر الأصوليين</w:t>
      </w:r>
      <w:r>
        <w:rPr>
          <w:rStyle w:val="FootnoteAnchor"/>
          <w:rtl w:val="true"/>
        </w:rPr>
        <w:footnoteReference w:id="407"/>
      </w:r>
      <w:r>
        <w:rPr>
          <w:rFonts w:ascii="Amiri" w:hAnsi="Amiri" w:eastAsia="Amiri" w:cs="Amiri"/>
          <w:color w:val="111111"/>
          <w:sz w:val="28"/>
          <w:sz w:val="28"/>
          <w:szCs w:val="28"/>
          <w:rtl w:val="true"/>
          <w:lang w:bidi="ar-SA"/>
        </w:rPr>
        <w:t>إنه يمكن تخريج الترجيحات الواردة في أخبار العلاج على مقتضى القواعد الأولية</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ونحن ذكرنا في مطاوي البحوث السابقة أنّ المرجّحات المذكورة في الأخبار هي الدائرة في المتعارضات العرفية، وهي تنحصر عندهم في الثلاثة المعروفة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المرجّح السندي والمرجّح المضموني والمرجّح الجهتي؛ فهي متوافقة مع القواعد الأولية المتعارفة في محاوراتهم وخطاباتهم واحتجاجاتهم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أطال بعضهم الكلام في تخريج شيء منها على مقتضى القاعدة في الجمع العرفي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وحاصل ما ذكره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الترجيح بموافقة الكتاب يمكن تخريجه على قاعدة تخصيص دليل الحجية العام بأخبار الطرح، وقد خرجنا عن إطلاقها بالقدر المتيقن، وهو غير موارد التعارض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الترجيح بمخالفة العامة فيمكن تخريجه على مقتضى قاعدة حمل الظاهر على النص بلحاظ مرحلة الدلالة التصديقية الجدية بعد عدم إمكان الجمع العرفي بلحاظ مرحلة الدلالة الإستعمالية؛ فإنّ الحديث المخالف للعامة نصّ في الجدّية لو قيس إلى الخبر الموافق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اعترض المحقق الخراساني قدس سره </w:t>
      </w:r>
      <w:r>
        <w:rPr>
          <w:rStyle w:val="FootnoteAnchor"/>
          <w:rtl w:val="true"/>
        </w:rPr>
        <w:footnoteReference w:id="408"/>
      </w:r>
      <w:r>
        <w:rPr>
          <w:rFonts w:ascii="Amiri" w:hAnsi="Amiri" w:eastAsia="Amiri" w:cs="Amiri"/>
          <w:color w:val="111111"/>
          <w:sz w:val="28"/>
          <w:sz w:val="28"/>
          <w:szCs w:val="28"/>
          <w:rtl w:val="true"/>
          <w:lang w:bidi="ar-SA"/>
        </w:rPr>
        <w:t>على حمل الخبر الموافق للعامة على التقية كجمع عرفي بأنه يستلزم سقوط الخبر الموافق عن الحجية رأساً إذا كان التعارض بنحو التباين؛ إذ لا معنى للتعبد بسند ثم حمله على التقية، وهو معنى سريان التعارض إلى دليل الحجية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الجواب مِمّا سبق ذكره في بحث التعارض غير المستقر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الطولية بين هذين الترجيحين المستفاد من خبر الراوندي فيمكن تخريجها على القاعدة باعتبار أنّ الترجيح المخالف للعامة إنَّما كان على أساس الجمع العرفي، وأما الترجيح الموافق للكتاب فلعدم المقتضى للحجية للخبر المخالف للكتاب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ريب أنّ إعمال قواعد الجمع العرفي إنَّما يكون في مورد حجية الخبرين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عدم شمول دليل الحجية للخبر المخالف للكتاب وإنْ كان مخالفاً للعامة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الترجيح بالشهرة فإنْ كان المراد بها الشهرة الروائية المساوقة مع التواتر والإستفاضة فإنّ التخريج إنَّما يكون بنفس ملاك الترجيح في موافقة الكتاب؛ فإذا أريد بها الشهرة في الفتوى والعمل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هو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كشفت الشهرة هذه في مورد عن وجود خلل في الخبر المخالف للمشهور ولعمل الأصحاب أوجبت سقوطه عن الحجية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الترجيح بصفات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كالأعدلية والأوثقية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تخريجها حسب درجة الكشف واستحكام الصدور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الترجيح بالأحدثية على فرض قبوله فإنَّه يمكن تخريجه بأنّ الأمر يدور بين رفع اليد عن إطلاق دليل الحجية الأزماني للخبر غير الأحدث أو رفع اليد عن أصل إطلاقه للخبر الأحدث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والتخصيص الزماني أهون من التخصيص الأفرادي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ويرد عليه بأنه لا فرق بين التخصيصين والتقييدين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فرض القبول فإنَّه يتمّ إذا كان دليل لفظي يدلّ على حجية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إذا كان الدليل لبّياً كبناء العقلاءفلا إطلاق له لموارد التعارض بعدما علم من أنّ الأحدثية لم تكن من المرجّحات في الطرق والأمارات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موارد تحصيل الوثوق بالصدور</w:t>
      </w:r>
    </w:p>
    <w:p>
      <w:pPr>
        <w:pStyle w:val="BookText"/>
        <w:rPr/>
      </w:pPr>
      <w:r>
        <w:rPr>
          <w:rFonts w:ascii="Amiri" w:hAnsi="Amiri" w:eastAsia="Amiri" w:cs="Amiri"/>
          <w:color w:val="111111"/>
          <w:sz w:val="28"/>
          <w:sz w:val="28"/>
          <w:szCs w:val="28"/>
          <w:rtl w:val="true"/>
          <w:lang w:bidi="ar-SA"/>
        </w:rPr>
        <w:t xml:space="preserve">قال السيد الوالد قدس سره </w:t>
      </w:r>
      <w:r>
        <w:rPr>
          <w:rStyle w:val="FootnoteAnchor"/>
          <w:rtl w:val="true"/>
        </w:rPr>
        <w:footnoteReference w:id="409"/>
      </w:r>
      <w:r>
        <w:rPr>
          <w:rFonts w:ascii="Amiri" w:hAnsi="Amiri" w:eastAsia="Amiri" w:cs="Amiri"/>
          <w:color w:val="111111"/>
          <w:sz w:val="28"/>
          <w:sz w:val="28"/>
          <w:szCs w:val="28"/>
          <w:rtl w:val="true"/>
          <w:lang w:bidi="ar-SA"/>
        </w:rPr>
        <w:t>إنّ المحدث العاملي قدس سره ذكر في خاتمة الوسائل أموراً يمكن منها حصول الوثوق بالصدور كما إنه قد ذكر الشيخ الرجالي النجاشي قدس سره أموراً أخرى في مطاوي كلماته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 المحدث العاملي قدس سره في الفائدة الثامنة من خاتمة الوسائل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تفصيل بعض القرائن التي تقترن بالخبر قد صرّح جمع من المحققين من علمائنا أنّ القرينة هنا هي ما ينفك عنه الخبر وله دخل في ثبوته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لا ينفك عنه فليس بقرينة ككون المخبر إنساناً أو ناطقاً أو نحوهما</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والقرائن المعتبرة في بعض أقسامها يدل على ثبوت الخبر عنهم علیهم السلام وبعضها على صحة مضمونه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احتمل كونه موضوعاً وبعضها على ترجيحه على معارضه ونحن نذكرها أنواعاً</w:t>
      </w:r>
      <w:r>
        <w:rPr>
          <w:rFonts w:eastAsia="IRNazanin" w:cs="IRNazanin"/>
          <w:color w:val="111111"/>
          <w:sz w:val="28"/>
          <w:szCs w:val="28"/>
          <w:rtl w:val="true"/>
          <w:lang w:bidi="fa-IR"/>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 xml:space="preserve">.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24" w:name="pg15367_181322"/>
      <w:bookmarkStart w:id="425" w:name="pg15367_181322"/>
      <w:bookmarkEnd w:id="425"/>
    </w:p>
    <w:p>
      <w:pPr>
        <w:pStyle w:val="Heading6"/>
        <w:numPr>
          <w:ilvl w:val="5"/>
          <w:numId w:val="1"/>
        </w:numPr>
        <w:rPr/>
      </w:pPr>
      <w:bookmarkStart w:id="426" w:name="pg15367_181322"/>
      <w:bookmarkStart w:id="427" w:name="__RefHeading___Toc5900788_2142443653"/>
      <w:bookmarkStart w:id="428" w:name="_Toc159"/>
      <w:bookmarkEnd w:id="426"/>
      <w:bookmarkEnd w:id="427"/>
      <w:r>
        <w:rPr>
          <w:rtl w:val="true"/>
        </w:rPr>
        <w:t>أسس وقواعد علم الرجال</w:t>
      </w:r>
      <w:bookmarkEnd w:id="428"/>
    </w:p>
    <w:p>
      <w:pPr>
        <w:pStyle w:val="BookText"/>
        <w:rPr/>
      </w:pPr>
      <w:r>
        <w:rPr>
          <w:rFonts w:ascii="Amiri" w:hAnsi="Amiri" w:eastAsia="Amiri" w:cs="Amiri"/>
          <w:color w:val="111111"/>
          <w:sz w:val="28"/>
          <w:sz w:val="28"/>
          <w:szCs w:val="28"/>
          <w:rtl w:val="true"/>
          <w:lang w:bidi="ar-SA"/>
        </w:rPr>
        <w:t>وفي ختام بحوث علم الأصول ينبغي التعرض إلى أسس وقواعد علم الرجال ولو على نحو الإختصار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نريد قوله 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مطلوبية علم الرجال والبحث عن أحوال أصحاب المعصومين علیهم السلام وأحوال رواة الأحاديث تكون من أحد وجهين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أولهما؛ البحث عن ذلك للإعتبار والإستفادة من أحوالهم الشخصية وتجاربهم وكيفية معاشرتهم مع إمامهم المعصوم ومع زملائهم الرواة ومع سائر الناس وكيفية التعامل مع السلطة الزمنية التي لم تكن على صلح ووئام معهم؛ إنْ لم نقل أنهم كانوا على طرف التعدّي والظلم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واضح لكل من سَبَرَ التاريخ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ريب أنّ مثل هذه الدراسة مطلوبة بحدّ نفسها، ولا يمكن التغافل عن فوائدها وثمراتها الحسنة على سلوك المتأخرين والإستفادة من تجارب الماضين في التعامل مع الأفراد والمجتمع والسلطة الزمنية؛ سيما أنهم كانوا على قمة الوفاء بأئمتهم علیهم السلام والتسليم لتوجيهاتهم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بذلوا غاية جهدهم في سبيل حفظ دينهم ومذهبهم والمؤمنين والمنتمين إلى طريقتهم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كلّ ذلك حسن ولا يمكن إنكار شيء من ذلك ودراسة علم الرجال من هذه الناحية لا يصحّ التغافل عنها كما هو حاصل ونشاهده في حياتنا العلمية والعملية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والآخر؛ البحث عن علم الرجال من أجل توثيق الروايات والكتب الروائية التي وصلت إلينا</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ريب في لزوم مثل هذا البحث وجداناً؛ صوناً للأخبار من الدسّ والتزوير وحفظاً لتراث الأئمة الهداة علیهم السلام من الضياع، ولا يمكن إنكاره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أظنّ أحداً يناقش في أصل لزومه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الكلام في كيفية مثل هذه الدراسة وطرق الوصول إليها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وبعبارة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المنهج الذي يمكن الإعتماد عليه في إثبات تلك الأخبار والكتب المتضمنة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إشكال في أنّ هذا النوع من العلم يبتني على أسس وقواعد لا يمكن التخطّي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وتمام البحث في المقام يقع في ضمن بحوث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من يراجع كتب الرجال، بل كتب التاريخ؛ على العموم يلاحظ تنوّع القصد والمراد من دراستهم فلم تذكر شخصية أو حادثة في كتبهم إلا وهم يبحثون عنها من جهات عديدة وزوايا مختلفة، ومن تراكم تلك الجهات تتعيّن ملامح وخصوصيات ما يؤرخ له وهذه حقيقة لا يمكن تجاهلها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فعلى كلّ باحث بعد ملاحظة هذه الحقيقة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يصنّف ما يجد من المعلومات ويبحث في ملابساتها وأساسياتها ويرجعها إلى مصادرها التوثيقية لمعرفة الصحيح منها والخاطئ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التعرف على أحوال المؤرخ والرجالي للوقوف على نقاط قوته وجهات ضعفه وبعض خصوصياته التي لها الدخل في مهنته ودراسته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ضوء هذين الأمرين يمكن حلّ بعض رموز هذه الصنعة العلمية التي تحمّلها هؤلاء العلماء ووقع على عاتقهم تزويد الأجيال اللاحقة ما سبق من حوادث وشخصيات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راجعنا أحد أهم كتب الرجاليين وهو رجال النجاشي الذي ألّفه الرجالي الشهير الثقة نجد بوضوح ما ذكرناه من تنوّع المراد والقصد في تراجمه للرواة والعلماء في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الإسم والكنية واللقب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بلد الراوي ومكان استيطانه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 روى الراوي عنه أو طبقته</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من روى عن المترجم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روايات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كتب الراوي ومؤلفاته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السند إلى كتب وروايات الراوي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الجانب الكمّي والكيفي من رواياته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وثاقته وتوثيق ضعفه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توثيق عقيدته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 ذلك من الجهات التي لها الدخل في حال الراوي ومكانته العلمية ومعروفيته بين الشيعة وعلمائهم؛ كلّ ذلك لتثبيت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الرجالي الذي يبحث عن أحوال الرواة لا بُدَّ له أن يذكر تلك الجهات عن دراية تامة ولا إشكال في ذلك والجميع يعترفون بذلك، بل يتعهد كلّ مؤلف رجالي أن يكون كذلك في بداية عمله ومؤلّفه، ولكن الموجود في كتب الرجال أنّ ذكرهم لتلك الشواهد والجهات يكون على صنفين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الإلتزام في بعضها بدقة وإتقان مقروناً بالإسناد والشواهد لا سيما الكتب المنسوبة لأصحابنا والروايات المنقولة عنهم ورواتها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يذكرونه كأمر مسلّم عندهم وينقلوها عن شيوخهم وأسلافهم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الصنف هو الأكثر مِمّا يذكرونه في كتبهم الرجالية، ومع ذلك فإنهم يتعاملون مع هذا الصنف كأمور مركوزة متداولة بينهم مِمّا يكشف على أنّ لهم سبيلاً معيناً غير ما هو المألوف في باب الشهادات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ريب أنّ هذا الصنف ينافي تصريحهم في بداية كلّ كتاب بأنه يتعهد ويلتزم بذكر طرقه إلى أرباب الكتب والروايات فلا بدّ أن يكون لهذا التفاوت العلمي نكتة علمية وليست هي إلا ما ذكرناه من أنّ لهم سبيلاً معيناً في ذلك وسيأتي مزيد بيان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الأساس الذي يبتني عليه علم الرجال في الإعتماد على نقل أحوال الرواة للأحاديث والكتب التي تضمنت تلك الأخبار هو التوثيق والوثاقة في النقل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بذل علماء الرجال الجهد الكبير في هذا السبيل لا سيما بعدما مرت على الشيعة الإمامية مراحل متعددة في كلّ مرحلة كانت الوسيلة في الوصول إلى الحكم الشرعي تختلف عن المرحلة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المرحلة الأولى؛ كانت الشيعة في غنى عن التوسيط لمعرفة الحكم الشرعي لأنَّه كما قال المحقق القمي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مشافهين لهم ومخاطبين بخطابهم وعارفين بمصطلحهم، واجدين للقرائن الحالية والمقالية، عالمين لبعض الأحكام بالضرورة والبداهة، آخذين مالا يعلمون من كلماتهم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نقلهم الأخبار إلى الآخرين في زمانهم وعملهم عليه، فهو أيضاً لا يشبه الأخبار الموجودة عندنا فإنَّه كان أسباب الاختلال والاشتباه قليلاً</w:t>
      </w:r>
      <w:r>
        <w:rPr>
          <w:rFonts w:eastAsia="Amiri" w:cs="Amiri" w:ascii="Amiri" w:hAnsi="Amiri"/>
          <w:color w:val="111111"/>
          <w:sz w:val="28"/>
          <w:szCs w:val="28"/>
          <w:rtl w:val="true"/>
          <w:lang w:bidi="ar-SA"/>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هذه المرحلة لم يكن همّهم سوى تعيين الثقة في روايته فكانت أسئلتهم عن الأئمة الهداة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ذلك كيونس بن عبد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والعمري وابنه وغيرهما فلم نرَ في هذه المرحلة غير سرد الأسماء لبعض الرواة فقط كما اتصفت دراستهم بالسذاجة فقط</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المرحلة الثانية؛ حيث اشتد الضغط السياسي وغيره على الشيعة ما استدعى أن تكون المحاولات من العلماء متصفة بالفنية من السرد والتمييز والتصنيف حيث ظهرت محاولات الكذب والدسّ في أحاديث أهل البيت علیهم السلام فكان الإهتمام الكبير في هذه المرحلة هو التشديد على عنصر الوثاقة في الراوي؛ حيث أصبح هذا العنصر هو الأساس في بناء هذه المرحلة وما بعدها، وهو وإنْ لم يخرج عمّا عليه بناء العقلاء والثوابت الشرعية، وكانت جميع المراحل التي مرّت عليها الشيعة الإمامية تعتمد على هذا العنصر المقوّم </w:t>
      </w:r>
    </w:p>
    <w:p>
      <w:pPr>
        <w:pStyle w:val="BookText"/>
        <w:rPr/>
      </w:pPr>
      <w:r>
        <w:rPr>
          <w:rFonts w:ascii="Amiri" w:hAnsi="Amiri" w:eastAsia="Amiri" w:cs="Amiri"/>
          <w:color w:val="111111"/>
          <w:sz w:val="28"/>
          <w:sz w:val="28"/>
          <w:szCs w:val="28"/>
          <w:rtl w:val="true"/>
          <w:lang w:bidi="ar-SA"/>
        </w:rPr>
        <w:t>للعمل بأخبار المعصومين علیهم السلام إلا أنّ امتياز هذه المرحلة عن غيرها إنَّما كان في شدة التثبّت والتأكيد على هذا العنصر، فقد كان أثمة أهل البيت علیهم السلام يراقبون تراثهم الموروث ويحذّرون أصحابهم من فتن المعاندين وأباطيلهم ويبيّنون أهمية المرحلة وخطورتها ويحثّون أصحابهم إلى التمسّك بالثقات والأخذ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في هذا المجال عديدة؛ ففي عَنْ مُسْلِمِ بْنِ أَبِي 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علیه السلام فِي خِدْمَتِهِ فَلَمَّا أَرَدْتُ أَنْ أُفَارِقَهُ وَدَّعْتُهُ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تُزَوِّدَنِي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ائْتِ أَبَانَ بْنَ تَغْلِبَ فَإِنَّهُ قَدْ سَمِعَ مِنِّي حَدِيثاً كَثِيراً فَمَا رَوَاهُ لَكَ فَارْوِهِ عَنِّي</w:t>
      </w:r>
      <w:r>
        <w:rPr>
          <w:rFonts w:eastAsia="Amiri" w:cs="Amiri" w:ascii="Amiri" w:hAnsi="Amiri"/>
          <w:color w:val="111111"/>
          <w:sz w:val="28"/>
          <w:szCs w:val="28"/>
          <w:rtl w:val="true"/>
          <w:lang w:bidi="ar-SA"/>
        </w:rPr>
        <w:t>)</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التوقيع الرفيع عَنْ أَحْمَدَ بْنِ إِبْرَاهِيمَ الْمَرَاغِيِّ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 عَلَى الْقَاسِمِ بْنِ الْعَلَاءِ وذَكَرَ تَوْقِيعاً شَرِيفاً يَقُولُ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لَا عُذْرَ لِأَحَدٍ مِنْ مَوَالِينَا فِي التَّشْكِيكِ فِيمَا يَرْوِيهِ‌</w:t>
      </w:r>
      <w:r>
        <w:rPr>
          <w:rStyle w:val="FootnoteAnchor"/>
          <w:rtl w:val="true"/>
        </w:rPr>
        <w:footnoteReference w:id="413"/>
      </w:r>
      <w:r>
        <w:rPr>
          <w:rFonts w:ascii="Amiri" w:hAnsi="Amiri" w:eastAsia="Amiri" w:cs="Amiri"/>
          <w:color w:val="111111"/>
          <w:sz w:val="28"/>
          <w:sz w:val="28"/>
          <w:szCs w:val="28"/>
          <w:rtl w:val="true"/>
          <w:lang w:bidi="ar-SA"/>
        </w:rPr>
        <w:t>عَنَّا ثِقَاتُنَا قَدْ عَرَفُوا بِأَنَّا نُفَاوِضُهُمْ سِرَّنَا ونُحَمِّلُهُمْ‌</w:t>
      </w:r>
      <w:r>
        <w:rPr>
          <w:rStyle w:val="FootnoteAnchor"/>
          <w:rtl w:val="true"/>
        </w:rPr>
        <w:footnoteReference w:id="414"/>
      </w:r>
      <w:r>
        <w:rPr>
          <w:rFonts w:ascii="Amiri" w:hAnsi="Amiri" w:eastAsia="Amiri" w:cs="Amiri"/>
          <w:color w:val="111111"/>
          <w:sz w:val="28"/>
          <w:sz w:val="28"/>
          <w:szCs w:val="28"/>
          <w:rtl w:val="true"/>
          <w:lang w:bidi="ar-SA"/>
        </w:rPr>
        <w:t>إِيَّاهُ إِلَيْهِمْ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رواية عَنْ عَبْدِ الْعَزِيزِ بْنِ الْمُهْتَدِي وكَانَ وَكِيلَ الرِّضَا علیه السلام وَخَاصَّتَهُ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فِي كُلِّ وَقْتٍ فَعَمَّنْ آخُذُ مَعَالِمَ دِينِي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عَنْ‌</w:t>
      </w:r>
      <w:r>
        <w:rPr>
          <w:rStyle w:val="FootnoteAnchor"/>
          <w:rtl w:val="true"/>
        </w:rPr>
        <w:footnoteReference w:id="416"/>
      </w:r>
      <w:r>
        <w:rPr>
          <w:rFonts w:ascii="Amiri" w:hAnsi="Amiri" w:eastAsia="Amiri" w:cs="Amiri"/>
          <w:color w:val="111111"/>
          <w:sz w:val="28"/>
          <w:sz w:val="28"/>
          <w:szCs w:val="28"/>
          <w:rtl w:val="true"/>
          <w:lang w:bidi="ar-SA"/>
        </w:rPr>
        <w:t>يُونُسَ بْنِ عَبْدِ الرَّحْمَنِ</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رواه الكليني قدس سره عن أبي الحسن علیه السلام في حق العمري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الْعَمْرِيُّ ثِقَتِي؛ فَمَا أَدَّى إِلَيْكَ عَنِّي فَعَنِّي يُؤَدِّي ومَا قَالَ لَكَ عَنِّي فَعَنِّي يَقُولُ فَاسْمَعْ لَهُ وأَطِعْ فَإِنَّهُ الثِّقَةُ الْمَأْمُونُ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وسَأَلْتُ أَبَا مُحَمَّدٍ علیه السلام عَنْ 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الْعَمْرِيُّ وابْنُهُ ثِقَتَانِ فَمَا أَدَّيَا إِلَيْكَ عَنِّي فَعَنِّي يُؤَدِّيَانِ ومَا قَالا لَكَ فَعَنِّي يَقُولَانِ فَاسْمَعْ لَهُمَا وأَطِعْهُمَا فَإِنَّهُمَا الثِّقَتَانِ الْمَأْمُونَان</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غير ذلك من الأخبار التي تدلّ على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صار من الأوليات المركوزة في نفوس الشيعة بما لا يقبل الشك كما أصبح من أولويات العمل الرجالي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 الطائفة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وجدنا الطّائفة ميّزت الرجال الناقلة لهذه الأخبار، فوثّقت الثّقات منهم وضعّفت الضعفاء، وفرّقوا بين من يعتمد على حديثه وروايته ومن لا يعتمد على خبره، ومدحوا الممدوح منهم وذمّوا المذموم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متّهم في حديثه، وفلان كذّاب، وفلان مخلّط، وفلان مخالف في المذهب والإعتقاد، وفلان واقفيّ وفلان فطحيّ، وغير ذلك من الطّعون الّتي ذكروها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وصنّفوا في ذلك الكتب واستثنوا الرجال من جملة ما رووه من التصانيف في فهارستهم</w:t>
      </w:r>
      <w:r>
        <w:rPr>
          <w:rFonts w:eastAsia="Amiri" w:cs="Amiri" w:ascii="Amiri" w:hAnsi="Amiri"/>
          <w:color w:val="111111"/>
          <w:sz w:val="28"/>
          <w:szCs w:val="28"/>
          <w:rtl w:val="true"/>
          <w:lang w:bidi="ar-SA"/>
        </w:rPr>
        <w:t>)</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الشيخ ابن قولويه قدس سره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علمنا إنا لا نحيط بجميع ما روي عنهم في هذا المعنى ولا في غيره، لكن ما وقع لنا من جهة الثقات عن أصحابنا رحمهم الله</w:t>
      </w:r>
      <w:r>
        <w:rPr>
          <w:rFonts w:eastAsia="Amiri" w:cs="Amiri" w:ascii="Amiri" w:hAnsi="Amiri"/>
          <w:color w:val="111111"/>
          <w:sz w:val="28"/>
          <w:szCs w:val="28"/>
          <w:rtl w:val="true"/>
          <w:lang w:bidi="ar-SA"/>
        </w:rPr>
        <w:t>)</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وغير ذلك من أقوال العلماء والمستفاد من جميع ما ذكروه أنّ عنصر الوثاقة من أساسيات العمل بالروايات، وأولويات العمل الرجالي مِمّا يمكن القول بأنّ العملبأخبار غير الثقات من السفاهة تدلّ عليه فطرة العلم والعلماء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جميع ذلك يظهر بطلان ما ادعي في المقام من المواعدة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ما انتهت إليه كتب الرجال لم يكن على أساس عقلي أو شرعي فإنهما شبهتان مردودتان من جوانب عديدة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الشبهة الأولى؛ وهي شبهة المواعدة فإنَّه لا يستحقّ ذكرها؛ إذ كيف تحصل المواعدة بين العصور المتمادية والأشخاص المتباعدة مع عدم إمكان التواصل بينهم مع وجود العنف والضغط السياسي على الطائفة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مع أنّ المواعدة بين أهل الدين والورع والتقوى لا يمكن تصويرها بينهم؛ فادّعاء المواعدة ليس إلا من الزور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أرسلها اعتمد على كتب العامة وشاهد الطعن والتجريح فيها بالنسبة إلى رواتنا، ولكن مع كون هذا الطعن والتجريح مطعون فيه؛ إذ الأهداف منه واضحة وعدم كونها مهنيّة يتبع القواعد والأسس المتبعة في علم الرجال، ومع ذلك فليس كلّ رواتنا مطعون فيهم، بل الثقات منهم كثير في كتب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وكلام الذهبي حول ما يترتب على عدم قبول هؤلاء الثقات 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الشبهة الثانية؛ فسوف تعلم بطلانها وأنها أوهن من بيت العنكبوت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الطائفة قديماً مجتمعة على العمل بما يورده الثقات ويدلّ على ذلك أيضاً ما نقله الشيخ الطوسي قدس سره من عمل الطائفة بروايات من ثبتت وثاقته وإنْ خالفهم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الأساس فقد عمل الأصحاب بما رواه بعض الفطحية؛ مثل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 الواقفية؛ مثل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خلط بعد الإستقامة حيث يؤخذ بما رواه في حال استقامته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من بعض رواتنا من العامة مثل الفضيل بن عياض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ويحيى بن سعيد القطان</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بعدما اتضح من أنّ عنصر الوثاقة والتوثيق من الأوليات عند الطائفة المحقّة في نقل الروايات والأخبار، ومن أولويات علم الرجال، بل هو الأساس في هذا العلم الذي أراد أصحابه الحفاظ على منظومة أحاديث أهل البيت علیهم السلام وتراثهم إلا أنهم </w:t>
      </w:r>
    </w:p>
    <w:p>
      <w:pPr>
        <w:pStyle w:val="BookText"/>
        <w:rPr/>
      </w:pPr>
      <w:r>
        <w:rPr>
          <w:rFonts w:ascii="Amiri" w:hAnsi="Amiri" w:eastAsia="Amiri" w:cs="Amiri"/>
          <w:color w:val="111111"/>
          <w:sz w:val="28"/>
          <w:sz w:val="28"/>
          <w:szCs w:val="28"/>
          <w:rtl w:val="true"/>
          <w:lang w:bidi="ar-SA"/>
        </w:rPr>
        <w:t>قد أسسوا لهذا العلم قواعد وضوابط خاصة بها تميّز هذا العلم عن غيره من العلوم الدينية كالفقه وغيره، وتكون أكثر مهنيّة وأقرب إلى الواقع العلميّ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المحافظة على جميع أسماء من روى عن المعصومين علیهم السلام وتصنيفهم بحسب من يروي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عرفت آلية هذه القاعدة مِمّا ذكرناه في البحث الأول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تصنيف الرواة بحسب الطبقات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الكتب المتخصصة بالمصنفين المسماة بالفهرست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الكتب المتخصصة بالرواة وتحقيق حال الراوي المترجم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إستحداث آلية الإجازة وغيرها لتثبيت طرق تلقّي الرواية ونقلها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كليات القبول في الروايات والكتب كوثاقة الراوي ومقدار تثبته وحفظه ولقاءه بمن يروي عنه وسند روايته عنه وغير ذلك مِمّا هو مبيّن في هذا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وغيره من أجل التثبّت التام والتأكيد والمحافظة على أساس هذا العلم الذي بني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ظهر الفرق الكبير بين ما يمارسه علماء رجال هذه الطائفة الذين تنزّهوا عن التعصّب والتطّرف والتهمة والبهتان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 غيرهم ممن مارسوا هذه المهنة في بحوثهم الرجالية كما يشاهده كل من يراجع كتبهم فلم يتخلفوا بالأخلاق الفاضلة والنزاهة العلمية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البحث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العقبات التي واجهوها في سبيل نقل تراث أهل البيت علیهم السلام</w:t>
      </w:r>
    </w:p>
    <w:p>
      <w:pPr>
        <w:pStyle w:val="BookText"/>
        <w:rPr/>
      </w:pPr>
      <w:r>
        <w:rPr>
          <w:rFonts w:ascii="Amiri" w:hAnsi="Amiri" w:eastAsia="Amiri" w:cs="Amiri"/>
          <w:color w:val="111111"/>
          <w:sz w:val="28"/>
          <w:sz w:val="28"/>
          <w:szCs w:val="28"/>
          <w:rtl w:val="true"/>
          <w:lang w:bidi="ar-SA"/>
        </w:rPr>
        <w:t>وهي عديدة</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إختلاف الشيعة مع أغلب المدارس والإتجاهات المذهبية التي انتحلت دين الاسلام وهو مِمّا أوجب تنافساً كبيراً؛ مِمّا كان يستدعي الحرص عند التقييم الرجالي وعند نسبة الرواية أو الكتاب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امتلاك الشيعة القدرات الكافية الظاهرية لكبح جماح رواة أحاديث أهل البيت علیهم السلام إذا أرادوا الكذب علیهم السلام وهو مِمّا خلق تخوّفاً وهاجساً إزاء الأحاديث إلا من عرف واشتهر بالوثاقة منهم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والشاهد على ذلك ما يظهر من التخوف في ترجمة الكثير من الرواة، وما عليه مدرسة قم الشيعية الروائية من التشدّد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ما استعمله ابن الغضائري في رجاله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أمثلة ذلك ما قاله النجاشي عند ترجمة أحد الرواة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هذا الشيخ وكان صديقاً لي ولوالدي وسمعت منه شيئاً كثيراً ورأيت شيوخنا يضعّفونه فلم أرو عنه شيئاً وتجنبته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من أهل العلم والأدب القوي وطيب الشعر وحسن الخط رحمه الله وسامحه</w:t>
      </w:r>
      <w:r>
        <w:rPr>
          <w:rFonts w:eastAsia="Amiri" w:cs="Amiri" w:ascii="Amiri" w:hAnsi="Amiri"/>
          <w:color w:val="111111"/>
          <w:sz w:val="28"/>
          <w:szCs w:val="28"/>
          <w:rtl w:val="true"/>
          <w:lang w:bidi="ar-SA"/>
        </w:rPr>
        <w:t>)</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الداعي المعنوي والواقع الديني حيث اعتبروا الحفاظ على أخبار أهل البيت علیهم السلام من جميع جوانبها المادية والمعنوية والأمانة في نقلها عملاً دينياً ومن الضرورات الدينية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أن يبذلوا غاية جهدهم ويحتاطوا أشدّ الإحتياط في هذا السبيل</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مرحلة متأخرة بدأ الفقه يفترق عن الرجال حيث بدأ التخصّص العلمي لكلّ واحد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شك أنّ هذا الإفتراق وإن استلزم منه التخصّص والتطوّر في كلا العلمين؛ وهو أمر إيجابي ولكن استلزم منه الإبتعاد عن المنقول الروائي، وما خصّه من الإمتيازات؛ لا سيما بعد دخول علم الأصول وقواعدهبشكل هائل في الفقه كما حصل في الأزمنة المتأخرة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فاستلزم من ذلك ترك العمل الروائي مِمّا شكل هاجساً كبيراً عندهم في انزواء العمل الروائي لو لم ينهض رجال مخلصين لهذه المهمة، إلا أن يقال بأنّ المتأخرين لم يتركوا ذلك وإنما اعتمدوا على جهود المتقدمين في هذا العلم بعد معرفتهم صحة ما فعلوه فاستغنوا عن جهد آخر واعتبروه من صبّ الماء على الماء؛ فلم يزيدوا شيئاً على ما بيّنه المتقدمون وهو ما ستراه في البحوث البعدية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جميع ذلك يظهر شدة ما لاقى هؤلاء الأعلام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تعالى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هذا السبيل، وعظيم ما بذلوه من الجهد والتضحيات الجليلة فإنهم إنَّما تحمّلوها من أجل الحفاظ على تراث أهل البيت علیهم السلام وإيصاله إلى الأجيال اللاحقة وبفعلهم هذا أزالوا الخطر العظيم الذي كان يحيط بأخبار آل البيت علیهم السلام كما أرشد إليه قول الإمام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لَا زُرَارَةُ ونُظَرَاؤُهُ لَظَنَنْتُ أَنَ أَحَادِيثَ أَبِي علیه السلام سَتَذْهَبُ</w:t>
      </w:r>
      <w:r>
        <w:rPr>
          <w:rFonts w:eastAsia="IRNazanin" w:cs="IRNazanin"/>
          <w:color w:val="111111"/>
          <w:sz w:val="28"/>
          <w:szCs w:val="28"/>
          <w:rtl w:val="true"/>
          <w:lang w:bidi="fa-IR"/>
        </w:rPr>
        <w:t>)</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والنتيجة التي يمكن تحصيلها مِمّا تقدم أنّ من تلك القرائن الكثيرة والظروف العامة وما نتج منها من تخوّفات ودوافع، وبانضمام الدافع الديني الكبير عند أعلامنا المتقدمين بالنسبة إلى أخبار المعصومين علیهم السلام نشأت الأبعاد المدرسية لهذا العلم الذي كان أساسه وقوامه عنصر الوثاقة والتوثيق الذي عرفت أنّ لهما الأهمية الكبرى عقلاً وشرعاً وسيرة في موضوع هذا العلم مِمّا يمكن القول بكلّ دقة ومهنيّة بأننا على يقين تام أو نطمئنّ غاية الإطمئنان بأنّ ما بذلوه من الجهود العلمية والعملية في سبيل تهيئة حجية الأخبار والتقييمات الرجالية قائمة على أسس وقواعد رصينة ومجردة عن الأهواء وبعيدة عن الإهمال؛ فلا يتصور فيهم التقصير في جانب من جوانب هذا الموضوع المهم أو أهملوا أمراً منها غفلت عنه الأجيال اللاحقة من دون أن يحصل لهم الإلتفات إليه مع ما نراه من التمحيص والتحقيق فيما خلّفه هؤلاء الأعلام، وما ذكروه من النقود العلمية من أولئك الأعلام بعضهم على بعض</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ضوء ما ذكرناه يظهر أنّ الإيراد على تلك التوثيقات الرجالية بأنها مرسلة فلا تكون 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ادّعاه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ليس إلا من الإبتعاد عن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والإعراض عن الحقائق التي عليها الطائفة الحقّة لا سيما تلك التي تدور في الأوساط العلمية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وقد ذكرنا سابقاً أنّ النجاشي الذي يعتبر من أعلام هذه الطائفة والخبير في هذا العلم قد التزم غاية الإلتزام بالضوابط التي تقدم ذكرها في جملة من الرواة وإنْ كان قد خرج عن التزامه وتعهّده في البعض الآخر، ولكن ليس ذلك من جهة الإهمال والغفلة منه قدس سره ، أو خروجه عن الأصل الذي ابتنى عليه علم الرجالوالعمل بالروايات، ولعله يظهر ذلك بوضوح أنه قدس سره يتعامل مع أحوال الرواة وما يتصل بهم من الشؤون الخاصة بطريقة معينة بينما يتعامل مع كتب وروايات أولئك الرواة بطريقة أخرى مختلفة فيهمل الإسناد في الأول ويلتزم بذكره في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ذلك لأنَّه كان يمتلك طرقاً إلى أرباب الكتب والروايات كما يصرح به في موضع من كتابه، ولكنه يذكر بعضاً منها مِمّا يدلّ على اهتمامه الكبير بتحصيل الطرق إلى الروايات والتزامه بذكر البعض مِمّا يكشف على أنه لا إرسال ولا إهمال في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فكيف يفسّر عمله أنه في ما يتصل بالكتب والروايات فيلتزم جانب الإسناد وما يتصل بأحوال وشؤون الراوي بأخذ جانب الحكاية بلا إسناد إلا نادراً؛ حيث يذكر مصدرها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أحد مشايخ هذه الطائفة ويتصف منهجه بالرصانة والتوثيق وشخصيته العلمية معروفة لا يمكن أن يصدر منه ما يخالف منهجه الرصين؛ فلا يذكر الإسناد في مورد أحوال الرواة حتى يمكن الإشكال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نظيره الشيخ الطوسي قدس سره بالإرسال ويخفى ذلك قروناً ولم يستشعر به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عدم اعتبار الرواية المرسلة كان معروفاً بين الطائفة ومتداولاً في مختلف بحوثهم من زمن بعيد فلا يمكن أن يكون قد غفل عنها فلا يحقّ احتمال ذلك في حقّ العلمين وغيرهما من العلماء ولا سيما إذا كان يرتبط بمقام الحجية والتمييز بين الحجة واللاحجة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اختلاف بين الروايات وكتب الأخبار والتقييمات الرجالية في أنها مبتنية على القواعد المتبعة في علم الرجال، وإنْ كان الإهتمام بذكر الطرق في الروايات والكتب أكبر من ذكرها </w:t>
      </w:r>
    </w:p>
    <w:p>
      <w:pPr>
        <w:pStyle w:val="BookText"/>
        <w:rPr/>
      </w:pPr>
      <w:r>
        <w:rPr>
          <w:rFonts w:ascii="Amiri" w:hAnsi="Amiri" w:eastAsia="Amiri" w:cs="Amiri"/>
          <w:color w:val="111111"/>
          <w:sz w:val="28"/>
          <w:sz w:val="28"/>
          <w:szCs w:val="28"/>
          <w:rtl w:val="true"/>
          <w:lang w:bidi="ar-SA"/>
        </w:rPr>
        <w:t>من التقييمات الرجالية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مزيد بيان الفرق بينهما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يصحّ أن يأخذ هذا الفرق بينهما من هذه الجهة ويحكم على الأخيرة بالإرسال مطلقاً وكلها داخلة في المنظومة الروائية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بعدما تبين أنّ الأساس في المنظومة الروائية مطلقاً عند الشيعة الإمامية الوثاقة والتوثيق، ولا ريب أنّ الطرق إلى هذا الأصل الأصيل متعددة، بل تختلف باختلاف الآراء والمذاهب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ينبغي أن يقال أنّ الأمور التي ترتبط بموضوع بحثنا على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الحقائق المتأصلة في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الموجودات الخارجية من قبيل الإنسان والذكر والأنثى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 من قبيلة كذا، إلى غير ذلك من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القسم خفيف المؤونة في إمكان إثباتها من حيث نفسها وزمان وجودها لأنَّها داخلة تحت إحساس الإنسان فيشعر من يحسّ به فعلاً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من الأمور القارّة في عمود الزمان؛ نظير العلم والصحة والجمال ونحو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مثل هذا القسم يبقى موجوداً ومستمراً في عمود الزمان ما لم يطرأ عليه ما يوجب زواله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يكون قارّاً في عمود الزمان، بل تكون متدرجة في الوجود فيوجد فرد أثر انعدام فرد آخر كالتكلم والأفعال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هذا القسم ضيق الإثبات لأنَّه لا يحسّ به إلا القليل، وتختلف ندرته حسب حالات الفرد المتكلم ككونه في مكان عام أو في مكان خاص أو كونه لا يجتمع بالناس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يسمح باللقاءات وغير ذلك</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هذه الأقسام في مقام الإثبات تحتاج إلى شواهد وبراهين إلا أنّ الأول أسهل إثباتاً من القسمين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الثاني أسهل من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لفرض اختلافهما في سعة الإحساس به وكثرته وضيقه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ريب أنّ الوثاقة من القسم الثاني فهي من الأوصاف التي يكتسبها الفرد بالمداومة على ممارسة الصدق حتى يشتهر بها وتثبت هذه الصفة في نفسه وتستقر فيها والتي يعبّر عنها الفقهاء بالملكة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والطريق إلى اكتشافه تارة يكون بالعِشرة مع الشخص ومعرفة صدقه، وأخرى يكون بشهادة آخرين معروفين على كونه متصفاً بالوثاقة والصدق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وثالثة بالإستشهاد عند أبناء جلدته وعشيرته؛ وهذا ما لا إشكال فيه من أحد، ولكن ذلك يختص بأفراد معدودين معاصرين للشخص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أرادت الأجيال اللاحقة معرفة وثاقة السلف لا بُدَّ أن يكون اكتشافه بطرق أخرى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بالتواتر أو الإستفاضة أو نقل عدول عن عدول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متحقق في بعض الأفراد وليس كلّ الرواة يكونون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سائر الرواة وهم كُثر فإنّ إثبات وثاقتهم لا يكون إلا بأحد 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بالشهادة الحسّية أو بالإجتهاد الحدسي، والأول منتفٍ وجداناً، والثاني لا يجدي نفعاً في مثل الوثاقة والصدق ونحوهما؛ إذ لا اعتبار بالاجتهاد الحدسي في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إذن؛ لا يمكن إثبات وثاقة كمٍّ كبير من رواة الأخبار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المتتبع لكلمات أعلام الطائفة يستفيد أنّ إثبات وثاقتهم يكون بطرق أخرى توجب الإطمئنان بأحوالهم وليست هي من الشهادة الحسّية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 الإجتهاد الحدسي كذلك، بل تثبت وثاقة الرواة من الملابسات والقرائن والشواهد التي تكتنف أحوالهم وسائر جوانب حياتهم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الطريق نثبت الوثاقة في التقييمات الرجالية وكتب الأخبار بعد أن لم يتوقع أحد أن يكون لنا ديواناً عاماً بأسماء الرواة وأسماء من وثّقهم واحداً واحداً، وعلى التفصيل كما هو الموجود في العصر الحاضر بعد تقدّم وسائل التواصل وخزن المعلومات صوتاً وصورة وسائر الخصوصيات المرتبطة بالفرد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سيما أنّ الذي نريد الوصول إليه قد اقترن بأبشع صور الظلم والطغيان من السلطة الحاكمة </w:t>
      </w:r>
    </w:p>
    <w:p>
      <w:pPr>
        <w:pStyle w:val="BookText"/>
        <w:rPr/>
      </w:pPr>
      <w:r>
        <w:rPr>
          <w:rFonts w:ascii="Amiri" w:hAnsi="Amiri" w:eastAsia="Amiri" w:cs="Amiri"/>
          <w:color w:val="111111"/>
          <w:sz w:val="28"/>
          <w:sz w:val="28"/>
          <w:szCs w:val="28"/>
          <w:rtl w:val="true"/>
          <w:lang w:bidi="ar-SA"/>
        </w:rPr>
        <w:t>وابتلوا بالتشرد والكتمان،فلا بُدَّ من الرجوع في مثل ذلك إلى العقلاء وما يؤسسونه من طرق تضمن لهم الصحة ويحقق الهدف في تعاملهم مع هذه الأمور بشرط أن تتصف طريقتهم بالأمانة العلمية وتتضمن شروط البحث العلمي كما هو المعروف في البحوث المعاصرة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ما سنبينه في البحث البعدي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ما ذكرناه من أنّ المنظومة الروائية عند الشيعة الإمامية من الأخبار سنداً ومضموناً وكتب الروايات وأحوال الرواة والوسائط إنَّما تستند على أصل الوثاقة والتوثيق وأنّ الطريق والآلية في كسبهما ليست هي من الحسّية المحضة مطلقاً فإنها منتفية في أغلبها وجداناً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أنها لم تدخل في الإجتهادات الحسية المحضة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لا اعتبار بها في مثل موضوع بحثنا باتفاق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ولكنها تثبت بالملابسات والشواهد والقرائن الكثيرة التي توجب الإطمئنان بحيث لا يدع شكّاً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ذكرنا أنّ الرجوع إليها مشروط بأن تكون وفق الطرق العلمية وتتضمن شروط البحث العلمي فلا يمكن الإستناد إلى مجرد الإحتمال والأحلام والإلهام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الدخول في بيانها لا بُدَّ من ذكر أمر مهم يرتبط بموضوع البحث؛ وهو أنه لا يمكن فصل هذه المنظومة الكبرى عن وضع الشيعة العام في عصور الخلفاء والأحوال السياسية التي مرت عليهم في تاريخ نضالهم المرير في العيش في هذه الحياة؛ فقد اضطهدوا من قبل السلطات الزمانية بأشدّ أنواع الظلم والطغيان وحرموا من أبسط حقوق الإنسان</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 الإمام الصادق علیه السلام الوضع الإجتماعي العام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مُفَضَّلُ الْخَلْقُ حَيَارَى عَمِهُونَ سُكَارَى فِي طُغْيَانِهِمْ يَتَرَدَّدُونَ وبِشَيَاطِينِهِمْ وطَوَاغِيتِهِمْ يَقْتَدُونَ بُصَرَاءُ عُمْيٌ لَا يُبْصِرُونَ نُطَقَاءُ بُكْمٌ لَا يَعْقِلُونَ سُمَعَاءُ صُمٌ لَا يَسْمَعُونَ رَضُوا بِالدُّونِ وحَسِبُوا أَنَّهُمْ </w:t>
      </w:r>
    </w:p>
    <w:p>
      <w:pPr>
        <w:pStyle w:val="BookText"/>
        <w:rPr/>
      </w:pPr>
      <w:r>
        <w:rPr>
          <w:rFonts w:ascii="Amiri" w:hAnsi="Amiri" w:eastAsia="Amiri" w:cs="Amiri"/>
          <w:color w:val="111111"/>
          <w:sz w:val="28"/>
          <w:sz w:val="28"/>
          <w:szCs w:val="28"/>
          <w:rtl w:val="true"/>
          <w:lang w:bidi="ar-SA"/>
        </w:rPr>
        <w:t>مُهْتَدُونَ حَادُوا عَنْ مَدْرَجَةِ الْأَكْيَاسِ ورَتَعُوا فِي مَرْعَى الْأَرْجَاسِ الْأَنْجَاسِ كَأَنَّهُمْ مِنْ مُفَاجَأَةِ الْمَوْتِ آمِنُونَ وعَنِ الْمُجَازَاةِ مُزَحْزَحُونَ يَا وَيْلَهُمْ مَا أَشْقَاهُمْ وأَطْوَلَ عَنَاءَهُمْ وأَشَدَّ بَلَاءَهُمْ؛ يَوْمَ لا يُغْنِي مَوْلًى عَنْ مَوْلًى شَيْئاً ولا هُمْ يُنْصَرُونَ إِلَّا مَنْ رَحِمَ اللَّهُ قَالَ الْمُفَضَّلُ فَبَكَيْتُ لِمَا سَمِعْتُ مِنْهُ فَقَالَ لَا تَبْكِ تَخَلَّصْتَ إِذْ قَبِلْتَ ونَجَوْتَ إِذْ عَرَفْت</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 xml:space="preserve">فبعد ارتحال زعيم الأمة إلى الرفيق الأعلى تكالبوا على صرف الحقّ عن أهله وانقلبوا على تعاليم نبيهم صلی الله علیه و آله و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صور الإمام الباقر علیه السلام تلك الفترة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بَاتَ آلُ مُحَمَّدٍ علیه السلام بِأَطْوَلِ لَيْلَةٍ حَتَّى ظَنُّوا أَنْ لَا سَمَاءَ تُظِلُّهُم</w:t>
      </w:r>
      <w:r>
        <w:rPr>
          <w:rFonts w:eastAsia="Amiri" w:cs="Amiri" w:ascii="Amiri" w:hAnsi="Amiri"/>
          <w:color w:val="111111"/>
          <w:sz w:val="28"/>
          <w:szCs w:val="28"/>
          <w:rtl w:val="true"/>
          <w:lang w:bidi="ar-SA"/>
        </w:rPr>
        <w:t>)</w:t>
      </w:r>
      <w:r>
        <w:rPr>
          <w:rStyle w:val="FootnoteAnchor"/>
          <w:rtl w:val="true"/>
        </w:rPr>
        <w:footnoteReference w:id="424"/>
      </w:r>
      <w:r>
        <w:rPr>
          <w:rFonts w:ascii="IRNazanin" w:hAnsi="IRNazanin" w:eastAsia="IRNazanin"/>
          <w:color w:val="111111"/>
          <w:sz w:val="28"/>
          <w:sz w:val="28"/>
          <w:szCs w:val="28"/>
          <w:rtl w:val="true"/>
          <w:lang w:bidi="fa-IR"/>
        </w:rPr>
        <w:t>فلا يمكن لأحد أن يبحث عن المنظومة الروائية عند هذه الطائفة وينسى تلك الأحوال والأوضاع التي مرّوا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يمكنه البحثوهو ينسى ما آل إليه أمر علي بن أبي طالب علیه السلام حيث اعتزل برهة من الزمن في بيته والقوم يخالفونه في كلّ ما يقوله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أشار الصادق علیه السلام عنه عندما اوعز بالنظر إلى كلّ ما قاله علي علیه السلام وأنهم خالفوه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نسيان حال الإمام المجتبى علیه السلام ومعاناته مع بني أمية ولا سيما معاوية، والإستهانة به وبأبيه علیهما السلام ونصب العداء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وهل يمكن التغاضي عن واقعة الطفّ الأليمة وقتل سيدهم وأهل بيته وأنصاره بأبشع 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التغافل عما فعلته بني أمية بالشيعة واضطهادهم وقتلهم وتشريدهم طيلة مدة حكومتهم البغيضة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يمكن نسيان ما فعلوه بأئمة الشيعة من الإضطهاد حتى صرّح الإمام زين العابدين علیه السلام بأنه لم يبق في المدينة بيتاً يحبنا أهل البيت</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تعدّينا حكم الأمويين وانتقل الحكم إلى بني العباس الذين كانوا أسوأ حالاً من نظرائهم؛ فإنهم وإن استدلوا على الحكم تحت شعار الرضا من 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ولكنهم أبدلوه بالبغض لآل محمد فاستبدوا بالحكم واضطهدوا أئمة الشيعة بأشدّ مِمّا اضطهده الأمويون </w:t>
      </w:r>
    </w:p>
    <w:p>
      <w:pPr>
        <w:pStyle w:val="BookText"/>
        <w:rPr/>
      </w:pPr>
      <w:r>
        <w:rPr>
          <w:rFonts w:ascii="Amiri" w:hAnsi="Amiri" w:eastAsia="Amiri" w:cs="Amiri"/>
          <w:color w:val="111111"/>
          <w:sz w:val="28"/>
          <w:sz w:val="28"/>
          <w:szCs w:val="28"/>
          <w:rtl w:val="true"/>
          <w:lang w:bidi="ar-SA"/>
        </w:rPr>
        <w:t>مع الفارق بين بني أمية وبني العباس من أنّ بني أمية أظهروا العداوة لآل البيت ونصبوا لهم العداوة جهاراً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وارتدوا إلى حكم الجاهلية من العصبية البغيضة؛ فلم يعبئوا بدين الإسلام وبنبيّه وأهل بيته، بل اتخذوا النصب والعداء شعاراً لهم وكان ذلك ظاهراً لا يمكن النقاش فيه وإنْ حاول المؤرخون ستره والتغاضي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بنو العباس فتستروا بالدين وجعلوا أنفسهم خلفاء شرعيين واعتبروا أفعالهم من صميم الشرع الحنيف فجعلوا عداوة آل البيت علیهم السلام من مهمات خلافتهم الشرعية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وليس صنيع هارون مع موسى بن جعفر علیه السلام وخطابه للرسول والاستئذان منه في حبس ولده إلا لبيان هذه 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اضطهدوا الشيعة بأنواع الظلم والطغيان فلم يتمكن الشيعة من الإتصال بأئمتهم وكسب الفيض منهم مع انتشار المذهب الجعفريّ واتساع رقعة التشيع إلا برهة من حياة الإمام الصادق علیه السلام وليست فتنة الغيبة الصغرى والكبرى إلا برهان واضح على ذكرناه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نريد الدخول في التفاصيل فإنّ له موضع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يمكن لمن يريد البحث عن المنظومة الروائية التغاضي عن هذا الأمر المهم وقياس الماضي على الحاضر فيقول ويكتب بما يحسّه في هذا الوقت ويريد تطبيقه على الماضي؛ فإنَّه من الغباء العلمي المحض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بُدَّ من ملاحظة معاناة الرواة وما لاقاه علماء الرجال في كسب ما يوجب توثيقهم مع ذهاب جملة كبيرة من القرائن الحالية والمقالية بسبب ظلم الظالمين وتقادم الزمن عليها، وقد تعاهدوامن أن يستوثقوا عن كلّ ما يذكرونه مع هذه الحالة فهي من أكبر الشواهد على صحة ما يقولونه والوثوق بما يسطرونه</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تمَّ بعون الله تعالى الجزء السابع؛ والحمدُ لله أولاً وآخراً </w:t>
      </w:r>
      <w:bookmarkStart w:id="429" w:name="pg15367_181338"/>
    </w:p>
    <w:p>
      <w:pPr>
        <w:pStyle w:val="Heading2"/>
        <w:numPr>
          <w:ilvl w:val="1"/>
          <w:numId w:val="1"/>
        </w:numPr>
        <w:rPr/>
      </w:pPr>
      <w:bookmarkStart w:id="430" w:name="__RefHeading___Toc5900790_2142443653"/>
      <w:bookmarkStart w:id="431" w:name="_Toc160"/>
      <w:bookmarkEnd w:id="429"/>
      <w:bookmarkEnd w:id="430"/>
      <w:r>
        <w:rPr>
          <w:rtl w:val="true"/>
        </w:rPr>
        <w:t>المصادر والمراجع</w:t>
      </w:r>
      <w:bookmarkEnd w:id="43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المجيد؛ كلام الله عز وجلّ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البلاغة؛ كلام أمير المؤمنين علي بن أبي طالب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 التقريرات؛ محمد حسين النائيني؛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مطبعه العرفان؛ قم المقدسة؛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الإحتجاج على أهل اللجاج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أحمد بن علي الطبرسي؛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المرتضى؛ مشهد؛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الإستخارة من القرآن المجيد والفرقان الحميد؛ أبو المعالي الكلباسي؛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إستقصاء الإعتبار في شرح الاستبصار؛ محمد بن الحسن بن الشهيد الثاني؛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المنطقية للاستقراء؛ السيد محمد باقر الصدر؛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التعارف للمطبوعات؛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الفقه؛ الشيخ محمد الخضريّ بك؛ دار إحياء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فلسفه وروش رئاليسم؛ السيد محمد حسين الطباطبائي؛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صدرا؛ طهران؛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 الطبعة الأولى</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الإفصاح في الإمامة؛ أبو عبد اللّه العكبري المفيد؛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إقبال الأعمال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موسى ابن طاووس؛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الحسن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الثقافة؛ 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للمفيد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محمد المفيد؛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 حسين ولي وعلي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 الآمل؛ الشيخ محمد بن الحسن الحر العاملي؛ تحقيق السيد أحمد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الآداب؛ النجف الأشرف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أوثق الوسائل في شرح الرسائل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جعفر التبريزي؛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كتبي نجفي؛ قم المقدسة؛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بحار الأنوار الجامعة لدرر أخبار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باقر بن محمد تقي المجلسي؛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التراث العربي؛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السيد محمود الهاشمي الشاهرودي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دائرة المعارف؛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بحوث في علم الأصول؛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حسن عبد الساتر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الدار الإسلامية؛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بدائع الأفكار في الأصول؛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ميرزا هاشم الآملي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النجف الأشرف؛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 الدرجات في فضائل آل محمّد صلّى الله عليهم؛ محمد بن حسن الصفار؛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كوچه باغي، محسن بن عباس علي؛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مكتبة آية الله المرعشي النجفي؛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الأصول؛ صادق الحسيني الشيرازي؛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الأنصار؛ قم المقدسة؛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تأسيس الشيعة لعلوم الإسلام؛ السيد حسن الصدر؛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تذكرة الفقهاء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حسن بن يوسف بن مطهر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آل البيت علیهم السلام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علیهم السلام ؛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تشريح الأصول؛ على بن فتح‌الله النهاوندي النجفي؛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ميرزا محمدعلي تاجر طهراني؛ طهران؛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التعارض؛ محمد كاظم بن عبد العظيم اليزدي؛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انتشارات مدين؛ قم المقدسة؛ </w:t>
      </w:r>
      <w:r>
        <w:rPr>
          <w:rFonts w:eastAsia="Amiri" w:cs="Amiri" w:ascii="Amiri" w:hAnsi="Amiri"/>
          <w:color w:val="111111"/>
          <w:sz w:val="28"/>
          <w:szCs w:val="28"/>
          <w:lang w:bidi="ar-SA"/>
        </w:rPr>
        <w:t>1426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 علي بن إبراهيم القمي؛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 الموسوي الجزائري؛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تفصيل وسائل الشيعة إلى تحصيل مسائل الشريعة؛ الشيخ محمد بن حسن الحر العاملي؛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تمهيد القواعد الأصولية والعربية لتفريع قواعد الأحكام الشرعية؛ الشهيد الثاني زين الدين بن علي العاملي؛ الطبعة الحجرية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تمهيد القواعد الأصولية والعربية لتفريع قواعد الأحكام الشرعية؛ زين الدين بن علي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ثاني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عباس تبريزيان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جواد حسينى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الحكيم ضياء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رضا ذاكريان؛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اسلامى حوزه علميه قم؛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 الخواطر ونزهة النواظر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المعروف بمجموعه 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مسعود بن عيسى بن أبي فراس ورام ؛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الفقيه؛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تحقيق الخرسان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الحسن الطوسي؛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الموسوي الخرسان؛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الأصول؛ الإمام روح الله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جعفر سبحاني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تنظيم ونشر آثار امام 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طهران؛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الأصول؛ السيد عبد الأعلى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المنار؛ قم المقدسة؛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ابن بابويه؛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هاشم الحسيني؛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المقدسة؛ </w:t>
      </w:r>
      <w:r>
        <w:rPr>
          <w:rFonts w:eastAsia="Amiri" w:cs="Amiri" w:ascii="Amiri" w:hAnsi="Amiri"/>
          <w:color w:val="111111"/>
          <w:sz w:val="28"/>
          <w:szCs w:val="28"/>
          <w:lang w:bidi="ar-SA"/>
        </w:rPr>
        <w:t>1398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توحيد المفضل؛ المفضل بن عمر؛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كاظم المظفر؛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داوري؛ قم المقدسة؛ الطبعة الثالثة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أحاديث الشيعة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للبروجردي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آغا حسين البروجردي؛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من المحققين؛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منشورات فرهنگ سبز؛ طهران؛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البيان في تفسير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سلطان الواعظين؛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بيروت؛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سنن الترمذي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عيسى الترمذي؛ التحقيق والشرح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محمد الشاكر؛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القاهرة؛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المقاصد في شرح القواعد؛ علي بن حسين العاملي الكركي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الثاني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مؤسسة آل البيت علیهم السلام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جواهر الكلام في شرح شرائع الإسلام؛ الشيخ محمد حسن النجفي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قوچانى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آخوندى؛ بيروت؛ الطبعة السابعة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حاشية السلطان على معالم الدين؛ حسين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سلطان العلماء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داورى؛ قم المقدسة؛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حاشية المكاسب؛ السيد محمد كاظم الطباطبائي اليزدي؛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مؤسسه اسماعيليان؛ قم المقدسة؛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حاشية كتاب المكاسب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القديمة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حسين الكمپاني الإصفهاني؛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محمد آل سباع القطيفي؛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ذوي القربى؛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 في أحكام العترة الطاهرة؛ يوسف بن احمد بن ابراهيم آل عصفور البحرانى؛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تقي الأيرواني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عبد الرزاق مقرم؛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وابسته به جامعه مدرسين حوزه علميه قم؛ 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حكمة الإشراق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مصنّفات شيخ الاشراق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شهاب الدين يحيى السهرورديّ؛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العلوم الإنسانيّة والمطالعات الثقافيّة؛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الخصال؛ محمد بن علي ابن بابويه؛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المدرسين؛ قم المقدسة؛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دراسات في علم الأصول؛ السيد أبو القاسم الخوئي؛ تقريرات علي هاشمي شاهرودي؛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دائرة المعارف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اسلامي بر مذهب اهل بيت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درر الفوائد في الحاشية على الفرائد؛ محمد كاظم بن حسين الآخوند الخراساني؛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الطبع والنشر التابعة لوزارة الثقافة والإرشاد الإسلامي؛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الدرر النجفية من الملتقطات اليوسفية؛ يوسف بن أحمد بن ابراهيم آل عصفور البحراني؛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دار المصطفى لإحياء التراث؛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المصطفى لإحياء التراث؛ بيروت؛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دروس في علم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انتشارات اسلامى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 محمد باقر الصدر؛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الرأي السديد في الإجتهاد والتقليد والإحتياط والقضاء؛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غلامرضا عرفانيان يزدى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الكشي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معرفة الرجال؛ محمد بن عمر الكشي؛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الطوسي، حسن المصطفوي؛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جامعة مشهد؛ مشهد؛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النجاشي؛ أحمد بن على النجاشي؛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موسى شبيرى زنجانى؛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لجماعة المدرسين في الحوزة العلمية بقم المقدسة،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الطبعة السادسة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الطوفي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ملحقة بكتاب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مصادر التشريع الإسلامي فيما لا نصّ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عبد الوهاب خلّاف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استصحاب العدم الأزلي؛ ضياء الدين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في منجزات المريض؛ مرتضى بن محمد أمين الأنصاري الدزفولي؛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كنگره؛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بزرگداشت شيخ اعظم انصارى؛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رسائل الشريف المرتضى؛ على بن حسين علم الهدى؛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القرآن الكريم؛ 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المعاد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مفتاح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باقر بن محمد تقي المجلسي؛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علاء الدين الأعلمي؛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للمطبوعات؛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الأصول؛ الشيخ محمد بن حسين البهائي؛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شريعت؛ قم المقدسة؛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زبدة البيان في أحكام القرآن؛ أحمد بن محمد الأردبيلي؛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 البهبودي؛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الجعفرية لإحياء الآثار الجعفرية؛ طهران؛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السرائر الحاوي لتحرير الفتاوى؛ محمد بن منصور بن أحمد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إبن إدريس 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وابسته به جامعه مدرسين حوزه علميه قم؛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سفينة البحار ومدينة الحكم والآثار؛ الشيخ عباس القمي؛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الأسوة؛ 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ابن عقيل؛ بهاء الدين عبد اللّه بن عقيل العقيلي؛مطبعة سيّد الشهداء علیه السلام ؛ قم المقدسة،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الكافية؛ رضي الدين محمد بن الحسن الاسترآبادي؛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المطالع؛ قطب الدين محمّد بن محمّد الرازي البويهي؛ الطبعة الحجريّة؛ قم المقدسة؛ انتشارات كتبي نجفي</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المنظومة؛ المولى هادي بن مهدي السبزواري؛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العلّامة؛ قم المقدسة؛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السادسة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مختصر الأصول؛ أصله لابن الحاجب وشرحه لعضد الدين عبد الرحمن بن أحمد الإيجي؛ مطبعة العالم؛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 لابن أبي الحديد؛ عبد الحميد بن هبة الله ابن أبي الحديد؛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أبو الفضل إبراهيم؛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النجفي؛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الشيخ الرئيس أبو عليّ حسين بن عبد اللَّه بن سينا؛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آية اللَّه المرعشي؛ قم المقدسة؛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في أصول الفقه؛ محمد بن حسن الطوسي؛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تقي علاقبنديان؛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عوالي اللئالي العزيزية في الأحاديث الدينية؛ محمد بن زين الدين ابن أبي جمهور؛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مجتبى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سيد الشهداء للنشر؛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عوائد الأيام في بيان قواعد الأحكام ومهمات مسائل الحلال والحرام؛ المولى أحمد بن محمد مهدي النراقي؛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انتشارات دفتر تبليغات اسلامى حوزه علميه قم؛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عيون أخبار الرضا علیه السلام ؛ محمد بن علي ابن بابويه؛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مهدي اللاجوردي؛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جهان؛ طهران؛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الحكم والمواعظ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لليثي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علي بن محمد الليثي الواسطي؛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الحسني البيرجندي؛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الحديث؛ قم المقدسة؛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المأمول؛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محمد تقي الجواهري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المقدسة؛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الفائق في غريب الحديث؛ محمود بن عمر الزمخشري؛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شمس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فرائد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حواشي أوثق 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موسى بن جعفر التبريزي؛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سماء قلم؛ قم المقدسة؛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الاُصول؛ مرتضى بن محمدأمين الأنصاري؛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لجماعه المدرسين بقم؛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الخامسة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الغروية في الأصول الفقهية؛ محمدحسين بن عبد الرحيم الحائري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إحياء العلوم الإسلامية؛ قم المقدسة؛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المختارة؛ محمد بن محمد المفيد؛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مير شريفي؛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مؤتمر الشيخ المفيد؛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الفصول المهمة في أصول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تكملة الوسائل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الشيخ محمد بن حسن الحر العاملي؛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محمد الحسين القائيني؛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الرضا علیه السلام للمعارف الإسلامية؛ قم المقدسة؛ </w:t>
      </w:r>
      <w:r>
        <w:rPr>
          <w:rFonts w:eastAsia="IRNazanin" w:cs="IRNazanin"/>
          <w:color w:val="111111"/>
          <w:sz w:val="28"/>
          <w:szCs w:val="28"/>
          <w:lang w:bidi="fa-IR"/>
        </w:rPr>
        <w:t>1418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الإجتهاد والتقليد؛ السيد أبو القاسم الخوئي؛ المقرر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محمد مهدي الموسوي الخلخالي؛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چاپخانه نو ظهور؛ قم المقدسة؛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الثالثة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نديم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إسحاق ابن نديم؛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فوائد الاُصول؛ محمد حسين النائيني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محمد علي كاظمي خراساني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جامعه مدرسين حوزه علميه قم المقدسة؛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الفوائد الرضوية على الفرائد المرتضوية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رضا بن محمد هادي الهمداني؛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فروشي جعفري تبريزي؛ طهران؛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الفوائد المدنيّة؛ الأمين الاسترابادي؛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النشر لأهل البيت علیهم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قاعدة لا ضرر؛ فتح اللّٰه بن محمد جواد نمازي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الشريعة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أبو طالبي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انتشارات اسلامى وابسته به جامعه مدرسين حوزه علميه قم؛ قم المقدسة؛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قواعد الأحكام في معرفة الحلال والحرام؛ حسن بن يوسف بن مطهر الأسدي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العلامة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دفتر انتشارات اسلامى؛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القواعد الفقهية؛ سيد حسن بن آقا بزرگ الموسوي البجنوردي؛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مهدى مهريزى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حسن درايتى؛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الهادي؛ قم المقدسة؛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القواعد والفوائد في الفقه والاُصول والعربية؛ محمد بن مكي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الشهيد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فروشي مفيد؛ قم المقدسة؛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القوانين المحكمة في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أبو القاسم بن محمد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الميرزا القمي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إحياء الكتب الإسلامية؛ قم المقدسة؛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يعقوب بن إسحاق الكليني؛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ومحمد الآخوندي؛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طهران؛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 الزيارات؛ جعفر بن محمد ابن قولويه؛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الحسين الأميني؛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المرتضوية؛ النجف الأشرف؛ </w:t>
      </w:r>
      <w:r>
        <w:rPr>
          <w:rFonts w:eastAsia="Amiri" w:cs="Amiri" w:ascii="Amiri" w:hAnsi="Amiri"/>
          <w:color w:val="111111"/>
          <w:sz w:val="28"/>
          <w:szCs w:val="28"/>
          <w:lang w:bidi="ar-SA"/>
        </w:rPr>
        <w:t>1397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الطهارة؛ مرتضى بن محمد أمين الأنصاري الدزفولي؛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در كنگره؛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جهانى بزرگداشت شيخ اعظم انصارى؛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عن حقائق غوامض التنزيل وعيون الأقاويل في وجوه التأويل؛ محمود بن عمر الزمخشري؛ 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مصطفى حسين أحمد؛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كشف الغطاء عن مبهمات الشريعة الغراء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الشيخ جعفر بن خضر المالكي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كاشف الغطاء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انتشارات مهدوى؛ إصفهان؛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القناع عن وجوه حجية الإجماع؛ أسدا لله بن اسماعيل الكاظمي؛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احمد الشيرازي؛ طهران؛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كفاية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 حواشى مشكينى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أبو الحسن المشكيني الأردبيلي؛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لقمان؛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كفاية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آل البيت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محمد كاظم بن حسين الآخوند الخراساني،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مباحث الدليل اللفظي؛ تقريرات لأبحاث السيد الصدر للسيد محمود الهاشمي؛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مكتب الإعلام الإسلامي؛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مباني الإستنباط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تقريراً لأبحاث آية اللَّه العظمى السيد الخوئيّ قدس 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الحاجّ السيّد أبي القاسم الباغميشهيّ؛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النجف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المحاسن؛ أحمد بن محمد بن خالد البرقي؛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جلال الدين؛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قم المقدسة؛ </w:t>
      </w:r>
      <w:r>
        <w:rPr>
          <w:rFonts w:eastAsia="Amiri" w:cs="Amiri" w:ascii="Amiri" w:hAnsi="Amiri"/>
          <w:color w:val="111111"/>
          <w:sz w:val="28"/>
          <w:szCs w:val="28"/>
          <w:lang w:bidi="ar-SA"/>
        </w:rPr>
        <w:t>1371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محاضرات في أصول الفقه؛ السيد أبو القاسم الخوئي؛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الهادي للمطبوعات؛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مسالك الأفهام إلى تنقيح شرائع الإسلام؛ الشهيد الثاني زين الدين بن علي العاملي؛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پژوهش مؤسسه معارف اسلامى؛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المعارف الإسلامية؛ قم المقدسة؛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مستدرك الوسائل ومستنبط المسائل؛ حسين بن محمد تقي النوري؛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lang w:bidi="fa-IR"/>
        </w:rPr>
        <w:t>1408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مستمسك العروة الوثقى؛ السيد محسن الطباطبائي الحكيم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التفسير؛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الشيعة في أحكام الشريعة؛ المولى أحمد بن محمد مهدي النراقي؛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آل البيت علیهم السلام ؛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مؤسسة آل البيت علیهم السلام ؛ قم المقدسة؛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الإمام أحمد بن حنبل؛ أحمد بن محمد ابن حنبل؛ المحققين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عامر الغضبان، إبراهيم الريبق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نعيم العرقسوسي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شعيب الأرنؤوط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سعيد محمد لحام، عادل مرشد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رضوان العرقسوسي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الزيبق، جمال عبداللطيف، أحمد برهوم، كامل الخراط، هيثم عبد الغفور، عبد اللطيف حرز الله، محمد أنس خن، عبد الله بن عبد المحسن التركي، محمد بركات؛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بيروت؛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مشارق الأحكام؛ محمد بن أحمد بن محمد مهدي النراقي؛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كنگره بزرگداشت ملامهدي نراقي وملا احمد نراقي؛ قم المقدسة؛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مصباح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مؤسسة إحياء آثار السيد الخوئي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محمد سرور واعظ الحسيني البهسودي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إحياء آثار الإمام الخوئي؛ قم المقدسة؛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الفقيه؛ آقا رضا بن محمد هادي همداني؛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باقرى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نورعلى نورى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ميرزائى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نور الدين جعفريان؛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الجعفرية لإحياء التراث ومؤسسة النشر الإسلامي؛ قم المقدسة؛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 المنير في غريب الشرح الكبير للرافعي؛ أحمد بن محمد الفيومي؛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قم المقدسة؛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مطارح الأنظار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 قديم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مرتضى بن محمد أمين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تقريرات أبو القاسم كلانتري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 قم المقدسة؛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الدين وملاذ المجتهدين؛ حسن بن زين الدين ابن الشهيد الثاني؛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وابسته به جامعه مدرسين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قم المقدسة؛ الطبعة التاسعة</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العلماء في فهرست كتب الشيعة وأسماء المصنفين منهم قديماً وحديثاً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تتمة كتاب الفهرست للشيخ أبي جعفر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بن علي ابن شهر آشوب؛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الحيدرية؛ النجف الأشرف؛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المعتبر في شرح المختصر؛ جعفر بن حسن نجم الدين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المحقق الحلّي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المحقق والمصحح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علي حيدري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مهدي شمس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أبو محمد مرتضوي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الموسوي؛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سيد الشهداء علیه السلام ؛ قم المقدسة؛ </w:t>
      </w:r>
      <w:r>
        <w:rPr>
          <w:rFonts w:eastAsia="IRNazanin" w:cs="IRNazanin"/>
          <w:color w:val="111111"/>
          <w:sz w:val="28"/>
          <w:szCs w:val="28"/>
          <w:lang w:bidi="fa-IR"/>
        </w:rPr>
        <w:t>1407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مقالات الأصول؛ ضياء الدين العراقي؛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المقدسة؛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 محمد بن علي ابن بابويه؛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أكبر غفاري؛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التابعة لجماعة المدرسين بقم؛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مناهج الأحكام في مسائل الحلال والحرام؛ القاسم بن محمد حسن الگيلاني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الميرزا القمّي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دفتر انتشارات اسلامى وابسته به جامعه مدرسين حوزه علميه قم؛ قم المقدسة؛ </w:t>
      </w:r>
      <w:r>
        <w:rPr>
          <w:rFonts w:eastAsia="IRNazanin" w:cs="IRNazanin"/>
          <w:color w:val="111111"/>
          <w:sz w:val="28"/>
          <w:szCs w:val="28"/>
          <w:lang w:bidi="fa-IR"/>
        </w:rPr>
        <w:t>1420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الأولى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منتقى الأصول؛ محمد روحانى؛ تقريرات عبد الصاحب حكيم؛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دفتر آيت الله سيد محمد حسيني روحاني؛ قم المقدسة؛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حسن البجنوردي؛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كتابفروشي بصيرتى؛ قم المقدسة؛ الطبعة الثانية</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منهاج الأصول؛ ضياء الدين العراقي؛ تقريرات محمد ابراهيم الكرباسي؛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البلاغة؛ بيروت؛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منية الطالب في حاشية المكاسب؛ الميرزا محمد حسين الغروي النائيني؛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المحمدية؛ طهران؛ </w:t>
      </w:r>
      <w:r>
        <w:rPr>
          <w:rFonts w:eastAsia="Amiri" w:cs="Amiri" w:ascii="Amiri" w:hAnsi="Amiri"/>
          <w:color w:val="111111"/>
          <w:sz w:val="28"/>
          <w:szCs w:val="28"/>
          <w:lang w:bidi="ar-SA"/>
        </w:rPr>
        <w:t>1373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مهج الدعوات ومنهج العبادات؛ السيد علي بن موسى ابن طاووس؛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حسن الكرماني، والمحرر أبو طالب؛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الذخائر؛ قم المقدسة؛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الأصول؛ حسين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حسين علي منتظري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تفكر؛ طهران؛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الأفكار؛ ضياء الدين العراقي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تقريرات محمد تقي البروجردي النجفي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دفتر انتشارات اسلامي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وابسته به جامعه مدرسين حوزه علميه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قم المقدسة؛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نهاية الدراية في شرح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 قديم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محمد حسين الإصفهاني؛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قم المقدسة؛ </w:t>
      </w:r>
      <w:r>
        <w:rPr>
          <w:rFonts w:eastAsia="Amiri" w:cs="Amiri" w:ascii="Amiri" w:hAnsi="Amiri"/>
          <w:color w:val="111111"/>
          <w:sz w:val="28"/>
          <w:szCs w:val="28"/>
          <w:lang w:bidi="ar-SA"/>
        </w:rPr>
        <w:t>1374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الأولى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نهاية الدراية في شرح الكفاية؛ محمد حسين الإصفهاني؛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آل البيت علیهم السلام لإحياء التراث؛ بيروت؛ </w:t>
      </w:r>
      <w:r>
        <w:rPr>
          <w:rFonts w:eastAsia="IRNazanin" w:cs="IRNazanin"/>
          <w:color w:val="111111"/>
          <w:sz w:val="28"/>
          <w:szCs w:val="28"/>
          <w:lang w:bidi="fa-IR"/>
        </w:rPr>
        <w:t>1429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الثانية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 مبارك بن محمد ابن أثير الجزري؛ المحقق والمصحح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محمد الطناحي؛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إسماعيليان للمطبوعات؛ قم المقدسة؛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الرابعة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الحقّ وكشف الصدق؛ الحسن بن يوسف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العلامة الحلّي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اللبناني؛ بيروت؛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الطبعة الأولى</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الفصاحة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الكلمات القصار للنبي صلى الله عليه وآله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أبو القاسم پاينده؛ 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دانش؛ طهران؛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 الطبعة الرابعة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الكبرى؛ حسين بن حمدان الخصيبي؛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البلاغ؛ بيروت؛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هداية المسترشدين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محمد تقى بن عبد الرحيم اصفهانى نجفى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ايوان كيفي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 إلى غوامض الكفاية؛ محمد حسين مير سجادي؛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محلاتي؛ طهران؛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 الطبعة الأولى</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الوافية في أصول الفقه؛ عبد الله بن محمد توني؛ 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الفكر الإسلامي؛ قم المقدسة؛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 الطبعة الثانية</w:t>
      </w:r>
      <w:r>
        <w:rPr>
          <w:rFonts w:eastAsia="Amiri" w:cs="Amiri" w:ascii="Amiri" w:hAnsi="Amiri"/>
          <w:color w:val="111111"/>
          <w:sz w:val="28"/>
          <w:szCs w:val="28"/>
          <w:rtl w:val="true"/>
          <w:lang w:bidi="ar-SA"/>
        </w:rPr>
        <w:t xml:space="preserve">. </w:t>
      </w:r>
      <w:bookmarkStart w:id="432" w:name="pg15367_181356"/>
    </w:p>
    <w:p>
      <w:pPr>
        <w:pStyle w:val="Heading2"/>
        <w:numPr>
          <w:ilvl w:val="1"/>
          <w:numId w:val="1"/>
        </w:numPr>
        <w:rPr/>
      </w:pPr>
      <w:bookmarkStart w:id="433" w:name="__RefHeading___Toc5900792_2142443653"/>
      <w:bookmarkStart w:id="434" w:name="_Toc161"/>
      <w:bookmarkEnd w:id="432"/>
      <w:bookmarkEnd w:id="433"/>
      <w:r>
        <w:rPr>
          <w:rtl w:val="true"/>
        </w:rPr>
        <w:t>الفهرست</w:t>
      </w:r>
      <w:bookmarkEnd w:id="434"/>
    </w:p>
    <w:p>
      <w:pPr>
        <w:pStyle w:val="BookText"/>
        <w:rPr/>
      </w:pPr>
      <w:r>
        <w:rPr>
          <w:rFonts w:ascii="Amiri" w:hAnsi="Amiri" w:eastAsia="Amiri" w:cs="Amiri"/>
          <w:color w:val="111111"/>
          <w:sz w:val="28"/>
          <w:sz w:val="28"/>
          <w:szCs w:val="28"/>
          <w:rtl w:val="true"/>
          <w:lang w:bidi="ar-SA"/>
        </w:rPr>
        <w:t xml:space="preserve">خاتمة في النسبة بين الأمارات والأصول ونسبة الأصول بعضها مع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تقدم الأمارات على الأصول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ascii="Amiri" w:hAnsi="Amiri" w:eastAsia="Amiri" w:cs="Amiri"/>
          <w:color w:val="111111"/>
          <w:sz w:val="28"/>
          <w:sz w:val="28"/>
          <w:szCs w:val="28"/>
          <w:rtl w:val="true"/>
          <w:lang w:bidi="ar-SA"/>
        </w:rPr>
        <w:t xml:space="preserve">أمور ختامية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تقديم الأصول بعضها على بعض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الأصلين المتوافقين أو المتنافيين ذاتاً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الموردالثاني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بالأصلين العرضيين المتنافيين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بالعرض بين الأصول العملية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بين الأصلين في مرحلة الإمتثال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قواعد 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ascii="Amiri" w:hAnsi="Amiri" w:eastAsia="Amiri" w:cs="Amiri"/>
          <w:color w:val="111111"/>
          <w:sz w:val="28"/>
          <w:sz w:val="28"/>
          <w:szCs w:val="28"/>
          <w:rtl w:val="true"/>
          <w:lang w:bidi="ar-SA"/>
        </w:rPr>
        <w:t xml:space="preserve">قاعدة التجاوز والفراغ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القاعدة من المسائل الأصولية أو القواعد الفقهية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كون هذه القاعدة من الأمارات الحاكمة على الأصول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أنهما قاعدتان أو قاعدة واحدة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 xml:space="preserve">المبحث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الأخبار الواردة في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المبحث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التجاوز والفراغ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الدخول في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المبحث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الدخول في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الدخول في الغير من قاعدة الفراغ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اعتبار الدخول في الغير من قاعدة التجاوز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المبحث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السكوت بعد الفراغ أو في الأثناء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المبحث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جريان قاعدة التجاوز في الوضوء، بل في الطهارات الثلاث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المبحث 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إعتبار إحراز أصل التكليف في الجملة في جريان القاعدتين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المبحث 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المضي وعدم الإعتناء بالشك في القاعدتين على نحو العزيمة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المبحث 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البناء على كونهما من صغريات أصالة عدم السهو والغفلة والنسيان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قاعدة أصالة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الدليل عليها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وجه للبحث في أنها أمارة أو قاعدة أو 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من الصحة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جران أصالة الصحة إحراز عنوان العمل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في مجرى هذه القاعدة بين كونها من العبادات أو غيرها مطلقاً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مجري هذه القاعدة البلوغ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الجهة السابعة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مجرى قاعدة الصحة هو الشك في الغير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الجهة 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حاكمية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الجهةالثامنة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حاكمية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قاعدة اليد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المراد باليد في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اعتبارها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تقدم اليد على الإستصحاب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p>
    <w:p>
      <w:p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سعة وضيق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قاعدة القرعة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الدليل على اعتبارها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مقدار دلالة النصوص على هذه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شروط جريان القاعدة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الجهة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القرعة أمارة أو أصل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الجهة 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المجهول ظاهري أم واقعي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p>
    <w:p>
      <w:pPr>
        <w:pStyle w:val="BookText"/>
        <w:rPr/>
      </w:pPr>
      <w:r>
        <w:rPr>
          <w:rFonts w:ascii="Amiri" w:hAnsi="Amiri" w:eastAsia="Amiri" w:cs="Amiri"/>
          <w:color w:val="111111"/>
          <w:sz w:val="28"/>
          <w:sz w:val="28"/>
          <w:szCs w:val="28"/>
          <w:rtl w:val="true"/>
          <w:lang w:bidi="ar-SA"/>
        </w:rPr>
        <w:t>الجهة 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القرعة رخصة أم عزيمة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كلام في الإستخارة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تنبيهان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المقصد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الأدلة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 xml:space="preserve">تمهيد فيه 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 xml:space="preserve">أنواع تنافي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ascii="IRNazanin" w:hAnsi="IRNazanin" w:eastAsia="IRNazanin"/>
          <w:color w:val="111111"/>
          <w:sz w:val="28"/>
          <w:sz w:val="28"/>
          <w:szCs w:val="28"/>
          <w:rtl w:val="true"/>
          <w:lang w:bidi="fa-IR"/>
        </w:rPr>
        <w:t xml:space="preserve">شروط تحقق التعارض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مناقشة ما ذكره الأصوليون في المقام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أسباب التعارض ومنشؤه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أقسام التعارض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غير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تكاذب فيه بين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نظرية الورود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أحكام الورود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التزاحم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المقام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دخول التزاحم في الورود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حكم المتزاحمين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222</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مرجحات باب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المرجح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تريح المشروط بالقدرة العقلية على المشروط بالقدرة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المرجح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المضيق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المرجح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الأسبق زماناً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p>
    <w:p>
      <w:pPr>
        <w:pStyle w:val="BookText"/>
        <w:rPr/>
      </w:pPr>
      <w:r>
        <w:rPr>
          <w:rFonts w:ascii="Amiri" w:hAnsi="Amiri" w:eastAsia="Amiri" w:cs="Amiri"/>
          <w:color w:val="111111"/>
          <w:sz w:val="28"/>
          <w:sz w:val="28"/>
          <w:szCs w:val="28"/>
          <w:rtl w:val="true"/>
          <w:lang w:bidi="ar-SA"/>
        </w:rPr>
        <w:t>المرجح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الواجب المعين على الواجب المخيّر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المرجح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ترجيح ما ليس له بدل على ما له بدل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المرجح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الفروض المتصورة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 إثبات الأهمية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w:t>
      </w:r>
    </w:p>
    <w:p>
      <w:pPr>
        <w:pStyle w:val="BookText"/>
        <w:rPr/>
      </w:pPr>
      <w:r>
        <w:rPr>
          <w:rFonts w:ascii="Amiri" w:hAnsi="Amiri" w:eastAsia="Amiri" w:cs="Amiri"/>
          <w:color w:val="111111"/>
          <w:sz w:val="28"/>
          <w:sz w:val="28"/>
          <w:szCs w:val="28"/>
          <w:rtl w:val="true"/>
          <w:lang w:bidi="ar-SA"/>
        </w:rPr>
        <w:t>الجهة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سريان الترجيح بالأهمية إلى المشروطين بالقدرة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حكم التزاحم في حالة عدم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تنبيهات باب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الموارد الخارجة عن باب التزاحم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 xml:space="preserve">التزاحم بين المستحبات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 xml:space="preserve">القرينة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الحكومة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 والظاهر والأظهر </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p>
    <w:p>
      <w:pPr>
        <w:pStyle w:val="BookText"/>
        <w:rPr/>
      </w:pPr>
      <w:r>
        <w:rPr>
          <w:rFonts w:ascii="Amiri" w:hAnsi="Amiri" w:eastAsia="Amiri" w:cs="Amiri"/>
          <w:color w:val="111111"/>
          <w:sz w:val="28"/>
          <w:sz w:val="28"/>
          <w:szCs w:val="28"/>
          <w:rtl w:val="true"/>
          <w:lang w:bidi="ar-SA"/>
        </w:rPr>
        <w:t xml:space="preserve">ختام فيه أمران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 xml:space="preserve">الشروط العامة للتعارض غير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 xml:space="preserve">ثمرات الجمع العرفي ونتائجه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التعارض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الأمر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تحصيل الأدلة الشرعية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استيعاب التعارض لمدلول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البحث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تنقيح الموضوع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عن أحكام التعارض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الأولي في التعارض بين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الجهة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الأولي في التعارض بين الدليلين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أقسام التنافي العرضي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333</w:t>
      </w:r>
    </w:p>
    <w:p>
      <w:pPr>
        <w:pStyle w:val="BookText"/>
        <w:rPr/>
      </w:pPr>
      <w:r>
        <w:rPr>
          <w:rFonts w:ascii="Amiri" w:hAnsi="Amiri" w:eastAsia="Amiri" w:cs="Amiri"/>
          <w:color w:val="111111"/>
          <w:sz w:val="28"/>
          <w:sz w:val="28"/>
          <w:szCs w:val="28"/>
          <w:rtl w:val="true"/>
          <w:lang w:bidi="ar-SA"/>
        </w:rPr>
        <w:t>الأمر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إمكان نفي الحكم المخالف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التعارض بين أكثر من دليلين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مقتضى الأصل الثانوي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p>
    <w:p>
      <w:pPr>
        <w:pStyle w:val="BookText"/>
        <w:rPr/>
      </w:pPr>
      <w:r>
        <w:rPr>
          <w:rFonts w:ascii="Amiri" w:hAnsi="Amiri" w:eastAsia="Amiri" w:cs="Amiri"/>
          <w:color w:val="111111"/>
          <w:sz w:val="28"/>
          <w:sz w:val="28"/>
          <w:szCs w:val="28"/>
          <w:rtl w:val="true"/>
          <w:lang w:bidi="ar-SA"/>
        </w:rPr>
        <w:t xml:space="preserve">ختام في موارد اشتباه التعارض المستقر وغير المستقر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المورد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الدلالة الوضعية كالعموم مع دلالة حكمية كالإطلاق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المورد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الإطلاق الشمولي والإطلاق البدلي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p>
    <w:p>
      <w:pPr>
        <w:pStyle w:val="BookText"/>
        <w:rPr/>
      </w:pPr>
      <w:r>
        <w:rPr>
          <w:rFonts w:ascii="Amiri" w:hAnsi="Amiri" w:eastAsia="Amiri" w:cs="Amiri"/>
          <w:color w:val="111111"/>
          <w:sz w:val="28"/>
          <w:sz w:val="28"/>
          <w:szCs w:val="28"/>
          <w:rtl w:val="true"/>
          <w:lang w:bidi="ar-SA"/>
        </w:rPr>
        <w:t>المورد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انقلاب النسبة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المورد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النسبة من العموم من وجه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ascii="Amiri" w:hAnsi="Amiri" w:eastAsia="Amiri" w:cs="Amiri"/>
          <w:color w:val="111111"/>
          <w:sz w:val="28"/>
          <w:sz w:val="28"/>
          <w:szCs w:val="28"/>
          <w:rtl w:val="true"/>
          <w:lang w:bidi="ar-SA"/>
        </w:rPr>
        <w:t xml:space="preserve">موارد أخرى في موارد متفرقة وعديدة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المتعارضين من جهة الأخبار 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القسم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أخبار الطرح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IRNazanin" w:hAnsi="IRNazanin" w:eastAsia="IRNazanin"/>
          <w:color w:val="111111"/>
          <w:sz w:val="28"/>
          <w:sz w:val="28"/>
          <w:szCs w:val="28"/>
          <w:rtl w:val="true"/>
          <w:lang w:bidi="fa-IR"/>
        </w:rPr>
        <w:t>الطائفة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بلسان استنكار صدور ما يخالف الكتاب من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يدل على إناطة العمل بالرواية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يكون مفاده نفي حجية ما يخالف الكتاب الكريم أو السنة القطعية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الطائفة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التخيير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p>
    <w:p>
      <w:pPr>
        <w:pStyle w:val="BookText"/>
        <w:rPr/>
      </w:pPr>
      <w:r>
        <w:rPr>
          <w:rFonts w:ascii="Amiri" w:hAnsi="Amiri" w:eastAsia="Amiri" w:cs="Amiri"/>
          <w:color w:val="111111"/>
          <w:sz w:val="28"/>
          <w:sz w:val="28"/>
          <w:szCs w:val="28"/>
          <w:rtl w:val="true"/>
          <w:lang w:bidi="ar-SA"/>
        </w:rPr>
        <w:t>الطائفة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الترجيح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بموافقة الكتاب ومخالفة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الترجيح بالشهرة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الصنف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الترجيح بالأحدث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435</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ختام </w:t>
      </w:r>
      <w:r>
        <w:rPr>
          <w:rFonts w:eastAsia="IRNazanin" w:cs="IRNazanin"/>
          <w:color w:val="111111"/>
          <w:sz w:val="28"/>
          <w:szCs w:val="28"/>
          <w:rtl w:val="true"/>
          <w:lang w:bidi="fa-IR"/>
        </w:rPr>
        <w:t xml:space="preserve">.......................................................................... </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الترجيح بالصفات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أمور ختامية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الطائفة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التوقف والإرجاء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ascii="IRNazanin" w:hAnsi="IRNazanin" w:eastAsia="IRNazanin"/>
          <w:color w:val="111111"/>
          <w:sz w:val="28"/>
          <w:sz w:val="28"/>
          <w:szCs w:val="28"/>
          <w:rtl w:val="true"/>
          <w:lang w:bidi="fa-IR"/>
        </w:rPr>
        <w:t>الصنف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بلسان الأمر بالردّ إلى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465</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التي وردت بلسان الأمر بالوقوف عند الشبهة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خاتمة؛ وفيها تنبيهات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التنبيه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التعدّي في المزايا المنصوصة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التنبيه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المتعارضين بعد التكافؤ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التنبيه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أخبار العلاج لموارد الجمع العرفي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التنبيه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شمول أخبار العلاج لموارد التعارض بالعموم من 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484</w:t>
      </w:r>
    </w:p>
    <w:p>
      <w:pPr>
        <w:pStyle w:val="BookText"/>
        <w:rPr/>
      </w:pPr>
      <w:r>
        <w:rPr>
          <w:rFonts w:ascii="Amiri" w:hAnsi="Amiri" w:eastAsia="Amiri" w:cs="Amiri"/>
          <w:color w:val="111111"/>
          <w:sz w:val="28"/>
          <w:sz w:val="28"/>
          <w:szCs w:val="28"/>
          <w:rtl w:val="true"/>
          <w:lang w:bidi="ar-SA"/>
        </w:rPr>
        <w:t>التنبيه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الترجيح بالمرجّحات السندية على المرجّح الجهتي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488</w:t>
      </w:r>
    </w:p>
    <w:p>
      <w:pPr>
        <w:pStyle w:val="BookText"/>
        <w:rPr/>
      </w:pPr>
      <w:r>
        <w:rPr>
          <w:rFonts w:ascii="Amiri" w:hAnsi="Amiri" w:eastAsia="Amiri" w:cs="Amiri"/>
          <w:color w:val="111111"/>
          <w:sz w:val="28"/>
          <w:sz w:val="28"/>
          <w:szCs w:val="28"/>
          <w:rtl w:val="true"/>
          <w:lang w:bidi="ar-SA"/>
        </w:rPr>
        <w:t>التنبيه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أخبار الطرح وأخبار العلاج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492</w:t>
      </w:r>
    </w:p>
    <w:p>
      <w:pPr>
        <w:pStyle w:val="BookText"/>
        <w:rPr/>
      </w:pPr>
      <w:r>
        <w:rPr>
          <w:rFonts w:ascii="Amiri" w:hAnsi="Amiri" w:eastAsia="Amiri" w:cs="Amiri"/>
          <w:color w:val="111111"/>
          <w:sz w:val="28"/>
          <w:sz w:val="28"/>
          <w:szCs w:val="28"/>
          <w:rtl w:val="true"/>
          <w:lang w:bidi="ar-SA"/>
        </w:rPr>
        <w:t>التنبيه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تخريج الترجيحات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التنبيه 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موارد تحصيل الوثوق بالصدور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495</w:t>
      </w:r>
    </w:p>
    <w:p>
      <w:pPr>
        <w:pStyle w:val="BookText"/>
        <w:rPr/>
      </w:pPr>
      <w:r>
        <w:rPr>
          <w:rFonts w:ascii="IRNazanin" w:hAnsi="IRNazanin" w:eastAsia="IRNazanin"/>
          <w:color w:val="111111"/>
          <w:sz w:val="28"/>
          <w:sz w:val="28"/>
          <w:szCs w:val="28"/>
          <w:rtl w:val="true"/>
          <w:lang w:bidi="fa-IR"/>
        </w:rPr>
        <w:t xml:space="preserve">أسس وقواعد علم الرجال </w:t>
      </w:r>
      <w:r>
        <w:rPr>
          <w:rFonts w:eastAsia="IRNazanin" w:cs="IRNazanin"/>
          <w:color w:val="111111"/>
          <w:sz w:val="28"/>
          <w:szCs w:val="28"/>
          <w:rtl w:val="true"/>
          <w:lang w:bidi="fa-IR"/>
        </w:rPr>
        <w:t xml:space="preserve">.................................................... </w:t>
      </w:r>
      <w:r>
        <w:rPr>
          <w:rFonts w:eastAsia="IRNazanin" w:cs="IRNazanin"/>
          <w:color w:val="111111"/>
          <w:sz w:val="28"/>
          <w:szCs w:val="28"/>
          <w:lang w:bidi="fa-IR"/>
        </w:rPr>
        <w:t>497</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الفهرست </w:t>
      </w:r>
      <w:r>
        <w:rPr>
          <w:rFonts w:eastAsia="IRNazanin" w:cs="IRNazanin"/>
          <w:color w:val="111111"/>
          <w:sz w:val="28"/>
          <w:szCs w:val="28"/>
          <w:rtl w:val="true"/>
          <w:lang w:bidi="fa-IR"/>
        </w:rPr>
        <w:t xml:space="preserve">.....................................................................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4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والمعبّر عنه بالقرينية</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الحق وکشف الصدق؛ 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الورود الإدّعائي</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وسورة الأنبياء؛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القسم الثاني من الجزء الرابع،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الاصول؛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الصادق علیه السلام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الفراغ العرفي البنائي، أي النحو الثالث</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التماس الإطلاق في الدليل</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موانع التمسك بالإطلاق أو العموم بعد ثبوت المقتضي</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النمل؛ الآية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سنبحثه في الجهة الثالثة من الكلام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فيما يعتبر فيه الموالاة كالتسليم في الصلاة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لا يعتبر فيه الموالاة كالغسل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الرواية ما جاء عن أَبِي عَبْدِ 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جَدَّدَ وُضُوءَهُ لِغَيْرِ حَدَثٍ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بعض النسخ؛ 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جَدَّدَ اللَّهُ تَوْبَتَهُ مِنْ غَيْرِ اسْتِغْفَارٍ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فِي الْفَقِيهِ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وَزَادَ هذه العبارة في حَدِيثٍ آخَرَ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الآية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الآية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حاشية فرائد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الفوائد المرتضوية على الرسائل المرتضوية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قواعد الأحكام؛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تذكرة الفقهاء؛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دراسات في علم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الحكمة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المسلمين</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شهوداً</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الحاشية على فوائد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للعراقي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النحل؛ الآيات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عوائد الأيام؛ عائدة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بيان القرعة وشرعيتها؛ ص</w:t>
      </w:r>
      <w:r>
        <w:rPr>
          <w:rFonts w:eastAsia="IRNazanin" w:cs="IRNazanin"/>
          <w:b w:val="false"/>
          <w:bCs w:val="false"/>
          <w:i w:val="false"/>
          <w:iCs w:val="false"/>
          <w:color w:val="333333"/>
          <w:sz w:val="20"/>
          <w:szCs w:val="20"/>
        </w:rPr>
        <w:t>640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دعائم الإسلام؛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للبرقي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تمهيد القواعد؛ ص</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سفينة البحار؛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الأفكار؛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الآية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مستمسك العروة الوثقى؛ ج</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الصافات؛ الآية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وذلك كما في الإستخارة أقوالهم علیه السلام ما خاب من استخار، يوجب الإطمئنان بإصابتها للواقع، ولذلك نُقل لي عن بعض الأعاظم قدس سره أنّ الإستخارة من أقوى الأمارات وأقوى الحجج على إثبات الصانع؛ لأنّه لو لم يكن صانع كان أيّ ارتباط بين عدد الزوج أو الفرد، وبين ما فيه المصلحة والمفسدة؟ ولكن الله تعالى شأنه هو الذي يجعل ما فيه المصلحة أو المفسدة زوجاً أو فرداً بعد تفويض الأمر إليه تعالى، وكذلك الأمر في القرعة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القواعد الفقهية؛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الكشّاف؛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وتفصیلها على ما رواه الصدوق بإسناده عن الإمام الباقر علیه 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سبْعَةٌ لَهَا أَنْصِبَاءُ وثَلَاثَةٌ لَا أَنْصِبَاءَ لَهَا فَالَّتِي لَهَا أَنْصِبَاءُ الْفَذُّ وَالتَّوْأَمُ والْمُسْبِلُ وَالنَّافِسُ وَالْحِلْسُ وَالرَّقِيبُ وَالْمُعَلَّى وَالْفَذُّ لَهُ سَهْمٌ وَالتَّوْأَمُ لَهُ سَهْمَانِ وَالْمُسْبِلُ لَهُ ثَلَاثَةُ أَسْهُمٍ وَالنَّافِسُ لَهُ أَرْبَعَةُ أَسْهُمٍ وَالْحِلْسُ لَهُ خَمْسَةُ أَسْهُمٍ وَالرَّقِيبُ لَهُ سِتَّةُ أَسْهُمٍ وَالْمُعَلَّى لَهُ سَبْعَةُ أَسْهُمٍ وَالَّتِي لَا أَنْصِبَاءَ لَهَا السَّفِيحُ والْمَنِيحُ وَالْوَغْدُ وَثَمَنُ الْجَزُورِ عَلَى مَنْ لَا يُخْرِجُ لَهُ مِنَ الْأَنْصِبَاءِ شَيْ‌ء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الخصال؛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البيان في تفسير القرآن؛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زبدة البيان؛ ص</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الفقيه؛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الآية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الأحكام؛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700</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وحدة الحمل؛ التي أضيفت كوحدة تاسعة</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البحث من ناحية القواعد ومقتضى إطلاق دليل الخطابين المتزاحمين</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هذا النص كرواية، وإنما هو قول مشهور يذكره الأعلام كمقدمة ترغيبية في كتاب الصلاة؛ كما ذكره في الفقه الرضوي؛ ص</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والصدوق في الأمالي؛ ص</w:t>
      </w:r>
      <w:r>
        <w:rPr>
          <w:rFonts w:eastAsia="IRNazanin" w:cs="IRNazanin"/>
          <w:b w:val="false"/>
          <w:bCs w:val="false"/>
          <w:i w:val="false"/>
          <w:iCs w:val="false"/>
          <w:color w:val="333333"/>
          <w:sz w:val="20"/>
          <w:szCs w:val="20"/>
        </w:rPr>
        <w:t>641</w:t>
      </w:r>
      <w:r>
        <w:rPr>
          <w:rFonts w:ascii="IRNazanin" w:hAnsi="IRNazanin" w:eastAsia="IRNazanin"/>
          <w:b w:val="false"/>
          <w:b w:val="false"/>
          <w:bCs w:val="false"/>
          <w:i w:val="false"/>
          <w:i w:val="false"/>
          <w:iCs w:val="false"/>
          <w:color w:val="333333"/>
          <w:sz w:val="20"/>
          <w:sz w:val="20"/>
          <w:szCs w:val="20"/>
          <w:rtl w:val="true"/>
        </w:rPr>
        <w:t>، والمقنع؛ ص</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نسبها في فلاح السائل؛ ص</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الصدوق في من لايحضره الفقيه بإسناده إلى النبي صلی الله علیه و آله و سلم ، ولم نجده فيه</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المقصود هو ما رُوي عَنْ مُعَاوِيَةَ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خَمْسُ صَلَوَاتٍ لَا تُتْرَكُ عَلَى كُلِ حَالٍ؛ إِذَا طُفْتَ بِالْبَيْتِ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أَرَدْتَ أَنْ تُحْرِمَ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الْكُسُوفِ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نَسِيتَ فَصَلِّ إِذَا ذَكَرْتَ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وصَلَاةُ الْجِنَازَةِ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ذكره تلميذه في محاضرات في أصول الفقه؛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المقاصد؛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نصب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إمّا مصدر أو فعل مجهول، وقراءتها على المعلوم بحذف الفاعل أو المفعول بعيد، وإنَّما نصب الله الحق والدين بإرسال الرسل وإنزال الكتب ليطاع في أوامره ونواهيه</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تحف العقول؛ ص</w:t>
      </w:r>
      <w:r>
        <w:rPr>
          <w:rFonts w:eastAsia="IRNazanin" w:cs="IRNazanin"/>
          <w:b w:val="false"/>
          <w:bCs w:val="false"/>
          <w:i w:val="false"/>
          <w:iCs w:val="false"/>
          <w:color w:val="333333"/>
          <w:sz w:val="20"/>
          <w:szCs w:val="20"/>
        </w:rPr>
        <w:t>174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السيد الوالد قدس سره في 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الرأي منسوب إلى الشيخ الأنصاري كما حكاه في 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ويمكن القول أنّ ذلك يظهر أيضاً من كلمات المحقق الخراساني في الكفاية؛ ص</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وأوضحُ منه في حاشية المشكيني؛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 تفصيل الكلام مع منابع الآراء حول هذا الموضوع في الجزء الرابع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أقسام السببية، فراجع</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ويدل عليه مجموعة من الروايات، منها؛ ما ورد عَنْ أَبِي جَعْفَرٍ الْبَاقِرِ علیه السلام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قَالَ جَدِّي رَسُولُ اللَّهِ صلی الله علیه و آله و 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 حَلَالِي حَلَالٌ إِلَى يَوْمِ الْقِيَامَةِ وَحَرَامِي حَرَامٌ إِلَى يَوْمِ الْقِيَامَة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وهي التي ذهب إليها بعض العدلية</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والرأي السديد؛ ص</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وفقه الشيعة؛ ص</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التعارض؛ ص</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وسيأتي بيان القسم الأول بعده إنْ شاء الله</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الآية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فروض الناحية الأولى</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جهتي الأمر الثاني؛ وإنما تأخرت إلى ما بعد الأمر الثالث والرابع لدخولهما في الجهة الأولى</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731</w:t>
      </w:r>
      <w:r>
        <w:rPr>
          <w:rFonts w:ascii="IRNazanin" w:hAnsi="IRNazanin" w:eastAsia="IRNazanin"/>
          <w:b w:val="false"/>
          <w:b w:val="false"/>
          <w:bCs w:val="false"/>
          <w:i w:val="false"/>
          <w:i w:val="false"/>
          <w:iCs w:val="false"/>
          <w:color w:val="333333"/>
          <w:sz w:val="20"/>
          <w:sz w:val="20"/>
          <w:szCs w:val="20"/>
          <w:rtl w:val="true"/>
        </w:rPr>
        <w:t>، وأجود التقريرات؛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مطارح الأنظار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أجود التقريرات؛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فوائد الأصول؛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والطبعة الحديثة؛ ص</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العائدة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ص</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عوائد الأيام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والطبعة الحديثة؛ ص</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العائدة رقم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مختصر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اسلامبول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1310</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الفصول المهمة؛ ص</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الحكمة</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الآية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نشر آثار السيد الخوئي</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الآية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النور؛ الآية</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الداوري</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الوسائل؛ ص</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الأصول؛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الأولى، والدرر النجفية؛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منتجب الدين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الشيخ الإمام قطب الدين أبوالحسين سعد بن هبة الله بن الحسن الراوندي؛ فقيه عين صالح ثقة له، تصانيف منها المغني في شرح النهاية عشر مجلدات، خلاصة التفاسير عشر مجلدات، منهاج البراعة في شرح نهج البلاغة مجلدان، تفسير القرآن مجلدان، الرائع في الشرائع مجلدان، المستقصي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جامع الرواة المستصغر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شرح الذريعة ثلاث مجلدات، ضياء الشهاب في شرح الشهاب مجلدان، حلّ العقد من الجمل والعقود، الإيجاز في شرح الإيجاز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نسخة إجازات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النهاية غريب النهاية، إحكام الأحكام، بيان الإنفرادات، شرح ما يجوز وما لا يجوز، التغريب في التعريب، الأغراب في الإعراب، زهرة المباحثة وثمر المنافثة، تهافت الفلاسفة، جواهر الكلام في شرح مقدمة الكلام، كتاب النيات في جميع العبادات، نفثة المصدور وهي منظومة، الخرائج والجرائح في المعجزات، شرح الآيات المشكلة في التنزيه، شرح الكلمات المائة لأمير المؤمنين علیه السلام ، شرح العوامل المائة، شجار العصابة في غسل الجنابة، المسألة الكافية في الغسلة الثانية، مسألة في العقيقة، مسألة في صلاة الآيات، مسألة في الخمس، مسألة أخرى في الخمس، مسألة في من حضره الأداء وعليه القضاء، فقه القرآن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الفهرست؛ ص</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رقم الترجمة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ذلك بنحو الإشارة؛ ص</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أمل الآمل؛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الجوري؛ على قول بعض</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عيون أخبار الرضا علیه السلام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طبعة مؤسسة الأعلمي، بيروت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حيث نقل من بعض النسخ الخطية العتيقة القديمة للصدوق قوله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حدثنا السيد الإمام الزاهد أبو البركات الجوري </w:t>
      </w:r>
      <w:r>
        <w:rPr>
          <w:rFonts w:eastAsia="IRNazanin" w:cs="IRNazanin"/>
          <w:b w:val="false"/>
          <w:bCs w:val="false"/>
          <w:i w:val="false"/>
          <w:iCs w:val="false"/>
          <w:color w:val="333333"/>
          <w:sz w:val="20"/>
          <w:szCs w:val="20"/>
        </w:rPr>
        <w:t>0</w:t>
      </w:r>
      <w:r>
        <w:rPr>
          <w:rFonts w:ascii="IRNazanin" w:hAnsi="IRNazanin" w:eastAsia="IRNazanin"/>
          <w:b w:val="false"/>
          <w:b w:val="false"/>
          <w:bCs w:val="false"/>
          <w:i w:val="false"/>
          <w:i w:val="false"/>
          <w:iCs w:val="false"/>
          <w:color w:val="333333"/>
          <w:sz w:val="20"/>
          <w:sz w:val="20"/>
          <w:szCs w:val="20"/>
          <w:rtl w:val="true"/>
        </w:rPr>
        <w:t>، وفي خاتمة المستدرك؛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رياض العلماء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رأيت في صدر إسناد بعض النسخ العتيقة من كتاب عيون أخبار الرضا علیه السلام للصدوق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السيد الإمام الزاهد أبو البركات الخوزي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البحار؛ الحسن</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بأحدهما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ما سمعت</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أحاديث الشيعة؛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بيان الأصول؛ ج</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ليس يتفاضل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هامش المخطوط</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روايتهم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المصنّف في الهامش عن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كان المفتيين غَبِيَ عليهما معرفة حكمه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نهاية الدراية؛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جواهر الكلام؛ ج</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تعلموه</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مناهج الأصول؛ ص</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الوافية؛ ص</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 الأولى، والدرر النجفية؛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بدائع الأفكار؛ ص</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عيون الحكم والمواعظ؛ الحكمة</w:t>
      </w:r>
      <w:r>
        <w:rPr>
          <w:rFonts w:eastAsia="IRNazanin" w:cs="IRNazanin"/>
          <w:b w:val="false"/>
          <w:bCs w:val="false"/>
          <w:i w:val="false"/>
          <w:iCs w:val="false"/>
          <w:color w:val="333333"/>
          <w:sz w:val="20"/>
          <w:szCs w:val="20"/>
        </w:rPr>
        <w:t>4655</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الحدائق الناضرة؛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أوثق الوسائل في شرح الرسائل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610</w:t>
      </w:r>
      <w:r>
        <w:rPr>
          <w:rFonts w:ascii="IRNazanin" w:hAnsi="IRNazanin" w:eastAsia="IRNazanin"/>
          <w:b w:val="false"/>
          <w:b w:val="false"/>
          <w:bCs w:val="false"/>
          <w:i w:val="false"/>
          <w:i w:val="false"/>
          <w:iCs w:val="false"/>
          <w:color w:val="333333"/>
          <w:sz w:val="20"/>
          <w:sz w:val="20"/>
          <w:szCs w:val="20"/>
          <w:rtl w:val="true"/>
        </w:rPr>
        <w:t>، فرائد الأصول ؛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الكافي؛ ج</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 ص</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عوالي اللئالي؛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نقله في مصباح الأصول؛ 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مباني الإستنباط؛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منهم الشيخ الأعظم قدس سره في فرائد الأصول؛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في علم الأصول؛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 ص</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تهذيب الأصول؛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قوانين الأصول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قديم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القوانين المحكمة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طبع جديد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يؤديه</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ونحمله</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الأصول؛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 ص</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 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البيت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توحيد المفضّل؛ ص</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الإسلامية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image" Target="media/image2.jpeg"/><Relationship Id="rId544" Type="http://schemas.openxmlformats.org/officeDocument/2006/relationships/image" Target="media/image2.jpeg"/><Relationship Id="rId545" Type="http://schemas.openxmlformats.org/officeDocument/2006/relationships/footer" Target="footer538.xml"/><Relationship Id="rId546" Type="http://schemas.openxmlformats.org/officeDocument/2006/relationships/footnotes" Target="footnotes.xml"/><Relationship Id="rId547" Type="http://schemas.openxmlformats.org/officeDocument/2006/relationships/numbering" Target="numbering.xml"/><Relationship Id="rId548" Type="http://schemas.openxmlformats.org/officeDocument/2006/relationships/fontTable" Target="fontTable.xml"/><Relationship Id="rId549" Type="http://schemas.openxmlformats.org/officeDocument/2006/relationships/settings" Target="settings.xml"/><Relationship Id="rId55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544</Pages>
  <Words>124005</Words>
  <Characters>571826</Characters>
  <CharactersWithSpaces>693117</CharactersWithSpaces>
  <Paragraphs>3241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2026-08-24T23:39:20Z</dcterms:created>
  <dc:creator>ghaemiyeh.com</dc:creator>
  <dc:description/>
  <dc:language>en-US</dc:language>
  <cp:lastModifiedBy/>
  <dcterms:modified xsi:type="dcterms:W3CDTF">2026-08-25T03:09:34Z</dcterms:modified>
  <cp:revision>1</cp:revision>
  <dc:subject/>
  <dc:title>تقرِیب تهذیب الأصول جلد 7</dc:title>
</cp:coreProperties>
</file>

<file path=docProps/custom.xml><?xml version="1.0" encoding="utf-8"?>
<Properties xmlns="http://schemas.openxmlformats.org/officeDocument/2006/custom-properties" xmlns:vt="http://schemas.openxmlformats.org/officeDocument/2006/docPropsVTypes"/>
</file>