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15</w:t>
      </w:r>
      <w:r>
        <w:rPr>
          <w:rtl w:val="true"/>
        </w:rPr>
        <w:t xml:space="preserve"> </w:t>
      </w:r>
      <w:r>
        <w:rPr>
          <w:rtl w:val="true"/>
        </w:rPr>
        <w:t xml:space="preserve">إلى </w:t>
      </w:r>
      <w:r>
        <w:rPr/>
        <w:t>19</w:t>
      </w:r>
      <w:r>
        <w:rPr>
          <w:rtl w:val="true"/>
        </w:rPr>
        <w:t xml:space="preserve"> </w:t>
      </w:r>
      <w:r>
        <w:rPr>
          <w:rtl w:val="true"/>
        </w:rPr>
        <w:t xml:space="preserve">کتاب البیع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4291_2142443653">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974293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974295_2142443653">
            <w:r>
              <w:rPr>
                <w:webHidden/>
                <w:rStyle w:val="IndexLink"/>
                <w:rtl w:val="true"/>
              </w:rPr>
              <w:t>القول في شرائط العوضين</w:t>
            </w:r>
            <w:r>
              <w:rPr>
                <w:rStyle w:val="IndexLink"/>
                <w:rtl w:val="true"/>
              </w:rPr>
              <w:tab/>
            </w:r>
            <w:r>
              <w:rPr>
                <w:rStyle w:val="IndexLink"/>
              </w:rPr>
              <w:t>13</w:t>
            </w:r>
          </w:hyperlink>
        </w:p>
        <w:p>
          <w:pPr>
            <w:pStyle w:val="Contents3"/>
            <w:tabs>
              <w:tab w:val="clear" w:pos="8459"/>
              <w:tab w:val="right" w:pos="9026" w:leader="dot"/>
            </w:tabs>
            <w:rPr/>
          </w:pPr>
          <w:hyperlink w:anchor="__RefHeading___Toc2974297_2142443653">
            <w:r>
              <w:rPr>
                <w:webHidden/>
                <w:rStyle w:val="IndexLink"/>
                <w:rtl w:val="true"/>
              </w:rPr>
              <w:t>الشرط الأوّل</w:t>
            </w:r>
            <w:r>
              <w:rPr>
                <w:rStyle w:val="IndexLink"/>
                <w:rtl w:val="true"/>
              </w:rPr>
              <w:t xml:space="preserve">: </w:t>
            </w:r>
            <w:r>
              <w:rPr>
                <w:rStyle w:val="IndexLink"/>
                <w:rtl w:val="true"/>
              </w:rPr>
              <w:t>المالية والملكية في العوضين</w:t>
            </w:r>
            <w:r>
              <w:rPr>
                <w:rStyle w:val="IndexLink"/>
                <w:rtl w:val="true"/>
              </w:rPr>
              <w:tab/>
            </w:r>
            <w:r>
              <w:rPr>
                <w:rStyle w:val="IndexLink"/>
              </w:rPr>
              <w:t>13</w:t>
            </w:r>
          </w:hyperlink>
        </w:p>
        <w:p>
          <w:pPr>
            <w:pStyle w:val="Contents4"/>
            <w:tabs>
              <w:tab w:val="clear" w:pos="8176"/>
              <w:tab w:val="right" w:pos="9026" w:leader="dot"/>
            </w:tabs>
            <w:rPr/>
          </w:pPr>
          <w:hyperlink w:anchor="__RefHeading___Toc2974299_2142443653">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974301_2142443653">
            <w:r>
              <w:rPr>
                <w:webHidden/>
                <w:rStyle w:val="IndexLink"/>
                <w:rtl w:val="true"/>
              </w:rPr>
              <w:t>اعتبار المالية والملكية في العوضين</w:t>
            </w:r>
            <w:r>
              <w:rPr>
                <w:rStyle w:val="IndexLink"/>
                <w:rtl w:val="true"/>
              </w:rPr>
              <w:tab/>
            </w:r>
            <w:r>
              <w:rPr>
                <w:rStyle w:val="IndexLink"/>
              </w:rPr>
              <w:t>15</w:t>
            </w:r>
          </w:hyperlink>
        </w:p>
        <w:p>
          <w:pPr>
            <w:pStyle w:val="Contents4"/>
            <w:tabs>
              <w:tab w:val="clear" w:pos="8176"/>
              <w:tab w:val="right" w:pos="9026" w:leader="dot"/>
            </w:tabs>
            <w:rPr/>
          </w:pPr>
          <w:hyperlink w:anchor="__RefHeading___Toc2974303_2142443653">
            <w:r>
              <w:rPr>
                <w:webHidden/>
                <w:rStyle w:val="IndexLink"/>
                <w:rtl w:val="true"/>
              </w:rPr>
              <w:t>حول اشتراط المالية</w:t>
            </w:r>
            <w:r>
              <w:rPr>
                <w:rStyle w:val="IndexLink"/>
                <w:rtl w:val="true"/>
              </w:rPr>
              <w:tab/>
            </w:r>
            <w:r>
              <w:rPr>
                <w:rStyle w:val="IndexLink"/>
              </w:rPr>
              <w:t>15</w:t>
            </w:r>
          </w:hyperlink>
        </w:p>
        <w:p>
          <w:pPr>
            <w:pStyle w:val="Contents4"/>
            <w:tabs>
              <w:tab w:val="clear" w:pos="8176"/>
              <w:tab w:val="right" w:pos="9026" w:leader="dot"/>
            </w:tabs>
            <w:rPr/>
          </w:pPr>
          <w:hyperlink w:anchor="__RefHeading___Toc2974305_2142443653">
            <w:r>
              <w:rPr>
                <w:webHidden/>
                <w:rStyle w:val="IndexLink"/>
                <w:rtl w:val="true"/>
              </w:rPr>
              <w:t>حكم الشكّ في مالية أحد العوضين</w:t>
            </w:r>
            <w:r>
              <w:rPr>
                <w:rStyle w:val="IndexLink"/>
                <w:rtl w:val="true"/>
              </w:rPr>
              <w:tab/>
            </w:r>
            <w:r>
              <w:rPr>
                <w:rStyle w:val="IndexLink"/>
              </w:rPr>
              <w:t>16</w:t>
            </w:r>
          </w:hyperlink>
        </w:p>
        <w:p>
          <w:pPr>
            <w:pStyle w:val="Contents4"/>
            <w:tabs>
              <w:tab w:val="clear" w:pos="8176"/>
              <w:tab w:val="right" w:pos="9026" w:leader="dot"/>
            </w:tabs>
            <w:rPr/>
          </w:pPr>
          <w:hyperlink w:anchor="__RefHeading___Toc2974307_2142443653">
            <w:r>
              <w:rPr>
                <w:webHidden/>
                <w:rStyle w:val="IndexLink"/>
                <w:rtl w:val="true"/>
              </w:rPr>
              <w:t>كفاية المالية العرفية</w:t>
            </w:r>
            <w:r>
              <w:rPr>
                <w:rStyle w:val="IndexLink"/>
                <w:rtl w:val="true"/>
              </w:rPr>
              <w:tab/>
            </w:r>
            <w:r>
              <w:rPr>
                <w:rStyle w:val="IndexLink"/>
              </w:rPr>
              <w:t>18</w:t>
            </w:r>
          </w:hyperlink>
        </w:p>
        <w:p>
          <w:pPr>
            <w:pStyle w:val="Contents4"/>
            <w:tabs>
              <w:tab w:val="clear" w:pos="8176"/>
              <w:tab w:val="right" w:pos="9026" w:leader="dot"/>
            </w:tabs>
            <w:rPr/>
          </w:pPr>
          <w:hyperlink w:anchor="__RefHeading___Toc2974309_2142443653">
            <w:r>
              <w:rPr>
                <w:webHidden/>
                <w:rStyle w:val="IndexLink"/>
                <w:rtl w:val="true"/>
              </w:rPr>
              <w:t>النسبة بين المال والملك</w:t>
            </w:r>
            <w:r>
              <w:rPr>
                <w:rStyle w:val="IndexLink"/>
                <w:rtl w:val="true"/>
              </w:rPr>
              <w:tab/>
            </w:r>
            <w:r>
              <w:rPr>
                <w:rStyle w:val="IndexLink"/>
              </w:rPr>
              <w:t>19</w:t>
            </w:r>
          </w:hyperlink>
        </w:p>
        <w:p>
          <w:pPr>
            <w:pStyle w:val="Contents4"/>
            <w:tabs>
              <w:tab w:val="clear" w:pos="8176"/>
              <w:tab w:val="right" w:pos="9026" w:leader="dot"/>
            </w:tabs>
            <w:rPr/>
          </w:pPr>
          <w:hyperlink w:anchor="__RefHeading___Toc2974311_2142443653">
            <w:r>
              <w:rPr>
                <w:webHidden/>
                <w:rStyle w:val="IndexLink"/>
                <w:rtl w:val="true"/>
              </w:rPr>
              <w:t>حول اشتراط الملكية</w:t>
            </w:r>
            <w:r>
              <w:rPr>
                <w:rStyle w:val="IndexLink"/>
                <w:rtl w:val="true"/>
              </w:rPr>
              <w:tab/>
            </w:r>
            <w:r>
              <w:rPr>
                <w:rStyle w:val="IndexLink"/>
              </w:rPr>
              <w:t>21</w:t>
            </w:r>
          </w:hyperlink>
        </w:p>
        <w:p>
          <w:pPr>
            <w:pStyle w:val="Contents4"/>
            <w:tabs>
              <w:tab w:val="clear" w:pos="8176"/>
              <w:tab w:val="right" w:pos="9026" w:leader="dot"/>
            </w:tabs>
            <w:rPr/>
          </w:pPr>
          <w:hyperlink w:anchor="__RefHeading___Toc2974313_2142443653">
            <w:r>
              <w:rPr>
                <w:webHidden/>
                <w:rStyle w:val="IndexLink"/>
                <w:rtl w:val="true"/>
              </w:rPr>
              <w:t>عدم اعتبار السلطنة في صدق البيع</w:t>
            </w:r>
            <w:r>
              <w:rPr>
                <w:rStyle w:val="IndexLink"/>
                <w:rtl w:val="true"/>
              </w:rPr>
              <w:tab/>
            </w:r>
            <w:r>
              <w:rPr>
                <w:rStyle w:val="IndexLink"/>
              </w:rPr>
              <w:t>21</w:t>
            </w:r>
          </w:hyperlink>
        </w:p>
        <w:p>
          <w:pPr>
            <w:pStyle w:val="Contents4"/>
            <w:tabs>
              <w:tab w:val="clear" w:pos="8176"/>
              <w:tab w:val="right" w:pos="9026" w:leader="dot"/>
            </w:tabs>
            <w:rPr/>
          </w:pPr>
          <w:hyperlink w:anchor="__RefHeading___Toc2974315_2142443653">
            <w:r>
              <w:rPr>
                <w:webHidden/>
                <w:rStyle w:val="IndexLink"/>
                <w:rtl w:val="true"/>
              </w:rPr>
              <w:t>حكم بيع المباحات</w:t>
            </w:r>
            <w:r>
              <w:rPr>
                <w:rStyle w:val="IndexLink"/>
                <w:rtl w:val="true"/>
              </w:rPr>
              <w:tab/>
            </w:r>
            <w:r>
              <w:rPr>
                <w:rStyle w:val="IndexLink"/>
              </w:rPr>
              <w:t>23</w:t>
            </w:r>
          </w:hyperlink>
        </w:p>
        <w:p>
          <w:pPr>
            <w:pStyle w:val="Contents4"/>
            <w:tabs>
              <w:tab w:val="clear" w:pos="8176"/>
              <w:tab w:val="right" w:pos="9026" w:leader="dot"/>
            </w:tabs>
            <w:rPr/>
          </w:pPr>
          <w:hyperlink w:anchor="__RefHeading___Toc2974317_2142443653">
            <w:r>
              <w:rPr>
                <w:webHidden/>
                <w:rStyle w:val="IndexLink"/>
                <w:rtl w:val="true"/>
              </w:rPr>
              <w:t>وجوب تحصيل المبيع إذا باع ما ليس له</w:t>
            </w:r>
            <w:r>
              <w:rPr>
                <w:rStyle w:val="IndexLink"/>
                <w:rtl w:val="true"/>
              </w:rPr>
              <w:tab/>
            </w:r>
            <w:r>
              <w:rPr>
                <w:rStyle w:val="IndexLink"/>
              </w:rPr>
              <w:t>24</w:t>
            </w:r>
          </w:hyperlink>
        </w:p>
        <w:p>
          <w:pPr>
            <w:pStyle w:val="Contents4"/>
            <w:tabs>
              <w:tab w:val="clear" w:pos="8176"/>
              <w:tab w:val="right" w:pos="9026" w:leader="dot"/>
            </w:tabs>
            <w:rPr/>
          </w:pPr>
          <w:hyperlink w:anchor="__RefHeading___Toc2974319_2142443653">
            <w:r>
              <w:rPr>
                <w:webHidden/>
                <w:rStyle w:val="IndexLink"/>
                <w:rtl w:val="true"/>
              </w:rPr>
              <w:t>حكم بيع الأراضي المفتوحة عنوة</w:t>
            </w:r>
            <w:r>
              <w:rPr>
                <w:rStyle w:val="IndexLink"/>
                <w:rtl w:val="true"/>
              </w:rPr>
              <w:tab/>
            </w:r>
            <w:r>
              <w:rPr>
                <w:rStyle w:val="IndexLink"/>
              </w:rPr>
              <w:t>26</w:t>
            </w:r>
          </w:hyperlink>
        </w:p>
        <w:p>
          <w:pPr>
            <w:pStyle w:val="Contents4"/>
            <w:tabs>
              <w:tab w:val="clear" w:pos="8176"/>
              <w:tab w:val="right" w:pos="9026" w:leader="dot"/>
            </w:tabs>
            <w:rPr/>
          </w:pPr>
          <w:hyperlink w:anchor="__RefHeading___Toc2974321_2142443653">
            <w:r>
              <w:rPr>
                <w:webHidden/>
                <w:rStyle w:val="IndexLink"/>
                <w:rtl w:val="true"/>
              </w:rPr>
              <w:t>في الأخبار الدالّة على أنّ الأرض كلّها للإمام عليه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2974323_2142443653">
            <w:r>
              <w:rPr>
                <w:webHidden/>
                <w:rStyle w:val="IndexLink"/>
                <w:rtl w:val="true"/>
              </w:rPr>
              <w:t>التحقيق في مفاد آية الأنفال</w:t>
            </w:r>
            <w:r>
              <w:rPr>
                <w:rStyle w:val="IndexLink"/>
                <w:rtl w:val="true"/>
              </w:rPr>
              <w:tab/>
            </w:r>
            <w:r>
              <w:rPr>
                <w:rStyle w:val="IndexLink"/>
              </w:rPr>
              <w:t>29</w:t>
            </w:r>
          </w:hyperlink>
        </w:p>
        <w:p>
          <w:pPr>
            <w:pStyle w:val="Contents4"/>
            <w:tabs>
              <w:tab w:val="clear" w:pos="8176"/>
              <w:tab w:val="right" w:pos="9026" w:leader="dot"/>
            </w:tabs>
            <w:rPr/>
          </w:pPr>
          <w:hyperlink w:anchor="__RefHeading___Toc2974325_2142443653">
            <w:r>
              <w:rPr>
                <w:webHidden/>
                <w:rStyle w:val="IndexLink"/>
                <w:rtl w:val="true"/>
              </w:rPr>
              <w:t>أقسام الأرضين</w:t>
            </w:r>
            <w:r>
              <w:rPr>
                <w:rStyle w:val="IndexLink"/>
                <w:rtl w:val="true"/>
              </w:rPr>
              <w:tab/>
            </w:r>
            <w:r>
              <w:rPr>
                <w:rStyle w:val="IndexLink"/>
              </w:rPr>
              <w:t>33</w:t>
            </w:r>
          </w:hyperlink>
        </w:p>
        <w:p>
          <w:pPr>
            <w:pStyle w:val="Contents5"/>
            <w:tabs>
              <w:tab w:val="clear" w:pos="7892"/>
              <w:tab w:val="right" w:pos="9026" w:leader="dot"/>
            </w:tabs>
            <w:rPr/>
          </w:pPr>
          <w:hyperlink w:anchor="__RefHeading___Toc2974327_2142443653">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2974329_2142443653">
            <w:r>
              <w:rPr>
                <w:webHidden/>
                <w:rStyle w:val="IndexLink"/>
                <w:rtl w:val="true"/>
              </w:rPr>
              <w:t>منها</w:t>
            </w:r>
            <w:r>
              <w:rPr>
                <w:rStyle w:val="IndexLink"/>
                <w:rtl w:val="true"/>
              </w:rPr>
              <w:t xml:space="preserve">: </w:t>
            </w:r>
            <w:r>
              <w:rPr>
                <w:rStyle w:val="IndexLink"/>
                <w:rtl w:val="true"/>
              </w:rPr>
              <w:t>الأرض الموات</w:t>
            </w:r>
            <w:r>
              <w:rPr>
                <w:rStyle w:val="IndexLink"/>
                <w:rtl w:val="true"/>
              </w:rPr>
              <w:tab/>
            </w:r>
            <w:r>
              <w:rPr>
                <w:rStyle w:val="IndexLink"/>
              </w:rPr>
              <w:t>33</w:t>
            </w:r>
          </w:hyperlink>
        </w:p>
        <w:p>
          <w:pPr>
            <w:pStyle w:val="Contents5"/>
            <w:tabs>
              <w:tab w:val="clear" w:pos="7892"/>
              <w:tab w:val="right" w:pos="9026" w:leader="dot"/>
            </w:tabs>
            <w:rPr/>
          </w:pPr>
          <w:hyperlink w:anchor="__RefHeading___Toc2974331_2142443653">
            <w:r>
              <w:rPr>
                <w:webHidden/>
                <w:rStyle w:val="IndexLink"/>
                <w:rtl w:val="true"/>
              </w:rPr>
              <w:t>إذن الأئمّة عليهم السلام في التصرّف لمطلق الناس</w:t>
            </w:r>
            <w:r>
              <w:rPr>
                <w:rStyle w:val="IndexLink"/>
                <w:rtl w:val="true"/>
              </w:rPr>
              <w:tab/>
            </w:r>
            <w:r>
              <w:rPr>
                <w:rStyle w:val="IndexLink"/>
              </w:rPr>
              <w:t>35</w:t>
            </w:r>
          </w:hyperlink>
        </w:p>
        <w:p>
          <w:pPr>
            <w:pStyle w:val="Contents5"/>
            <w:tabs>
              <w:tab w:val="clear" w:pos="7892"/>
              <w:tab w:val="right" w:pos="9026" w:leader="dot"/>
            </w:tabs>
            <w:rPr/>
          </w:pPr>
          <w:hyperlink w:anchor="__RefHeading___Toc2974333_2142443653">
            <w:r>
              <w:rPr>
                <w:webHidden/>
                <w:rStyle w:val="IndexLink"/>
                <w:rtl w:val="true"/>
              </w:rPr>
              <w:t>استعراض الأدلّة على الإذن المطلق</w:t>
            </w:r>
            <w:r>
              <w:rPr>
                <w:rStyle w:val="IndexLink"/>
                <w:rtl w:val="true"/>
              </w:rPr>
              <w:tab/>
            </w:r>
            <w:r>
              <w:rPr>
                <w:rStyle w:val="IndexLink"/>
              </w:rPr>
              <w:t>42</w:t>
            </w:r>
          </w:hyperlink>
        </w:p>
        <w:p>
          <w:pPr>
            <w:pStyle w:val="Contents5"/>
            <w:tabs>
              <w:tab w:val="clear" w:pos="7892"/>
              <w:tab w:val="right" w:pos="9026" w:leader="dot"/>
            </w:tabs>
            <w:rPr/>
          </w:pPr>
          <w:hyperlink w:anchor="__RefHeading___Toc2974335_2142443653">
            <w:r>
              <w:rPr>
                <w:webHidden/>
                <w:rStyle w:val="IndexLink"/>
                <w:rtl w:val="true"/>
              </w:rPr>
              <w:t>حصول الملكية بالإحياء لكلّ محيٍ</w:t>
            </w:r>
            <w:r>
              <w:rPr>
                <w:rStyle w:val="IndexLink"/>
                <w:rtl w:val="true"/>
              </w:rPr>
              <w:tab/>
            </w:r>
            <w:r>
              <w:rPr>
                <w:rStyle w:val="IndexLink"/>
              </w:rPr>
              <w:t>46</w:t>
            </w:r>
          </w:hyperlink>
        </w:p>
        <w:p>
          <w:pPr>
            <w:pStyle w:val="Contents4"/>
            <w:tabs>
              <w:tab w:val="clear" w:pos="8176"/>
              <w:tab w:val="right" w:pos="9026" w:leader="dot"/>
            </w:tabs>
            <w:rPr/>
          </w:pPr>
          <w:hyperlink w:anchor="__RefHeading___Toc2974337_2142443653">
            <w:r>
              <w:rPr>
                <w:webHidden/>
                <w:rStyle w:val="IndexLink"/>
                <w:rtl w:val="true"/>
              </w:rPr>
              <w:t>ومنها</w:t>
            </w:r>
            <w:r>
              <w:rPr>
                <w:rStyle w:val="IndexLink"/>
                <w:rtl w:val="true"/>
              </w:rPr>
              <w:t xml:space="preserve">: </w:t>
            </w:r>
            <w:r>
              <w:rPr>
                <w:rStyle w:val="IndexLink"/>
                <w:rtl w:val="true"/>
              </w:rPr>
              <w:t>الأرض العامرة بالأصالة</w:t>
            </w:r>
            <w:r>
              <w:rPr>
                <w:rStyle w:val="IndexLink"/>
                <w:rtl w:val="true"/>
              </w:rPr>
              <w:tab/>
            </w:r>
            <w:r>
              <w:rPr>
                <w:rStyle w:val="IndexLink"/>
              </w:rPr>
              <w:t>48</w:t>
            </w:r>
          </w:hyperlink>
        </w:p>
        <w:p>
          <w:pPr>
            <w:pStyle w:val="Contents5"/>
            <w:tabs>
              <w:tab w:val="clear" w:pos="7892"/>
              <w:tab w:val="right" w:pos="9026" w:leader="dot"/>
            </w:tabs>
            <w:rPr/>
          </w:pPr>
          <w:hyperlink w:anchor="__RefHeading___Toc2974339_2142443653">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2974341_2142443653">
            <w:r>
              <w:rPr>
                <w:webHidden/>
                <w:rStyle w:val="IndexLink"/>
                <w:rtl w:val="true"/>
              </w:rPr>
              <w:t>تملّك الأراضي التي لا ربّ لها بالحيازة</w:t>
            </w:r>
            <w:r>
              <w:rPr>
                <w:rStyle w:val="IndexLink"/>
                <w:rtl w:val="true"/>
              </w:rPr>
              <w:tab/>
            </w:r>
            <w:r>
              <w:rPr>
                <w:rStyle w:val="IndexLink"/>
              </w:rPr>
              <w:t>53</w:t>
            </w:r>
          </w:hyperlink>
        </w:p>
        <w:p>
          <w:pPr>
            <w:pStyle w:val="Contents4"/>
            <w:tabs>
              <w:tab w:val="clear" w:pos="8176"/>
              <w:tab w:val="right" w:pos="9026" w:leader="dot"/>
            </w:tabs>
            <w:rPr/>
          </w:pPr>
          <w:hyperlink w:anchor="__RefHeading___Toc2974343_2142443653">
            <w:r>
              <w:rPr>
                <w:webHidden/>
                <w:rStyle w:val="IndexLink"/>
                <w:rtl w:val="true"/>
              </w:rPr>
              <w:t>ومنها</w:t>
            </w:r>
            <w:r>
              <w:rPr>
                <w:rStyle w:val="IndexLink"/>
                <w:rtl w:val="true"/>
              </w:rPr>
              <w:t xml:space="preserve">: </w:t>
            </w:r>
            <w:r>
              <w:rPr>
                <w:rStyle w:val="IndexLink"/>
                <w:rtl w:val="true"/>
              </w:rPr>
              <w:t>الموات بالعرض</w:t>
            </w:r>
            <w:r>
              <w:rPr>
                <w:rStyle w:val="IndexLink"/>
                <w:rtl w:val="true"/>
              </w:rPr>
              <w:tab/>
            </w:r>
            <w:r>
              <w:rPr>
                <w:rStyle w:val="IndexLink"/>
              </w:rPr>
              <w:t>57</w:t>
            </w:r>
          </w:hyperlink>
        </w:p>
        <w:p>
          <w:pPr>
            <w:pStyle w:val="Contents5"/>
            <w:tabs>
              <w:tab w:val="clear" w:pos="7892"/>
              <w:tab w:val="right" w:pos="9026" w:leader="dot"/>
            </w:tabs>
            <w:rPr/>
          </w:pPr>
          <w:hyperlink w:anchor="__RefHeading___Toc2974345_2142443653">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2974347_2142443653">
            <w:r>
              <w:rPr>
                <w:webHidden/>
                <w:rStyle w:val="IndexLink"/>
                <w:rtl w:val="true"/>
              </w:rPr>
              <w:t>مقتضى الأصل في الأقسام الثلاثة</w:t>
            </w:r>
            <w:r>
              <w:rPr>
                <w:rStyle w:val="IndexLink"/>
                <w:rtl w:val="true"/>
              </w:rPr>
              <w:tab/>
            </w:r>
            <w:r>
              <w:rPr>
                <w:rStyle w:val="IndexLink"/>
              </w:rPr>
              <w:t>64</w:t>
            </w:r>
          </w:hyperlink>
        </w:p>
        <w:p>
          <w:pPr>
            <w:pStyle w:val="Contents5"/>
            <w:tabs>
              <w:tab w:val="clear" w:pos="7892"/>
              <w:tab w:val="right" w:pos="9026" w:leader="dot"/>
            </w:tabs>
            <w:rPr/>
          </w:pPr>
          <w:hyperlink w:anchor="__RefHeading___Toc2974349_2142443653">
            <w:r>
              <w:rPr>
                <w:webHidden/>
                <w:rStyle w:val="IndexLink"/>
                <w:rtl w:val="true"/>
              </w:rPr>
              <w:t>حكم الشكّ في موتان الأرض بالأصالة أو لعارض</w:t>
            </w:r>
            <w:r>
              <w:rPr>
                <w:rStyle w:val="IndexLink"/>
                <w:rtl w:val="true"/>
              </w:rPr>
              <w:tab/>
            </w:r>
            <w:r>
              <w:rPr>
                <w:rStyle w:val="IndexLink"/>
              </w:rPr>
              <w:t>64</w:t>
            </w:r>
          </w:hyperlink>
        </w:p>
        <w:p>
          <w:pPr>
            <w:pStyle w:val="Contents5"/>
            <w:tabs>
              <w:tab w:val="clear" w:pos="7892"/>
              <w:tab w:val="right" w:pos="9026" w:leader="dot"/>
            </w:tabs>
            <w:rPr/>
          </w:pPr>
          <w:hyperlink w:anchor="__RefHeading___Toc2974351_2142443653">
            <w:r>
              <w:rPr>
                <w:webHidden/>
                <w:rStyle w:val="IndexLink"/>
                <w:rtl w:val="true"/>
              </w:rPr>
              <w:t>حكم الشكّ في عمران الأرض بالأصالة أو لعارض</w:t>
            </w:r>
            <w:r>
              <w:rPr>
                <w:rStyle w:val="IndexLink"/>
                <w:rtl w:val="true"/>
              </w:rPr>
              <w:tab/>
            </w:r>
            <w:r>
              <w:rPr>
                <w:rStyle w:val="IndexLink"/>
              </w:rPr>
              <w:t>68</w:t>
            </w:r>
          </w:hyperlink>
        </w:p>
        <w:p>
          <w:pPr>
            <w:pStyle w:val="Contents5"/>
            <w:tabs>
              <w:tab w:val="clear" w:pos="7892"/>
              <w:tab w:val="right" w:pos="9026" w:leader="dot"/>
            </w:tabs>
            <w:rPr/>
          </w:pPr>
          <w:hyperlink w:anchor="__RefHeading___Toc2974353_2142443653">
            <w:r>
              <w:rPr>
                <w:webHidden/>
                <w:rStyle w:val="IndexLink"/>
                <w:rtl w:val="true"/>
              </w:rPr>
              <w:t>حكم الشكّ في الأرض المملوكة التي عرضها الخراب</w:t>
            </w:r>
            <w:r>
              <w:rPr>
                <w:rStyle w:val="IndexLink"/>
                <w:rtl w:val="true"/>
              </w:rPr>
              <w:tab/>
            </w:r>
            <w:r>
              <w:rPr>
                <w:rStyle w:val="IndexLink"/>
              </w:rPr>
              <w:t>68</w:t>
            </w:r>
          </w:hyperlink>
        </w:p>
        <w:p>
          <w:pPr>
            <w:pStyle w:val="Contents4"/>
            <w:tabs>
              <w:tab w:val="clear" w:pos="8176"/>
              <w:tab w:val="right" w:pos="9026" w:leader="dot"/>
            </w:tabs>
            <w:rPr/>
          </w:pPr>
          <w:hyperlink w:anchor="__RefHeading___Toc2974355_2142443653">
            <w:r>
              <w:rPr>
                <w:webHidden/>
                <w:rStyle w:val="IndexLink"/>
                <w:rtl w:val="true"/>
              </w:rPr>
              <w:t>ومنها</w:t>
            </w:r>
            <w:r>
              <w:rPr>
                <w:rStyle w:val="IndexLink"/>
                <w:rtl w:val="true"/>
              </w:rPr>
              <w:t xml:space="preserve">: </w:t>
            </w:r>
            <w:r>
              <w:rPr>
                <w:rStyle w:val="IndexLink"/>
                <w:rtl w:val="true"/>
              </w:rPr>
              <w:t>ما عرضتها الحياة بعد كونها ميتة بالأصالة</w:t>
            </w:r>
            <w:r>
              <w:rPr>
                <w:rStyle w:val="IndexLink"/>
                <w:rtl w:val="true"/>
              </w:rPr>
              <w:tab/>
            </w:r>
            <w:r>
              <w:rPr>
                <w:rStyle w:val="IndexLink"/>
              </w:rPr>
              <w:t>69</w:t>
            </w:r>
          </w:hyperlink>
        </w:p>
        <w:p>
          <w:pPr>
            <w:pStyle w:val="Contents5"/>
            <w:tabs>
              <w:tab w:val="clear" w:pos="7892"/>
              <w:tab w:val="right" w:pos="9026" w:leader="dot"/>
            </w:tabs>
            <w:rPr/>
          </w:pPr>
          <w:hyperlink w:anchor="__RefHeading___Toc2974357_2142443653">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2974359_2142443653">
            <w:r>
              <w:rPr>
                <w:webHidden/>
                <w:rStyle w:val="IndexLink"/>
                <w:rtl w:val="true"/>
              </w:rPr>
              <w:t>بيان حكم الأراضي المفتوحة عنوة</w:t>
            </w:r>
            <w:r>
              <w:rPr>
                <w:rStyle w:val="IndexLink"/>
                <w:rtl w:val="true"/>
              </w:rPr>
              <w:tab/>
            </w:r>
            <w:r>
              <w:rPr>
                <w:rStyle w:val="IndexLink"/>
              </w:rPr>
              <w:t>70</w:t>
            </w:r>
          </w:hyperlink>
        </w:p>
        <w:p>
          <w:pPr>
            <w:pStyle w:val="Contents5"/>
            <w:tabs>
              <w:tab w:val="clear" w:pos="7892"/>
              <w:tab w:val="right" w:pos="9026" w:leader="dot"/>
            </w:tabs>
            <w:rPr/>
          </w:pPr>
          <w:hyperlink w:anchor="__RefHeading___Toc2974361_2142443653">
            <w:r>
              <w:rPr>
                <w:webHidden/>
                <w:rStyle w:val="IndexLink"/>
                <w:rtl w:val="true"/>
              </w:rPr>
              <w:t>مؤيّدات لعدم ملكية الأرض المفتوحة عنوة</w:t>
            </w:r>
            <w:r>
              <w:rPr>
                <w:rStyle w:val="IndexLink"/>
                <w:rtl w:val="true"/>
              </w:rPr>
              <w:tab/>
            </w:r>
            <w:r>
              <w:rPr>
                <w:rStyle w:val="IndexLink"/>
              </w:rPr>
              <w:t>75</w:t>
            </w:r>
          </w:hyperlink>
        </w:p>
        <w:p>
          <w:pPr>
            <w:pStyle w:val="Contents5"/>
            <w:tabs>
              <w:tab w:val="clear" w:pos="7892"/>
              <w:tab w:val="right" w:pos="9026" w:leader="dot"/>
            </w:tabs>
            <w:rPr/>
          </w:pPr>
          <w:hyperlink w:anchor="__RefHeading___Toc2974363_2142443653">
            <w:r>
              <w:rPr>
                <w:webHidden/>
                <w:rStyle w:val="IndexLink"/>
                <w:rtl w:val="true"/>
              </w:rPr>
              <w:t>بحث في صحّة بيع الأراضي المفتوحة عنوة</w:t>
            </w:r>
            <w:r>
              <w:rPr>
                <w:rStyle w:val="IndexLink"/>
                <w:rtl w:val="true"/>
              </w:rPr>
              <w:tab/>
            </w:r>
            <w:r>
              <w:rPr>
                <w:rStyle w:val="IndexLink"/>
              </w:rPr>
              <w:t>78</w:t>
            </w:r>
          </w:hyperlink>
        </w:p>
        <w:p>
          <w:pPr>
            <w:pStyle w:val="Contents5"/>
            <w:tabs>
              <w:tab w:val="clear" w:pos="7892"/>
              <w:tab w:val="right" w:pos="9026" w:leader="dot"/>
            </w:tabs>
            <w:rPr/>
          </w:pPr>
          <w:hyperlink w:anchor="__RefHeading___Toc2974365_2142443653">
            <w:r>
              <w:rPr>
                <w:webHidden/>
                <w:rStyle w:val="IndexLink"/>
                <w:rtl w:val="true"/>
              </w:rPr>
              <w:t>التحقيق في الروايات الواردة في الأراضي الخراجية</w:t>
            </w:r>
            <w:r>
              <w:rPr>
                <w:rStyle w:val="IndexLink"/>
                <w:rtl w:val="true"/>
              </w:rPr>
              <w:tab/>
            </w:r>
            <w:r>
              <w:rPr>
                <w:rStyle w:val="IndexLink"/>
              </w:rPr>
              <w:t>78</w:t>
            </w:r>
          </w:hyperlink>
        </w:p>
        <w:p>
          <w:pPr>
            <w:pStyle w:val="Contents5"/>
            <w:tabs>
              <w:tab w:val="clear" w:pos="7892"/>
              <w:tab w:val="right" w:pos="9026" w:leader="dot"/>
            </w:tabs>
            <w:rPr/>
          </w:pPr>
          <w:hyperlink w:anchor="__RefHeading___Toc2974367_2142443653">
            <w:r>
              <w:rPr>
                <w:webHidden/>
                <w:rStyle w:val="IndexLink"/>
                <w:rtl w:val="true"/>
              </w:rPr>
              <w:t>الروايات الظاهرة في شراء أرض الخراج</w:t>
            </w:r>
            <w:r>
              <w:rPr>
                <w:rStyle w:val="IndexLink"/>
                <w:rtl w:val="true"/>
              </w:rPr>
              <w:tab/>
            </w:r>
            <w:r>
              <w:rPr>
                <w:rStyle w:val="IndexLink"/>
              </w:rPr>
              <w:t>91</w:t>
            </w:r>
          </w:hyperlink>
        </w:p>
        <w:p>
          <w:pPr>
            <w:pStyle w:val="Contents5"/>
            <w:tabs>
              <w:tab w:val="clear" w:pos="7892"/>
              <w:tab w:val="right" w:pos="9026" w:leader="dot"/>
            </w:tabs>
            <w:rPr/>
          </w:pPr>
          <w:hyperlink w:anchor="__RefHeading___Toc2974369_2142443653">
            <w:r>
              <w:rPr>
                <w:webHidden/>
                <w:rStyle w:val="IndexLink"/>
                <w:rtl w:val="true"/>
              </w:rPr>
              <w:t>اعتبار إذن الإمام عليه السلام في صيرورة الأرض المفتوحة عنوة خراجية</w:t>
            </w:r>
            <w:r>
              <w:rPr>
                <w:rStyle w:val="IndexLink"/>
                <w:rtl w:val="true"/>
              </w:rPr>
              <w:tab/>
            </w:r>
            <w:r>
              <w:rPr>
                <w:rStyle w:val="IndexLink"/>
              </w:rPr>
              <w:t>93</w:t>
            </w:r>
          </w:hyperlink>
        </w:p>
        <w:p>
          <w:pPr>
            <w:pStyle w:val="Contents5"/>
            <w:tabs>
              <w:tab w:val="clear" w:pos="7892"/>
              <w:tab w:val="right" w:pos="9026" w:leader="dot"/>
            </w:tabs>
            <w:rPr/>
          </w:pPr>
          <w:hyperlink w:anchor="__RefHeading___Toc2974371_2142443653">
            <w:r>
              <w:rPr>
                <w:webHidden/>
                <w:rStyle w:val="IndexLink"/>
                <w:rtl w:val="true"/>
              </w:rPr>
              <w:t>البحث عن مفاد آية الخمس</w:t>
            </w:r>
            <w:r>
              <w:rPr>
                <w:rStyle w:val="IndexLink"/>
                <w:rtl w:val="true"/>
              </w:rPr>
              <w:tab/>
            </w:r>
            <w:r>
              <w:rPr>
                <w:rStyle w:val="IndexLink"/>
              </w:rPr>
              <w:t>94</w:t>
            </w:r>
          </w:hyperlink>
        </w:p>
        <w:p>
          <w:pPr>
            <w:pStyle w:val="Contents5"/>
            <w:tabs>
              <w:tab w:val="clear" w:pos="7892"/>
              <w:tab w:val="right" w:pos="9026" w:leader="dot"/>
            </w:tabs>
            <w:rPr/>
          </w:pPr>
          <w:hyperlink w:anchor="__RefHeading___Toc2974373_2142443653">
            <w:r>
              <w:rPr>
                <w:webHidden/>
                <w:rStyle w:val="IndexLink"/>
                <w:rtl w:val="true"/>
              </w:rPr>
              <w:t>الأخبار الدالّة على وجوب الخمس في الأراضي المغنومة</w:t>
            </w:r>
            <w:r>
              <w:rPr>
                <w:rStyle w:val="IndexLink"/>
                <w:rtl w:val="true"/>
              </w:rPr>
              <w:tab/>
            </w:r>
            <w:r>
              <w:rPr>
                <w:rStyle w:val="IndexLink"/>
              </w:rPr>
              <w:t>97</w:t>
            </w:r>
          </w:hyperlink>
        </w:p>
        <w:p>
          <w:pPr>
            <w:pStyle w:val="Contents5"/>
            <w:tabs>
              <w:tab w:val="clear" w:pos="7892"/>
              <w:tab w:val="right" w:pos="9026" w:leader="dot"/>
            </w:tabs>
            <w:rPr/>
          </w:pPr>
          <w:hyperlink w:anchor="__RefHeading___Toc2974375_2142443653">
            <w:r>
              <w:rPr>
                <w:webHidden/>
                <w:rStyle w:val="IndexLink"/>
                <w:rtl w:val="true"/>
              </w:rPr>
              <w:t>الأخبار الدالّة على عدم وجوب الخمس في الأراضي المغنومة</w:t>
            </w:r>
            <w:r>
              <w:rPr>
                <w:rStyle w:val="IndexLink"/>
                <w:rtl w:val="true"/>
              </w:rPr>
              <w:tab/>
            </w:r>
            <w:r>
              <w:rPr>
                <w:rStyle w:val="IndexLink"/>
              </w:rPr>
              <w:t>99</w:t>
            </w:r>
          </w:hyperlink>
        </w:p>
        <w:p>
          <w:pPr>
            <w:pStyle w:val="Contents5"/>
            <w:tabs>
              <w:tab w:val="clear" w:pos="7892"/>
              <w:tab w:val="right" w:pos="9026" w:leader="dot"/>
            </w:tabs>
            <w:rPr/>
          </w:pPr>
          <w:hyperlink w:anchor="__RefHeading___Toc2974377_2142443653">
            <w:r>
              <w:rPr>
                <w:webHidden/>
                <w:rStyle w:val="IndexLink"/>
                <w:rtl w:val="true"/>
              </w:rPr>
              <w:t>كيفية الجمع بين الأخبار السابقة</w:t>
            </w:r>
            <w:r>
              <w:rPr>
                <w:rStyle w:val="IndexLink"/>
                <w:rtl w:val="true"/>
              </w:rPr>
              <w:tab/>
            </w:r>
            <w:r>
              <w:rPr>
                <w:rStyle w:val="IndexLink"/>
              </w:rPr>
              <w:t>100</w:t>
            </w:r>
          </w:hyperlink>
        </w:p>
        <w:p>
          <w:pPr>
            <w:pStyle w:val="Contents5"/>
            <w:tabs>
              <w:tab w:val="clear" w:pos="7892"/>
              <w:tab w:val="right" w:pos="9026" w:leader="dot"/>
            </w:tabs>
            <w:rPr/>
          </w:pPr>
          <w:hyperlink w:anchor="__RefHeading___Toc2974379_2142443653">
            <w:r>
              <w:rPr>
                <w:webHidden/>
                <w:rStyle w:val="IndexLink"/>
                <w:rtl w:val="true"/>
              </w:rPr>
              <w:t>أدلّة اعتبار إذن الإمام في ملكية المسلمين</w:t>
            </w:r>
            <w:r>
              <w:rPr>
                <w:rStyle w:val="IndexLink"/>
                <w:rtl w:val="true"/>
              </w:rPr>
              <w:tab/>
            </w:r>
            <w:r>
              <w:rPr>
                <w:rStyle w:val="IndexLink"/>
              </w:rPr>
              <w:t>104</w:t>
            </w:r>
          </w:hyperlink>
        </w:p>
        <w:p>
          <w:pPr>
            <w:pStyle w:val="Contents5"/>
            <w:tabs>
              <w:tab w:val="clear" w:pos="7892"/>
              <w:tab w:val="right" w:pos="9026" w:leader="dot"/>
            </w:tabs>
            <w:rPr/>
          </w:pPr>
          <w:hyperlink w:anchor="__RefHeading___Toc2974381_2142443653">
            <w:r>
              <w:rPr>
                <w:webHidden/>
                <w:rStyle w:val="IndexLink"/>
                <w:rtl w:val="true"/>
              </w:rPr>
              <w:t>في اعتبار كون الأرض محياة حال الفتح لصيرورتها خراجية</w:t>
            </w:r>
            <w:r>
              <w:rPr>
                <w:rStyle w:val="IndexLink"/>
                <w:rtl w:val="true"/>
              </w:rPr>
              <w:tab/>
            </w:r>
            <w:r>
              <w:rPr>
                <w:rStyle w:val="IndexLink"/>
              </w:rPr>
              <w:t>107</w:t>
            </w:r>
          </w:hyperlink>
        </w:p>
        <w:p>
          <w:pPr>
            <w:pStyle w:val="Contents5"/>
            <w:tabs>
              <w:tab w:val="clear" w:pos="7892"/>
              <w:tab w:val="right" w:pos="9026" w:leader="dot"/>
            </w:tabs>
            <w:rPr/>
          </w:pPr>
          <w:hyperlink w:anchor="__RefHeading___Toc2974383_2142443653">
            <w:r>
              <w:rPr>
                <w:webHidden/>
                <w:rStyle w:val="IndexLink"/>
                <w:rtl w:val="true"/>
              </w:rPr>
              <w:t>حكم الشكّ في كون الفتح عنوة</w:t>
            </w:r>
            <w:r>
              <w:rPr>
                <w:rStyle w:val="IndexLink"/>
                <w:rtl w:val="true"/>
              </w:rPr>
              <w:tab/>
            </w:r>
            <w:r>
              <w:rPr>
                <w:rStyle w:val="IndexLink"/>
              </w:rPr>
              <w:t>111</w:t>
            </w:r>
          </w:hyperlink>
        </w:p>
        <w:p>
          <w:pPr>
            <w:pStyle w:val="Contents5"/>
            <w:tabs>
              <w:tab w:val="clear" w:pos="7892"/>
              <w:tab w:val="right" w:pos="9026" w:leader="dot"/>
            </w:tabs>
            <w:rPr/>
          </w:pPr>
          <w:hyperlink w:anchor="__RefHeading___Toc2974385_2142443653">
            <w:r>
              <w:rPr>
                <w:webHidden/>
                <w:rStyle w:val="IndexLink"/>
                <w:rtl w:val="true"/>
              </w:rPr>
              <w:t>حكم الشكّ في إذن الإمام عليه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2974387_2142443653">
            <w:r>
              <w:rPr>
                <w:webHidden/>
                <w:rStyle w:val="IndexLink"/>
                <w:rtl w:val="true"/>
              </w:rPr>
              <w:t>الأمارات المثبتة لتحقّق الإذن والعنوة والحياة</w:t>
            </w:r>
            <w:r>
              <w:rPr>
                <w:rStyle w:val="IndexLink"/>
                <w:rtl w:val="true"/>
              </w:rPr>
              <w:tab/>
            </w:r>
            <w:r>
              <w:rPr>
                <w:rStyle w:val="IndexLink"/>
              </w:rPr>
              <w:t>115</w:t>
            </w:r>
          </w:hyperlink>
        </w:p>
        <w:p>
          <w:pPr>
            <w:pStyle w:val="Contents5"/>
            <w:tabs>
              <w:tab w:val="clear" w:pos="7892"/>
              <w:tab w:val="right" w:pos="9026" w:leader="dot"/>
            </w:tabs>
            <w:rPr/>
          </w:pPr>
          <w:hyperlink w:anchor="__RefHeading___Toc2974389_2142443653">
            <w:r>
              <w:rPr>
                <w:webHidden/>
                <w:rStyle w:val="IndexLink"/>
                <w:rtl w:val="true"/>
              </w:rPr>
              <w:t>حكم أرض العراق</w:t>
            </w:r>
            <w:r>
              <w:rPr>
                <w:rStyle w:val="IndexLink"/>
                <w:rtl w:val="true"/>
              </w:rPr>
              <w:tab/>
            </w:r>
            <w:r>
              <w:rPr>
                <w:rStyle w:val="IndexLink"/>
              </w:rPr>
              <w:t>117</w:t>
            </w:r>
          </w:hyperlink>
        </w:p>
        <w:p>
          <w:pPr>
            <w:pStyle w:val="Contents5"/>
            <w:tabs>
              <w:tab w:val="clear" w:pos="7892"/>
              <w:tab w:val="right" w:pos="9026" w:leader="dot"/>
            </w:tabs>
            <w:rPr/>
          </w:pPr>
          <w:hyperlink w:anchor="__RefHeading___Toc2974391_2142443653">
            <w:r>
              <w:rPr>
                <w:webHidden/>
                <w:rStyle w:val="IndexLink"/>
                <w:rtl w:val="true"/>
              </w:rPr>
              <w:t xml:space="preserve">المراد من </w:t>
            </w:r>
            <w:r>
              <w:rPr>
                <w:rStyle w:val="IndexLink"/>
                <w:rtl w:val="true"/>
              </w:rPr>
              <w:t>«</w:t>
            </w:r>
            <w:r>
              <w:rPr>
                <w:rStyle w:val="IndexLink"/>
                <w:rtl w:val="true"/>
              </w:rPr>
              <w:t>أرض السواد</w:t>
            </w:r>
            <w:r>
              <w:rPr>
                <w:rStyle w:val="IndexLink"/>
                <w:rtl w:val="true"/>
              </w:rPr>
              <w:t>»</w:t>
              <w:tab/>
            </w:r>
            <w:r>
              <w:rPr>
                <w:rStyle w:val="IndexLink"/>
              </w:rPr>
              <w:t>120</w:t>
            </w:r>
          </w:hyperlink>
        </w:p>
        <w:p>
          <w:pPr>
            <w:pStyle w:val="Contents5"/>
            <w:tabs>
              <w:tab w:val="clear" w:pos="7892"/>
              <w:tab w:val="right" w:pos="9026" w:leader="dot"/>
            </w:tabs>
            <w:rPr/>
          </w:pPr>
          <w:hyperlink w:anchor="__RefHeading___Toc2974393_2142443653">
            <w:r>
              <w:rPr>
                <w:webHidden/>
                <w:rStyle w:val="IndexLink"/>
                <w:rtl w:val="true"/>
              </w:rPr>
              <w:t>حكم التصرّف في أرض العراق وغيره</w:t>
            </w:r>
            <w:r>
              <w:rPr>
                <w:rStyle w:val="IndexLink"/>
                <w:rtl w:val="true"/>
              </w:rPr>
              <w:tab/>
            </w:r>
            <w:r>
              <w:rPr>
                <w:rStyle w:val="IndexLink"/>
              </w:rPr>
              <w:t>124</w:t>
            </w:r>
          </w:hyperlink>
        </w:p>
        <w:p>
          <w:pPr>
            <w:pStyle w:val="Contents3"/>
            <w:tabs>
              <w:tab w:val="clear" w:pos="8459"/>
              <w:tab w:val="right" w:pos="9026" w:leader="dot"/>
            </w:tabs>
            <w:rPr/>
          </w:pPr>
          <w:hyperlink w:anchor="__RefHeading___Toc2974395_2142443653">
            <w:r>
              <w:rPr>
                <w:webHidden/>
                <w:rStyle w:val="IndexLink"/>
                <w:rtl w:val="true"/>
              </w:rPr>
              <w:t>الشرط الثاني</w:t>
            </w:r>
            <w:r>
              <w:rPr>
                <w:rStyle w:val="IndexLink"/>
                <w:rtl w:val="true"/>
              </w:rPr>
              <w:t xml:space="preserve">: </w:t>
            </w:r>
            <w:r>
              <w:rPr>
                <w:rStyle w:val="IndexLink"/>
                <w:rtl w:val="true"/>
              </w:rPr>
              <w:t>كون العوضين ملكاً طلقاً</w:t>
            </w:r>
            <w:r>
              <w:rPr>
                <w:rStyle w:val="IndexLink"/>
                <w:rtl w:val="true"/>
              </w:rPr>
              <w:tab/>
            </w:r>
            <w:r>
              <w:rPr>
                <w:rStyle w:val="IndexLink"/>
              </w:rPr>
              <w:t>127</w:t>
            </w:r>
          </w:hyperlink>
        </w:p>
        <w:p>
          <w:pPr>
            <w:pStyle w:val="Contents4"/>
            <w:tabs>
              <w:tab w:val="clear" w:pos="8176"/>
              <w:tab w:val="right" w:pos="9026" w:leader="dot"/>
            </w:tabs>
            <w:rPr/>
          </w:pPr>
          <w:hyperlink w:anchor="__RefHeading___Toc2974397_2142443653">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2974399_2142443653">
            <w:r>
              <w:rPr>
                <w:webHidden/>
                <w:rStyle w:val="IndexLink"/>
                <w:rtl w:val="true"/>
              </w:rPr>
              <w:t>اعتبار كون العوضين ملكاً طلقاً</w:t>
            </w:r>
            <w:r>
              <w:rPr>
                <w:rStyle w:val="IndexLink"/>
                <w:rtl w:val="true"/>
              </w:rPr>
              <w:tab/>
            </w:r>
            <w:r>
              <w:rPr>
                <w:rStyle w:val="IndexLink"/>
              </w:rPr>
              <w:t>129</w:t>
            </w:r>
          </w:hyperlink>
        </w:p>
        <w:p>
          <w:pPr>
            <w:pStyle w:val="Contents4"/>
            <w:tabs>
              <w:tab w:val="clear" w:pos="8176"/>
              <w:tab w:val="right" w:pos="9026" w:leader="dot"/>
            </w:tabs>
            <w:rPr/>
          </w:pPr>
          <w:hyperlink w:anchor="__RefHeading___Toc2974401_2142443653">
            <w:r>
              <w:rPr>
                <w:webHidden/>
                <w:rStyle w:val="IndexLink"/>
                <w:rtl w:val="true"/>
              </w:rPr>
              <w:t>بيان المراد من الطِلقية</w:t>
            </w:r>
            <w:r>
              <w:rPr>
                <w:rStyle w:val="IndexLink"/>
                <w:rtl w:val="true"/>
              </w:rPr>
              <w:tab/>
            </w:r>
            <w:r>
              <w:rPr>
                <w:rStyle w:val="IndexLink"/>
              </w:rPr>
              <w:t>129</w:t>
            </w:r>
          </w:hyperlink>
        </w:p>
        <w:p>
          <w:pPr>
            <w:pStyle w:val="Contents4"/>
            <w:tabs>
              <w:tab w:val="clear" w:pos="8176"/>
              <w:tab w:val="right" w:pos="9026" w:leader="dot"/>
            </w:tabs>
            <w:rPr/>
          </w:pPr>
          <w:hyperlink w:anchor="__RefHeading___Toc2974403_2142443653">
            <w:r>
              <w:rPr>
                <w:webHidden/>
                <w:rStyle w:val="IndexLink"/>
                <w:rtl w:val="true"/>
              </w:rPr>
              <w:t>مسألة في عدم جواز بيع الوقف</w:t>
            </w:r>
            <w:r>
              <w:rPr>
                <w:rStyle w:val="IndexLink"/>
                <w:rtl w:val="true"/>
              </w:rPr>
              <w:tab/>
            </w:r>
            <w:r>
              <w:rPr>
                <w:rStyle w:val="IndexLink"/>
              </w:rPr>
              <w:t>132</w:t>
            </w:r>
          </w:hyperlink>
        </w:p>
        <w:p>
          <w:pPr>
            <w:pStyle w:val="Contents5"/>
            <w:tabs>
              <w:tab w:val="clear" w:pos="7892"/>
              <w:tab w:val="right" w:pos="9026" w:leader="dot"/>
            </w:tabs>
            <w:rPr/>
          </w:pPr>
          <w:hyperlink w:anchor="__RefHeading___Toc2974405_2142443653">
            <w:r>
              <w:rPr>
                <w:webHidden/>
                <w:rStyle w:val="IndexLink"/>
                <w:rtl w:val="true"/>
              </w:rPr>
              <w:t>ماهية الوقف</w:t>
            </w:r>
            <w:r>
              <w:rPr>
                <w:rStyle w:val="IndexLink"/>
                <w:rtl w:val="true"/>
              </w:rPr>
              <w:tab/>
            </w:r>
            <w:r>
              <w:rPr>
                <w:rStyle w:val="IndexLink"/>
              </w:rPr>
              <w:t>132</w:t>
            </w:r>
          </w:hyperlink>
        </w:p>
        <w:p>
          <w:pPr>
            <w:pStyle w:val="Contents5"/>
            <w:tabs>
              <w:tab w:val="clear" w:pos="7892"/>
              <w:tab w:val="right" w:pos="9026" w:leader="dot"/>
            </w:tabs>
            <w:rPr/>
          </w:pPr>
          <w:hyperlink w:anchor="__RefHeading___Toc2974407_2142443653">
            <w:r>
              <w:rPr>
                <w:webHidden/>
                <w:rStyle w:val="IndexLink"/>
                <w:rtl w:val="true"/>
              </w:rPr>
              <w:t>المختار في تعريف الوقف</w:t>
            </w:r>
            <w:r>
              <w:rPr>
                <w:rStyle w:val="IndexLink"/>
                <w:rtl w:val="true"/>
              </w:rPr>
              <w:tab/>
            </w:r>
            <w:r>
              <w:rPr>
                <w:rStyle w:val="IndexLink"/>
              </w:rPr>
              <w:t>136</w:t>
            </w:r>
          </w:hyperlink>
        </w:p>
        <w:p>
          <w:pPr>
            <w:pStyle w:val="Contents5"/>
            <w:tabs>
              <w:tab w:val="clear" w:pos="7892"/>
              <w:tab w:val="right" w:pos="9026" w:leader="dot"/>
            </w:tabs>
            <w:rPr/>
          </w:pPr>
          <w:hyperlink w:anchor="__RefHeading___Toc2974409_2142443653">
            <w:r>
              <w:rPr>
                <w:webHidden/>
                <w:rStyle w:val="IndexLink"/>
                <w:rtl w:val="true"/>
              </w:rPr>
              <w:t>أدلّة عدم جواز بيع الوقف</w:t>
            </w:r>
            <w:r>
              <w:rPr>
                <w:rStyle w:val="IndexLink"/>
                <w:rtl w:val="true"/>
              </w:rPr>
              <w:tab/>
            </w:r>
            <w:r>
              <w:rPr>
                <w:rStyle w:val="IndexLink"/>
              </w:rPr>
              <w:t>138</w:t>
            </w:r>
          </w:hyperlink>
        </w:p>
        <w:p>
          <w:pPr>
            <w:pStyle w:val="Contents5"/>
            <w:tabs>
              <w:tab w:val="clear" w:pos="7892"/>
              <w:tab w:val="right" w:pos="9026" w:leader="dot"/>
            </w:tabs>
            <w:rPr/>
          </w:pPr>
          <w:hyperlink w:anchor="__RefHeading___Toc2974411_2142443653">
            <w:r>
              <w:rPr>
                <w:webHidden/>
                <w:rStyle w:val="IndexLink"/>
                <w:rtl w:val="true"/>
              </w:rPr>
              <w:t>الاستدلال بعدم كون الوقف ملكاً للواقف ولا للموقوف عليه</w:t>
            </w:r>
            <w:r>
              <w:rPr>
                <w:rStyle w:val="IndexLink"/>
                <w:rtl w:val="true"/>
              </w:rPr>
              <w:tab/>
            </w:r>
            <w:r>
              <w:rPr>
                <w:rStyle w:val="IndexLink"/>
              </w:rPr>
              <w:t>138</w:t>
            </w:r>
          </w:hyperlink>
        </w:p>
        <w:p>
          <w:pPr>
            <w:pStyle w:val="Contents5"/>
            <w:tabs>
              <w:tab w:val="clear" w:pos="7892"/>
              <w:tab w:val="right" w:pos="9026" w:leader="dot"/>
            </w:tabs>
            <w:rPr/>
          </w:pPr>
          <w:hyperlink w:anchor="__RefHeading___Toc2974413_2142443653">
            <w:r>
              <w:rPr>
                <w:webHidden/>
                <w:rStyle w:val="IndexLink"/>
                <w:rtl w:val="true"/>
              </w:rPr>
              <w:t>وجه عدم كون الواقف مالكاً للوقف</w:t>
            </w:r>
            <w:r>
              <w:rPr>
                <w:rStyle w:val="IndexLink"/>
                <w:rtl w:val="true"/>
              </w:rPr>
              <w:tab/>
            </w:r>
            <w:r>
              <w:rPr>
                <w:rStyle w:val="IndexLink"/>
              </w:rPr>
              <w:t>139</w:t>
            </w:r>
          </w:hyperlink>
        </w:p>
        <w:p>
          <w:pPr>
            <w:pStyle w:val="Contents5"/>
            <w:tabs>
              <w:tab w:val="clear" w:pos="7892"/>
              <w:tab w:val="right" w:pos="9026" w:leader="dot"/>
            </w:tabs>
            <w:rPr/>
          </w:pPr>
          <w:hyperlink w:anchor="__RefHeading___Toc2974415_2142443653">
            <w:r>
              <w:rPr>
                <w:webHidden/>
                <w:rStyle w:val="IndexLink"/>
                <w:rtl w:val="true"/>
              </w:rPr>
              <w:t>ما قيل لدخول الوقف في ملك الموقوف عليه</w:t>
            </w:r>
            <w:r>
              <w:rPr>
                <w:rStyle w:val="IndexLink"/>
                <w:rtl w:val="true"/>
              </w:rPr>
              <w:tab/>
            </w:r>
            <w:r>
              <w:rPr>
                <w:rStyle w:val="IndexLink"/>
              </w:rPr>
              <w:t>140</w:t>
            </w:r>
          </w:hyperlink>
        </w:p>
        <w:p>
          <w:pPr>
            <w:pStyle w:val="Contents5"/>
            <w:tabs>
              <w:tab w:val="clear" w:pos="7892"/>
              <w:tab w:val="right" w:pos="9026" w:leader="dot"/>
            </w:tabs>
            <w:rPr/>
          </w:pPr>
          <w:hyperlink w:anchor="__RefHeading___Toc2974417_2142443653">
            <w:r>
              <w:rPr>
                <w:webHidden/>
                <w:rStyle w:val="IndexLink"/>
                <w:rtl w:val="true"/>
              </w:rPr>
              <w:t>حول كلام صاحب الجواهر في المقام</w:t>
            </w:r>
            <w:r>
              <w:rPr>
                <w:rStyle w:val="IndexLink"/>
                <w:rtl w:val="true"/>
              </w:rPr>
              <w:tab/>
            </w:r>
            <w:r>
              <w:rPr>
                <w:rStyle w:val="IndexLink"/>
              </w:rPr>
              <w:t>141</w:t>
            </w:r>
          </w:hyperlink>
        </w:p>
        <w:p>
          <w:pPr>
            <w:pStyle w:val="Contents5"/>
            <w:tabs>
              <w:tab w:val="clear" w:pos="7892"/>
              <w:tab w:val="right" w:pos="9026" w:leader="dot"/>
            </w:tabs>
            <w:rPr/>
          </w:pPr>
          <w:hyperlink w:anchor="__RefHeading___Toc2974419_2142443653">
            <w:r>
              <w:rPr>
                <w:webHidden/>
                <w:rStyle w:val="IndexLink"/>
                <w:rtl w:val="true"/>
              </w:rPr>
              <w:t>تقريب لملكية الموقوف عليهم</w:t>
            </w:r>
            <w:r>
              <w:rPr>
                <w:rStyle w:val="IndexLink"/>
                <w:rtl w:val="true"/>
              </w:rPr>
              <w:tab/>
            </w:r>
            <w:r>
              <w:rPr>
                <w:rStyle w:val="IndexLink"/>
              </w:rPr>
              <w:t>147</w:t>
            </w:r>
          </w:hyperlink>
        </w:p>
        <w:p>
          <w:pPr>
            <w:pStyle w:val="Contents5"/>
            <w:tabs>
              <w:tab w:val="clear" w:pos="7892"/>
              <w:tab w:val="right" w:pos="9026" w:leader="dot"/>
            </w:tabs>
            <w:rPr/>
          </w:pPr>
          <w:hyperlink w:anchor="__RefHeading___Toc2974421_2142443653">
            <w:r>
              <w:rPr>
                <w:webHidden/>
                <w:rStyle w:val="IndexLink"/>
                <w:rtl w:val="true"/>
              </w:rPr>
              <w:t>استدلال الشيخ الأعظم بمكاتبة الصفّار على عدم الجواز</w:t>
            </w:r>
            <w:r>
              <w:rPr>
                <w:rStyle w:val="IndexLink"/>
                <w:rtl w:val="true"/>
              </w:rPr>
              <w:tab/>
            </w:r>
            <w:r>
              <w:rPr>
                <w:rStyle w:val="IndexLink"/>
              </w:rPr>
              <w:t>149</w:t>
            </w:r>
          </w:hyperlink>
        </w:p>
        <w:p>
          <w:pPr>
            <w:pStyle w:val="Contents5"/>
            <w:tabs>
              <w:tab w:val="clear" w:pos="7892"/>
              <w:tab w:val="right" w:pos="9026" w:leader="dot"/>
            </w:tabs>
            <w:rPr/>
          </w:pPr>
          <w:hyperlink w:anchor="__RefHeading___Toc2974423_2142443653">
            <w:r>
              <w:rPr>
                <w:webHidden/>
                <w:rStyle w:val="IndexLink"/>
                <w:rtl w:val="true"/>
              </w:rPr>
              <w:t xml:space="preserve">الاستدلال على عدم الجواز بالروايات الحاكية لوقف الأئمّة </w:t>
            </w:r>
            <w:r>
              <w:rPr>
                <w:rStyle w:val="IndexLink"/>
                <w:rtl w:val="true"/>
              </w:rPr>
              <w:t>(</w:t>
            </w:r>
            <w:r>
              <w:rPr>
                <w:rStyle w:val="IndexLink"/>
                <w:rtl w:val="true"/>
              </w:rPr>
              <w:t>عليهم السلام</w:t>
            </w:r>
            <w:r>
              <w:rPr>
                <w:rStyle w:val="IndexLink"/>
                <w:rtl w:val="true"/>
              </w:rPr>
              <w:t>)</w:t>
              <w:tab/>
            </w:r>
            <w:r>
              <w:rPr>
                <w:rStyle w:val="IndexLink"/>
              </w:rPr>
              <w:t>156</w:t>
            </w:r>
          </w:hyperlink>
        </w:p>
        <w:p>
          <w:pPr>
            <w:pStyle w:val="Contents5"/>
            <w:tabs>
              <w:tab w:val="clear" w:pos="7892"/>
              <w:tab w:val="right" w:pos="9026" w:leader="dot"/>
            </w:tabs>
            <w:rPr/>
          </w:pPr>
          <w:hyperlink w:anchor="__RefHeading___Toc2974425_2142443653">
            <w:r>
              <w:rPr>
                <w:webHidden/>
                <w:rStyle w:val="IndexLink"/>
                <w:rtl w:val="true"/>
              </w:rPr>
              <w:t>الاستدلال على عدم جواز بيع الوقف برواية أبي علي بن راشد</w:t>
            </w:r>
            <w:r>
              <w:rPr>
                <w:rStyle w:val="IndexLink"/>
                <w:rtl w:val="true"/>
              </w:rPr>
              <w:tab/>
            </w:r>
            <w:r>
              <w:rPr>
                <w:rStyle w:val="IndexLink"/>
              </w:rPr>
              <w:t>162</w:t>
            </w:r>
          </w:hyperlink>
        </w:p>
        <w:p>
          <w:pPr>
            <w:pStyle w:val="Contents5"/>
            <w:tabs>
              <w:tab w:val="clear" w:pos="7892"/>
              <w:tab w:val="right" w:pos="9026" w:leader="dot"/>
            </w:tabs>
            <w:rPr/>
          </w:pPr>
          <w:hyperlink w:anchor="__RefHeading___Toc2974427_2142443653">
            <w:r>
              <w:rPr>
                <w:webHidden/>
                <w:rStyle w:val="IndexLink"/>
                <w:rtl w:val="true"/>
              </w:rPr>
              <w:t>التشبّث لبطلان بيع الوقف بالحقوق الثلاثة</w:t>
            </w:r>
            <w:r>
              <w:rPr>
                <w:rStyle w:val="IndexLink"/>
                <w:rtl w:val="true"/>
              </w:rPr>
              <w:tab/>
            </w:r>
            <w:r>
              <w:rPr>
                <w:rStyle w:val="IndexLink"/>
              </w:rPr>
              <w:t>169</w:t>
            </w:r>
          </w:hyperlink>
        </w:p>
        <w:p>
          <w:pPr>
            <w:pStyle w:val="Contents5"/>
            <w:tabs>
              <w:tab w:val="clear" w:pos="7892"/>
              <w:tab w:val="right" w:pos="9026" w:leader="dot"/>
            </w:tabs>
            <w:rPr/>
          </w:pPr>
          <w:hyperlink w:anchor="__RefHeading___Toc2974429_2142443653">
            <w:r>
              <w:rPr>
                <w:webHidden/>
                <w:rStyle w:val="IndexLink"/>
                <w:rtl w:val="true"/>
              </w:rPr>
              <w:t>تقريب البطلان لأجل حقّ اللّه</w:t>
            </w:r>
            <w:r>
              <w:rPr>
                <w:rStyle w:val="IndexLink"/>
                <w:rtl w:val="true"/>
              </w:rPr>
              <w:tab/>
            </w:r>
            <w:r>
              <w:rPr>
                <w:rStyle w:val="IndexLink"/>
              </w:rPr>
              <w:t>169</w:t>
            </w:r>
          </w:hyperlink>
        </w:p>
        <w:p>
          <w:pPr>
            <w:pStyle w:val="Contents5"/>
            <w:tabs>
              <w:tab w:val="clear" w:pos="7892"/>
              <w:tab w:val="right" w:pos="9026" w:leader="dot"/>
            </w:tabs>
            <w:rPr/>
          </w:pPr>
          <w:hyperlink w:anchor="__RefHeading___Toc2974431_2142443653">
            <w:r>
              <w:rPr>
                <w:webHidden/>
                <w:rStyle w:val="IndexLink"/>
                <w:rtl w:val="true"/>
              </w:rPr>
              <w:t>تقريب بطلان البيع لأجل حقّ الواقف</w:t>
            </w:r>
            <w:r>
              <w:rPr>
                <w:rStyle w:val="IndexLink"/>
                <w:rtl w:val="true"/>
              </w:rPr>
              <w:tab/>
            </w:r>
            <w:r>
              <w:rPr>
                <w:rStyle w:val="IndexLink"/>
              </w:rPr>
              <w:t>172</w:t>
            </w:r>
          </w:hyperlink>
        </w:p>
        <w:p>
          <w:pPr>
            <w:pStyle w:val="Contents5"/>
            <w:tabs>
              <w:tab w:val="clear" w:pos="7892"/>
              <w:tab w:val="right" w:pos="9026" w:leader="dot"/>
            </w:tabs>
            <w:rPr/>
          </w:pPr>
          <w:hyperlink w:anchor="__RefHeading___Toc2974433_2142443653">
            <w:r>
              <w:rPr>
                <w:webHidden/>
                <w:rStyle w:val="IndexLink"/>
                <w:rtl w:val="true"/>
              </w:rPr>
              <w:t>تقريب بطلان البيع لأجل حقّ البطون اللاحقة</w:t>
            </w:r>
            <w:r>
              <w:rPr>
                <w:rStyle w:val="IndexLink"/>
                <w:rtl w:val="true"/>
              </w:rPr>
              <w:tab/>
            </w:r>
            <w:r>
              <w:rPr>
                <w:rStyle w:val="IndexLink"/>
              </w:rPr>
              <w:t>174</w:t>
            </w:r>
          </w:hyperlink>
        </w:p>
        <w:p>
          <w:pPr>
            <w:pStyle w:val="Contents5"/>
            <w:tabs>
              <w:tab w:val="clear" w:pos="7892"/>
              <w:tab w:val="right" w:pos="9026" w:leader="dot"/>
            </w:tabs>
            <w:rPr/>
          </w:pPr>
          <w:hyperlink w:anchor="__RefHeading___Toc2974435_2142443653">
            <w:r>
              <w:rPr>
                <w:webHidden/>
                <w:rStyle w:val="IndexLink"/>
                <w:rtl w:val="true"/>
              </w:rPr>
              <w:t>بحث في بطلان الوقف بمجرّد جواز بيعه</w:t>
            </w:r>
            <w:r>
              <w:rPr>
                <w:rStyle w:val="IndexLink"/>
                <w:rtl w:val="true"/>
              </w:rPr>
              <w:tab/>
            </w:r>
            <w:r>
              <w:rPr>
                <w:rStyle w:val="IndexLink"/>
              </w:rPr>
              <w:t>180</w:t>
            </w:r>
          </w:hyperlink>
        </w:p>
        <w:p>
          <w:pPr>
            <w:pStyle w:val="Contents5"/>
            <w:tabs>
              <w:tab w:val="clear" w:pos="7892"/>
              <w:tab w:val="right" w:pos="9026" w:leader="dot"/>
            </w:tabs>
            <w:rPr/>
          </w:pPr>
          <w:hyperlink w:anchor="__RefHeading___Toc2974437_2142443653">
            <w:r>
              <w:rPr>
                <w:webHidden/>
                <w:rStyle w:val="IndexLink"/>
                <w:rtl w:val="true"/>
              </w:rPr>
              <w:t>هل يبطل الوقف ببيعه مطلقاً أم لا ؟</w:t>
            </w:r>
            <w:r>
              <w:rPr>
                <w:rStyle w:val="IndexLink"/>
                <w:rtl w:val="true"/>
              </w:rPr>
              <w:tab/>
            </w:r>
            <w:r>
              <w:rPr>
                <w:rStyle w:val="IndexLink"/>
              </w:rPr>
              <w:t>187</w:t>
            </w:r>
          </w:hyperlink>
        </w:p>
        <w:p>
          <w:pPr>
            <w:pStyle w:val="Contents5"/>
            <w:tabs>
              <w:tab w:val="clear" w:pos="7892"/>
              <w:tab w:val="right" w:pos="9026" w:leader="dot"/>
            </w:tabs>
            <w:rPr/>
          </w:pPr>
          <w:hyperlink w:anchor="__RefHeading___Toc2974439_2142443653">
            <w:r>
              <w:rPr>
                <w:webHidden/>
                <w:rStyle w:val="IndexLink"/>
                <w:rtl w:val="true"/>
              </w:rPr>
              <w:t>أقسام الوقف وأحكامها</w:t>
            </w:r>
            <w:r>
              <w:rPr>
                <w:rStyle w:val="IndexLink"/>
                <w:rtl w:val="true"/>
              </w:rPr>
              <w:tab/>
            </w:r>
            <w:r>
              <w:rPr>
                <w:rStyle w:val="IndexLink"/>
              </w:rPr>
              <w:t>190</w:t>
            </w:r>
          </w:hyperlink>
        </w:p>
        <w:p>
          <w:pPr>
            <w:pStyle w:val="Contents5"/>
            <w:tabs>
              <w:tab w:val="clear" w:pos="7892"/>
              <w:tab w:val="right" w:pos="9026" w:leader="dot"/>
            </w:tabs>
            <w:rPr/>
          </w:pPr>
          <w:hyperlink w:anchor="__RefHeading___Toc2974441_2142443653">
            <w:r>
              <w:rPr>
                <w:webHidden/>
                <w:rStyle w:val="IndexLink"/>
                <w:rtl w:val="true"/>
              </w:rPr>
              <w:t>مقتضى الأصل في المقام</w:t>
            </w:r>
            <w:r>
              <w:rPr>
                <w:rStyle w:val="IndexLink"/>
                <w:rtl w:val="true"/>
              </w:rPr>
              <w:tab/>
            </w:r>
            <w:r>
              <w:rPr>
                <w:rStyle w:val="IndexLink"/>
              </w:rPr>
              <w:t>191</w:t>
            </w:r>
          </w:hyperlink>
        </w:p>
        <w:p>
          <w:pPr>
            <w:pStyle w:val="Contents5"/>
            <w:tabs>
              <w:tab w:val="clear" w:pos="7892"/>
              <w:tab w:val="right" w:pos="9026" w:leader="dot"/>
            </w:tabs>
            <w:rPr/>
          </w:pPr>
          <w:hyperlink w:anchor="__RefHeading___Toc2974443_2142443653">
            <w:r>
              <w:rPr>
                <w:webHidden/>
                <w:rStyle w:val="IndexLink"/>
                <w:rtl w:val="true"/>
              </w:rPr>
              <w:t>بيع الأوقاف العامّة من شؤون ولاية الفقيه</w:t>
            </w:r>
            <w:r>
              <w:rPr>
                <w:rStyle w:val="IndexLink"/>
                <w:rtl w:val="true"/>
              </w:rPr>
              <w:tab/>
            </w:r>
            <w:r>
              <w:rPr>
                <w:rStyle w:val="IndexLink"/>
              </w:rPr>
              <w:t>194</w:t>
            </w:r>
          </w:hyperlink>
        </w:p>
        <w:p>
          <w:pPr>
            <w:pStyle w:val="Contents5"/>
            <w:tabs>
              <w:tab w:val="clear" w:pos="7892"/>
              <w:tab w:val="right" w:pos="9026" w:leader="dot"/>
            </w:tabs>
            <w:rPr/>
          </w:pPr>
          <w:hyperlink w:anchor="__RefHeading___Toc2974445_2142443653">
            <w:r>
              <w:rPr>
                <w:webHidden/>
                <w:rStyle w:val="IndexLink"/>
                <w:rtl w:val="true"/>
              </w:rPr>
              <w:t>كلام كاشف الغطاء في عدم صحّة بيع الوقف العامّ</w:t>
            </w:r>
            <w:r>
              <w:rPr>
                <w:rStyle w:val="IndexLink"/>
                <w:rtl w:val="true"/>
              </w:rPr>
              <w:tab/>
            </w:r>
            <w:r>
              <w:rPr>
                <w:rStyle w:val="IndexLink"/>
              </w:rPr>
              <w:t>197</w:t>
            </w:r>
          </w:hyperlink>
        </w:p>
        <w:p>
          <w:pPr>
            <w:pStyle w:val="Contents5"/>
            <w:tabs>
              <w:tab w:val="clear" w:pos="7892"/>
              <w:tab w:val="right" w:pos="9026" w:leader="dot"/>
            </w:tabs>
            <w:rPr/>
          </w:pPr>
          <w:hyperlink w:anchor="__RefHeading___Toc2974447_2142443653">
            <w:r>
              <w:rPr>
                <w:webHidden/>
                <w:rStyle w:val="IndexLink"/>
                <w:rtl w:val="true"/>
              </w:rPr>
              <w:t>مسوّغات بيع الوقف الخاصّ</w:t>
            </w:r>
            <w:r>
              <w:rPr>
                <w:rStyle w:val="IndexLink"/>
                <w:rtl w:val="true"/>
              </w:rPr>
              <w:tab/>
            </w:r>
            <w:r>
              <w:rPr>
                <w:rStyle w:val="IndexLink"/>
              </w:rPr>
              <w:t>200</w:t>
            </w:r>
          </w:hyperlink>
        </w:p>
        <w:p>
          <w:pPr>
            <w:pStyle w:val="Contents6"/>
            <w:tabs>
              <w:tab w:val="clear" w:pos="7609"/>
              <w:tab w:val="right" w:pos="9026" w:leader="dot"/>
            </w:tabs>
            <w:rPr/>
          </w:pPr>
          <w:hyperlink w:anchor="__RefHeading___Toc2974449_2142443653">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2974451_2142443653">
            <w:r>
              <w:rPr>
                <w:webHidden/>
                <w:rStyle w:val="IndexLink"/>
                <w:rtl w:val="true"/>
              </w:rPr>
              <w:t xml:space="preserve">و فيها صور نتعرّض لمهمّاتها </w:t>
            </w:r>
            <w:r>
              <w:rPr>
                <w:rStyle w:val="IndexLink"/>
                <w:rtl w:val="true"/>
              </w:rPr>
              <w:t>:</w:t>
              <w:tab/>
            </w:r>
            <w:r>
              <w:rPr>
                <w:rStyle w:val="IndexLink"/>
              </w:rPr>
              <w:t>200</w:t>
            </w:r>
          </w:hyperlink>
        </w:p>
        <w:p>
          <w:pPr>
            <w:pStyle w:val="Contents6"/>
            <w:tabs>
              <w:tab w:val="clear" w:pos="7609"/>
              <w:tab w:val="right" w:pos="9026" w:leader="dot"/>
            </w:tabs>
            <w:rPr/>
          </w:pPr>
          <w:hyperlink w:anchor="__RefHeading___Toc2974453_2142443653">
            <w:r>
              <w:rPr>
                <w:webHidden/>
                <w:rStyle w:val="IndexLink"/>
                <w:rtl w:val="true"/>
              </w:rPr>
              <w:t>الصورة الاُولى</w:t>
            </w:r>
            <w:r>
              <w:rPr>
                <w:rStyle w:val="IndexLink"/>
                <w:rtl w:val="true"/>
              </w:rPr>
              <w:t xml:space="preserve">: </w:t>
            </w:r>
            <w:r>
              <w:rPr>
                <w:rStyle w:val="IndexLink"/>
                <w:rtl w:val="true"/>
              </w:rPr>
              <w:t>ما إذا خرب الوقف</w:t>
            </w:r>
            <w:r>
              <w:rPr>
                <w:rStyle w:val="IndexLink"/>
                <w:rtl w:val="true"/>
              </w:rPr>
              <w:tab/>
            </w:r>
            <w:r>
              <w:rPr>
                <w:rStyle w:val="IndexLink"/>
              </w:rPr>
              <w:t>200</w:t>
            </w:r>
          </w:hyperlink>
        </w:p>
        <w:p>
          <w:pPr>
            <w:pStyle w:val="Contents6"/>
            <w:tabs>
              <w:tab w:val="clear" w:pos="7609"/>
              <w:tab w:val="right" w:pos="9026" w:leader="dot"/>
            </w:tabs>
            <w:rPr/>
          </w:pPr>
          <w:hyperlink w:anchor="__RefHeading___Toc2974455_2142443653">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2974457_2142443653">
            <w:r>
              <w:rPr>
                <w:webHidden/>
                <w:rStyle w:val="IndexLink"/>
                <w:rtl w:val="true"/>
              </w:rPr>
              <w:t xml:space="preserve">تقرير مقتضي بيع الوقف على مبنى صاحب </w:t>
            </w:r>
            <w:r>
              <w:rPr>
                <w:rStyle w:val="IndexLink"/>
                <w:rtl w:val="true"/>
              </w:rPr>
              <w:t>«</w:t>
            </w:r>
            <w:r>
              <w:rPr>
                <w:rStyle w:val="IndexLink"/>
                <w:rtl w:val="true"/>
              </w:rPr>
              <w:t>الجواهر</w:t>
            </w:r>
            <w:r>
              <w:rPr>
                <w:rStyle w:val="IndexLink"/>
                <w:rtl w:val="true"/>
              </w:rPr>
              <w:t xml:space="preserve">» </w:t>
            </w:r>
            <w:r>
              <w:rPr>
                <w:rStyle w:val="IndexLink"/>
                <w:rtl w:val="true"/>
              </w:rPr>
              <w:t>وغيره</w:t>
            </w:r>
            <w:r>
              <w:rPr>
                <w:rStyle w:val="IndexLink"/>
                <w:rtl w:val="true"/>
              </w:rPr>
              <w:tab/>
            </w:r>
            <w:r>
              <w:rPr>
                <w:rStyle w:val="IndexLink"/>
              </w:rPr>
              <w:t>205</w:t>
            </w:r>
          </w:hyperlink>
        </w:p>
        <w:p>
          <w:pPr>
            <w:pStyle w:val="Contents6"/>
            <w:tabs>
              <w:tab w:val="clear" w:pos="7609"/>
              <w:tab w:val="right" w:pos="9026" w:leader="dot"/>
            </w:tabs>
            <w:rPr/>
          </w:pPr>
          <w:hyperlink w:anchor="__RefHeading___Toc2974459_2142443653">
            <w:r>
              <w:rPr>
                <w:webHidden/>
                <w:rStyle w:val="IndexLink"/>
                <w:rtl w:val="true"/>
              </w:rPr>
              <w:t>تقريب المقتضي على المسلك الحقّ</w:t>
            </w:r>
            <w:r>
              <w:rPr>
                <w:rStyle w:val="IndexLink"/>
                <w:rtl w:val="true"/>
              </w:rPr>
              <w:tab/>
            </w:r>
            <w:r>
              <w:rPr>
                <w:rStyle w:val="IndexLink"/>
              </w:rPr>
              <w:t>207</w:t>
            </w:r>
          </w:hyperlink>
        </w:p>
        <w:p>
          <w:pPr>
            <w:pStyle w:val="Contents6"/>
            <w:tabs>
              <w:tab w:val="clear" w:pos="7609"/>
              <w:tab w:val="right" w:pos="9026" w:leader="dot"/>
            </w:tabs>
            <w:rPr/>
          </w:pPr>
          <w:hyperlink w:anchor="__RefHeading___Toc2974461_2142443653">
            <w:r>
              <w:rPr>
                <w:webHidden/>
                <w:rStyle w:val="IndexLink"/>
                <w:rtl w:val="true"/>
              </w:rPr>
              <w:t>بيان أنحاء الوقف</w:t>
            </w:r>
            <w:r>
              <w:rPr>
                <w:rStyle w:val="IndexLink"/>
                <w:rtl w:val="true"/>
              </w:rPr>
              <w:tab/>
            </w:r>
            <w:r>
              <w:rPr>
                <w:rStyle w:val="IndexLink"/>
              </w:rPr>
              <w:t>210</w:t>
            </w:r>
          </w:hyperlink>
        </w:p>
        <w:p>
          <w:pPr>
            <w:pStyle w:val="Contents6"/>
            <w:tabs>
              <w:tab w:val="clear" w:pos="7609"/>
              <w:tab w:val="right" w:pos="9026" w:leader="dot"/>
            </w:tabs>
            <w:rPr/>
          </w:pPr>
          <w:hyperlink w:anchor="__RefHeading___Toc2974463_2142443653">
            <w:r>
              <w:rPr>
                <w:webHidden/>
                <w:rStyle w:val="IndexLink"/>
                <w:rtl w:val="true"/>
              </w:rPr>
              <w:t>استدلال الشيخ الأعظم على جواز البيع عند طروّ الخراب</w:t>
            </w:r>
            <w:r>
              <w:rPr>
                <w:rStyle w:val="IndexLink"/>
                <w:rtl w:val="true"/>
              </w:rPr>
              <w:tab/>
            </w:r>
            <w:r>
              <w:rPr>
                <w:rStyle w:val="IndexLink"/>
              </w:rPr>
              <w:t>212</w:t>
            </w:r>
          </w:hyperlink>
        </w:p>
        <w:p>
          <w:pPr>
            <w:pStyle w:val="Contents6"/>
            <w:tabs>
              <w:tab w:val="clear" w:pos="7609"/>
              <w:tab w:val="right" w:pos="9026" w:leader="dot"/>
            </w:tabs>
            <w:rPr/>
          </w:pPr>
          <w:hyperlink w:anchor="__RefHeading___Toc2974465_2142443653">
            <w:r>
              <w:rPr>
                <w:webHidden/>
                <w:rStyle w:val="IndexLink"/>
                <w:rtl w:val="true"/>
              </w:rPr>
              <w:t>تأييد الشيخ الأعظم لجواز البيع ودفعه</w:t>
            </w:r>
            <w:r>
              <w:rPr>
                <w:rStyle w:val="IndexLink"/>
                <w:rtl w:val="true"/>
              </w:rPr>
              <w:tab/>
            </w:r>
            <w:r>
              <w:rPr>
                <w:rStyle w:val="IndexLink"/>
              </w:rPr>
              <w:t>214</w:t>
            </w:r>
          </w:hyperlink>
        </w:p>
        <w:p>
          <w:pPr>
            <w:pStyle w:val="Contents6"/>
            <w:tabs>
              <w:tab w:val="clear" w:pos="7609"/>
              <w:tab w:val="right" w:pos="9026" w:leader="dot"/>
            </w:tabs>
            <w:rPr/>
          </w:pPr>
          <w:hyperlink w:anchor="__RefHeading___Toc2974467_2142443653">
            <w:r>
              <w:rPr>
                <w:webHidden/>
                <w:rStyle w:val="IndexLink"/>
                <w:rtl w:val="true"/>
              </w:rPr>
              <w:t>وجوب تبديل الوقف إلى ما يقبل البقاء</w:t>
            </w:r>
            <w:r>
              <w:rPr>
                <w:rStyle w:val="IndexLink"/>
                <w:rtl w:val="true"/>
              </w:rPr>
              <w:tab/>
            </w:r>
            <w:r>
              <w:rPr>
                <w:rStyle w:val="IndexLink"/>
              </w:rPr>
              <w:t>218</w:t>
            </w:r>
          </w:hyperlink>
        </w:p>
        <w:p>
          <w:pPr>
            <w:pStyle w:val="Contents6"/>
            <w:tabs>
              <w:tab w:val="clear" w:pos="7609"/>
              <w:tab w:val="right" w:pos="9026" w:leader="dot"/>
            </w:tabs>
            <w:rPr/>
          </w:pPr>
          <w:hyperlink w:anchor="__RefHeading___Toc2974469_2142443653">
            <w:r>
              <w:rPr>
                <w:webHidden/>
                <w:rStyle w:val="IndexLink"/>
                <w:rtl w:val="true"/>
              </w:rPr>
              <w:t>عدم اختصاص البدل بالطبقة الموجودة</w:t>
            </w:r>
            <w:r>
              <w:rPr>
                <w:rStyle w:val="IndexLink"/>
                <w:rtl w:val="true"/>
              </w:rPr>
              <w:tab/>
            </w:r>
            <w:r>
              <w:rPr>
                <w:rStyle w:val="IndexLink"/>
              </w:rPr>
              <w:t>220</w:t>
            </w:r>
          </w:hyperlink>
        </w:p>
        <w:p>
          <w:pPr>
            <w:pStyle w:val="Contents6"/>
            <w:tabs>
              <w:tab w:val="clear" w:pos="7609"/>
              <w:tab w:val="right" w:pos="9026" w:leader="dot"/>
            </w:tabs>
            <w:rPr/>
          </w:pPr>
          <w:hyperlink w:anchor="__RefHeading___Toc2974471_2142443653">
            <w:r>
              <w:rPr>
                <w:webHidden/>
                <w:rStyle w:val="IndexLink"/>
                <w:rtl w:val="true"/>
              </w:rPr>
              <w:t>عدم صيرورة بدل الموقوفة وقفاً بالتبديل</w:t>
            </w:r>
            <w:r>
              <w:rPr>
                <w:rStyle w:val="IndexLink"/>
                <w:rtl w:val="true"/>
              </w:rPr>
              <w:tab/>
            </w:r>
            <w:r>
              <w:rPr>
                <w:rStyle w:val="IndexLink"/>
              </w:rPr>
              <w:t>224</w:t>
            </w:r>
          </w:hyperlink>
        </w:p>
        <w:p>
          <w:pPr>
            <w:pStyle w:val="Contents6"/>
            <w:tabs>
              <w:tab w:val="clear" w:pos="7609"/>
              <w:tab w:val="right" w:pos="9026" w:leader="dot"/>
            </w:tabs>
            <w:rPr/>
          </w:pPr>
          <w:hyperlink w:anchor="__RefHeading___Toc2974473_2142443653">
            <w:r>
              <w:rPr>
                <w:webHidden/>
                <w:rStyle w:val="IndexLink"/>
                <w:rtl w:val="true"/>
              </w:rPr>
              <w:t>التفصيل في وجوب شراء المماثل</w:t>
            </w:r>
            <w:r>
              <w:rPr>
                <w:rStyle w:val="IndexLink"/>
                <w:rtl w:val="true"/>
              </w:rPr>
              <w:tab/>
            </w:r>
            <w:r>
              <w:rPr>
                <w:rStyle w:val="IndexLink"/>
              </w:rPr>
              <w:t>228</w:t>
            </w:r>
          </w:hyperlink>
        </w:p>
        <w:p>
          <w:pPr>
            <w:pStyle w:val="Contents6"/>
            <w:tabs>
              <w:tab w:val="clear" w:pos="7609"/>
              <w:tab w:val="right" w:pos="9026" w:leader="dot"/>
            </w:tabs>
            <w:rPr/>
          </w:pPr>
          <w:hyperlink w:anchor="__RefHeading___Toc2974475_2142443653">
            <w:r>
              <w:rPr>
                <w:webHidden/>
                <w:rStyle w:val="IndexLink"/>
                <w:rtl w:val="true"/>
              </w:rPr>
              <w:t>بيع الأوقاف بيد الحاكم لا المتولّي المنصوب</w:t>
            </w:r>
            <w:r>
              <w:rPr>
                <w:rStyle w:val="IndexLink"/>
                <w:rtl w:val="true"/>
              </w:rPr>
              <w:tab/>
            </w:r>
            <w:r>
              <w:rPr>
                <w:rStyle w:val="IndexLink"/>
              </w:rPr>
              <w:t>231</w:t>
            </w:r>
          </w:hyperlink>
        </w:p>
        <w:p>
          <w:pPr>
            <w:pStyle w:val="Contents6"/>
            <w:tabs>
              <w:tab w:val="clear" w:pos="7609"/>
              <w:tab w:val="right" w:pos="9026" w:leader="dot"/>
            </w:tabs>
            <w:rPr/>
          </w:pPr>
          <w:hyperlink w:anchor="__RefHeading___Toc2974477_2142443653">
            <w:r>
              <w:rPr>
                <w:webHidden/>
                <w:rStyle w:val="IndexLink"/>
                <w:rtl w:val="true"/>
              </w:rPr>
              <w:t>في المتصدّي لبيع الأوقاف الخاصّة</w:t>
            </w:r>
            <w:r>
              <w:rPr>
                <w:rStyle w:val="IndexLink"/>
                <w:rtl w:val="true"/>
              </w:rPr>
              <w:tab/>
            </w:r>
            <w:r>
              <w:rPr>
                <w:rStyle w:val="IndexLink"/>
              </w:rPr>
              <w:t>234</w:t>
            </w:r>
          </w:hyperlink>
        </w:p>
        <w:p>
          <w:pPr>
            <w:pStyle w:val="Contents6"/>
            <w:tabs>
              <w:tab w:val="clear" w:pos="7609"/>
              <w:tab w:val="right" w:pos="9026" w:leader="dot"/>
            </w:tabs>
            <w:rPr/>
          </w:pPr>
          <w:hyperlink w:anchor="__RefHeading___Toc2974479_2142443653">
            <w:r>
              <w:rPr>
                <w:webHidden/>
                <w:rStyle w:val="IndexLink"/>
                <w:rtl w:val="true"/>
              </w:rPr>
              <w:t>الواقف للبدل هو الحاكم لا غيره</w:t>
            </w:r>
            <w:r>
              <w:rPr>
                <w:rStyle w:val="IndexLink"/>
                <w:rtl w:val="true"/>
              </w:rPr>
              <w:tab/>
            </w:r>
            <w:r>
              <w:rPr>
                <w:rStyle w:val="IndexLink"/>
              </w:rPr>
              <w:t>240</w:t>
            </w:r>
          </w:hyperlink>
        </w:p>
        <w:p>
          <w:pPr>
            <w:pStyle w:val="Contents6"/>
            <w:tabs>
              <w:tab w:val="clear" w:pos="7609"/>
              <w:tab w:val="right" w:pos="9026" w:leader="dot"/>
            </w:tabs>
            <w:rPr/>
          </w:pPr>
          <w:hyperlink w:anchor="__RefHeading___Toc2974481_2142443653">
            <w:r>
              <w:rPr>
                <w:webHidden/>
                <w:rStyle w:val="IndexLink"/>
                <w:rtl w:val="true"/>
              </w:rPr>
              <w:t>حكم عروض الخراب على بعض الوقف</w:t>
            </w:r>
            <w:r>
              <w:rPr>
                <w:rStyle w:val="IndexLink"/>
                <w:rtl w:val="true"/>
              </w:rPr>
              <w:tab/>
            </w:r>
            <w:r>
              <w:rPr>
                <w:rStyle w:val="IndexLink"/>
              </w:rPr>
              <w:t>243</w:t>
            </w:r>
          </w:hyperlink>
        </w:p>
        <w:p>
          <w:pPr>
            <w:pStyle w:val="Contents6"/>
            <w:tabs>
              <w:tab w:val="clear" w:pos="7609"/>
              <w:tab w:val="right" w:pos="9026" w:leader="dot"/>
            </w:tabs>
            <w:rPr/>
          </w:pPr>
          <w:hyperlink w:anchor="__RefHeading___Toc2974483_2142443653">
            <w:r>
              <w:rPr>
                <w:webHidden/>
                <w:rStyle w:val="IndexLink"/>
                <w:rtl w:val="true"/>
              </w:rPr>
              <w:t>حكم الصور الباقية</w:t>
            </w:r>
            <w:r>
              <w:rPr>
                <w:rStyle w:val="IndexLink"/>
                <w:rtl w:val="true"/>
              </w:rPr>
              <w:tab/>
            </w:r>
            <w:r>
              <w:rPr>
                <w:rStyle w:val="IndexLink"/>
              </w:rPr>
              <w:t>246</w:t>
            </w:r>
          </w:hyperlink>
        </w:p>
        <w:p>
          <w:pPr>
            <w:pStyle w:val="Contents6"/>
            <w:tabs>
              <w:tab w:val="clear" w:pos="7609"/>
              <w:tab w:val="right" w:pos="9026" w:leader="dot"/>
            </w:tabs>
            <w:rPr/>
          </w:pPr>
          <w:hyperlink w:anchor="__RefHeading___Toc2974485_2142443653">
            <w:r>
              <w:rPr>
                <w:webHidden/>
                <w:rStyle w:val="IndexLink"/>
                <w:rtl w:val="true"/>
              </w:rPr>
              <w:t>الصورة الثانية ما إذا كان البيع أنفع وأعود للموقوف عليه</w:t>
            </w:r>
            <w:r>
              <w:rPr>
                <w:rStyle w:val="IndexLink"/>
                <w:rtl w:val="true"/>
              </w:rPr>
              <w:tab/>
            </w:r>
            <w:r>
              <w:rPr>
                <w:rStyle w:val="IndexLink"/>
              </w:rPr>
              <w:t>248</w:t>
            </w:r>
          </w:hyperlink>
        </w:p>
        <w:p>
          <w:pPr>
            <w:pStyle w:val="Contents6"/>
            <w:tabs>
              <w:tab w:val="clear" w:pos="7609"/>
              <w:tab w:val="right" w:pos="9026" w:leader="dot"/>
            </w:tabs>
            <w:rPr/>
          </w:pPr>
          <w:hyperlink w:anchor="__RefHeading___Toc2974487_2142443653">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2974489_2142443653">
            <w:r>
              <w:rPr>
                <w:webHidden/>
                <w:rStyle w:val="IndexLink"/>
                <w:rtl w:val="true"/>
              </w:rPr>
              <w:t>الاستدلال بمكاتبة الحميري على جواز البيع عند الأنفعية</w:t>
            </w:r>
            <w:r>
              <w:rPr>
                <w:rStyle w:val="IndexLink"/>
                <w:rtl w:val="true"/>
              </w:rPr>
              <w:tab/>
            </w:r>
            <w:r>
              <w:rPr>
                <w:rStyle w:val="IndexLink"/>
              </w:rPr>
              <w:t>255</w:t>
            </w:r>
          </w:hyperlink>
        </w:p>
        <w:p>
          <w:pPr>
            <w:pStyle w:val="Contents6"/>
            <w:tabs>
              <w:tab w:val="clear" w:pos="7609"/>
              <w:tab w:val="right" w:pos="9026" w:leader="dot"/>
            </w:tabs>
            <w:rPr/>
          </w:pPr>
          <w:hyperlink w:anchor="__RefHeading___Toc2974491_2142443653">
            <w:r>
              <w:rPr>
                <w:webHidden/>
                <w:rStyle w:val="IndexLink"/>
                <w:rtl w:val="true"/>
              </w:rPr>
              <w:t>الاستدلال بصحيحة ابن مهزيار وجوابه</w:t>
            </w:r>
            <w:r>
              <w:rPr>
                <w:rStyle w:val="IndexLink"/>
                <w:rtl w:val="true"/>
              </w:rPr>
              <w:tab/>
            </w:r>
            <w:r>
              <w:rPr>
                <w:rStyle w:val="IndexLink"/>
              </w:rPr>
              <w:t>259</w:t>
            </w:r>
          </w:hyperlink>
        </w:p>
        <w:p>
          <w:pPr>
            <w:pStyle w:val="Contents6"/>
            <w:tabs>
              <w:tab w:val="clear" w:pos="7609"/>
              <w:tab w:val="right" w:pos="9026" w:leader="dot"/>
            </w:tabs>
            <w:rPr/>
          </w:pPr>
          <w:hyperlink w:anchor="__RefHeading___Toc2974493_2142443653">
            <w:r>
              <w:rPr>
                <w:webHidden/>
                <w:rStyle w:val="IndexLink"/>
                <w:rtl w:val="true"/>
              </w:rPr>
              <w:t>الصورة الثالثة أن يشترط الواقف بيعه لجهة من الجهات حسب ما يشترط</w:t>
            </w:r>
            <w:r>
              <w:rPr>
                <w:rStyle w:val="IndexLink"/>
                <w:rtl w:val="true"/>
              </w:rPr>
              <w:tab/>
            </w:r>
            <w:r>
              <w:rPr>
                <w:rStyle w:val="IndexLink"/>
              </w:rPr>
              <w:t>261</w:t>
            </w:r>
          </w:hyperlink>
        </w:p>
        <w:p>
          <w:pPr>
            <w:pStyle w:val="Contents6"/>
            <w:tabs>
              <w:tab w:val="clear" w:pos="7609"/>
              <w:tab w:val="right" w:pos="9026" w:leader="dot"/>
            </w:tabs>
            <w:rPr/>
          </w:pPr>
          <w:hyperlink w:anchor="__RefHeading___Toc2974495_2142443653">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2974497_2142443653">
            <w:r>
              <w:rPr>
                <w:webHidden/>
                <w:rStyle w:val="IndexLink"/>
                <w:rtl w:val="true"/>
              </w:rPr>
              <w:t>عدم مخالفة الاشتراط لماهية الوقف</w:t>
            </w:r>
            <w:r>
              <w:rPr>
                <w:rStyle w:val="IndexLink"/>
                <w:rtl w:val="true"/>
              </w:rPr>
              <w:tab/>
            </w:r>
            <w:r>
              <w:rPr>
                <w:rStyle w:val="IndexLink"/>
              </w:rPr>
              <w:t>262</w:t>
            </w:r>
          </w:hyperlink>
        </w:p>
        <w:p>
          <w:pPr>
            <w:pStyle w:val="Contents6"/>
            <w:tabs>
              <w:tab w:val="clear" w:pos="7609"/>
              <w:tab w:val="right" w:pos="9026" w:leader="dot"/>
            </w:tabs>
            <w:rPr/>
          </w:pPr>
          <w:hyperlink w:anchor="__RefHeading___Toc2974499_2142443653">
            <w:r>
              <w:rPr>
                <w:webHidden/>
                <w:rStyle w:val="IndexLink"/>
                <w:rtl w:val="true"/>
              </w:rPr>
              <w:t>دلالة صحيحة ابن الحجّاج على صحّة الشرط</w:t>
            </w:r>
            <w:r>
              <w:rPr>
                <w:rStyle w:val="IndexLink"/>
                <w:rtl w:val="true"/>
              </w:rPr>
              <w:tab/>
            </w:r>
            <w:r>
              <w:rPr>
                <w:rStyle w:val="IndexLink"/>
              </w:rPr>
              <w:t>267</w:t>
            </w:r>
          </w:hyperlink>
        </w:p>
        <w:p>
          <w:pPr>
            <w:pStyle w:val="Contents6"/>
            <w:tabs>
              <w:tab w:val="clear" w:pos="7609"/>
              <w:tab w:val="right" w:pos="9026" w:leader="dot"/>
            </w:tabs>
            <w:rPr/>
          </w:pPr>
          <w:hyperlink w:anchor="__RefHeading___Toc2974501_2142443653">
            <w:r>
              <w:rPr>
                <w:webHidden/>
                <w:rStyle w:val="IndexLink"/>
                <w:rtl w:val="true"/>
              </w:rPr>
              <w:t>الصورة الرابعة أن يؤدّي بقاؤه إلى خرابه علماً أو ظنّاً</w:t>
            </w:r>
            <w:r>
              <w:rPr>
                <w:rStyle w:val="IndexLink"/>
                <w:rtl w:val="true"/>
              </w:rPr>
              <w:tab/>
            </w:r>
            <w:r>
              <w:rPr>
                <w:rStyle w:val="IndexLink"/>
              </w:rPr>
              <w:t>271</w:t>
            </w:r>
          </w:hyperlink>
        </w:p>
        <w:p>
          <w:pPr>
            <w:pStyle w:val="Contents6"/>
            <w:tabs>
              <w:tab w:val="clear" w:pos="7609"/>
              <w:tab w:val="right" w:pos="9026" w:leader="dot"/>
            </w:tabs>
            <w:rPr/>
          </w:pPr>
          <w:hyperlink w:anchor="__RefHeading___Toc2974503_2142443653">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2974505_2142443653">
            <w:r>
              <w:rPr>
                <w:webHidden/>
                <w:rStyle w:val="IndexLink"/>
                <w:rtl w:val="true"/>
              </w:rPr>
              <w:t>حكم الخلاف بين أرباب الوقف</w:t>
            </w:r>
            <w:r>
              <w:rPr>
                <w:rStyle w:val="IndexLink"/>
                <w:rtl w:val="true"/>
              </w:rPr>
              <w:tab/>
            </w:r>
            <w:r>
              <w:rPr>
                <w:rStyle w:val="IndexLink"/>
              </w:rPr>
              <w:t>273</w:t>
            </w:r>
          </w:hyperlink>
        </w:p>
        <w:p>
          <w:pPr>
            <w:pStyle w:val="Contents6"/>
            <w:tabs>
              <w:tab w:val="clear" w:pos="7609"/>
              <w:tab w:val="right" w:pos="9026" w:leader="dot"/>
            </w:tabs>
            <w:rPr/>
          </w:pPr>
          <w:hyperlink w:anchor="__RefHeading___Toc2974507_2142443653">
            <w:r>
              <w:rPr>
                <w:webHidden/>
                <w:rStyle w:val="IndexLink"/>
                <w:rtl w:val="true"/>
              </w:rPr>
              <w:t>صحّة الوقف المنقطع</w:t>
            </w:r>
            <w:r>
              <w:rPr>
                <w:rStyle w:val="IndexLink"/>
                <w:rtl w:val="true"/>
              </w:rPr>
              <w:tab/>
            </w:r>
            <w:r>
              <w:rPr>
                <w:rStyle w:val="IndexLink"/>
              </w:rPr>
              <w:t>278</w:t>
            </w:r>
          </w:hyperlink>
        </w:p>
        <w:p>
          <w:pPr>
            <w:pStyle w:val="Contents6"/>
            <w:tabs>
              <w:tab w:val="clear" w:pos="7609"/>
              <w:tab w:val="right" w:pos="9026" w:leader="dot"/>
            </w:tabs>
            <w:rPr/>
          </w:pPr>
          <w:hyperlink w:anchor="__RefHeading___Toc2974509_2142443653">
            <w:r>
              <w:rPr>
                <w:webHidden/>
                <w:rStyle w:val="IndexLink"/>
                <w:rtl w:val="true"/>
              </w:rPr>
              <w:t>الاستدلال بصحيحة ابن مهزيار على صحّة الوقف المنقطع</w:t>
            </w:r>
            <w:r>
              <w:rPr>
                <w:rStyle w:val="IndexLink"/>
                <w:rtl w:val="true"/>
              </w:rPr>
              <w:tab/>
            </w:r>
            <w:r>
              <w:rPr>
                <w:rStyle w:val="IndexLink"/>
              </w:rPr>
              <w:t>281</w:t>
            </w:r>
          </w:hyperlink>
        </w:p>
        <w:p>
          <w:pPr>
            <w:pStyle w:val="Contents6"/>
            <w:tabs>
              <w:tab w:val="clear" w:pos="7609"/>
              <w:tab w:val="right" w:pos="9026" w:leader="dot"/>
            </w:tabs>
            <w:rPr/>
          </w:pPr>
          <w:hyperlink w:anchor="__RefHeading___Toc2974511_2142443653">
            <w:r>
              <w:rPr>
                <w:webHidden/>
                <w:rStyle w:val="IndexLink"/>
                <w:rtl w:val="true"/>
              </w:rPr>
              <w:t>جواز بيع الوقف المنقطع</w:t>
            </w:r>
            <w:r>
              <w:rPr>
                <w:rStyle w:val="IndexLink"/>
                <w:rtl w:val="true"/>
              </w:rPr>
              <w:tab/>
            </w:r>
            <w:r>
              <w:rPr>
                <w:rStyle w:val="IndexLink"/>
              </w:rPr>
              <w:t>282</w:t>
            </w:r>
          </w:hyperlink>
        </w:p>
        <w:p>
          <w:pPr>
            <w:pStyle w:val="Contents6"/>
            <w:tabs>
              <w:tab w:val="clear" w:pos="7609"/>
              <w:tab w:val="right" w:pos="9026" w:leader="dot"/>
            </w:tabs>
            <w:rPr/>
          </w:pPr>
          <w:hyperlink w:anchor="__RefHeading___Toc2974513_2142443653">
            <w:r>
              <w:rPr>
                <w:webHidden/>
                <w:rStyle w:val="IndexLink"/>
                <w:rtl w:val="true"/>
              </w:rPr>
              <w:t>مختار الشيخ الأعظم والجواب عنه</w:t>
            </w:r>
            <w:r>
              <w:rPr>
                <w:rStyle w:val="IndexLink"/>
                <w:rtl w:val="true"/>
              </w:rPr>
              <w:tab/>
            </w:r>
            <w:r>
              <w:rPr>
                <w:rStyle w:val="IndexLink"/>
              </w:rPr>
              <w:t>285</w:t>
            </w:r>
          </w:hyperlink>
        </w:p>
        <w:p>
          <w:pPr>
            <w:pStyle w:val="Contents4"/>
            <w:tabs>
              <w:tab w:val="clear" w:pos="8176"/>
              <w:tab w:val="right" w:pos="9026" w:leader="dot"/>
            </w:tabs>
            <w:rPr/>
          </w:pPr>
          <w:hyperlink w:anchor="__RefHeading___Toc2974515_2142443653">
            <w:r>
              <w:rPr>
                <w:webHidden/>
                <w:rStyle w:val="IndexLink"/>
                <w:rtl w:val="true"/>
              </w:rPr>
              <w:t>مسألة في بيع الرهن</w:t>
            </w:r>
            <w:r>
              <w:rPr>
                <w:rStyle w:val="IndexLink"/>
                <w:rtl w:val="true"/>
              </w:rPr>
              <w:tab/>
            </w:r>
            <w:r>
              <w:rPr>
                <w:rStyle w:val="IndexLink"/>
              </w:rPr>
              <w:t>287</w:t>
            </w:r>
          </w:hyperlink>
        </w:p>
        <w:p>
          <w:pPr>
            <w:pStyle w:val="Contents5"/>
            <w:tabs>
              <w:tab w:val="clear" w:pos="7892"/>
              <w:tab w:val="right" w:pos="9026" w:leader="dot"/>
            </w:tabs>
            <w:rPr/>
          </w:pPr>
          <w:hyperlink w:anchor="__RefHeading___Toc2974517_2142443653">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2974519_2142443653">
            <w:r>
              <w:rPr>
                <w:webHidden/>
                <w:rStyle w:val="IndexLink"/>
                <w:rtl w:val="true"/>
              </w:rPr>
              <w:t>التمسّك بالعمومات لصحّة بيع الرهن موقوفاً على الإجازة</w:t>
            </w:r>
            <w:r>
              <w:rPr>
                <w:rStyle w:val="IndexLink"/>
                <w:rtl w:val="true"/>
              </w:rPr>
              <w:tab/>
            </w:r>
            <w:r>
              <w:rPr>
                <w:rStyle w:val="IndexLink"/>
              </w:rPr>
              <w:t>289</w:t>
            </w:r>
          </w:hyperlink>
        </w:p>
        <w:p>
          <w:pPr>
            <w:pStyle w:val="Contents6"/>
            <w:tabs>
              <w:tab w:val="clear" w:pos="7609"/>
              <w:tab w:val="right" w:pos="9026" w:leader="dot"/>
            </w:tabs>
            <w:rPr/>
          </w:pPr>
          <w:hyperlink w:anchor="__RefHeading___Toc2974521_2142443653">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2974523_2142443653">
            <w:r>
              <w:rPr>
                <w:webHidden/>
                <w:rStyle w:val="IndexLink"/>
                <w:rtl w:val="true"/>
              </w:rPr>
              <w:t>كلام المحقّق التستري وما يرد عليه</w:t>
            </w:r>
            <w:r>
              <w:rPr>
                <w:rStyle w:val="IndexLink"/>
                <w:rtl w:val="true"/>
              </w:rPr>
              <w:tab/>
            </w:r>
            <w:r>
              <w:rPr>
                <w:rStyle w:val="IndexLink"/>
              </w:rPr>
              <w:t>293</w:t>
            </w:r>
          </w:hyperlink>
        </w:p>
        <w:p>
          <w:pPr>
            <w:pStyle w:val="Contents5"/>
            <w:tabs>
              <w:tab w:val="clear" w:pos="7892"/>
              <w:tab w:val="right" w:pos="9026" w:leader="dot"/>
            </w:tabs>
            <w:rPr/>
          </w:pPr>
          <w:hyperlink w:anchor="__RefHeading___Toc2974525_2142443653">
            <w:r>
              <w:rPr>
                <w:webHidden/>
                <w:rStyle w:val="IndexLink"/>
                <w:rtl w:val="true"/>
              </w:rPr>
              <w:t>جريان نزاع الكشف والنقل في بيع الراهن بعد فكّ الرهن</w:t>
            </w:r>
            <w:r>
              <w:rPr>
                <w:rStyle w:val="IndexLink"/>
                <w:rtl w:val="true"/>
              </w:rPr>
              <w:tab/>
            </w:r>
            <w:r>
              <w:rPr>
                <w:rStyle w:val="IndexLink"/>
              </w:rPr>
              <w:t>297</w:t>
            </w:r>
          </w:hyperlink>
        </w:p>
        <w:p>
          <w:pPr>
            <w:pStyle w:val="Contents5"/>
            <w:tabs>
              <w:tab w:val="clear" w:pos="7892"/>
              <w:tab w:val="right" w:pos="9026" w:leader="dot"/>
            </w:tabs>
            <w:rPr/>
          </w:pPr>
          <w:hyperlink w:anchor="__RefHeading___Toc2974527_2142443653">
            <w:r>
              <w:rPr>
                <w:webHidden/>
                <w:rStyle w:val="IndexLink"/>
                <w:rtl w:val="true"/>
              </w:rPr>
              <w:t>فكّ الرهن مصحّح للمعاملة</w:t>
            </w:r>
            <w:r>
              <w:rPr>
                <w:rStyle w:val="IndexLink"/>
                <w:rtl w:val="true"/>
              </w:rPr>
              <w:tab/>
            </w:r>
            <w:r>
              <w:rPr>
                <w:rStyle w:val="IndexLink"/>
              </w:rPr>
              <w:t>300</w:t>
            </w:r>
          </w:hyperlink>
        </w:p>
        <w:p>
          <w:pPr>
            <w:pStyle w:val="Contents5"/>
            <w:tabs>
              <w:tab w:val="clear" w:pos="7892"/>
              <w:tab w:val="right" w:pos="9026" w:leader="dot"/>
            </w:tabs>
            <w:rPr/>
          </w:pPr>
          <w:hyperlink w:anchor="__RefHeading___Toc2974529_2142443653">
            <w:r>
              <w:rPr>
                <w:webHidden/>
                <w:rStyle w:val="IndexLink"/>
                <w:rtl w:val="true"/>
              </w:rPr>
              <w:t>هل الفكّ ناقل أو كاشف؟</w:t>
            </w:r>
            <w:r>
              <w:rPr>
                <w:rStyle w:val="IndexLink"/>
                <w:rtl w:val="true"/>
              </w:rPr>
              <w:tab/>
            </w:r>
            <w:r>
              <w:rPr>
                <w:rStyle w:val="IndexLink"/>
              </w:rPr>
              <w:t>301</w:t>
            </w:r>
          </w:hyperlink>
        </w:p>
        <w:p>
          <w:pPr>
            <w:pStyle w:val="Contents3"/>
            <w:tabs>
              <w:tab w:val="clear" w:pos="8459"/>
              <w:tab w:val="right" w:pos="9026" w:leader="dot"/>
            </w:tabs>
            <w:rPr/>
          </w:pPr>
          <w:hyperlink w:anchor="__RefHeading___Toc2974531_2142443653">
            <w:r>
              <w:rPr>
                <w:webHidden/>
                <w:rStyle w:val="IndexLink"/>
                <w:rtl w:val="true"/>
              </w:rPr>
              <w:t>الشرط الثالث</w:t>
            </w:r>
            <w:r>
              <w:rPr>
                <w:rStyle w:val="IndexLink"/>
                <w:rtl w:val="true"/>
              </w:rPr>
              <w:t xml:space="preserve">: </w:t>
            </w:r>
            <w:r>
              <w:rPr>
                <w:rStyle w:val="IndexLink"/>
                <w:rtl w:val="true"/>
              </w:rPr>
              <w:t>القدرة على التسليم في العوضين</w:t>
            </w:r>
            <w:r>
              <w:rPr>
                <w:rStyle w:val="IndexLink"/>
                <w:rtl w:val="true"/>
              </w:rPr>
              <w:tab/>
            </w:r>
            <w:r>
              <w:rPr>
                <w:rStyle w:val="IndexLink"/>
              </w:rPr>
              <w:t>305</w:t>
            </w:r>
          </w:hyperlink>
        </w:p>
        <w:p>
          <w:pPr>
            <w:pStyle w:val="Contents4"/>
            <w:tabs>
              <w:tab w:val="clear" w:pos="8176"/>
              <w:tab w:val="right" w:pos="9026" w:leader="dot"/>
            </w:tabs>
            <w:rPr/>
          </w:pPr>
          <w:hyperlink w:anchor="__RefHeading___Toc2974533_2142443653">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2974535_2142443653">
            <w:r>
              <w:rPr>
                <w:webHidden/>
                <w:rStyle w:val="IndexLink"/>
                <w:rtl w:val="true"/>
              </w:rPr>
              <w:t>مسألة حول القدرة على التسليم</w:t>
            </w:r>
            <w:r>
              <w:rPr>
                <w:rStyle w:val="IndexLink"/>
                <w:rtl w:val="true"/>
              </w:rPr>
              <w:tab/>
            </w:r>
            <w:r>
              <w:rPr>
                <w:rStyle w:val="IndexLink"/>
              </w:rPr>
              <w:t>307</w:t>
            </w:r>
          </w:hyperlink>
        </w:p>
        <w:p>
          <w:pPr>
            <w:pStyle w:val="Contents5"/>
            <w:tabs>
              <w:tab w:val="clear" w:pos="7892"/>
              <w:tab w:val="right" w:pos="9026" w:leader="dot"/>
            </w:tabs>
            <w:rPr/>
          </w:pPr>
          <w:hyperlink w:anchor="__RefHeading___Toc2974537_2142443653">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2974539_2142443653">
            <w:r>
              <w:rPr>
                <w:webHidden/>
                <w:rStyle w:val="IndexLink"/>
                <w:rtl w:val="true"/>
              </w:rPr>
              <w:t>الاستدلال بحديث الغرر على اعتبار القدرة على التسليم</w:t>
            </w:r>
            <w:r>
              <w:rPr>
                <w:rStyle w:val="IndexLink"/>
                <w:rtl w:val="true"/>
              </w:rPr>
              <w:tab/>
            </w:r>
            <w:r>
              <w:rPr>
                <w:rStyle w:val="IndexLink"/>
              </w:rPr>
              <w:t>308</w:t>
            </w:r>
          </w:hyperlink>
        </w:p>
        <w:p>
          <w:pPr>
            <w:pStyle w:val="Contents5"/>
            <w:tabs>
              <w:tab w:val="clear" w:pos="7892"/>
              <w:tab w:val="right" w:pos="9026" w:leader="dot"/>
            </w:tabs>
            <w:rPr/>
          </w:pPr>
          <w:hyperlink w:anchor="__RefHeading___Toc2974541_2142443653">
            <w:r>
              <w:rPr>
                <w:webHidden/>
                <w:rStyle w:val="IndexLink"/>
                <w:rtl w:val="true"/>
              </w:rPr>
              <w:t>بيان المعاني المذكورة للغرر</w:t>
            </w:r>
            <w:r>
              <w:rPr>
                <w:rStyle w:val="IndexLink"/>
                <w:rtl w:val="true"/>
              </w:rPr>
              <w:tab/>
            </w:r>
            <w:r>
              <w:rPr>
                <w:rStyle w:val="IndexLink"/>
              </w:rPr>
              <w:t>311</w:t>
            </w:r>
          </w:hyperlink>
        </w:p>
        <w:p>
          <w:pPr>
            <w:pStyle w:val="Contents5"/>
            <w:tabs>
              <w:tab w:val="clear" w:pos="7892"/>
              <w:tab w:val="right" w:pos="9026" w:leader="dot"/>
            </w:tabs>
            <w:rPr/>
          </w:pPr>
          <w:hyperlink w:anchor="__RefHeading___Toc2974543_2142443653">
            <w:r>
              <w:rPr>
                <w:webHidden/>
                <w:rStyle w:val="IndexLink"/>
                <w:rtl w:val="true"/>
              </w:rPr>
              <w:t>الروايتان الناهيتان عن بيع الغرر</w:t>
            </w:r>
            <w:r>
              <w:rPr>
                <w:rStyle w:val="IndexLink"/>
                <w:rtl w:val="true"/>
              </w:rPr>
              <w:tab/>
            </w:r>
            <w:r>
              <w:rPr>
                <w:rStyle w:val="IndexLink"/>
              </w:rPr>
              <w:t>315</w:t>
            </w:r>
          </w:hyperlink>
        </w:p>
        <w:p>
          <w:pPr>
            <w:pStyle w:val="Contents5"/>
            <w:tabs>
              <w:tab w:val="clear" w:pos="7892"/>
              <w:tab w:val="right" w:pos="9026" w:leader="dot"/>
            </w:tabs>
            <w:rPr/>
          </w:pPr>
          <w:hyperlink w:anchor="__RefHeading___Toc2974545_2142443653">
            <w:r>
              <w:rPr>
                <w:webHidden/>
                <w:rStyle w:val="IndexLink"/>
                <w:rtl w:val="true"/>
              </w:rPr>
              <w:t xml:space="preserve">الاستدلال بحديث </w:t>
            </w:r>
            <w:r>
              <w:rPr>
                <w:rStyle w:val="IndexLink"/>
                <w:rtl w:val="true"/>
              </w:rPr>
              <w:t>«</w:t>
            </w:r>
            <w:r>
              <w:rPr>
                <w:rStyle w:val="IndexLink"/>
                <w:rtl w:val="true"/>
              </w:rPr>
              <w:t>لا تبع</w:t>
            </w:r>
            <w:r>
              <w:rPr>
                <w:rStyle w:val="IndexLink"/>
                <w:rtl w:val="true"/>
              </w:rPr>
              <w:t xml:space="preserve">...» </w:t>
            </w:r>
            <w:r>
              <w:rPr>
                <w:rStyle w:val="IndexLink"/>
                <w:rtl w:val="true"/>
              </w:rPr>
              <w:t>على اعتبار القدرة على التسليم</w:t>
            </w:r>
            <w:r>
              <w:rPr>
                <w:rStyle w:val="IndexLink"/>
                <w:rtl w:val="true"/>
              </w:rPr>
              <w:tab/>
            </w:r>
            <w:r>
              <w:rPr>
                <w:rStyle w:val="IndexLink"/>
              </w:rPr>
              <w:t>317</w:t>
            </w:r>
          </w:hyperlink>
        </w:p>
        <w:p>
          <w:pPr>
            <w:pStyle w:val="Contents5"/>
            <w:tabs>
              <w:tab w:val="clear" w:pos="7892"/>
              <w:tab w:val="right" w:pos="9026" w:leader="dot"/>
            </w:tabs>
            <w:rPr/>
          </w:pPr>
          <w:hyperlink w:anchor="__RefHeading___Toc2974547_2142443653">
            <w:r>
              <w:rPr>
                <w:webHidden/>
                <w:rStyle w:val="IndexLink"/>
                <w:rtl w:val="true"/>
              </w:rPr>
              <w:t>بحث في أنّ المستفاد من الحديثين بطلان العقد أم لا ؟</w:t>
            </w:r>
            <w:r>
              <w:rPr>
                <w:rStyle w:val="IndexLink"/>
                <w:rtl w:val="true"/>
              </w:rPr>
              <w:tab/>
            </w:r>
            <w:r>
              <w:rPr>
                <w:rStyle w:val="IndexLink"/>
              </w:rPr>
              <w:t>322</w:t>
            </w:r>
          </w:hyperlink>
        </w:p>
        <w:p>
          <w:pPr>
            <w:pStyle w:val="Contents5"/>
            <w:tabs>
              <w:tab w:val="clear" w:pos="7892"/>
              <w:tab w:val="right" w:pos="9026" w:leader="dot"/>
            </w:tabs>
            <w:rPr/>
          </w:pPr>
          <w:hyperlink w:anchor="__RefHeading___Toc2974549_2142443653">
            <w:r>
              <w:rPr>
                <w:webHidden/>
                <w:rStyle w:val="IndexLink"/>
                <w:rtl w:val="true"/>
              </w:rPr>
              <w:t>هل القدرة على التسليم شرط أو العجز مانع؟</w:t>
            </w:r>
            <w:r>
              <w:rPr>
                <w:rStyle w:val="IndexLink"/>
                <w:rtl w:val="true"/>
              </w:rPr>
              <w:tab/>
            </w:r>
            <w:r>
              <w:rPr>
                <w:rStyle w:val="IndexLink"/>
              </w:rPr>
              <w:t>326</w:t>
            </w:r>
          </w:hyperlink>
        </w:p>
        <w:p>
          <w:pPr>
            <w:pStyle w:val="Contents5"/>
            <w:tabs>
              <w:tab w:val="clear" w:pos="7892"/>
              <w:tab w:val="right" w:pos="9026" w:leader="dot"/>
            </w:tabs>
            <w:rPr/>
          </w:pPr>
          <w:hyperlink w:anchor="__RefHeading___Toc2974551_2142443653">
            <w:r>
              <w:rPr>
                <w:webHidden/>
                <w:rStyle w:val="IndexLink"/>
                <w:rtl w:val="true"/>
              </w:rPr>
              <w:t>حول كلام الشيخ الأعظم في المقام</w:t>
            </w:r>
            <w:r>
              <w:rPr>
                <w:rStyle w:val="IndexLink"/>
                <w:rtl w:val="true"/>
              </w:rPr>
              <w:tab/>
            </w:r>
            <w:r>
              <w:rPr>
                <w:rStyle w:val="IndexLink"/>
              </w:rPr>
              <w:t>329</w:t>
            </w:r>
          </w:hyperlink>
        </w:p>
        <w:p>
          <w:pPr>
            <w:pStyle w:val="Contents5"/>
            <w:tabs>
              <w:tab w:val="clear" w:pos="7892"/>
              <w:tab w:val="right" w:pos="9026" w:leader="dot"/>
            </w:tabs>
            <w:rPr/>
          </w:pPr>
          <w:hyperlink w:anchor="__RefHeading___Toc2974553_2142443653">
            <w:r>
              <w:rPr>
                <w:webHidden/>
                <w:rStyle w:val="IndexLink"/>
                <w:rtl w:val="true"/>
              </w:rPr>
              <w:t>استظهار القدرة على التسليم من حين العقد</w:t>
            </w:r>
            <w:r>
              <w:rPr>
                <w:rStyle w:val="IndexLink"/>
                <w:rtl w:val="true"/>
              </w:rPr>
              <w:tab/>
            </w:r>
            <w:r>
              <w:rPr>
                <w:rStyle w:val="IndexLink"/>
              </w:rPr>
              <w:t>333</w:t>
            </w:r>
          </w:hyperlink>
        </w:p>
        <w:p>
          <w:pPr>
            <w:pStyle w:val="Contents5"/>
            <w:tabs>
              <w:tab w:val="clear" w:pos="7892"/>
              <w:tab w:val="right" w:pos="9026" w:leader="dot"/>
            </w:tabs>
            <w:rPr/>
          </w:pPr>
          <w:hyperlink w:anchor="__RefHeading___Toc2974555_2142443653">
            <w:r>
              <w:rPr>
                <w:webHidden/>
                <w:rStyle w:val="IndexLink"/>
                <w:rtl w:val="true"/>
              </w:rPr>
              <w:t>اعتبار العلم بالقدرة على التسلّم لو كان المستند حديث الغرر</w:t>
            </w:r>
            <w:r>
              <w:rPr>
                <w:rStyle w:val="IndexLink"/>
                <w:rtl w:val="true"/>
              </w:rPr>
              <w:tab/>
            </w:r>
            <w:r>
              <w:rPr>
                <w:rStyle w:val="IndexLink"/>
              </w:rPr>
              <w:t>335</w:t>
            </w:r>
          </w:hyperlink>
        </w:p>
        <w:p>
          <w:pPr>
            <w:pStyle w:val="Contents5"/>
            <w:tabs>
              <w:tab w:val="clear" w:pos="7892"/>
              <w:tab w:val="right" w:pos="9026" w:leader="dot"/>
            </w:tabs>
            <w:rPr/>
          </w:pPr>
          <w:hyperlink w:anchor="__RefHeading___Toc2974557_2142443653">
            <w:r>
              <w:rPr>
                <w:webHidden/>
                <w:rStyle w:val="IndexLink"/>
                <w:rtl w:val="true"/>
              </w:rPr>
              <w:t>جواب الإشكال عن اعتبار القدرة على التسليم في الفضولي</w:t>
            </w:r>
            <w:r>
              <w:rPr>
                <w:rStyle w:val="IndexLink"/>
                <w:rtl w:val="true"/>
              </w:rPr>
              <w:tab/>
            </w:r>
            <w:r>
              <w:rPr>
                <w:rStyle w:val="IndexLink"/>
              </w:rPr>
              <w:t>337</w:t>
            </w:r>
          </w:hyperlink>
        </w:p>
        <w:p>
          <w:pPr>
            <w:pStyle w:val="Contents5"/>
            <w:tabs>
              <w:tab w:val="clear" w:pos="7892"/>
              <w:tab w:val="right" w:pos="9026" w:leader="dot"/>
            </w:tabs>
            <w:rPr/>
          </w:pPr>
          <w:hyperlink w:anchor="__RefHeading___Toc2974559_2142443653">
            <w:r>
              <w:rPr>
                <w:webHidden/>
                <w:rStyle w:val="IndexLink"/>
                <w:rtl w:val="true"/>
              </w:rPr>
              <w:t>هل تعتبر القدرة على التسليم في الصرف والسلم؟</w:t>
            </w:r>
            <w:r>
              <w:rPr>
                <w:rStyle w:val="IndexLink"/>
                <w:rtl w:val="true"/>
              </w:rPr>
              <w:tab/>
            </w:r>
            <w:r>
              <w:rPr>
                <w:rStyle w:val="IndexLink"/>
              </w:rPr>
              <w:t>339</w:t>
            </w:r>
          </w:hyperlink>
        </w:p>
        <w:p>
          <w:pPr>
            <w:pStyle w:val="Contents5"/>
            <w:tabs>
              <w:tab w:val="clear" w:pos="7892"/>
              <w:tab w:val="right" w:pos="9026" w:leader="dot"/>
            </w:tabs>
            <w:rPr/>
          </w:pPr>
          <w:hyperlink w:anchor="__RefHeading___Toc2974561_2142443653">
            <w:r>
              <w:rPr>
                <w:webHidden/>
                <w:rStyle w:val="IndexLink"/>
                <w:rtl w:val="true"/>
              </w:rPr>
              <w:t>بطلان كون الشرط هو القدرة المعلومة</w:t>
            </w:r>
            <w:r>
              <w:rPr>
                <w:rStyle w:val="IndexLink"/>
                <w:rtl w:val="true"/>
              </w:rPr>
              <w:tab/>
            </w:r>
            <w:r>
              <w:rPr>
                <w:rStyle w:val="IndexLink"/>
              </w:rPr>
              <w:t>343</w:t>
            </w:r>
          </w:hyperlink>
        </w:p>
        <w:p>
          <w:pPr>
            <w:pStyle w:val="Contents5"/>
            <w:tabs>
              <w:tab w:val="clear" w:pos="7892"/>
              <w:tab w:val="right" w:pos="9026" w:leader="dot"/>
            </w:tabs>
            <w:rPr/>
          </w:pPr>
          <w:hyperlink w:anchor="__RefHeading___Toc2974563_2142443653">
            <w:r>
              <w:rPr>
                <w:webHidden/>
                <w:rStyle w:val="IndexLink"/>
                <w:rtl w:val="true"/>
              </w:rPr>
              <w:t>حكم بيع الآبق</w:t>
            </w:r>
            <w:r>
              <w:rPr>
                <w:rStyle w:val="IndexLink"/>
                <w:rtl w:val="true"/>
              </w:rPr>
              <w:tab/>
            </w:r>
            <w:r>
              <w:rPr>
                <w:rStyle w:val="IndexLink"/>
              </w:rPr>
              <w:t>346</w:t>
            </w:r>
          </w:hyperlink>
        </w:p>
        <w:p>
          <w:pPr>
            <w:pStyle w:val="Contents5"/>
            <w:tabs>
              <w:tab w:val="clear" w:pos="7892"/>
              <w:tab w:val="right" w:pos="9026" w:leader="dot"/>
            </w:tabs>
            <w:rPr/>
          </w:pPr>
          <w:hyperlink w:anchor="__RefHeading___Toc2974565_2142443653">
            <w:r>
              <w:rPr>
                <w:webHidden/>
                <w:rStyle w:val="IndexLink"/>
                <w:rtl w:val="true"/>
              </w:rPr>
              <w:t>محتملات موثّقة سَماعة وبيان الحقّ منها</w:t>
            </w:r>
            <w:r>
              <w:rPr>
                <w:rStyle w:val="IndexLink"/>
                <w:rtl w:val="true"/>
              </w:rPr>
              <w:tab/>
            </w:r>
            <w:r>
              <w:rPr>
                <w:rStyle w:val="IndexLink"/>
              </w:rPr>
              <w:t>349</w:t>
            </w:r>
          </w:hyperlink>
        </w:p>
        <w:p>
          <w:pPr>
            <w:pStyle w:val="Contents5"/>
            <w:tabs>
              <w:tab w:val="clear" w:pos="7892"/>
              <w:tab w:val="right" w:pos="9026" w:leader="dot"/>
            </w:tabs>
            <w:rPr/>
          </w:pPr>
          <w:hyperlink w:anchor="__RefHeading___Toc2974567_2142443653">
            <w:r>
              <w:rPr>
                <w:webHidden/>
                <w:rStyle w:val="IndexLink"/>
                <w:rtl w:val="true"/>
              </w:rPr>
              <w:t>صحيحة النخّاس ومحتملاتها</w:t>
            </w:r>
            <w:r>
              <w:rPr>
                <w:rStyle w:val="IndexLink"/>
                <w:rtl w:val="true"/>
              </w:rPr>
              <w:tab/>
            </w:r>
            <w:r>
              <w:rPr>
                <w:rStyle w:val="IndexLink"/>
              </w:rPr>
              <w:t>353</w:t>
            </w:r>
          </w:hyperlink>
        </w:p>
        <w:p>
          <w:pPr>
            <w:pStyle w:val="Contents5"/>
            <w:tabs>
              <w:tab w:val="clear" w:pos="7892"/>
              <w:tab w:val="right" w:pos="9026" w:leader="dot"/>
            </w:tabs>
            <w:rPr/>
          </w:pPr>
          <w:hyperlink w:anchor="__RefHeading___Toc2974569_2142443653">
            <w:r>
              <w:rPr>
                <w:webHidden/>
                <w:rStyle w:val="IndexLink"/>
                <w:rtl w:val="true"/>
              </w:rPr>
              <w:t>صحّة بيع الآبق مع الضميمة إن كانت السلعة واحدة</w:t>
            </w:r>
            <w:r>
              <w:rPr>
                <w:rStyle w:val="IndexLink"/>
                <w:rtl w:val="true"/>
              </w:rPr>
              <w:tab/>
            </w:r>
            <w:r>
              <w:rPr>
                <w:rStyle w:val="IndexLink"/>
              </w:rPr>
              <w:t>356</w:t>
            </w:r>
          </w:hyperlink>
        </w:p>
        <w:p>
          <w:pPr>
            <w:pStyle w:val="Contents5"/>
            <w:tabs>
              <w:tab w:val="clear" w:pos="7892"/>
              <w:tab w:val="right" w:pos="9026" w:leader="dot"/>
            </w:tabs>
            <w:rPr/>
          </w:pPr>
          <w:hyperlink w:anchor="__RefHeading___Toc2974571_2142443653">
            <w:r>
              <w:rPr>
                <w:webHidden/>
                <w:rStyle w:val="IndexLink"/>
                <w:rtl w:val="true"/>
              </w:rPr>
              <w:t xml:space="preserve">النسبة بين روايتي النخّاس وسماعة وبين حديث </w:t>
            </w:r>
            <w:r>
              <w:rPr>
                <w:rStyle w:val="IndexLink"/>
                <w:rtl w:val="true"/>
              </w:rPr>
              <w:t>«</w:t>
            </w:r>
            <w:r>
              <w:rPr>
                <w:rStyle w:val="IndexLink"/>
                <w:rtl w:val="true"/>
              </w:rPr>
              <w:t xml:space="preserve">كلّ مبيع </w:t>
            </w:r>
            <w:r>
              <w:rPr>
                <w:rStyle w:val="IndexLink"/>
                <w:rtl w:val="true"/>
              </w:rPr>
              <w:t>. . . »</w:t>
              <w:tab/>
            </w:r>
            <w:r>
              <w:rPr>
                <w:rStyle w:val="IndexLink"/>
              </w:rPr>
              <w:t>357</w:t>
            </w:r>
          </w:hyperlink>
        </w:p>
        <w:p>
          <w:pPr>
            <w:pStyle w:val="Contents5"/>
            <w:tabs>
              <w:tab w:val="clear" w:pos="7892"/>
              <w:tab w:val="right" w:pos="9026" w:leader="dot"/>
            </w:tabs>
            <w:rPr/>
          </w:pPr>
          <w:hyperlink w:anchor="__RefHeading___Toc2974573_2142443653">
            <w:r>
              <w:rPr>
                <w:webHidden/>
                <w:rStyle w:val="IndexLink"/>
                <w:rtl w:val="true"/>
              </w:rPr>
              <w:t>اعتبار القدرة في جميع المعاملات</w:t>
            </w:r>
            <w:r>
              <w:rPr>
                <w:rStyle w:val="IndexLink"/>
                <w:rtl w:val="true"/>
              </w:rPr>
              <w:tab/>
            </w:r>
            <w:r>
              <w:rPr>
                <w:rStyle w:val="IndexLink"/>
              </w:rPr>
              <w:t>358</w:t>
            </w:r>
          </w:hyperlink>
        </w:p>
        <w:p>
          <w:pPr>
            <w:pStyle w:val="Contents3"/>
            <w:tabs>
              <w:tab w:val="clear" w:pos="8459"/>
              <w:tab w:val="right" w:pos="9026" w:leader="dot"/>
            </w:tabs>
            <w:rPr/>
          </w:pPr>
          <w:hyperlink w:anchor="__RefHeading___Toc2974575_2142443653">
            <w:r>
              <w:rPr>
                <w:webHidden/>
                <w:rStyle w:val="IndexLink"/>
                <w:rtl w:val="true"/>
              </w:rPr>
              <w:t>الشرط الرابع</w:t>
            </w:r>
            <w:r>
              <w:rPr>
                <w:rStyle w:val="IndexLink"/>
                <w:rtl w:val="true"/>
              </w:rPr>
              <w:t xml:space="preserve">: </w:t>
            </w:r>
            <w:r>
              <w:rPr>
                <w:rStyle w:val="IndexLink"/>
                <w:rtl w:val="true"/>
              </w:rPr>
              <w:t>العلم بقدر الثمن والمثمن</w:t>
            </w:r>
            <w:r>
              <w:rPr>
                <w:rStyle w:val="IndexLink"/>
                <w:rtl w:val="true"/>
              </w:rPr>
              <w:tab/>
            </w:r>
            <w:r>
              <w:rPr>
                <w:rStyle w:val="IndexLink"/>
              </w:rPr>
              <w:t>361</w:t>
            </w:r>
          </w:hyperlink>
        </w:p>
        <w:p>
          <w:pPr>
            <w:pStyle w:val="Contents4"/>
            <w:tabs>
              <w:tab w:val="clear" w:pos="8176"/>
              <w:tab w:val="right" w:pos="9026" w:leader="dot"/>
            </w:tabs>
            <w:rPr/>
          </w:pPr>
          <w:hyperlink w:anchor="__RefHeading___Toc2974577_2142443653">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2974579_2142443653">
            <w:r>
              <w:rPr>
                <w:webHidden/>
                <w:rStyle w:val="IndexLink"/>
                <w:rtl w:val="true"/>
              </w:rPr>
              <w:t>مسألة في العلم بقدر الثمن</w:t>
            </w:r>
            <w:r>
              <w:rPr>
                <w:rStyle w:val="IndexLink"/>
                <w:rtl w:val="true"/>
              </w:rPr>
              <w:tab/>
            </w:r>
            <w:r>
              <w:rPr>
                <w:rStyle w:val="IndexLink"/>
              </w:rPr>
              <w:t>363</w:t>
            </w:r>
          </w:hyperlink>
        </w:p>
        <w:p>
          <w:pPr>
            <w:pStyle w:val="Contents5"/>
            <w:tabs>
              <w:tab w:val="clear" w:pos="7892"/>
              <w:tab w:val="right" w:pos="9026" w:leader="dot"/>
            </w:tabs>
            <w:rPr/>
          </w:pPr>
          <w:hyperlink w:anchor="__RefHeading___Toc2974581_2142443653">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2974583_2142443653">
            <w:r>
              <w:rPr>
                <w:webHidden/>
                <w:rStyle w:val="IndexLink"/>
                <w:rtl w:val="true"/>
              </w:rPr>
              <w:t xml:space="preserve">أنّ هنا مسألتين، لكلّ منهما مأخذ خاصّ ، وقد وقع الخلط فيهما وفي مأخذهما </w:t>
            </w:r>
            <w:r>
              <w:rPr>
                <w:rStyle w:val="IndexLink"/>
                <w:rtl w:val="true"/>
              </w:rPr>
              <w:t>:</w:t>
              <w:tab/>
            </w:r>
            <w:r>
              <w:rPr>
                <w:rStyle w:val="IndexLink"/>
              </w:rPr>
              <w:t>363</w:t>
            </w:r>
          </w:hyperlink>
        </w:p>
        <w:p>
          <w:pPr>
            <w:pStyle w:val="Contents6"/>
            <w:tabs>
              <w:tab w:val="clear" w:pos="7609"/>
              <w:tab w:val="right" w:pos="9026" w:leader="dot"/>
            </w:tabs>
            <w:rPr/>
          </w:pPr>
          <w:hyperlink w:anchor="__RefHeading___Toc2974585_2142443653">
            <w:r>
              <w:rPr>
                <w:webHidden/>
                <w:rStyle w:val="IndexLink"/>
                <w:rtl w:val="true"/>
              </w:rPr>
              <w:t>الاُولى</w:t>
            </w:r>
            <w:r>
              <w:rPr>
                <w:rStyle w:val="IndexLink"/>
                <w:rtl w:val="true"/>
              </w:rPr>
              <w:t xml:space="preserve">: </w:t>
            </w:r>
            <w:r>
              <w:rPr>
                <w:rStyle w:val="IndexLink"/>
                <w:rtl w:val="true"/>
              </w:rPr>
              <w:t>اشتراط العلم بالثمن قدراً</w:t>
            </w:r>
            <w:r>
              <w:rPr>
                <w:rStyle w:val="IndexLink"/>
                <w:rtl w:val="true"/>
              </w:rPr>
              <w:tab/>
            </w:r>
            <w:r>
              <w:rPr>
                <w:rStyle w:val="IndexLink"/>
              </w:rPr>
              <w:t>363</w:t>
            </w:r>
          </w:hyperlink>
        </w:p>
        <w:p>
          <w:pPr>
            <w:pStyle w:val="Contents6"/>
            <w:tabs>
              <w:tab w:val="clear" w:pos="7609"/>
              <w:tab w:val="right" w:pos="9026" w:leader="dot"/>
            </w:tabs>
            <w:rPr/>
          </w:pPr>
          <w:hyperlink w:anchor="__RefHeading___Toc2974587_2142443653">
            <w:r>
              <w:rPr>
                <w:webHidden/>
                <w:rStyle w:val="IndexLink"/>
                <w:rtl w:val="true"/>
              </w:rPr>
              <w:t>الثانية</w:t>
            </w:r>
            <w:r>
              <w:rPr>
                <w:rStyle w:val="IndexLink"/>
                <w:rtl w:val="true"/>
              </w:rPr>
              <w:t xml:space="preserve">: </w:t>
            </w:r>
            <w:r>
              <w:rPr>
                <w:rStyle w:val="IndexLink"/>
                <w:rtl w:val="true"/>
              </w:rPr>
              <w:t>ما إذا لم يذكر الثمن في عقد البيع</w:t>
            </w:r>
            <w:r>
              <w:rPr>
                <w:rStyle w:val="IndexLink"/>
                <w:rtl w:val="true"/>
              </w:rPr>
              <w:tab/>
            </w:r>
            <w:r>
              <w:rPr>
                <w:rStyle w:val="IndexLink"/>
              </w:rPr>
              <w:t>367</w:t>
            </w:r>
          </w:hyperlink>
        </w:p>
        <w:p>
          <w:pPr>
            <w:pStyle w:val="Contents6"/>
            <w:tabs>
              <w:tab w:val="clear" w:pos="7609"/>
              <w:tab w:val="right" w:pos="9026" w:leader="dot"/>
            </w:tabs>
            <w:rPr/>
          </w:pPr>
          <w:hyperlink w:anchor="__RefHeading___Toc2974589_2142443653">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2974591_2142443653">
            <w:r>
              <w:rPr>
                <w:webHidden/>
                <w:rStyle w:val="IndexLink"/>
                <w:rtl w:val="true"/>
              </w:rPr>
              <w:t>تأويلات صحيحة النخّاس</w:t>
            </w:r>
            <w:r>
              <w:rPr>
                <w:rStyle w:val="IndexLink"/>
                <w:rtl w:val="true"/>
              </w:rPr>
              <w:tab/>
            </w:r>
            <w:r>
              <w:rPr>
                <w:rStyle w:val="IndexLink"/>
              </w:rPr>
              <w:t>369</w:t>
            </w:r>
          </w:hyperlink>
        </w:p>
        <w:p>
          <w:pPr>
            <w:pStyle w:val="Contents4"/>
            <w:tabs>
              <w:tab w:val="clear" w:pos="8176"/>
              <w:tab w:val="right" w:pos="9026" w:leader="dot"/>
            </w:tabs>
            <w:rPr/>
          </w:pPr>
          <w:hyperlink w:anchor="__RefHeading___Toc2974593_2142443653">
            <w:r>
              <w:rPr>
                <w:webHidden/>
                <w:rStyle w:val="IndexLink"/>
                <w:rtl w:val="true"/>
              </w:rPr>
              <w:t>مسألة في العلم بقدر المثمن</w:t>
            </w:r>
            <w:r>
              <w:rPr>
                <w:rStyle w:val="IndexLink"/>
                <w:rtl w:val="true"/>
              </w:rPr>
              <w:tab/>
            </w:r>
            <w:r>
              <w:rPr>
                <w:rStyle w:val="IndexLink"/>
              </w:rPr>
              <w:t>371</w:t>
            </w:r>
          </w:hyperlink>
        </w:p>
        <w:p>
          <w:pPr>
            <w:pStyle w:val="Contents5"/>
            <w:tabs>
              <w:tab w:val="clear" w:pos="7892"/>
              <w:tab w:val="right" w:pos="9026" w:leader="dot"/>
            </w:tabs>
            <w:rPr/>
          </w:pPr>
          <w:hyperlink w:anchor="__RefHeading___Toc2974595_2142443653">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2974597_2142443653">
            <w:r>
              <w:rPr>
                <w:webHidden/>
                <w:rStyle w:val="IndexLink"/>
                <w:rtl w:val="true"/>
              </w:rPr>
              <w:t>الكلام في ذيل صحيحة الحلبي</w:t>
            </w:r>
            <w:r>
              <w:rPr>
                <w:rStyle w:val="IndexLink"/>
                <w:rtl w:val="true"/>
              </w:rPr>
              <w:tab/>
            </w:r>
            <w:r>
              <w:rPr>
                <w:rStyle w:val="IndexLink"/>
              </w:rPr>
              <w:t>373</w:t>
            </w:r>
          </w:hyperlink>
        </w:p>
        <w:p>
          <w:pPr>
            <w:pStyle w:val="Contents5"/>
            <w:tabs>
              <w:tab w:val="clear" w:pos="7892"/>
              <w:tab w:val="right" w:pos="9026" w:leader="dot"/>
            </w:tabs>
            <w:rPr/>
          </w:pPr>
          <w:hyperlink w:anchor="__RefHeading___Toc2974599_2142443653">
            <w:r>
              <w:rPr>
                <w:webHidden/>
                <w:rStyle w:val="IndexLink"/>
                <w:rtl w:val="true"/>
              </w:rPr>
              <w:t>الاستدلال بروايات اُخرى على اعتبار العلم بقدر المثمن</w:t>
            </w:r>
            <w:r>
              <w:rPr>
                <w:rStyle w:val="IndexLink"/>
                <w:rtl w:val="true"/>
              </w:rPr>
              <w:tab/>
            </w:r>
            <w:r>
              <w:rPr>
                <w:rStyle w:val="IndexLink"/>
              </w:rPr>
              <w:t>376</w:t>
            </w:r>
          </w:hyperlink>
        </w:p>
        <w:p>
          <w:pPr>
            <w:pStyle w:val="Contents5"/>
            <w:tabs>
              <w:tab w:val="clear" w:pos="7892"/>
              <w:tab w:val="right" w:pos="9026" w:leader="dot"/>
            </w:tabs>
            <w:rPr/>
          </w:pPr>
          <w:hyperlink w:anchor="__RefHeading___Toc2974601_2142443653">
            <w:r>
              <w:rPr>
                <w:webHidden/>
                <w:rStyle w:val="IndexLink"/>
                <w:rtl w:val="true"/>
              </w:rPr>
              <w:t>لزوم الأخذ بعنواني الغرر والمجازفة</w:t>
            </w:r>
            <w:r>
              <w:rPr>
                <w:rStyle w:val="IndexLink"/>
                <w:rtl w:val="true"/>
              </w:rPr>
              <w:tab/>
            </w:r>
            <w:r>
              <w:rPr>
                <w:rStyle w:val="IndexLink"/>
              </w:rPr>
              <w:t>379</w:t>
            </w:r>
          </w:hyperlink>
        </w:p>
        <w:p>
          <w:pPr>
            <w:pStyle w:val="Contents5"/>
            <w:tabs>
              <w:tab w:val="clear" w:pos="7892"/>
              <w:tab w:val="right" w:pos="9026" w:leader="dot"/>
            </w:tabs>
            <w:rPr/>
          </w:pPr>
          <w:hyperlink w:anchor="__RefHeading___Toc2974603_2142443653">
            <w:r>
              <w:rPr>
                <w:webHidden/>
                <w:rStyle w:val="IndexLink"/>
                <w:rtl w:val="true"/>
              </w:rPr>
              <w:t>المراد من بيع المجازفة</w:t>
            </w:r>
            <w:r>
              <w:rPr>
                <w:rStyle w:val="IndexLink"/>
                <w:rtl w:val="true"/>
              </w:rPr>
              <w:tab/>
            </w:r>
            <w:r>
              <w:rPr>
                <w:rStyle w:val="IndexLink"/>
              </w:rPr>
              <w:t>382</w:t>
            </w:r>
          </w:hyperlink>
        </w:p>
        <w:p>
          <w:pPr>
            <w:pStyle w:val="Contents5"/>
            <w:tabs>
              <w:tab w:val="clear" w:pos="7892"/>
              <w:tab w:val="right" w:pos="9026" w:leader="dot"/>
            </w:tabs>
            <w:rPr/>
          </w:pPr>
          <w:hyperlink w:anchor="__RefHeading___Toc2974605_2142443653">
            <w:r>
              <w:rPr>
                <w:webHidden/>
                <w:rStyle w:val="IndexLink"/>
                <w:rtl w:val="true"/>
              </w:rPr>
              <w:t>جواز بيع المكيل بالوزن وبالعكس</w:t>
            </w:r>
            <w:r>
              <w:rPr>
                <w:rStyle w:val="IndexLink"/>
                <w:rtl w:val="true"/>
              </w:rPr>
              <w:tab/>
            </w:r>
            <w:r>
              <w:rPr>
                <w:rStyle w:val="IndexLink"/>
              </w:rPr>
              <w:t>384</w:t>
            </w:r>
          </w:hyperlink>
        </w:p>
        <w:p>
          <w:pPr>
            <w:pStyle w:val="Contents5"/>
            <w:tabs>
              <w:tab w:val="clear" w:pos="7892"/>
              <w:tab w:val="right" w:pos="9026" w:leader="dot"/>
            </w:tabs>
            <w:rPr/>
          </w:pPr>
          <w:hyperlink w:anchor="__RefHeading___Toc2974607_2142443653">
            <w:r>
              <w:rPr>
                <w:webHidden/>
                <w:rStyle w:val="IndexLink"/>
                <w:rtl w:val="true"/>
              </w:rPr>
              <w:t>جواز التبديل بشرط التعارف</w:t>
            </w:r>
            <w:r>
              <w:rPr>
                <w:rStyle w:val="IndexLink"/>
                <w:rtl w:val="true"/>
              </w:rPr>
              <w:tab/>
            </w:r>
            <w:r>
              <w:rPr>
                <w:rStyle w:val="IndexLink"/>
              </w:rPr>
              <w:t>387</w:t>
            </w:r>
          </w:hyperlink>
        </w:p>
        <w:p>
          <w:pPr>
            <w:pStyle w:val="Contents5"/>
            <w:tabs>
              <w:tab w:val="clear" w:pos="7892"/>
              <w:tab w:val="right" w:pos="9026" w:leader="dot"/>
            </w:tabs>
            <w:rPr/>
          </w:pPr>
          <w:hyperlink w:anchor="__RefHeading___Toc2974609_2142443653">
            <w:r>
              <w:rPr>
                <w:webHidden/>
                <w:rStyle w:val="IndexLink"/>
                <w:rtl w:val="true"/>
              </w:rPr>
              <w:t>اختلاف المقاييس باختلاف الأمتعة</w:t>
            </w:r>
            <w:r>
              <w:rPr>
                <w:rStyle w:val="IndexLink"/>
                <w:rtl w:val="true"/>
              </w:rPr>
              <w:tab/>
            </w:r>
            <w:r>
              <w:rPr>
                <w:rStyle w:val="IndexLink"/>
              </w:rPr>
              <w:t>389</w:t>
            </w:r>
          </w:hyperlink>
        </w:p>
        <w:p>
          <w:pPr>
            <w:pStyle w:val="Contents5"/>
            <w:tabs>
              <w:tab w:val="clear" w:pos="7892"/>
              <w:tab w:val="right" w:pos="9026" w:leader="dot"/>
            </w:tabs>
            <w:rPr/>
          </w:pPr>
          <w:hyperlink w:anchor="__RefHeading___Toc2974611_2142443653">
            <w:r>
              <w:rPr>
                <w:webHidden/>
                <w:rStyle w:val="IndexLink"/>
                <w:rtl w:val="true"/>
              </w:rPr>
              <w:t>هل المناط في المكيلية والموزونية بعصر النبي صلي الله عليه و آله وسلم</w:t>
            </w:r>
            <w:r>
              <w:rPr>
                <w:rStyle w:val="IndexLink"/>
                <w:rtl w:val="true"/>
              </w:rPr>
              <w:tab/>
            </w:r>
            <w:r>
              <w:rPr>
                <w:rStyle w:val="IndexLink"/>
              </w:rPr>
              <w:t>391</w:t>
            </w:r>
          </w:hyperlink>
        </w:p>
        <w:p>
          <w:pPr>
            <w:pStyle w:val="Contents5"/>
            <w:tabs>
              <w:tab w:val="clear" w:pos="7892"/>
              <w:tab w:val="right" w:pos="9026" w:leader="dot"/>
            </w:tabs>
            <w:rPr/>
          </w:pPr>
          <w:hyperlink w:anchor="__RefHeading___Toc2974613_2142443653">
            <w:r>
              <w:rPr>
                <w:webHidden/>
                <w:rStyle w:val="IndexLink"/>
                <w:rtl w:val="true"/>
              </w:rPr>
              <w:t>موضوعية المكيل والموزون إثباتاً</w:t>
            </w:r>
            <w:r>
              <w:rPr>
                <w:rStyle w:val="IndexLink"/>
                <w:rtl w:val="true"/>
              </w:rPr>
              <w:tab/>
            </w:r>
            <w:r>
              <w:rPr>
                <w:rStyle w:val="IndexLink"/>
              </w:rPr>
              <w:t>395</w:t>
            </w:r>
          </w:hyperlink>
        </w:p>
        <w:p>
          <w:pPr>
            <w:pStyle w:val="Contents5"/>
            <w:tabs>
              <w:tab w:val="clear" w:pos="7892"/>
              <w:tab w:val="right" w:pos="9026" w:leader="dot"/>
            </w:tabs>
            <w:rPr/>
          </w:pPr>
          <w:hyperlink w:anchor="__RefHeading___Toc2974615_2142443653">
            <w:r>
              <w:rPr>
                <w:webHidden/>
                <w:rStyle w:val="IndexLink"/>
                <w:rtl w:val="true"/>
              </w:rPr>
              <w:t>حكم الشكّ في المكيلية والموزونية</w:t>
            </w:r>
            <w:r>
              <w:rPr>
                <w:rStyle w:val="IndexLink"/>
                <w:rtl w:val="true"/>
              </w:rPr>
              <w:tab/>
            </w:r>
            <w:r>
              <w:rPr>
                <w:rStyle w:val="IndexLink"/>
              </w:rPr>
              <w:t>399</w:t>
            </w:r>
          </w:hyperlink>
        </w:p>
        <w:p>
          <w:pPr>
            <w:pStyle w:val="Contents4"/>
            <w:tabs>
              <w:tab w:val="clear" w:pos="8176"/>
              <w:tab w:val="right" w:pos="9026" w:leader="dot"/>
            </w:tabs>
            <w:rPr/>
          </w:pPr>
          <w:hyperlink w:anchor="__RefHeading___Toc2974617_2142443653">
            <w:r>
              <w:rPr>
                <w:webHidden/>
                <w:rStyle w:val="IndexLink"/>
                <w:rtl w:val="true"/>
              </w:rPr>
              <w:t>مسألة في جواز الاعتماد على إخبار البائع بمقدار المبيع</w:t>
            </w:r>
            <w:r>
              <w:rPr>
                <w:rStyle w:val="IndexLink"/>
                <w:rtl w:val="true"/>
              </w:rPr>
              <w:tab/>
            </w:r>
            <w:r>
              <w:rPr>
                <w:rStyle w:val="IndexLink"/>
              </w:rPr>
              <w:t>406</w:t>
            </w:r>
          </w:hyperlink>
        </w:p>
        <w:p>
          <w:pPr>
            <w:pStyle w:val="Contents5"/>
            <w:tabs>
              <w:tab w:val="clear" w:pos="7892"/>
              <w:tab w:val="right" w:pos="9026" w:leader="dot"/>
            </w:tabs>
            <w:rPr/>
          </w:pPr>
          <w:hyperlink w:anchor="__RefHeading___Toc2974619_2142443653">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2974621_2142443653">
            <w:r>
              <w:rPr>
                <w:webHidden/>
                <w:rStyle w:val="IndexLink"/>
                <w:rtl w:val="true"/>
              </w:rPr>
              <w:t>هل أنّ إخبار البائع بالكيل يوجب صحّة المعاملة ؟</w:t>
            </w:r>
            <w:r>
              <w:rPr>
                <w:rStyle w:val="IndexLink"/>
                <w:rtl w:val="true"/>
              </w:rPr>
              <w:tab/>
            </w:r>
            <w:r>
              <w:rPr>
                <w:rStyle w:val="IndexLink"/>
              </w:rPr>
              <w:t>412</w:t>
            </w:r>
          </w:hyperlink>
        </w:p>
        <w:p>
          <w:pPr>
            <w:pStyle w:val="Contents5"/>
            <w:tabs>
              <w:tab w:val="clear" w:pos="7892"/>
              <w:tab w:val="right" w:pos="9026" w:leader="dot"/>
            </w:tabs>
            <w:rPr/>
          </w:pPr>
          <w:hyperlink w:anchor="__RefHeading___Toc2974623_2142443653">
            <w:r>
              <w:rPr>
                <w:webHidden/>
                <w:rStyle w:val="IndexLink"/>
                <w:rtl w:val="true"/>
              </w:rPr>
              <w:t>بحث في روايات الباب ثبوتاً وإثباتاً</w:t>
            </w:r>
            <w:r>
              <w:rPr>
                <w:rStyle w:val="IndexLink"/>
                <w:rtl w:val="true"/>
              </w:rPr>
              <w:tab/>
            </w:r>
            <w:r>
              <w:rPr>
                <w:rStyle w:val="IndexLink"/>
              </w:rPr>
              <w:t>414</w:t>
            </w:r>
          </w:hyperlink>
        </w:p>
        <w:p>
          <w:pPr>
            <w:pStyle w:val="Contents5"/>
            <w:tabs>
              <w:tab w:val="clear" w:pos="7892"/>
              <w:tab w:val="right" w:pos="9026" w:leader="dot"/>
            </w:tabs>
            <w:rPr/>
          </w:pPr>
          <w:hyperlink w:anchor="__RefHeading___Toc2974625_2142443653">
            <w:r>
              <w:rPr>
                <w:webHidden/>
                <w:rStyle w:val="IndexLink"/>
                <w:rtl w:val="true"/>
              </w:rPr>
              <w:t>حكم مخالفة قول البائع للواقع</w:t>
            </w:r>
            <w:r>
              <w:rPr>
                <w:rStyle w:val="IndexLink"/>
                <w:rtl w:val="true"/>
              </w:rPr>
              <w:tab/>
            </w:r>
            <w:r>
              <w:rPr>
                <w:rStyle w:val="IndexLink"/>
              </w:rPr>
              <w:t>418</w:t>
            </w:r>
          </w:hyperlink>
        </w:p>
        <w:p>
          <w:pPr>
            <w:pStyle w:val="Contents5"/>
            <w:tabs>
              <w:tab w:val="clear" w:pos="7892"/>
              <w:tab w:val="right" w:pos="9026" w:leader="dot"/>
            </w:tabs>
            <w:rPr/>
          </w:pPr>
          <w:hyperlink w:anchor="__RefHeading___Toc2974627_2142443653">
            <w:r>
              <w:rPr>
                <w:webHidden/>
                <w:rStyle w:val="IndexLink"/>
                <w:rtl w:val="true"/>
              </w:rPr>
              <w:t>ثبوت خيار التبعّض عند كذب البائع</w:t>
            </w:r>
            <w:r>
              <w:rPr>
                <w:rStyle w:val="IndexLink"/>
                <w:rtl w:val="true"/>
              </w:rPr>
              <w:tab/>
            </w:r>
            <w:r>
              <w:rPr>
                <w:rStyle w:val="IndexLink"/>
              </w:rPr>
              <w:t>422</w:t>
            </w:r>
          </w:hyperlink>
        </w:p>
        <w:p>
          <w:pPr>
            <w:pStyle w:val="Contents4"/>
            <w:tabs>
              <w:tab w:val="clear" w:pos="8176"/>
              <w:tab w:val="right" w:pos="9026" w:leader="dot"/>
            </w:tabs>
            <w:rPr/>
          </w:pPr>
          <w:hyperlink w:anchor="__RefHeading___Toc2974629_2142443653">
            <w:r>
              <w:rPr>
                <w:webHidden/>
                <w:rStyle w:val="IndexLink"/>
                <w:rtl w:val="true"/>
              </w:rPr>
              <w:t>مسألة في كفاية المشاهدة في مختلف الأجزاء</w:t>
            </w:r>
            <w:r>
              <w:rPr>
                <w:rStyle w:val="IndexLink"/>
                <w:rtl w:val="true"/>
              </w:rPr>
              <w:tab/>
            </w:r>
            <w:r>
              <w:rPr>
                <w:rStyle w:val="IndexLink"/>
              </w:rPr>
              <w:t>424</w:t>
            </w:r>
          </w:hyperlink>
        </w:p>
        <w:p>
          <w:pPr>
            <w:pStyle w:val="Contents4"/>
            <w:tabs>
              <w:tab w:val="clear" w:pos="8176"/>
              <w:tab w:val="right" w:pos="9026" w:leader="dot"/>
            </w:tabs>
            <w:rPr/>
          </w:pPr>
          <w:hyperlink w:anchor="__RefHeading___Toc2974631_2142443653">
            <w:r>
              <w:rPr>
                <w:webHidden/>
                <w:rStyle w:val="IndexLink"/>
                <w:rtl w:val="true"/>
              </w:rPr>
              <w:t>مسألة في الوجوه المتصوّرة في بيع بعضٍ من جملةٍ متساوية الأجزاء</w:t>
            </w:r>
            <w:r>
              <w:rPr>
                <w:rStyle w:val="IndexLink"/>
                <w:rtl w:val="true"/>
              </w:rPr>
              <w:tab/>
            </w:r>
            <w:r>
              <w:rPr>
                <w:rStyle w:val="IndexLink"/>
              </w:rPr>
              <w:t>429</w:t>
            </w:r>
          </w:hyperlink>
        </w:p>
        <w:p>
          <w:pPr>
            <w:pStyle w:val="Contents5"/>
            <w:tabs>
              <w:tab w:val="clear" w:pos="7892"/>
              <w:tab w:val="right" w:pos="9026" w:leader="dot"/>
            </w:tabs>
            <w:rPr/>
          </w:pPr>
          <w:hyperlink w:anchor="__RefHeading___Toc2974633_2142443653">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2974635_2142443653">
            <w:r>
              <w:rPr>
                <w:webHidden/>
                <w:rStyle w:val="IndexLink"/>
                <w:rtl w:val="true"/>
              </w:rPr>
              <w:t xml:space="preserve">الأوّل </w:t>
            </w:r>
            <w:r>
              <w:rPr>
                <w:rStyle w:val="IndexLink"/>
                <w:rtl w:val="true"/>
              </w:rPr>
              <w:t xml:space="preserve">: </w:t>
            </w:r>
            <w:r>
              <w:rPr>
                <w:rStyle w:val="IndexLink"/>
                <w:rtl w:val="true"/>
              </w:rPr>
              <w:t>أن يبيع ذلك على نحو الكسر المشاع</w:t>
            </w:r>
            <w:r>
              <w:rPr>
                <w:rStyle w:val="IndexLink"/>
                <w:rtl w:val="true"/>
              </w:rPr>
              <w:tab/>
            </w:r>
            <w:r>
              <w:rPr>
                <w:rStyle w:val="IndexLink"/>
              </w:rPr>
              <w:t>429</w:t>
            </w:r>
          </w:hyperlink>
        </w:p>
        <w:p>
          <w:pPr>
            <w:pStyle w:val="Contents6"/>
            <w:tabs>
              <w:tab w:val="clear" w:pos="7609"/>
              <w:tab w:val="right" w:pos="9026" w:leader="dot"/>
            </w:tabs>
            <w:rPr/>
          </w:pPr>
          <w:hyperlink w:anchor="__RefHeading___Toc2974637_2142443653">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2974639_2142443653">
            <w:r>
              <w:rPr>
                <w:webHidden/>
                <w:rStyle w:val="IndexLink"/>
                <w:rtl w:val="true"/>
              </w:rPr>
              <w:t>حول بناء المحقّق النائيني المسألة على الجزء الذي لا يتجزّأ</w:t>
            </w:r>
            <w:r>
              <w:rPr>
                <w:rStyle w:val="IndexLink"/>
                <w:rtl w:val="true"/>
              </w:rPr>
              <w:tab/>
            </w:r>
            <w:r>
              <w:rPr>
                <w:rStyle w:val="IndexLink"/>
              </w:rPr>
              <w:t>430</w:t>
            </w:r>
          </w:hyperlink>
        </w:p>
        <w:p>
          <w:pPr>
            <w:pStyle w:val="Contents6"/>
            <w:tabs>
              <w:tab w:val="clear" w:pos="7609"/>
              <w:tab w:val="right" w:pos="9026" w:leader="dot"/>
            </w:tabs>
            <w:rPr/>
          </w:pPr>
          <w:hyperlink w:anchor="__RefHeading___Toc2974641_2142443653">
            <w:r>
              <w:rPr>
                <w:webHidden/>
                <w:rStyle w:val="IndexLink"/>
                <w:rtl w:val="true"/>
              </w:rPr>
              <w:t>التحقيق في المقام</w:t>
            </w:r>
            <w:r>
              <w:rPr>
                <w:rStyle w:val="IndexLink"/>
                <w:rtl w:val="true"/>
              </w:rPr>
              <w:tab/>
            </w:r>
            <w:r>
              <w:rPr>
                <w:rStyle w:val="IndexLink"/>
              </w:rPr>
              <w:t>434</w:t>
            </w:r>
          </w:hyperlink>
        </w:p>
        <w:p>
          <w:pPr>
            <w:pStyle w:val="Contents5"/>
            <w:tabs>
              <w:tab w:val="clear" w:pos="7892"/>
              <w:tab w:val="right" w:pos="9026" w:leader="dot"/>
            </w:tabs>
            <w:rPr/>
          </w:pPr>
          <w:hyperlink w:anchor="__RefHeading___Toc2974643_2142443653">
            <w:r>
              <w:rPr>
                <w:webHidden/>
                <w:rStyle w:val="IndexLink"/>
                <w:rtl w:val="true"/>
              </w:rPr>
              <w:t xml:space="preserve">الثاني من الوجوه </w:t>
            </w:r>
            <w:r>
              <w:rPr>
                <w:rStyle w:val="IndexLink"/>
                <w:rtl w:val="true"/>
              </w:rPr>
              <w:t xml:space="preserve">: </w:t>
            </w:r>
            <w:r>
              <w:rPr>
                <w:rStyle w:val="IndexLink"/>
                <w:rtl w:val="true"/>
              </w:rPr>
              <w:t>الفرد المنتشر</w:t>
            </w:r>
            <w:r>
              <w:rPr>
                <w:rStyle w:val="IndexLink"/>
                <w:rtl w:val="true"/>
              </w:rPr>
              <w:tab/>
            </w:r>
            <w:r>
              <w:rPr>
                <w:rStyle w:val="IndexLink"/>
              </w:rPr>
              <w:t>437</w:t>
            </w:r>
          </w:hyperlink>
        </w:p>
        <w:p>
          <w:pPr>
            <w:pStyle w:val="Contents6"/>
            <w:tabs>
              <w:tab w:val="clear" w:pos="7609"/>
              <w:tab w:val="right" w:pos="9026" w:leader="dot"/>
            </w:tabs>
            <w:rPr/>
          </w:pPr>
          <w:hyperlink w:anchor="__RefHeading___Toc2974645_2142443653">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2974647_2142443653">
            <w:r>
              <w:rPr>
                <w:webHidden/>
                <w:rStyle w:val="IndexLink"/>
                <w:rtl w:val="true"/>
              </w:rPr>
              <w:t>النصوص الموهمة لتعلّق الحكم بالفرد المنتشر والمردّد</w:t>
            </w:r>
            <w:r>
              <w:rPr>
                <w:rStyle w:val="IndexLink"/>
                <w:rtl w:val="true"/>
              </w:rPr>
              <w:tab/>
            </w:r>
            <w:r>
              <w:rPr>
                <w:rStyle w:val="IndexLink"/>
              </w:rPr>
              <w:t>439</w:t>
            </w:r>
          </w:hyperlink>
        </w:p>
        <w:p>
          <w:pPr>
            <w:pStyle w:val="Contents6"/>
            <w:tabs>
              <w:tab w:val="clear" w:pos="7609"/>
              <w:tab w:val="right" w:pos="9026" w:leader="dot"/>
            </w:tabs>
            <w:rPr/>
          </w:pPr>
          <w:hyperlink w:anchor="__RefHeading___Toc2974649_2142443653">
            <w:r>
              <w:rPr>
                <w:webHidden/>
                <w:rStyle w:val="IndexLink"/>
                <w:rtl w:val="true"/>
              </w:rPr>
              <w:t>تخيّل كون العلم الإجمالي من قبيل المتعلّق بالفرد المنتشر</w:t>
            </w:r>
            <w:r>
              <w:rPr>
                <w:rStyle w:val="IndexLink"/>
                <w:rtl w:val="true"/>
              </w:rPr>
              <w:tab/>
            </w:r>
            <w:r>
              <w:rPr>
                <w:rStyle w:val="IndexLink"/>
              </w:rPr>
              <w:t>442</w:t>
            </w:r>
          </w:hyperlink>
        </w:p>
        <w:p>
          <w:pPr>
            <w:pStyle w:val="Contents5"/>
            <w:tabs>
              <w:tab w:val="clear" w:pos="7892"/>
              <w:tab w:val="right" w:pos="9026" w:leader="dot"/>
            </w:tabs>
            <w:rPr/>
          </w:pPr>
          <w:hyperlink w:anchor="__RefHeading___Toc2974651_2142443653">
            <w:r>
              <w:rPr>
                <w:webHidden/>
                <w:rStyle w:val="IndexLink"/>
                <w:rtl w:val="true"/>
              </w:rPr>
              <w:t>الثالث من الوجوه</w:t>
            </w:r>
            <w:r>
              <w:rPr>
                <w:rStyle w:val="IndexLink"/>
                <w:rtl w:val="true"/>
              </w:rPr>
              <w:t xml:space="preserve">: </w:t>
            </w:r>
            <w:r>
              <w:rPr>
                <w:rStyle w:val="IndexLink"/>
                <w:rtl w:val="true"/>
              </w:rPr>
              <w:t>الكلّي في المعيّن</w:t>
            </w:r>
            <w:r>
              <w:rPr>
                <w:rStyle w:val="IndexLink"/>
                <w:rtl w:val="true"/>
              </w:rPr>
              <w:tab/>
            </w:r>
            <w:r>
              <w:rPr>
                <w:rStyle w:val="IndexLink"/>
              </w:rPr>
              <w:t>444</w:t>
            </w:r>
          </w:hyperlink>
        </w:p>
        <w:p>
          <w:pPr>
            <w:pStyle w:val="Contents4"/>
            <w:tabs>
              <w:tab w:val="clear" w:pos="8176"/>
              <w:tab w:val="right" w:pos="9026" w:leader="dot"/>
            </w:tabs>
            <w:rPr/>
          </w:pPr>
          <w:hyperlink w:anchor="__RefHeading___Toc2974653_2142443653">
            <w:r>
              <w:rPr>
                <w:webHidden/>
                <w:rStyle w:val="IndexLink"/>
                <w:rtl w:val="true"/>
              </w:rPr>
              <w:t>مسألة في بيع صاع من الصبرة</w:t>
            </w:r>
            <w:r>
              <w:rPr>
                <w:rStyle w:val="IndexLink"/>
                <w:rtl w:val="true"/>
              </w:rPr>
              <w:tab/>
            </w:r>
            <w:r>
              <w:rPr>
                <w:rStyle w:val="IndexLink"/>
              </w:rPr>
              <w:t>450</w:t>
            </w:r>
          </w:hyperlink>
        </w:p>
        <w:p>
          <w:pPr>
            <w:pStyle w:val="Contents5"/>
            <w:tabs>
              <w:tab w:val="clear" w:pos="7892"/>
              <w:tab w:val="right" w:pos="9026" w:leader="dot"/>
            </w:tabs>
            <w:rPr/>
          </w:pPr>
          <w:hyperlink w:anchor="__RefHeading___Toc2974655_2142443653">
            <w:r>
              <w:rPr>
                <w:webHidden/>
                <w:rStyle w:val="IndexLink"/>
                <w:rtl w:val="true"/>
              </w:rPr>
              <w:t>في أنّ المراد من الصاع هو الكلّي في المعيّن</w:t>
            </w:r>
            <w:r>
              <w:rPr>
                <w:rStyle w:val="IndexLink"/>
                <w:rtl w:val="true"/>
              </w:rPr>
              <w:tab/>
            </w:r>
            <w:r>
              <w:rPr>
                <w:rStyle w:val="IndexLink"/>
              </w:rPr>
              <w:t>450</w:t>
            </w:r>
          </w:hyperlink>
        </w:p>
        <w:p>
          <w:pPr>
            <w:pStyle w:val="Contents5"/>
            <w:tabs>
              <w:tab w:val="clear" w:pos="7892"/>
              <w:tab w:val="right" w:pos="9026" w:leader="dot"/>
            </w:tabs>
            <w:rPr/>
          </w:pPr>
          <w:hyperlink w:anchor="__RefHeading___Toc2974657_2142443653">
            <w:r>
              <w:rPr>
                <w:webHidden/>
                <w:rStyle w:val="IndexLink"/>
                <w:rtl w:val="true"/>
              </w:rPr>
              <w:t>آثار القول بكون المبيع كلّياً في المعيّن</w:t>
            </w:r>
            <w:r>
              <w:rPr>
                <w:rStyle w:val="IndexLink"/>
                <w:rtl w:val="true"/>
              </w:rPr>
              <w:tab/>
            </w:r>
            <w:r>
              <w:rPr>
                <w:rStyle w:val="IndexLink"/>
              </w:rPr>
              <w:t>453</w:t>
            </w:r>
          </w:hyperlink>
        </w:p>
        <w:p>
          <w:pPr>
            <w:pStyle w:val="Contents6"/>
            <w:tabs>
              <w:tab w:val="clear" w:pos="7609"/>
              <w:tab w:val="right" w:pos="9026" w:leader="dot"/>
            </w:tabs>
            <w:rPr/>
          </w:pPr>
          <w:hyperlink w:anchor="__RefHeading___Toc2974659_2142443653">
            <w:r>
              <w:rPr>
                <w:webHidden/>
                <w:rStyle w:val="IndexLink"/>
                <w:rtl w:val="true"/>
              </w:rPr>
              <w:t>اشارة</w:t>
            </w:r>
            <w:r>
              <w:rPr>
                <w:rStyle w:val="IndexLink"/>
                <w:rtl w:val="true"/>
              </w:rPr>
              <w:tab/>
            </w:r>
            <w:r>
              <w:rPr>
                <w:rStyle w:val="IndexLink"/>
              </w:rPr>
              <w:t>453</w:t>
            </w:r>
          </w:hyperlink>
        </w:p>
        <w:p>
          <w:pPr>
            <w:pStyle w:val="Contents6"/>
            <w:tabs>
              <w:tab w:val="clear" w:pos="7609"/>
              <w:tab w:val="right" w:pos="9026" w:leader="dot"/>
            </w:tabs>
            <w:rPr/>
          </w:pPr>
          <w:hyperlink w:anchor="__RefHeading___Toc2974661_2142443653">
            <w:r>
              <w:rPr>
                <w:webHidden/>
                <w:rStyle w:val="IndexLink"/>
              </w:rPr>
              <w:t>1</w:t>
            </w:r>
            <w:r>
              <w:rPr>
                <w:rStyle w:val="IndexLink"/>
                <w:rtl w:val="true"/>
              </w:rPr>
              <w:t xml:space="preserve"> - </w:t>
            </w:r>
            <w:r>
              <w:rPr>
                <w:rStyle w:val="IndexLink"/>
                <w:rtl w:val="true"/>
              </w:rPr>
              <w:t>ثبوت التخيير في تعيين المبيع للبائع لا المشتري</w:t>
            </w:r>
            <w:r>
              <w:rPr>
                <w:rStyle w:val="IndexLink"/>
                <w:rtl w:val="true"/>
              </w:rPr>
              <w:tab/>
            </w:r>
            <w:r>
              <w:rPr>
                <w:rStyle w:val="IndexLink"/>
              </w:rPr>
              <w:t>453</w:t>
            </w:r>
          </w:hyperlink>
        </w:p>
        <w:p>
          <w:pPr>
            <w:pStyle w:val="Contents6"/>
            <w:tabs>
              <w:tab w:val="clear" w:pos="7609"/>
              <w:tab w:val="right" w:pos="9026" w:leader="dot"/>
            </w:tabs>
            <w:rPr/>
          </w:pPr>
          <w:hyperlink w:anchor="__RefHeading___Toc2974663_2142443653">
            <w:r>
              <w:rPr>
                <w:webHidden/>
                <w:rStyle w:val="IndexLink"/>
              </w:rPr>
              <w:t>2</w:t>
            </w:r>
            <w:r>
              <w:rPr>
                <w:rStyle w:val="IndexLink"/>
                <w:rtl w:val="true"/>
              </w:rPr>
              <w:t xml:space="preserve"> - </w:t>
            </w:r>
            <w:r>
              <w:rPr>
                <w:rStyle w:val="IndexLink"/>
                <w:rtl w:val="true"/>
              </w:rPr>
              <w:t>انحصار حقّ المشتري بالباقي بعد التلف</w:t>
            </w:r>
            <w:r>
              <w:rPr>
                <w:rStyle w:val="IndexLink"/>
                <w:rtl w:val="true"/>
              </w:rPr>
              <w:tab/>
            </w:r>
            <w:r>
              <w:rPr>
                <w:rStyle w:val="IndexLink"/>
              </w:rPr>
              <w:t>455</w:t>
            </w:r>
          </w:hyperlink>
        </w:p>
        <w:p>
          <w:pPr>
            <w:pStyle w:val="Contents6"/>
            <w:tabs>
              <w:tab w:val="clear" w:pos="7609"/>
              <w:tab w:val="right" w:pos="9026" w:leader="dot"/>
            </w:tabs>
            <w:rPr/>
          </w:pPr>
          <w:hyperlink w:anchor="__RefHeading___Toc2974665_2142443653">
            <w:r>
              <w:rPr>
                <w:webHidden/>
                <w:rStyle w:val="IndexLink"/>
              </w:rPr>
              <w:t>3</w:t>
            </w:r>
            <w:r>
              <w:rPr>
                <w:rStyle w:val="IndexLink"/>
                <w:rtl w:val="true"/>
              </w:rPr>
              <w:t xml:space="preserve"> - </w:t>
            </w:r>
            <w:r>
              <w:rPr>
                <w:rStyle w:val="IndexLink"/>
                <w:rtl w:val="true"/>
              </w:rPr>
              <w:t>اختصاص النماءات بالبائع</w:t>
            </w:r>
            <w:r>
              <w:rPr>
                <w:rStyle w:val="IndexLink"/>
                <w:rtl w:val="true"/>
              </w:rPr>
              <w:tab/>
            </w:r>
            <w:r>
              <w:rPr>
                <w:rStyle w:val="IndexLink"/>
              </w:rPr>
              <w:t>457</w:t>
            </w:r>
          </w:hyperlink>
        </w:p>
        <w:p>
          <w:pPr>
            <w:pStyle w:val="Contents6"/>
            <w:tabs>
              <w:tab w:val="clear" w:pos="7609"/>
              <w:tab w:val="right" w:pos="9026" w:leader="dot"/>
            </w:tabs>
            <w:rPr/>
          </w:pPr>
          <w:hyperlink w:anchor="__RefHeading___Toc2974667_2142443653">
            <w:r>
              <w:rPr>
                <w:webHidden/>
                <w:rStyle w:val="IndexLink"/>
              </w:rPr>
              <w:t>4</w:t>
            </w:r>
            <w:r>
              <w:rPr>
                <w:rStyle w:val="IndexLink"/>
                <w:rtl w:val="true"/>
              </w:rPr>
              <w:t xml:space="preserve"> - </w:t>
            </w:r>
            <w:r>
              <w:rPr>
                <w:rStyle w:val="IndexLink"/>
                <w:rtl w:val="true"/>
              </w:rPr>
              <w:t>اختصاص الباقي بالمشتري الأوّل</w:t>
            </w:r>
            <w:r>
              <w:rPr>
                <w:rStyle w:val="IndexLink"/>
                <w:rtl w:val="true"/>
              </w:rPr>
              <w:tab/>
            </w:r>
            <w:r>
              <w:rPr>
                <w:rStyle w:val="IndexLink"/>
              </w:rPr>
              <w:t>457</w:t>
            </w:r>
          </w:hyperlink>
        </w:p>
        <w:p>
          <w:pPr>
            <w:pStyle w:val="Contents5"/>
            <w:tabs>
              <w:tab w:val="clear" w:pos="7892"/>
              <w:tab w:val="right" w:pos="9026" w:leader="dot"/>
            </w:tabs>
            <w:rPr/>
          </w:pPr>
          <w:hyperlink w:anchor="__RefHeading___Toc2974669_2142443653">
            <w:r>
              <w:rPr>
                <w:webHidden/>
                <w:rStyle w:val="IndexLink"/>
                <w:rtl w:val="true"/>
              </w:rPr>
              <w:t>حكم قبض المشتري لجميع الصبرة</w:t>
            </w:r>
            <w:r>
              <w:rPr>
                <w:rStyle w:val="IndexLink"/>
                <w:rtl w:val="true"/>
              </w:rPr>
              <w:tab/>
            </w:r>
            <w:r>
              <w:rPr>
                <w:rStyle w:val="IndexLink"/>
              </w:rPr>
              <w:t>459</w:t>
            </w:r>
          </w:hyperlink>
        </w:p>
        <w:p>
          <w:pPr>
            <w:pStyle w:val="Contents5"/>
            <w:tabs>
              <w:tab w:val="clear" w:pos="7892"/>
              <w:tab w:val="right" w:pos="9026" w:leader="dot"/>
            </w:tabs>
            <w:rPr/>
          </w:pPr>
          <w:hyperlink w:anchor="__RefHeading___Toc2974671_2142443653">
            <w:r>
              <w:rPr>
                <w:webHidden/>
                <w:rStyle w:val="IndexLink"/>
                <w:rtl w:val="true"/>
              </w:rPr>
              <w:t>حكم ما لو باع ثمرة بستان واستثنى منها أرطالاً معلومة</w:t>
            </w:r>
            <w:r>
              <w:rPr>
                <w:rStyle w:val="IndexLink"/>
                <w:rtl w:val="true"/>
              </w:rPr>
              <w:tab/>
            </w:r>
            <w:r>
              <w:rPr>
                <w:rStyle w:val="IndexLink"/>
              </w:rPr>
              <w:t>463</w:t>
            </w:r>
          </w:hyperlink>
        </w:p>
        <w:p>
          <w:pPr>
            <w:pStyle w:val="Contents5"/>
            <w:tabs>
              <w:tab w:val="clear" w:pos="7892"/>
              <w:tab w:val="right" w:pos="9026" w:leader="dot"/>
            </w:tabs>
            <w:rPr/>
          </w:pPr>
          <w:hyperlink w:anchor="__RefHeading___Toc2974673_2142443653">
            <w:r>
              <w:rPr>
                <w:webHidden/>
                <w:rStyle w:val="IndexLink"/>
                <w:rtl w:val="true"/>
              </w:rPr>
              <w:t>في الفرق بين بيع صاع من الصبرة والمستثنى في بيع الثمرة</w:t>
            </w:r>
            <w:r>
              <w:rPr>
                <w:rStyle w:val="IndexLink"/>
                <w:rtl w:val="true"/>
              </w:rPr>
              <w:tab/>
            </w:r>
            <w:r>
              <w:rPr>
                <w:rStyle w:val="IndexLink"/>
              </w:rPr>
              <w:t>463</w:t>
            </w:r>
          </w:hyperlink>
        </w:p>
        <w:p>
          <w:pPr>
            <w:pStyle w:val="Contents5"/>
            <w:tabs>
              <w:tab w:val="clear" w:pos="7892"/>
              <w:tab w:val="right" w:pos="9026" w:leader="dot"/>
            </w:tabs>
            <w:rPr/>
          </w:pPr>
          <w:hyperlink w:anchor="__RefHeading___Toc2974675_2142443653">
            <w:r>
              <w:rPr>
                <w:webHidden/>
                <w:rStyle w:val="IndexLink"/>
                <w:rtl w:val="true"/>
              </w:rPr>
              <w:t>صور بيع مقدار لم يعلم اشتمال الصبرة عليه</w:t>
            </w:r>
            <w:r>
              <w:rPr>
                <w:rStyle w:val="IndexLink"/>
                <w:rtl w:val="true"/>
              </w:rPr>
              <w:tab/>
            </w:r>
            <w:r>
              <w:rPr>
                <w:rStyle w:val="IndexLink"/>
              </w:rPr>
              <w:t>473</w:t>
            </w:r>
          </w:hyperlink>
        </w:p>
        <w:p>
          <w:pPr>
            <w:pStyle w:val="Contents5"/>
            <w:tabs>
              <w:tab w:val="clear" w:pos="7892"/>
              <w:tab w:val="right" w:pos="9026" w:leader="dot"/>
            </w:tabs>
            <w:rPr/>
          </w:pPr>
          <w:hyperlink w:anchor="__RefHeading___Toc2974677_2142443653">
            <w:r>
              <w:rPr>
                <w:webHidden/>
                <w:rStyle w:val="IndexLink"/>
                <w:rtl w:val="true"/>
              </w:rPr>
              <w:t>فيما لو تعلّق البيع بالصبرة الخارجية</w:t>
            </w:r>
            <w:r>
              <w:rPr>
                <w:rStyle w:val="IndexLink"/>
                <w:rtl w:val="true"/>
              </w:rPr>
              <w:tab/>
            </w:r>
            <w:r>
              <w:rPr>
                <w:rStyle w:val="IndexLink"/>
              </w:rPr>
              <w:t>474</w:t>
            </w:r>
          </w:hyperlink>
        </w:p>
        <w:p>
          <w:pPr>
            <w:pStyle w:val="Contents5"/>
            <w:tabs>
              <w:tab w:val="clear" w:pos="7892"/>
              <w:tab w:val="right" w:pos="9026" w:leader="dot"/>
            </w:tabs>
            <w:rPr/>
          </w:pPr>
          <w:hyperlink w:anchor="__RefHeading___Toc2974679_2142443653">
            <w:r>
              <w:rPr>
                <w:webHidden/>
                <w:rStyle w:val="IndexLink"/>
                <w:rtl w:val="true"/>
              </w:rPr>
              <w:t>فيما لو كان المبيع كلّياً في المعيّن</w:t>
            </w:r>
            <w:r>
              <w:rPr>
                <w:rStyle w:val="IndexLink"/>
                <w:rtl w:val="true"/>
              </w:rPr>
              <w:tab/>
            </w:r>
            <w:r>
              <w:rPr>
                <w:rStyle w:val="IndexLink"/>
              </w:rPr>
              <w:t>477</w:t>
            </w:r>
          </w:hyperlink>
        </w:p>
        <w:p>
          <w:pPr>
            <w:pStyle w:val="Contents5"/>
            <w:tabs>
              <w:tab w:val="clear" w:pos="7892"/>
              <w:tab w:val="right" w:pos="9026" w:leader="dot"/>
            </w:tabs>
            <w:rPr/>
          </w:pPr>
          <w:hyperlink w:anchor="__RefHeading___Toc2974681_2142443653">
            <w:r>
              <w:rPr>
                <w:webHidden/>
                <w:rStyle w:val="IndexLink"/>
                <w:rtl w:val="true"/>
              </w:rPr>
              <w:t>فيما لو باع جميع الصبرة كلّ صاع بكذا</w:t>
            </w:r>
            <w:r>
              <w:rPr>
                <w:rStyle w:val="IndexLink"/>
                <w:rtl w:val="true"/>
              </w:rPr>
              <w:tab/>
            </w:r>
            <w:r>
              <w:rPr>
                <w:rStyle w:val="IndexLink"/>
              </w:rPr>
              <w:t>481</w:t>
            </w:r>
          </w:hyperlink>
        </w:p>
        <w:p>
          <w:pPr>
            <w:pStyle w:val="Contents4"/>
            <w:tabs>
              <w:tab w:val="clear" w:pos="8176"/>
              <w:tab w:val="right" w:pos="9026" w:leader="dot"/>
            </w:tabs>
            <w:rPr/>
          </w:pPr>
          <w:hyperlink w:anchor="__RefHeading___Toc2974683_2142443653">
            <w:r>
              <w:rPr>
                <w:webHidden/>
                <w:rStyle w:val="IndexLink"/>
                <w:rtl w:val="true"/>
              </w:rPr>
              <w:t>مسألة في بيع العين المشاهدة قبل العقد</w:t>
            </w:r>
            <w:r>
              <w:rPr>
                <w:rStyle w:val="IndexLink"/>
                <w:rtl w:val="true"/>
              </w:rPr>
              <w:tab/>
            </w:r>
            <w:r>
              <w:rPr>
                <w:rStyle w:val="IndexLink"/>
              </w:rPr>
              <w:t>483</w:t>
            </w:r>
          </w:hyperlink>
        </w:p>
        <w:p>
          <w:pPr>
            <w:pStyle w:val="Contents5"/>
            <w:tabs>
              <w:tab w:val="clear" w:pos="7892"/>
              <w:tab w:val="right" w:pos="9026" w:leader="dot"/>
            </w:tabs>
            <w:rPr/>
          </w:pPr>
          <w:hyperlink w:anchor="__RefHeading___Toc2974685_2142443653">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2974687_2142443653">
            <w:r>
              <w:rPr>
                <w:webHidden/>
                <w:rStyle w:val="IndexLink"/>
                <w:rtl w:val="true"/>
              </w:rPr>
              <w:t>في الصور التي ذكرها الشيخ الأعظم</w:t>
            </w:r>
            <w:r>
              <w:rPr>
                <w:rStyle w:val="IndexLink"/>
                <w:rtl w:val="true"/>
              </w:rPr>
              <w:tab/>
            </w:r>
            <w:r>
              <w:rPr>
                <w:rStyle w:val="IndexLink"/>
              </w:rPr>
              <w:t>483</w:t>
            </w:r>
          </w:hyperlink>
        </w:p>
        <w:p>
          <w:pPr>
            <w:pStyle w:val="Contents5"/>
            <w:tabs>
              <w:tab w:val="clear" w:pos="7892"/>
              <w:tab w:val="right" w:pos="9026" w:leader="dot"/>
            </w:tabs>
            <w:rPr/>
          </w:pPr>
          <w:hyperlink w:anchor="__RefHeading___Toc2974689_2142443653">
            <w:r>
              <w:rPr>
                <w:webHidden/>
                <w:rStyle w:val="IndexLink"/>
                <w:rtl w:val="true"/>
              </w:rPr>
              <w:t>ثبوت خيار تخلّف الشرط للمشتري مع انكشاف التغيّر</w:t>
            </w:r>
            <w:r>
              <w:rPr>
                <w:rStyle w:val="IndexLink"/>
                <w:rtl w:val="true"/>
              </w:rPr>
              <w:tab/>
            </w:r>
            <w:r>
              <w:rPr>
                <w:rStyle w:val="IndexLink"/>
              </w:rPr>
              <w:t>489</w:t>
            </w:r>
          </w:hyperlink>
        </w:p>
        <w:p>
          <w:pPr>
            <w:pStyle w:val="Contents5"/>
            <w:tabs>
              <w:tab w:val="clear" w:pos="7892"/>
              <w:tab w:val="right" w:pos="9026" w:leader="dot"/>
            </w:tabs>
            <w:rPr/>
          </w:pPr>
          <w:hyperlink w:anchor="__RefHeading___Toc2974691_2142443653">
            <w:r>
              <w:rPr>
                <w:webHidden/>
                <w:rStyle w:val="IndexLink"/>
                <w:rtl w:val="true"/>
              </w:rPr>
              <w:t>حكم بعض الصور التي لم يذكرها الشيخ الأعظم</w:t>
            </w:r>
            <w:r>
              <w:rPr>
                <w:rStyle w:val="IndexLink"/>
                <w:rtl w:val="true"/>
              </w:rPr>
              <w:tab/>
            </w:r>
            <w:r>
              <w:rPr>
                <w:rStyle w:val="IndexLink"/>
              </w:rPr>
              <w:t>489</w:t>
            </w:r>
          </w:hyperlink>
        </w:p>
        <w:p>
          <w:pPr>
            <w:pStyle w:val="Contents5"/>
            <w:tabs>
              <w:tab w:val="clear" w:pos="7892"/>
              <w:tab w:val="right" w:pos="9026" w:leader="dot"/>
            </w:tabs>
            <w:rPr/>
          </w:pPr>
          <w:hyperlink w:anchor="__RefHeading___Toc2974693_2142443653">
            <w:r>
              <w:rPr>
                <w:webHidden/>
                <w:rStyle w:val="IndexLink"/>
                <w:rtl w:val="true"/>
              </w:rPr>
              <w:t>فرعان</w:t>
            </w:r>
            <w:r>
              <w:rPr>
                <w:rStyle w:val="IndexLink"/>
                <w:rtl w:val="true"/>
              </w:rPr>
              <w:t>:</w:t>
              <w:tab/>
            </w:r>
            <w:r>
              <w:rPr>
                <w:rStyle w:val="IndexLink"/>
              </w:rPr>
              <w:t>492</w:t>
            </w:r>
          </w:hyperlink>
        </w:p>
        <w:p>
          <w:pPr>
            <w:pStyle w:val="Contents6"/>
            <w:tabs>
              <w:tab w:val="clear" w:pos="7609"/>
              <w:tab w:val="right" w:pos="9026" w:leader="dot"/>
            </w:tabs>
            <w:rPr/>
          </w:pPr>
          <w:hyperlink w:anchor="__RefHeading___Toc2974695_2142443653">
            <w:r>
              <w:rPr>
                <w:webHidden/>
                <w:rStyle w:val="IndexLink"/>
                <w:rtl w:val="true"/>
              </w:rPr>
              <w:t xml:space="preserve">الفرع الأوّل </w:t>
            </w:r>
            <w:r>
              <w:rPr>
                <w:rStyle w:val="IndexLink"/>
                <w:rtl w:val="true"/>
              </w:rPr>
              <w:t xml:space="preserve">: </w:t>
            </w:r>
            <w:r>
              <w:rPr>
                <w:rStyle w:val="IndexLink"/>
                <w:rtl w:val="true"/>
              </w:rPr>
              <w:t>فيما لو اختلف البائع والمشتري في التغيّر</w:t>
            </w:r>
            <w:r>
              <w:rPr>
                <w:rStyle w:val="IndexLink"/>
                <w:rtl w:val="true"/>
              </w:rPr>
              <w:tab/>
            </w:r>
            <w:r>
              <w:rPr>
                <w:rStyle w:val="IndexLink"/>
              </w:rPr>
              <w:t>492</w:t>
            </w:r>
          </w:hyperlink>
        </w:p>
        <w:p>
          <w:pPr>
            <w:pStyle w:val="Contents6"/>
            <w:tabs>
              <w:tab w:val="clear" w:pos="7609"/>
              <w:tab w:val="right" w:pos="9026" w:leader="dot"/>
            </w:tabs>
            <w:rPr/>
          </w:pPr>
          <w:hyperlink w:anchor="__RefHeading___Toc2974697_2142443653">
            <w:r>
              <w:rPr>
                <w:webHidden/>
                <w:rStyle w:val="IndexLink"/>
                <w:rtl w:val="true"/>
              </w:rPr>
              <w:t>اشارة</w:t>
            </w:r>
            <w:r>
              <w:rPr>
                <w:rStyle w:val="IndexLink"/>
                <w:rtl w:val="true"/>
              </w:rPr>
              <w:tab/>
            </w:r>
            <w:r>
              <w:rPr>
                <w:rStyle w:val="IndexLink"/>
              </w:rPr>
              <w:t>492</w:t>
            </w:r>
          </w:hyperlink>
        </w:p>
        <w:p>
          <w:pPr>
            <w:pStyle w:val="Contents6"/>
            <w:tabs>
              <w:tab w:val="clear" w:pos="7609"/>
              <w:tab w:val="right" w:pos="9026" w:leader="dot"/>
            </w:tabs>
            <w:rPr/>
          </w:pPr>
          <w:hyperlink w:anchor="__RefHeading___Toc2974699_2142443653">
            <w:r>
              <w:rPr>
                <w:webHidden/>
                <w:rStyle w:val="IndexLink"/>
                <w:rtl w:val="true"/>
              </w:rPr>
              <w:t>تشخيص المدّعي والمنكر موكولان إلى العرف</w:t>
            </w:r>
            <w:r>
              <w:rPr>
                <w:rStyle w:val="IndexLink"/>
                <w:rtl w:val="true"/>
              </w:rPr>
              <w:tab/>
            </w:r>
            <w:r>
              <w:rPr>
                <w:rStyle w:val="IndexLink"/>
              </w:rPr>
              <w:t>492</w:t>
            </w:r>
          </w:hyperlink>
        </w:p>
        <w:p>
          <w:pPr>
            <w:pStyle w:val="Contents6"/>
            <w:tabs>
              <w:tab w:val="clear" w:pos="7609"/>
              <w:tab w:val="right" w:pos="9026" w:leader="dot"/>
            </w:tabs>
            <w:rPr/>
          </w:pPr>
          <w:hyperlink w:anchor="__RefHeading___Toc2974701_2142443653">
            <w:r>
              <w:rPr>
                <w:webHidden/>
                <w:rStyle w:val="IndexLink"/>
                <w:rtl w:val="true"/>
              </w:rPr>
              <w:t>العبرة في تشخيص المدّعي والمنكر بمصبّ الدعوى</w:t>
            </w:r>
            <w:r>
              <w:rPr>
                <w:rStyle w:val="IndexLink"/>
                <w:rtl w:val="true"/>
              </w:rPr>
              <w:tab/>
            </w:r>
            <w:r>
              <w:rPr>
                <w:rStyle w:val="IndexLink"/>
              </w:rPr>
              <w:t>494</w:t>
            </w:r>
          </w:hyperlink>
        </w:p>
        <w:p>
          <w:pPr>
            <w:pStyle w:val="Contents6"/>
            <w:tabs>
              <w:tab w:val="clear" w:pos="7609"/>
              <w:tab w:val="right" w:pos="9026" w:leader="dot"/>
            </w:tabs>
            <w:rPr/>
          </w:pPr>
          <w:hyperlink w:anchor="__RefHeading___Toc2974703_2142443653">
            <w:r>
              <w:rPr>
                <w:webHidden/>
                <w:rStyle w:val="IndexLink"/>
                <w:rtl w:val="true"/>
              </w:rPr>
              <w:t>ليس للقاضي إلاّ استماع الدعوى</w:t>
            </w:r>
            <w:r>
              <w:rPr>
                <w:rStyle w:val="IndexLink"/>
                <w:rtl w:val="true"/>
              </w:rPr>
              <w:tab/>
            </w:r>
            <w:r>
              <w:rPr>
                <w:rStyle w:val="IndexLink"/>
              </w:rPr>
              <w:t>495</w:t>
            </w:r>
          </w:hyperlink>
        </w:p>
        <w:p>
          <w:pPr>
            <w:pStyle w:val="Contents6"/>
            <w:tabs>
              <w:tab w:val="clear" w:pos="7609"/>
              <w:tab w:val="right" w:pos="9026" w:leader="dot"/>
            </w:tabs>
            <w:rPr/>
          </w:pPr>
          <w:hyperlink w:anchor="__RefHeading___Toc2974705_2142443653">
            <w:r>
              <w:rPr>
                <w:webHidden/>
                <w:rStyle w:val="IndexLink"/>
                <w:rtl w:val="true"/>
              </w:rPr>
              <w:t>صور الاختلاف وأحكامها</w:t>
            </w:r>
            <w:r>
              <w:rPr>
                <w:rStyle w:val="IndexLink"/>
                <w:rtl w:val="true"/>
              </w:rPr>
              <w:tab/>
            </w:r>
            <w:r>
              <w:rPr>
                <w:rStyle w:val="IndexLink"/>
              </w:rPr>
              <w:t>495</w:t>
            </w:r>
          </w:hyperlink>
        </w:p>
        <w:p>
          <w:pPr>
            <w:pStyle w:val="Contents6"/>
            <w:tabs>
              <w:tab w:val="clear" w:pos="7609"/>
              <w:tab w:val="right" w:pos="9026" w:leader="dot"/>
            </w:tabs>
            <w:rPr/>
          </w:pPr>
          <w:hyperlink w:anchor="__RefHeading___Toc2974707_2142443653">
            <w:r>
              <w:rPr>
                <w:webHidden/>
                <w:rStyle w:val="IndexLink"/>
                <w:rtl w:val="true"/>
              </w:rPr>
              <w:t>وجوه تقديم قول المشتري</w:t>
            </w:r>
            <w:r>
              <w:rPr>
                <w:rStyle w:val="IndexLink"/>
                <w:rtl w:val="true"/>
              </w:rPr>
              <w:tab/>
            </w:r>
            <w:r>
              <w:rPr>
                <w:rStyle w:val="IndexLink"/>
              </w:rPr>
              <w:t>498</w:t>
            </w:r>
          </w:hyperlink>
        </w:p>
        <w:p>
          <w:pPr>
            <w:pStyle w:val="Contents6"/>
            <w:tabs>
              <w:tab w:val="clear" w:pos="7609"/>
              <w:tab w:val="right" w:pos="9026" w:leader="dot"/>
            </w:tabs>
            <w:rPr/>
          </w:pPr>
          <w:hyperlink w:anchor="__RefHeading___Toc2974709_2142443653">
            <w:r>
              <w:rPr>
                <w:webHidden/>
                <w:rStyle w:val="IndexLink"/>
                <w:rtl w:val="true"/>
              </w:rPr>
              <w:t>اشارة</w:t>
            </w:r>
            <w:r>
              <w:rPr>
                <w:rStyle w:val="IndexLink"/>
                <w:rtl w:val="true"/>
              </w:rPr>
              <w:tab/>
            </w:r>
            <w:r>
              <w:rPr>
                <w:rStyle w:val="IndexLink"/>
              </w:rPr>
              <w:t>498</w:t>
            </w:r>
          </w:hyperlink>
        </w:p>
        <w:p>
          <w:pPr>
            <w:pStyle w:val="Contents6"/>
            <w:tabs>
              <w:tab w:val="clear" w:pos="7609"/>
              <w:tab w:val="right" w:pos="9026" w:leader="dot"/>
            </w:tabs>
            <w:rPr/>
          </w:pPr>
          <w:hyperlink w:anchor="__RefHeading___Toc2974711_2142443653">
            <w:r>
              <w:rPr>
                <w:webHidden/>
                <w:rStyle w:val="IndexLink"/>
                <w:rtl w:val="true"/>
              </w:rPr>
              <w:t>الوجه الأوّل</w:t>
            </w:r>
            <w:r>
              <w:rPr>
                <w:rStyle w:val="IndexLink"/>
                <w:rtl w:val="true"/>
              </w:rPr>
              <w:t xml:space="preserve">: </w:t>
            </w:r>
            <w:r>
              <w:rPr>
                <w:rStyle w:val="IndexLink"/>
                <w:rtl w:val="true"/>
              </w:rPr>
              <w:t>ما تمسّك به الشهيد والشيخ وابن إدريس والعلاّمة</w:t>
            </w:r>
            <w:r>
              <w:rPr>
                <w:rStyle w:val="IndexLink"/>
                <w:rtl w:val="true"/>
              </w:rPr>
              <w:tab/>
            </w:r>
            <w:r>
              <w:rPr>
                <w:rStyle w:val="IndexLink"/>
              </w:rPr>
              <w:t>498</w:t>
            </w:r>
          </w:hyperlink>
        </w:p>
        <w:p>
          <w:pPr>
            <w:pStyle w:val="Contents6"/>
            <w:tabs>
              <w:tab w:val="clear" w:pos="7609"/>
              <w:tab w:val="right" w:pos="9026" w:leader="dot"/>
            </w:tabs>
            <w:rPr/>
          </w:pPr>
          <w:hyperlink w:anchor="__RefHeading___Toc2974713_2142443653">
            <w:r>
              <w:rPr>
                <w:webHidden/>
                <w:rStyle w:val="IndexLink"/>
                <w:rtl w:val="true"/>
              </w:rPr>
              <w:t>اشارة</w:t>
            </w:r>
            <w:r>
              <w:rPr>
                <w:rStyle w:val="IndexLink"/>
                <w:rtl w:val="true"/>
              </w:rPr>
              <w:tab/>
            </w:r>
            <w:r>
              <w:rPr>
                <w:rStyle w:val="IndexLink"/>
              </w:rPr>
              <w:t>498</w:t>
            </w:r>
          </w:hyperlink>
        </w:p>
        <w:p>
          <w:pPr>
            <w:pStyle w:val="Contents6"/>
            <w:tabs>
              <w:tab w:val="clear" w:pos="7609"/>
              <w:tab w:val="right" w:pos="9026" w:leader="dot"/>
            </w:tabs>
            <w:rPr/>
          </w:pPr>
          <w:hyperlink w:anchor="__RefHeading___Toc2974715_2142443653">
            <w:r>
              <w:rPr>
                <w:webHidden/>
                <w:rStyle w:val="IndexLink"/>
                <w:rtl w:val="true"/>
              </w:rPr>
              <w:t>كلام الشيخ وابن إدريس في وجه تقديم قول المشتري</w:t>
            </w:r>
            <w:r>
              <w:rPr>
                <w:rStyle w:val="IndexLink"/>
                <w:rtl w:val="true"/>
              </w:rPr>
              <w:tab/>
            </w:r>
            <w:r>
              <w:rPr>
                <w:rStyle w:val="IndexLink"/>
              </w:rPr>
              <w:t>503</w:t>
            </w:r>
          </w:hyperlink>
        </w:p>
        <w:p>
          <w:pPr>
            <w:pStyle w:val="Contents6"/>
            <w:tabs>
              <w:tab w:val="clear" w:pos="7609"/>
              <w:tab w:val="right" w:pos="9026" w:leader="dot"/>
            </w:tabs>
            <w:rPr/>
          </w:pPr>
          <w:hyperlink w:anchor="__RefHeading___Toc2974717_2142443653">
            <w:r>
              <w:rPr>
                <w:webHidden/>
                <w:rStyle w:val="IndexLink"/>
                <w:rtl w:val="true"/>
              </w:rPr>
              <w:t>كلام العلاّمة في وجه تقديم قول المشتري</w:t>
            </w:r>
            <w:r>
              <w:rPr>
                <w:rStyle w:val="IndexLink"/>
                <w:rtl w:val="true"/>
              </w:rPr>
              <w:tab/>
            </w:r>
            <w:r>
              <w:rPr>
                <w:rStyle w:val="IndexLink"/>
              </w:rPr>
              <w:t>504</w:t>
            </w:r>
          </w:hyperlink>
        </w:p>
        <w:p>
          <w:pPr>
            <w:pStyle w:val="Contents6"/>
            <w:tabs>
              <w:tab w:val="clear" w:pos="7609"/>
              <w:tab w:val="right" w:pos="9026" w:leader="dot"/>
            </w:tabs>
            <w:rPr/>
          </w:pPr>
          <w:hyperlink w:anchor="__RefHeading___Toc2974719_2142443653">
            <w:r>
              <w:rPr>
                <w:webHidden/>
                <w:rStyle w:val="IndexLink"/>
                <w:rtl w:val="true"/>
              </w:rPr>
              <w:t>الوجه الثاني</w:t>
            </w:r>
            <w:r>
              <w:rPr>
                <w:rStyle w:val="IndexLink"/>
                <w:rtl w:val="true"/>
              </w:rPr>
              <w:t xml:space="preserve">: </w:t>
            </w:r>
            <w:r>
              <w:rPr>
                <w:rStyle w:val="IndexLink"/>
                <w:rtl w:val="true"/>
              </w:rPr>
              <w:t>تمسّك العلاّمة بأصالة عدم علم المشترى</w:t>
            </w:r>
            <w:r>
              <w:rPr>
                <w:rStyle w:val="IndexLink"/>
                <w:rtl w:val="true"/>
              </w:rPr>
              <w:t>¨</w:t>
              <w:tab/>
            </w:r>
            <w:r>
              <w:rPr>
                <w:rStyle w:val="IndexLink"/>
              </w:rPr>
              <w:t>509</w:t>
            </w:r>
          </w:hyperlink>
        </w:p>
        <w:p>
          <w:pPr>
            <w:pStyle w:val="Contents6"/>
            <w:tabs>
              <w:tab w:val="clear" w:pos="7609"/>
              <w:tab w:val="right" w:pos="9026" w:leader="dot"/>
            </w:tabs>
            <w:rPr/>
          </w:pPr>
          <w:hyperlink w:anchor="__RefHeading___Toc2974721_2142443653">
            <w:r>
              <w:rPr>
                <w:webHidden/>
                <w:rStyle w:val="IndexLink"/>
                <w:rtl w:val="true"/>
              </w:rPr>
              <w:t xml:space="preserve">الوجه الثالث </w:t>
            </w:r>
            <w:r>
              <w:rPr>
                <w:rStyle w:val="IndexLink"/>
                <w:rtl w:val="true"/>
              </w:rPr>
              <w:t xml:space="preserve">: </w:t>
            </w:r>
            <w:r>
              <w:rPr>
                <w:rStyle w:val="IndexLink"/>
                <w:rtl w:val="true"/>
              </w:rPr>
              <w:t>تمسّك المحقّق الثاني بأصالة عدم وصول الحقّ</w:t>
            </w:r>
            <w:r>
              <w:rPr>
                <w:rStyle w:val="IndexLink"/>
                <w:rtl w:val="true"/>
              </w:rPr>
              <w:tab/>
            </w:r>
            <w:r>
              <w:rPr>
                <w:rStyle w:val="IndexLink"/>
              </w:rPr>
              <w:t>511</w:t>
            </w:r>
          </w:hyperlink>
        </w:p>
        <w:p>
          <w:pPr>
            <w:pStyle w:val="Contents6"/>
            <w:tabs>
              <w:tab w:val="clear" w:pos="7609"/>
              <w:tab w:val="right" w:pos="9026" w:leader="dot"/>
            </w:tabs>
            <w:rPr/>
          </w:pPr>
          <w:hyperlink w:anchor="__RefHeading___Toc2974723_2142443653">
            <w:r>
              <w:rPr>
                <w:webHidden/>
                <w:rStyle w:val="IndexLink"/>
                <w:rtl w:val="true"/>
              </w:rPr>
              <w:t>اشارة</w:t>
            </w:r>
            <w:r>
              <w:rPr>
                <w:rStyle w:val="IndexLink"/>
                <w:rtl w:val="true"/>
              </w:rPr>
              <w:tab/>
            </w:r>
            <w:r>
              <w:rPr>
                <w:rStyle w:val="IndexLink"/>
              </w:rPr>
              <w:t>511</w:t>
            </w:r>
          </w:hyperlink>
        </w:p>
        <w:p>
          <w:pPr>
            <w:pStyle w:val="Contents6"/>
            <w:tabs>
              <w:tab w:val="clear" w:pos="7609"/>
              <w:tab w:val="right" w:pos="9026" w:leader="dot"/>
            </w:tabs>
            <w:rPr/>
          </w:pPr>
          <w:hyperlink w:anchor="__RefHeading___Toc2974725_2142443653">
            <w:r>
              <w:rPr>
                <w:webHidden/>
                <w:rStyle w:val="IndexLink"/>
                <w:rtl w:val="true"/>
              </w:rPr>
              <w:t>في ابتناء الشيخ الأعظم المسألة على بناء المتعاملين</w:t>
            </w:r>
            <w:r>
              <w:rPr>
                <w:rStyle w:val="IndexLink"/>
                <w:rtl w:val="true"/>
              </w:rPr>
              <w:tab/>
            </w:r>
            <w:r>
              <w:rPr>
                <w:rStyle w:val="IndexLink"/>
              </w:rPr>
              <w:t>512</w:t>
            </w:r>
          </w:hyperlink>
        </w:p>
        <w:p>
          <w:pPr>
            <w:pStyle w:val="Contents6"/>
            <w:tabs>
              <w:tab w:val="clear" w:pos="7609"/>
              <w:tab w:val="right" w:pos="9026" w:leader="dot"/>
            </w:tabs>
            <w:rPr/>
          </w:pPr>
          <w:hyperlink w:anchor="__RefHeading___Toc2974727_2142443653">
            <w:r>
              <w:rPr>
                <w:webHidden/>
                <w:rStyle w:val="IndexLink"/>
                <w:rtl w:val="true"/>
              </w:rPr>
              <w:t>فيما ذكره الشيخ الأعظم من فساد التمسّك بأصالة اللزوم</w:t>
            </w:r>
            <w:r>
              <w:rPr>
                <w:rStyle w:val="IndexLink"/>
                <w:rtl w:val="true"/>
              </w:rPr>
              <w:tab/>
            </w:r>
            <w:r>
              <w:rPr>
                <w:rStyle w:val="IndexLink"/>
              </w:rPr>
              <w:t>519</w:t>
            </w:r>
          </w:hyperlink>
        </w:p>
        <w:p>
          <w:pPr>
            <w:pStyle w:val="Contents6"/>
            <w:tabs>
              <w:tab w:val="clear" w:pos="7609"/>
              <w:tab w:val="right" w:pos="9026" w:leader="dot"/>
            </w:tabs>
            <w:rPr/>
          </w:pPr>
          <w:hyperlink w:anchor="__RefHeading___Toc2974729_2142443653">
            <w:r>
              <w:rPr>
                <w:webHidden/>
                <w:rStyle w:val="IndexLink"/>
                <w:rtl w:val="true"/>
              </w:rPr>
              <w:t>ما ذكره الشيخ الأعظم من فساد التمسّك بالعمومات لإثبات لزوم العقد</w:t>
            </w:r>
            <w:r>
              <w:rPr>
                <w:rStyle w:val="IndexLink"/>
                <w:rtl w:val="true"/>
              </w:rPr>
              <w:tab/>
            </w:r>
            <w:r>
              <w:rPr>
                <w:rStyle w:val="IndexLink"/>
              </w:rPr>
              <w:t>522</w:t>
            </w:r>
          </w:hyperlink>
        </w:p>
        <w:p>
          <w:pPr>
            <w:pStyle w:val="Contents6"/>
            <w:tabs>
              <w:tab w:val="clear" w:pos="7609"/>
              <w:tab w:val="right" w:pos="9026" w:leader="dot"/>
            </w:tabs>
            <w:rPr/>
          </w:pPr>
          <w:hyperlink w:anchor="__RefHeading___Toc2974731_2142443653">
            <w:r>
              <w:rPr>
                <w:webHidden/>
                <w:rStyle w:val="IndexLink"/>
                <w:rtl w:val="true"/>
              </w:rPr>
              <w:t>حكم صورة دعوى البائع للتغيّر الموجب لخياره</w:t>
            </w:r>
            <w:r>
              <w:rPr>
                <w:rStyle w:val="IndexLink"/>
                <w:rtl w:val="true"/>
              </w:rPr>
              <w:tab/>
            </w:r>
            <w:r>
              <w:rPr>
                <w:rStyle w:val="IndexLink"/>
              </w:rPr>
              <w:t>526</w:t>
            </w:r>
          </w:hyperlink>
        </w:p>
        <w:p>
          <w:pPr>
            <w:pStyle w:val="Contents6"/>
            <w:tabs>
              <w:tab w:val="clear" w:pos="7609"/>
              <w:tab w:val="right" w:pos="9026" w:leader="dot"/>
            </w:tabs>
            <w:rPr/>
          </w:pPr>
          <w:hyperlink w:anchor="__RefHeading___Toc2974733_2142443653">
            <w:r>
              <w:rPr>
                <w:webHidden/>
                <w:rStyle w:val="IndexLink"/>
                <w:rtl w:val="true"/>
              </w:rPr>
              <w:t>الفرع الثاني في حكم الاختلاف في تقدّم التغيّر على البيع وتأخّره</w:t>
            </w:r>
            <w:r>
              <w:rPr>
                <w:rStyle w:val="IndexLink"/>
                <w:rtl w:val="true"/>
              </w:rPr>
              <w:tab/>
            </w:r>
            <w:r>
              <w:rPr>
                <w:rStyle w:val="IndexLink"/>
              </w:rPr>
              <w:t>527</w:t>
            </w:r>
          </w:hyperlink>
        </w:p>
        <w:p>
          <w:pPr>
            <w:pStyle w:val="Contents6"/>
            <w:tabs>
              <w:tab w:val="clear" w:pos="7609"/>
              <w:tab w:val="right" w:pos="9026" w:leader="dot"/>
            </w:tabs>
            <w:rPr/>
          </w:pPr>
          <w:hyperlink w:anchor="__RefHeading___Toc2974735_2142443653">
            <w:r>
              <w:rPr>
                <w:webHidden/>
                <w:rStyle w:val="IndexLink"/>
                <w:rtl w:val="true"/>
              </w:rPr>
              <w:t>اشارة</w:t>
            </w:r>
            <w:r>
              <w:rPr>
                <w:rStyle w:val="IndexLink"/>
                <w:rtl w:val="true"/>
              </w:rPr>
              <w:tab/>
            </w:r>
            <w:r>
              <w:rPr>
                <w:rStyle w:val="IndexLink"/>
              </w:rPr>
              <w:t>527</w:t>
            </w:r>
          </w:hyperlink>
        </w:p>
        <w:p>
          <w:pPr>
            <w:pStyle w:val="Contents6"/>
            <w:tabs>
              <w:tab w:val="clear" w:pos="7609"/>
              <w:tab w:val="right" w:pos="9026" w:leader="dot"/>
            </w:tabs>
            <w:rPr/>
          </w:pPr>
          <w:hyperlink w:anchor="__RefHeading___Toc2974737_2142443653">
            <w:r>
              <w:rPr>
                <w:webHidden/>
                <w:rStyle w:val="IndexLink"/>
                <w:rtl w:val="true"/>
              </w:rPr>
              <w:t>حكم الاختلاف في تقدّم التغيّر على القبض وتأخّره</w:t>
            </w:r>
            <w:r>
              <w:rPr>
                <w:rStyle w:val="IndexLink"/>
                <w:rtl w:val="true"/>
              </w:rPr>
              <w:tab/>
            </w:r>
            <w:r>
              <w:rPr>
                <w:rStyle w:val="IndexLink"/>
              </w:rPr>
              <w:t>529</w:t>
            </w:r>
          </w:hyperlink>
        </w:p>
        <w:p>
          <w:pPr>
            <w:pStyle w:val="Contents6"/>
            <w:tabs>
              <w:tab w:val="clear" w:pos="7609"/>
              <w:tab w:val="right" w:pos="9026" w:leader="dot"/>
            </w:tabs>
            <w:rPr/>
          </w:pPr>
          <w:hyperlink w:anchor="__RefHeading___Toc2974739_2142443653">
            <w:r>
              <w:rPr>
                <w:webHidden/>
                <w:rStyle w:val="IndexLink"/>
                <w:rtl w:val="true"/>
              </w:rPr>
              <w:t>حكم الاختلاف في تقدّم التلف على البيع وتأخّره</w:t>
            </w:r>
            <w:r>
              <w:rPr>
                <w:rStyle w:val="IndexLink"/>
                <w:rtl w:val="true"/>
              </w:rPr>
              <w:tab/>
            </w:r>
            <w:r>
              <w:rPr>
                <w:rStyle w:val="IndexLink"/>
              </w:rPr>
              <w:t>530</w:t>
            </w:r>
          </w:hyperlink>
        </w:p>
        <w:p>
          <w:pPr>
            <w:pStyle w:val="Contents4"/>
            <w:tabs>
              <w:tab w:val="clear" w:pos="8176"/>
              <w:tab w:val="right" w:pos="9026" w:leader="dot"/>
            </w:tabs>
            <w:rPr/>
          </w:pPr>
          <w:hyperlink w:anchor="__RefHeading___Toc2974741_2142443653">
            <w:r>
              <w:rPr>
                <w:webHidden/>
                <w:rStyle w:val="IndexLink"/>
                <w:rtl w:val="true"/>
              </w:rPr>
              <w:t>مسألة في اعتبار اختبار أوصاف المبيع</w:t>
            </w:r>
            <w:r>
              <w:rPr>
                <w:rStyle w:val="IndexLink"/>
                <w:rtl w:val="true"/>
              </w:rPr>
              <w:tab/>
            </w:r>
            <w:r>
              <w:rPr>
                <w:rStyle w:val="IndexLink"/>
              </w:rPr>
              <w:t>534</w:t>
            </w:r>
          </w:hyperlink>
        </w:p>
        <w:p>
          <w:pPr>
            <w:pStyle w:val="Contents5"/>
            <w:tabs>
              <w:tab w:val="clear" w:pos="7892"/>
              <w:tab w:val="right" w:pos="9026" w:leader="dot"/>
            </w:tabs>
            <w:rPr/>
          </w:pPr>
          <w:hyperlink w:anchor="__RefHeading___Toc2974743_2142443653">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2974745_2142443653">
            <w:r>
              <w:rPr>
                <w:webHidden/>
                <w:rStyle w:val="IndexLink"/>
                <w:rtl w:val="true"/>
              </w:rPr>
              <w:t>الروايات المؤيّدة لبطلان المعاملة مع جهالة الأوصاف</w:t>
            </w:r>
            <w:r>
              <w:rPr>
                <w:rStyle w:val="IndexLink"/>
                <w:rtl w:val="true"/>
              </w:rPr>
              <w:tab/>
            </w:r>
            <w:r>
              <w:rPr>
                <w:rStyle w:val="IndexLink"/>
              </w:rPr>
              <w:t>538</w:t>
            </w:r>
          </w:hyperlink>
        </w:p>
        <w:p>
          <w:pPr>
            <w:pStyle w:val="Contents5"/>
            <w:tabs>
              <w:tab w:val="clear" w:pos="7892"/>
              <w:tab w:val="right" w:pos="9026" w:leader="dot"/>
            </w:tabs>
            <w:rPr/>
          </w:pPr>
          <w:hyperlink w:anchor="__RefHeading___Toc2974747_2142443653">
            <w:r>
              <w:rPr>
                <w:webHidden/>
                <w:rStyle w:val="IndexLink"/>
                <w:rtl w:val="true"/>
              </w:rPr>
              <w:t>الروايات الظاهرة في صحّة المعاملة مع جهالة الأوصاف</w:t>
            </w:r>
            <w:r>
              <w:rPr>
                <w:rStyle w:val="IndexLink"/>
                <w:rtl w:val="true"/>
              </w:rPr>
              <w:tab/>
            </w:r>
            <w:r>
              <w:rPr>
                <w:rStyle w:val="IndexLink"/>
              </w:rPr>
              <w:t>541</w:t>
            </w:r>
          </w:hyperlink>
        </w:p>
        <w:p>
          <w:pPr>
            <w:pStyle w:val="Contents5"/>
            <w:tabs>
              <w:tab w:val="clear" w:pos="7892"/>
              <w:tab w:val="right" w:pos="9026" w:leader="dot"/>
            </w:tabs>
            <w:rPr/>
          </w:pPr>
          <w:hyperlink w:anchor="__RefHeading___Toc2974749_2142443653">
            <w:r>
              <w:rPr>
                <w:webHidden/>
                <w:rStyle w:val="IndexLink"/>
                <w:rtl w:val="true"/>
              </w:rPr>
              <w:t>موارد الشكّ في الصحّة والعيب وكيفية رفع الغرر</w:t>
            </w:r>
            <w:r>
              <w:rPr>
                <w:rStyle w:val="IndexLink"/>
                <w:rtl w:val="true"/>
              </w:rPr>
              <w:tab/>
            </w:r>
            <w:r>
              <w:rPr>
                <w:rStyle w:val="IndexLink"/>
              </w:rPr>
              <w:t>543</w:t>
            </w:r>
          </w:hyperlink>
        </w:p>
        <w:p>
          <w:pPr>
            <w:pStyle w:val="Contents5"/>
            <w:tabs>
              <w:tab w:val="clear" w:pos="7892"/>
              <w:tab w:val="right" w:pos="9026" w:leader="dot"/>
            </w:tabs>
            <w:rPr/>
          </w:pPr>
          <w:hyperlink w:anchor="__RefHeading___Toc2974751_2142443653">
            <w:r>
              <w:rPr>
                <w:webHidden/>
                <w:rStyle w:val="IndexLink"/>
                <w:rtl w:val="true"/>
              </w:rPr>
              <w:t>قيام السيرة العقلائية على المبايعة مع احتمال العيب</w:t>
            </w:r>
            <w:r>
              <w:rPr>
                <w:rStyle w:val="IndexLink"/>
                <w:rtl w:val="true"/>
              </w:rPr>
              <w:tab/>
            </w:r>
            <w:r>
              <w:rPr>
                <w:rStyle w:val="IndexLink"/>
              </w:rPr>
              <w:t>545</w:t>
            </w:r>
          </w:hyperlink>
        </w:p>
        <w:p>
          <w:pPr>
            <w:pStyle w:val="Contents4"/>
            <w:tabs>
              <w:tab w:val="clear" w:pos="8176"/>
              <w:tab w:val="right" w:pos="9026" w:leader="dot"/>
            </w:tabs>
            <w:rPr/>
          </w:pPr>
          <w:hyperlink w:anchor="__RefHeading___Toc2974753_2142443653">
            <w:r>
              <w:rPr>
                <w:webHidden/>
                <w:rStyle w:val="IndexLink"/>
                <w:rtl w:val="true"/>
              </w:rPr>
              <w:t>مسألة في صحّة بيع ما يفسده الاختبار</w:t>
            </w:r>
            <w:r>
              <w:rPr>
                <w:rStyle w:val="IndexLink"/>
                <w:rtl w:val="true"/>
              </w:rPr>
              <w:tab/>
            </w:r>
            <w:r>
              <w:rPr>
                <w:rStyle w:val="IndexLink"/>
              </w:rPr>
              <w:t>548</w:t>
            </w:r>
          </w:hyperlink>
        </w:p>
        <w:p>
          <w:pPr>
            <w:pStyle w:val="Contents5"/>
            <w:tabs>
              <w:tab w:val="clear" w:pos="7892"/>
              <w:tab w:val="right" w:pos="9026" w:leader="dot"/>
            </w:tabs>
            <w:rPr/>
          </w:pPr>
          <w:hyperlink w:anchor="__RefHeading___Toc2974755_2142443653">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2974757_2142443653">
            <w:r>
              <w:rPr>
                <w:webHidden/>
                <w:rStyle w:val="IndexLink"/>
                <w:rtl w:val="true"/>
              </w:rPr>
              <w:t>حكم ما لو تبيّن فساد المبيع</w:t>
            </w:r>
            <w:r>
              <w:rPr>
                <w:rStyle w:val="IndexLink"/>
                <w:rtl w:val="true"/>
              </w:rPr>
              <w:tab/>
            </w:r>
            <w:r>
              <w:rPr>
                <w:rStyle w:val="IndexLink"/>
              </w:rPr>
              <w:t>549</w:t>
            </w:r>
          </w:hyperlink>
        </w:p>
        <w:p>
          <w:pPr>
            <w:pStyle w:val="Contents5"/>
            <w:tabs>
              <w:tab w:val="clear" w:pos="7892"/>
              <w:tab w:val="right" w:pos="9026" w:leader="dot"/>
            </w:tabs>
            <w:rPr/>
          </w:pPr>
          <w:hyperlink w:anchor="__RefHeading___Toc2974759_2142443653">
            <w:r>
              <w:rPr>
                <w:webHidden/>
                <w:rStyle w:val="IndexLink"/>
                <w:rtl w:val="true"/>
              </w:rPr>
              <w:t>حكم البراءة من عيب ما لا قيمة لمكسوره</w:t>
            </w:r>
            <w:r>
              <w:rPr>
                <w:rStyle w:val="IndexLink"/>
                <w:rtl w:val="true"/>
              </w:rPr>
              <w:tab/>
            </w:r>
            <w:r>
              <w:rPr>
                <w:rStyle w:val="IndexLink"/>
              </w:rPr>
              <w:t>556</w:t>
            </w:r>
          </w:hyperlink>
        </w:p>
        <w:p>
          <w:pPr>
            <w:pStyle w:val="Contents4"/>
            <w:tabs>
              <w:tab w:val="clear" w:pos="8176"/>
              <w:tab w:val="right" w:pos="9026" w:leader="dot"/>
            </w:tabs>
            <w:rPr/>
          </w:pPr>
          <w:hyperlink w:anchor="__RefHeading___Toc2974761_2142443653">
            <w:r>
              <w:rPr>
                <w:webHidden/>
                <w:rStyle w:val="IndexLink"/>
                <w:rtl w:val="true"/>
              </w:rPr>
              <w:t>مسألة في جواز بيع المسك في فأرته</w:t>
            </w:r>
            <w:r>
              <w:rPr>
                <w:rStyle w:val="IndexLink"/>
                <w:rtl w:val="true"/>
              </w:rPr>
              <w:tab/>
            </w:r>
            <w:r>
              <w:rPr>
                <w:rStyle w:val="IndexLink"/>
              </w:rPr>
              <w:t>558</w:t>
            </w:r>
          </w:hyperlink>
        </w:p>
        <w:p>
          <w:pPr>
            <w:pStyle w:val="Contents4"/>
            <w:tabs>
              <w:tab w:val="clear" w:pos="8176"/>
              <w:tab w:val="right" w:pos="9026" w:leader="dot"/>
            </w:tabs>
            <w:rPr/>
          </w:pPr>
          <w:hyperlink w:anchor="__RefHeading___Toc2974763_2142443653">
            <w:r>
              <w:rPr>
                <w:webHidden/>
                <w:rStyle w:val="IndexLink"/>
                <w:rtl w:val="true"/>
              </w:rPr>
              <w:t>مسألة في عدم جواز بيع المجهول مع الضميمة</w:t>
            </w:r>
            <w:r>
              <w:rPr>
                <w:rStyle w:val="IndexLink"/>
                <w:rtl w:val="true"/>
              </w:rPr>
              <w:tab/>
            </w:r>
            <w:r>
              <w:rPr>
                <w:rStyle w:val="IndexLink"/>
              </w:rPr>
              <w:t>559</w:t>
            </w:r>
          </w:hyperlink>
        </w:p>
        <w:p>
          <w:pPr>
            <w:pStyle w:val="Contents5"/>
            <w:tabs>
              <w:tab w:val="clear" w:pos="7892"/>
              <w:tab w:val="right" w:pos="9026" w:leader="dot"/>
            </w:tabs>
            <w:rPr/>
          </w:pPr>
          <w:hyperlink w:anchor="__RefHeading___Toc2974765_2142443653">
            <w:r>
              <w:rPr>
                <w:webHidden/>
                <w:rStyle w:val="IndexLink"/>
                <w:rtl w:val="true"/>
              </w:rPr>
              <w:t>اشارة</w:t>
            </w:r>
            <w:r>
              <w:rPr>
                <w:rStyle w:val="IndexLink"/>
                <w:rtl w:val="true"/>
              </w:rPr>
              <w:tab/>
            </w:r>
            <w:r>
              <w:rPr>
                <w:rStyle w:val="IndexLink"/>
              </w:rPr>
              <w:t>559</w:t>
            </w:r>
          </w:hyperlink>
        </w:p>
        <w:p>
          <w:pPr>
            <w:pStyle w:val="Contents5"/>
            <w:tabs>
              <w:tab w:val="clear" w:pos="7892"/>
              <w:tab w:val="right" w:pos="9026" w:leader="dot"/>
            </w:tabs>
            <w:rPr/>
          </w:pPr>
          <w:hyperlink w:anchor="__RefHeading___Toc2974767_2142443653">
            <w:r>
              <w:rPr>
                <w:webHidden/>
                <w:rStyle w:val="IndexLink"/>
                <w:rtl w:val="true"/>
              </w:rPr>
              <w:t>مقتضى القواعد في بيع المجهول مع الضميمة</w:t>
            </w:r>
            <w:r>
              <w:rPr>
                <w:rStyle w:val="IndexLink"/>
                <w:rtl w:val="true"/>
              </w:rPr>
              <w:tab/>
            </w:r>
            <w:r>
              <w:rPr>
                <w:rStyle w:val="IndexLink"/>
              </w:rPr>
              <w:t>561</w:t>
            </w:r>
          </w:hyperlink>
        </w:p>
        <w:p>
          <w:pPr>
            <w:pStyle w:val="Contents5"/>
            <w:tabs>
              <w:tab w:val="clear" w:pos="7892"/>
              <w:tab w:val="right" w:pos="9026" w:leader="dot"/>
            </w:tabs>
            <w:rPr/>
          </w:pPr>
          <w:hyperlink w:anchor="__RefHeading___Toc2974769_2142443653">
            <w:r>
              <w:rPr>
                <w:webHidden/>
                <w:rStyle w:val="IndexLink"/>
                <w:rtl w:val="true"/>
              </w:rPr>
              <w:t>النصوص الواردة في بيع الألبان في الضروع</w:t>
            </w:r>
            <w:r>
              <w:rPr>
                <w:rStyle w:val="IndexLink"/>
                <w:rtl w:val="true"/>
              </w:rPr>
              <w:tab/>
            </w:r>
            <w:r>
              <w:rPr>
                <w:rStyle w:val="IndexLink"/>
              </w:rPr>
              <w:t>563</w:t>
            </w:r>
          </w:hyperlink>
        </w:p>
        <w:p>
          <w:pPr>
            <w:pStyle w:val="Contents5"/>
            <w:tabs>
              <w:tab w:val="clear" w:pos="7892"/>
              <w:tab w:val="right" w:pos="9026" w:leader="dot"/>
            </w:tabs>
            <w:rPr/>
          </w:pPr>
          <w:hyperlink w:anchor="__RefHeading___Toc2974771_2142443653">
            <w:r>
              <w:rPr>
                <w:webHidden/>
                <w:rStyle w:val="IndexLink"/>
                <w:rtl w:val="true"/>
              </w:rPr>
              <w:t>صحّة بيع الحمل مع ضمّ الأصواف</w:t>
            </w:r>
            <w:r>
              <w:rPr>
                <w:rStyle w:val="IndexLink"/>
                <w:rtl w:val="true"/>
              </w:rPr>
              <w:tab/>
            </w:r>
            <w:r>
              <w:rPr>
                <w:rStyle w:val="IndexLink"/>
              </w:rPr>
              <w:t>568</w:t>
            </w:r>
          </w:hyperlink>
        </w:p>
        <w:p>
          <w:pPr>
            <w:pStyle w:val="Contents5"/>
            <w:tabs>
              <w:tab w:val="clear" w:pos="7892"/>
              <w:tab w:val="right" w:pos="9026" w:leader="dot"/>
            </w:tabs>
            <w:rPr/>
          </w:pPr>
          <w:hyperlink w:anchor="__RefHeading___Toc2974773_2142443653">
            <w:r>
              <w:rPr>
                <w:webHidden/>
                <w:rStyle w:val="IndexLink"/>
                <w:rtl w:val="true"/>
              </w:rPr>
              <w:t>جواز شراء الآجام مع ضميمة القصب</w:t>
            </w:r>
            <w:r>
              <w:rPr>
                <w:rStyle w:val="IndexLink"/>
                <w:rtl w:val="true"/>
              </w:rPr>
              <w:tab/>
            </w:r>
            <w:r>
              <w:rPr>
                <w:rStyle w:val="IndexLink"/>
              </w:rPr>
              <w:t>571</w:t>
            </w:r>
          </w:hyperlink>
        </w:p>
        <w:p>
          <w:pPr>
            <w:pStyle w:val="Contents5"/>
            <w:tabs>
              <w:tab w:val="clear" w:pos="7892"/>
              <w:tab w:val="right" w:pos="9026" w:leader="dot"/>
            </w:tabs>
            <w:rPr/>
          </w:pPr>
          <w:hyperlink w:anchor="__RefHeading___Toc2974775_2142443653">
            <w:r>
              <w:rPr>
                <w:webHidden/>
                <w:rStyle w:val="IndexLink"/>
                <w:rtl w:val="true"/>
              </w:rPr>
              <w:t>حول التفصيل المتراءى من ظاهر كلام العلاّمة في المقام</w:t>
            </w:r>
            <w:r>
              <w:rPr>
                <w:rStyle w:val="IndexLink"/>
                <w:rtl w:val="true"/>
              </w:rPr>
              <w:tab/>
            </w:r>
            <w:r>
              <w:rPr>
                <w:rStyle w:val="IndexLink"/>
              </w:rPr>
              <w:t>577</w:t>
            </w:r>
          </w:hyperlink>
        </w:p>
        <w:p>
          <w:pPr>
            <w:pStyle w:val="Contents4"/>
            <w:tabs>
              <w:tab w:val="clear" w:pos="8176"/>
              <w:tab w:val="right" w:pos="9026" w:leader="dot"/>
            </w:tabs>
            <w:rPr/>
          </w:pPr>
          <w:hyperlink w:anchor="__RefHeading___Toc2974777_2142443653">
            <w:r>
              <w:rPr>
                <w:webHidden/>
                <w:rStyle w:val="IndexLink"/>
                <w:rtl w:val="true"/>
              </w:rPr>
              <w:t>مسألة في الإندار</w:t>
            </w:r>
            <w:r>
              <w:rPr>
                <w:rStyle w:val="IndexLink"/>
                <w:rtl w:val="true"/>
              </w:rPr>
              <w:tab/>
            </w:r>
            <w:r>
              <w:rPr>
                <w:rStyle w:val="IndexLink"/>
              </w:rPr>
              <w:t>582</w:t>
            </w:r>
          </w:hyperlink>
        </w:p>
        <w:p>
          <w:pPr>
            <w:pStyle w:val="Contents5"/>
            <w:tabs>
              <w:tab w:val="clear" w:pos="7892"/>
              <w:tab w:val="right" w:pos="9026" w:leader="dot"/>
            </w:tabs>
            <w:rPr/>
          </w:pPr>
          <w:hyperlink w:anchor="__RefHeading___Toc2974779_2142443653">
            <w:r>
              <w:rPr>
                <w:webHidden/>
                <w:rStyle w:val="IndexLink"/>
                <w:rtl w:val="true"/>
              </w:rPr>
              <w:t>اشارة</w:t>
            </w:r>
            <w:r>
              <w:rPr>
                <w:rStyle w:val="IndexLink"/>
                <w:rtl w:val="true"/>
              </w:rPr>
              <w:tab/>
            </w:r>
            <w:r>
              <w:rPr>
                <w:rStyle w:val="IndexLink"/>
              </w:rPr>
              <w:t>582</w:t>
            </w:r>
          </w:hyperlink>
        </w:p>
        <w:p>
          <w:pPr>
            <w:pStyle w:val="Contents5"/>
            <w:tabs>
              <w:tab w:val="clear" w:pos="7892"/>
              <w:tab w:val="right" w:pos="9026" w:leader="dot"/>
            </w:tabs>
            <w:rPr/>
          </w:pPr>
          <w:hyperlink w:anchor="__RefHeading___Toc2974781_2142443653">
            <w:r>
              <w:rPr>
                <w:webHidden/>
                <w:rStyle w:val="IndexLink"/>
                <w:rtl w:val="true"/>
              </w:rPr>
              <w:t>فيما يتصوّر في بيع المظروف مع الجهل بمقداره ومقتضى القاعدة فيه</w:t>
            </w:r>
            <w:r>
              <w:rPr>
                <w:rStyle w:val="IndexLink"/>
                <w:rtl w:val="true"/>
              </w:rPr>
              <w:tab/>
            </w:r>
            <w:r>
              <w:rPr>
                <w:rStyle w:val="IndexLink"/>
              </w:rPr>
              <w:t>583</w:t>
            </w:r>
          </w:hyperlink>
        </w:p>
        <w:p>
          <w:pPr>
            <w:pStyle w:val="Contents5"/>
            <w:tabs>
              <w:tab w:val="clear" w:pos="7892"/>
              <w:tab w:val="right" w:pos="9026" w:leader="dot"/>
            </w:tabs>
            <w:rPr/>
          </w:pPr>
          <w:hyperlink w:anchor="__RefHeading___Toc2974783_2142443653">
            <w:r>
              <w:rPr>
                <w:webHidden/>
                <w:rStyle w:val="IndexLink"/>
                <w:rtl w:val="true"/>
              </w:rPr>
              <w:t>بيان معقد إجماع فخرالدين قدّس سرّه</w:t>
            </w:r>
            <w:r>
              <w:rPr>
                <w:rStyle w:val="IndexLink"/>
                <w:rtl w:val="true"/>
              </w:rPr>
              <w:tab/>
            </w:r>
            <w:r>
              <w:rPr>
                <w:rStyle w:val="IndexLink"/>
              </w:rPr>
              <w:t>586</w:t>
            </w:r>
          </w:hyperlink>
        </w:p>
        <w:p>
          <w:pPr>
            <w:pStyle w:val="Contents5"/>
            <w:tabs>
              <w:tab w:val="clear" w:pos="7892"/>
              <w:tab w:val="right" w:pos="9026" w:leader="dot"/>
            </w:tabs>
            <w:rPr/>
          </w:pPr>
          <w:hyperlink w:anchor="__RefHeading___Toc2974785_2142443653">
            <w:r>
              <w:rPr>
                <w:webHidden/>
                <w:rStyle w:val="IndexLink"/>
                <w:rtl w:val="true"/>
              </w:rPr>
              <w:t>الروايات الدالّة على جواز الإندار</w:t>
            </w:r>
            <w:r>
              <w:rPr>
                <w:rStyle w:val="IndexLink"/>
                <w:rtl w:val="true"/>
              </w:rPr>
              <w:tab/>
            </w:r>
            <w:r>
              <w:rPr>
                <w:rStyle w:val="IndexLink"/>
              </w:rPr>
              <w:t>588</w:t>
            </w:r>
          </w:hyperlink>
        </w:p>
        <w:p>
          <w:pPr>
            <w:pStyle w:val="Contents5"/>
            <w:tabs>
              <w:tab w:val="clear" w:pos="7892"/>
              <w:tab w:val="right" w:pos="9026" w:leader="dot"/>
            </w:tabs>
            <w:rPr/>
          </w:pPr>
          <w:hyperlink w:anchor="__RefHeading___Toc2974787_2142443653">
            <w:r>
              <w:rPr>
                <w:webHidden/>
                <w:rStyle w:val="IndexLink"/>
                <w:rtl w:val="true"/>
              </w:rPr>
              <w:t>احتمالات موثّقة حنان</w:t>
            </w:r>
            <w:r>
              <w:rPr>
                <w:rStyle w:val="IndexLink"/>
                <w:rtl w:val="true"/>
              </w:rPr>
              <w:tab/>
            </w:r>
            <w:r>
              <w:rPr>
                <w:rStyle w:val="IndexLink"/>
              </w:rPr>
              <w:t>595</w:t>
            </w:r>
          </w:hyperlink>
        </w:p>
        <w:p>
          <w:pPr>
            <w:pStyle w:val="Contents5"/>
            <w:tabs>
              <w:tab w:val="clear" w:pos="7892"/>
              <w:tab w:val="right" w:pos="9026" w:leader="dot"/>
            </w:tabs>
            <w:rPr/>
          </w:pPr>
          <w:hyperlink w:anchor="__RefHeading___Toc2974789_2142443653">
            <w:r>
              <w:rPr>
                <w:webHidden/>
                <w:rStyle w:val="IndexLink"/>
                <w:rtl w:val="true"/>
              </w:rPr>
              <w:t>في كفاية تعارف الإندار بعد البيع في صحّة بيع المجهول</w:t>
            </w:r>
            <w:r>
              <w:rPr>
                <w:rStyle w:val="IndexLink"/>
                <w:rtl w:val="true"/>
              </w:rPr>
              <w:tab/>
            </w:r>
            <w:r>
              <w:rPr>
                <w:rStyle w:val="IndexLink"/>
              </w:rPr>
              <w:t>598</w:t>
            </w:r>
          </w:hyperlink>
        </w:p>
        <w:p>
          <w:pPr>
            <w:pStyle w:val="Contents5"/>
            <w:tabs>
              <w:tab w:val="clear" w:pos="7892"/>
              <w:tab w:val="right" w:pos="9026" w:leader="dot"/>
            </w:tabs>
            <w:rPr/>
          </w:pPr>
          <w:hyperlink w:anchor="__RefHeading___Toc2974791_2142443653">
            <w:r>
              <w:rPr>
                <w:webHidden/>
                <w:rStyle w:val="IndexLink"/>
                <w:rtl w:val="true"/>
              </w:rPr>
              <w:t>اعتبار رضا المتعاملين بالإندار</w:t>
            </w:r>
            <w:r>
              <w:rPr>
                <w:rStyle w:val="IndexLink"/>
                <w:rtl w:val="true"/>
              </w:rPr>
              <w:tab/>
            </w:r>
            <w:r>
              <w:rPr>
                <w:rStyle w:val="IndexLink"/>
              </w:rPr>
              <w:t>601</w:t>
            </w:r>
          </w:hyperlink>
        </w:p>
        <w:p>
          <w:pPr>
            <w:pStyle w:val="Contents5"/>
            <w:tabs>
              <w:tab w:val="clear" w:pos="7892"/>
              <w:tab w:val="right" w:pos="9026" w:leader="dot"/>
            </w:tabs>
            <w:rPr/>
          </w:pPr>
          <w:hyperlink w:anchor="__RefHeading___Toc2974793_2142443653">
            <w:r>
              <w:rPr>
                <w:webHidden/>
                <w:rStyle w:val="IndexLink"/>
                <w:rtl w:val="true"/>
              </w:rPr>
              <w:t>عدم جواز الإندار بما يزيد ولا ينقص</w:t>
            </w:r>
            <w:r>
              <w:rPr>
                <w:rStyle w:val="IndexLink"/>
                <w:rtl w:val="true"/>
              </w:rPr>
              <w:tab/>
            </w:r>
            <w:r>
              <w:rPr>
                <w:rStyle w:val="IndexLink"/>
              </w:rPr>
              <w:t>604</w:t>
            </w:r>
          </w:hyperlink>
        </w:p>
        <w:p>
          <w:pPr>
            <w:pStyle w:val="Contents5"/>
            <w:tabs>
              <w:tab w:val="clear" w:pos="7892"/>
              <w:tab w:val="right" w:pos="9026" w:leader="dot"/>
            </w:tabs>
            <w:rPr/>
          </w:pPr>
          <w:hyperlink w:anchor="__RefHeading___Toc2974795_2142443653">
            <w:r>
              <w:rPr>
                <w:webHidden/>
                <w:rStyle w:val="IndexLink"/>
                <w:rtl w:val="true"/>
              </w:rPr>
              <w:t>عدم جواز الإندار بما يحتمل الزيادة لا النقيصة</w:t>
            </w:r>
            <w:r>
              <w:rPr>
                <w:rStyle w:val="IndexLink"/>
                <w:rtl w:val="true"/>
              </w:rPr>
              <w:tab/>
            </w:r>
            <w:r>
              <w:rPr>
                <w:rStyle w:val="IndexLink"/>
              </w:rPr>
              <w:t>605</w:t>
            </w:r>
          </w:hyperlink>
        </w:p>
        <w:p>
          <w:pPr>
            <w:pStyle w:val="Contents5"/>
            <w:tabs>
              <w:tab w:val="clear" w:pos="7892"/>
              <w:tab w:val="right" w:pos="9026" w:leader="dot"/>
            </w:tabs>
            <w:rPr/>
          </w:pPr>
          <w:hyperlink w:anchor="__RefHeading___Toc2974797_2142443653">
            <w:r>
              <w:rPr>
                <w:webHidden/>
                <w:rStyle w:val="IndexLink"/>
                <w:rtl w:val="true"/>
              </w:rPr>
              <w:t>في أنّ احتمال الزيادة والنقيصة موضوع لحكم جواز الإندار</w:t>
            </w:r>
            <w:r>
              <w:rPr>
                <w:rStyle w:val="IndexLink"/>
                <w:rtl w:val="true"/>
              </w:rPr>
              <w:tab/>
            </w:r>
            <w:r>
              <w:rPr>
                <w:rStyle w:val="IndexLink"/>
              </w:rPr>
              <w:t>605</w:t>
            </w:r>
          </w:hyperlink>
        </w:p>
        <w:p>
          <w:pPr>
            <w:pStyle w:val="Contents5"/>
            <w:tabs>
              <w:tab w:val="clear" w:pos="7892"/>
              <w:tab w:val="right" w:pos="9026" w:leader="dot"/>
            </w:tabs>
            <w:rPr/>
          </w:pPr>
          <w:hyperlink w:anchor="__RefHeading___Toc2974799_2142443653">
            <w:r>
              <w:rPr>
                <w:webHidden/>
                <w:rStyle w:val="IndexLink"/>
                <w:rtl w:val="true"/>
              </w:rPr>
              <w:t>حكم التمسّك بالأصل العملي عند الإندار</w:t>
            </w:r>
            <w:r>
              <w:rPr>
                <w:rStyle w:val="IndexLink"/>
                <w:rtl w:val="true"/>
              </w:rPr>
              <w:tab/>
            </w:r>
            <w:r>
              <w:rPr>
                <w:rStyle w:val="IndexLink"/>
              </w:rPr>
              <w:t>606</w:t>
            </w:r>
          </w:hyperlink>
        </w:p>
        <w:p>
          <w:pPr>
            <w:pStyle w:val="Contents4"/>
            <w:tabs>
              <w:tab w:val="clear" w:pos="8176"/>
              <w:tab w:val="right" w:pos="9026" w:leader="dot"/>
            </w:tabs>
            <w:rPr/>
          </w:pPr>
          <w:hyperlink w:anchor="__RefHeading___Toc2974801_2142443653">
            <w:r>
              <w:rPr>
                <w:webHidden/>
                <w:rStyle w:val="IndexLink"/>
                <w:rtl w:val="true"/>
              </w:rPr>
              <w:t>مسألة في صور بيع المظروف مع ظرفه وأحكامها</w:t>
            </w:r>
            <w:r>
              <w:rPr>
                <w:rStyle w:val="IndexLink"/>
                <w:rtl w:val="true"/>
              </w:rPr>
              <w:tab/>
            </w:r>
            <w:r>
              <w:rPr>
                <w:rStyle w:val="IndexLink"/>
              </w:rPr>
              <w:t>610</w:t>
            </w:r>
          </w:hyperlink>
        </w:p>
        <w:p>
          <w:pPr>
            <w:pStyle w:val="Contents2"/>
            <w:tabs>
              <w:tab w:val="clear" w:pos="8743"/>
              <w:tab w:val="right" w:pos="9026" w:leader="dot"/>
            </w:tabs>
            <w:rPr/>
          </w:pPr>
          <w:hyperlink w:anchor="__RefHeading___Toc2974803_2142443653">
            <w:r>
              <w:rPr>
                <w:webHidden/>
                <w:rStyle w:val="IndexLink"/>
                <w:rtl w:val="true"/>
              </w:rPr>
              <w:t>خاتمة</w:t>
            </w:r>
            <w:r>
              <w:rPr>
                <w:rStyle w:val="IndexLink"/>
                <w:rtl w:val="true"/>
              </w:rPr>
              <w:tab/>
            </w:r>
            <w:r>
              <w:rPr>
                <w:rStyle w:val="IndexLink"/>
              </w:rPr>
              <w:t>615</w:t>
            </w:r>
          </w:hyperlink>
        </w:p>
        <w:p>
          <w:pPr>
            <w:pStyle w:val="Contents3"/>
            <w:tabs>
              <w:tab w:val="clear" w:pos="8459"/>
              <w:tab w:val="right" w:pos="9026" w:leader="dot"/>
            </w:tabs>
            <w:rPr/>
          </w:pPr>
          <w:hyperlink w:anchor="__RefHeading___Toc2974805_2142443653">
            <w:r>
              <w:rPr>
                <w:webHidden/>
                <w:rStyle w:val="IndexLink"/>
                <w:rtl w:val="true"/>
              </w:rPr>
              <w:t xml:space="preserve">فيها اُمور </w:t>
            </w:r>
            <w:r>
              <w:rPr>
                <w:rStyle w:val="IndexLink"/>
                <w:rtl w:val="true"/>
              </w:rPr>
              <w:t>:</w:t>
              <w:tab/>
            </w:r>
            <w:r>
              <w:rPr>
                <w:rStyle w:val="IndexLink"/>
              </w:rPr>
              <w:t>615</w:t>
            </w:r>
          </w:hyperlink>
        </w:p>
        <w:p>
          <w:pPr>
            <w:pStyle w:val="Contents4"/>
            <w:tabs>
              <w:tab w:val="clear" w:pos="8176"/>
              <w:tab w:val="right" w:pos="9026" w:leader="dot"/>
            </w:tabs>
            <w:rPr/>
          </w:pPr>
          <w:hyperlink w:anchor="__RefHeading___Toc2974807_2142443653">
            <w:r>
              <w:rPr>
                <w:webHidden/>
                <w:rStyle w:val="IndexLink"/>
                <w:rtl w:val="true"/>
              </w:rPr>
              <w:t>اشارة</w:t>
            </w:r>
            <w:r>
              <w:rPr>
                <w:rStyle w:val="IndexLink"/>
                <w:rtl w:val="true"/>
              </w:rPr>
              <w:tab/>
            </w:r>
            <w:r>
              <w:rPr>
                <w:rStyle w:val="IndexLink"/>
              </w:rPr>
              <w:t>615</w:t>
            </w:r>
          </w:hyperlink>
        </w:p>
        <w:p>
          <w:pPr>
            <w:pStyle w:val="Contents4"/>
            <w:tabs>
              <w:tab w:val="clear" w:pos="8176"/>
              <w:tab w:val="right" w:pos="9026" w:leader="dot"/>
            </w:tabs>
            <w:rPr/>
          </w:pPr>
          <w:hyperlink w:anchor="__RefHeading___Toc2974809_2142443653">
            <w:r>
              <w:rPr>
                <w:webHidden/>
                <w:rStyle w:val="IndexLink"/>
                <w:rtl w:val="true"/>
              </w:rPr>
              <w:t>الأمر الأوّل</w:t>
            </w:r>
            <w:r>
              <w:rPr>
                <w:rStyle w:val="IndexLink"/>
                <w:rtl w:val="true"/>
              </w:rPr>
              <w:t xml:space="preserve">: </w:t>
            </w:r>
            <w:r>
              <w:rPr>
                <w:rStyle w:val="IndexLink"/>
                <w:rtl w:val="true"/>
              </w:rPr>
              <w:t>في حكم تعلّم الأحكام</w:t>
            </w:r>
            <w:r>
              <w:rPr>
                <w:rStyle w:val="IndexLink"/>
                <w:rtl w:val="true"/>
              </w:rPr>
              <w:tab/>
            </w:r>
            <w:r>
              <w:rPr>
                <w:rStyle w:val="IndexLink"/>
              </w:rPr>
              <w:t>617</w:t>
            </w:r>
          </w:hyperlink>
        </w:p>
        <w:p>
          <w:pPr>
            <w:pStyle w:val="Contents4"/>
            <w:tabs>
              <w:tab w:val="clear" w:pos="8176"/>
              <w:tab w:val="right" w:pos="9026" w:leader="dot"/>
            </w:tabs>
            <w:rPr/>
          </w:pPr>
          <w:hyperlink w:anchor="__RefHeading___Toc2974811_2142443653">
            <w:r>
              <w:rPr>
                <w:webHidden/>
                <w:rStyle w:val="IndexLink"/>
                <w:rtl w:val="true"/>
              </w:rPr>
              <w:t>الأمر الثاني</w:t>
            </w:r>
            <w:r>
              <w:rPr>
                <w:rStyle w:val="IndexLink"/>
                <w:rtl w:val="true"/>
              </w:rPr>
              <w:t xml:space="preserve">: </w:t>
            </w:r>
            <w:r>
              <w:rPr>
                <w:rStyle w:val="IndexLink"/>
                <w:rtl w:val="true"/>
              </w:rPr>
              <w:t>في كراهة تلقّي الركبان</w:t>
            </w:r>
            <w:r>
              <w:rPr>
                <w:rStyle w:val="IndexLink"/>
                <w:rtl w:val="true"/>
              </w:rPr>
              <w:tab/>
            </w:r>
            <w:r>
              <w:rPr>
                <w:rStyle w:val="IndexLink"/>
              </w:rPr>
              <w:t>623</w:t>
            </w:r>
          </w:hyperlink>
        </w:p>
        <w:p>
          <w:pPr>
            <w:pStyle w:val="Contents5"/>
            <w:tabs>
              <w:tab w:val="clear" w:pos="7892"/>
              <w:tab w:val="right" w:pos="9026" w:leader="dot"/>
            </w:tabs>
            <w:rPr/>
          </w:pPr>
          <w:hyperlink w:anchor="__RefHeading___Toc2974813_2142443653">
            <w:r>
              <w:rPr>
                <w:webHidden/>
                <w:rStyle w:val="IndexLink"/>
                <w:rtl w:val="true"/>
              </w:rPr>
              <w:t>اشارة</w:t>
            </w:r>
            <w:r>
              <w:rPr>
                <w:rStyle w:val="IndexLink"/>
                <w:rtl w:val="true"/>
              </w:rPr>
              <w:tab/>
            </w:r>
            <w:r>
              <w:rPr>
                <w:rStyle w:val="IndexLink"/>
              </w:rPr>
              <w:t>623</w:t>
            </w:r>
          </w:hyperlink>
        </w:p>
        <w:p>
          <w:pPr>
            <w:pStyle w:val="Contents5"/>
            <w:tabs>
              <w:tab w:val="clear" w:pos="7892"/>
              <w:tab w:val="right" w:pos="9026" w:leader="dot"/>
            </w:tabs>
            <w:rPr/>
          </w:pPr>
          <w:hyperlink w:anchor="__RefHeading___Toc2974815_2142443653">
            <w:r>
              <w:rPr>
                <w:webHidden/>
                <w:rStyle w:val="IndexLink"/>
                <w:rtl w:val="true"/>
              </w:rPr>
              <w:t>كراهة التجارة عن تلقٍّ لا نفس الاستقبال</w:t>
            </w:r>
            <w:r>
              <w:rPr>
                <w:rStyle w:val="IndexLink"/>
                <w:rtl w:val="true"/>
              </w:rPr>
              <w:tab/>
            </w:r>
            <w:r>
              <w:rPr>
                <w:rStyle w:val="IndexLink"/>
              </w:rPr>
              <w:t>627</w:t>
            </w:r>
          </w:hyperlink>
        </w:p>
        <w:p>
          <w:pPr>
            <w:pStyle w:val="Contents5"/>
            <w:tabs>
              <w:tab w:val="clear" w:pos="7892"/>
              <w:tab w:val="right" w:pos="9026" w:leader="dot"/>
            </w:tabs>
            <w:rPr/>
          </w:pPr>
          <w:hyperlink w:anchor="__RefHeading___Toc2974817_2142443653">
            <w:r>
              <w:rPr>
                <w:webHidden/>
                <w:rStyle w:val="IndexLink"/>
                <w:rtl w:val="true"/>
              </w:rPr>
              <w:t>ارتفاع الكراهة بالوصول إلى أربعة فراسخ</w:t>
            </w:r>
            <w:r>
              <w:rPr>
                <w:rStyle w:val="IndexLink"/>
                <w:rtl w:val="true"/>
              </w:rPr>
              <w:tab/>
            </w:r>
            <w:r>
              <w:rPr>
                <w:rStyle w:val="IndexLink"/>
              </w:rPr>
              <w:t>629</w:t>
            </w:r>
          </w:hyperlink>
        </w:p>
        <w:p>
          <w:pPr>
            <w:pStyle w:val="Contents5"/>
            <w:tabs>
              <w:tab w:val="clear" w:pos="7892"/>
              <w:tab w:val="right" w:pos="9026" w:leader="dot"/>
            </w:tabs>
            <w:rPr/>
          </w:pPr>
          <w:hyperlink w:anchor="__RefHeading___Toc2974819_2142443653">
            <w:r>
              <w:rPr>
                <w:webHidden/>
                <w:rStyle w:val="IndexLink"/>
                <w:rtl w:val="true"/>
              </w:rPr>
              <w:t>صحّة المعاملة مع التلقّي</w:t>
            </w:r>
            <w:r>
              <w:rPr>
                <w:rStyle w:val="IndexLink"/>
                <w:rtl w:val="true"/>
              </w:rPr>
              <w:tab/>
            </w:r>
            <w:r>
              <w:rPr>
                <w:rStyle w:val="IndexLink"/>
              </w:rPr>
              <w:t>629</w:t>
            </w:r>
          </w:hyperlink>
        </w:p>
        <w:p>
          <w:pPr>
            <w:pStyle w:val="Contents4"/>
            <w:tabs>
              <w:tab w:val="clear" w:pos="8176"/>
              <w:tab w:val="right" w:pos="9026" w:leader="dot"/>
            </w:tabs>
            <w:rPr/>
          </w:pPr>
          <w:hyperlink w:anchor="__RefHeading___Toc2974821_2142443653">
            <w:r>
              <w:rPr>
                <w:webHidden/>
                <w:rStyle w:val="IndexLink"/>
                <w:rtl w:val="true"/>
              </w:rPr>
              <w:t>الأمر الثالث</w:t>
            </w:r>
            <w:r>
              <w:rPr>
                <w:rStyle w:val="IndexLink"/>
                <w:rtl w:val="true"/>
              </w:rPr>
              <w:t xml:space="preserve">: </w:t>
            </w:r>
            <w:r>
              <w:rPr>
                <w:rStyle w:val="IndexLink"/>
                <w:rtl w:val="true"/>
              </w:rPr>
              <w:t>في حرمة الاحتكار</w:t>
            </w:r>
            <w:r>
              <w:rPr>
                <w:rStyle w:val="IndexLink"/>
                <w:rtl w:val="true"/>
              </w:rPr>
              <w:tab/>
            </w:r>
            <w:r>
              <w:rPr>
                <w:rStyle w:val="IndexLink"/>
              </w:rPr>
              <w:t>631</w:t>
            </w:r>
          </w:hyperlink>
        </w:p>
        <w:p>
          <w:pPr>
            <w:pStyle w:val="Contents5"/>
            <w:tabs>
              <w:tab w:val="clear" w:pos="7892"/>
              <w:tab w:val="right" w:pos="9026" w:leader="dot"/>
            </w:tabs>
            <w:rPr/>
          </w:pPr>
          <w:hyperlink w:anchor="__RefHeading___Toc2974823_2142443653">
            <w:r>
              <w:rPr>
                <w:webHidden/>
                <w:rStyle w:val="IndexLink"/>
                <w:rtl w:val="true"/>
              </w:rPr>
              <w:t>اشارة</w:t>
            </w:r>
            <w:r>
              <w:rPr>
                <w:rStyle w:val="IndexLink"/>
                <w:rtl w:val="true"/>
              </w:rPr>
              <w:tab/>
            </w:r>
            <w:r>
              <w:rPr>
                <w:rStyle w:val="IndexLink"/>
              </w:rPr>
              <w:t>631</w:t>
            </w:r>
          </w:hyperlink>
        </w:p>
        <w:p>
          <w:pPr>
            <w:pStyle w:val="Contents5"/>
            <w:tabs>
              <w:tab w:val="clear" w:pos="7892"/>
              <w:tab w:val="right" w:pos="9026" w:leader="dot"/>
            </w:tabs>
            <w:rPr/>
          </w:pPr>
          <w:hyperlink w:anchor="__RefHeading___Toc2974825_2142443653">
            <w:r>
              <w:rPr>
                <w:webHidden/>
                <w:rStyle w:val="IndexLink"/>
                <w:rtl w:val="true"/>
              </w:rPr>
              <w:t>مناقشة التحديد الوارد في موثّقة السكوني</w:t>
            </w:r>
            <w:r>
              <w:rPr>
                <w:rStyle w:val="IndexLink"/>
                <w:rtl w:val="true"/>
              </w:rPr>
              <w:tab/>
            </w:r>
            <w:r>
              <w:rPr>
                <w:rStyle w:val="IndexLink"/>
              </w:rPr>
              <w:t>638</w:t>
            </w:r>
          </w:hyperlink>
        </w:p>
        <w:p>
          <w:pPr>
            <w:pStyle w:val="Contents5"/>
            <w:tabs>
              <w:tab w:val="clear" w:pos="7892"/>
              <w:tab w:val="right" w:pos="9026" w:leader="dot"/>
            </w:tabs>
            <w:rPr/>
          </w:pPr>
          <w:hyperlink w:anchor="__RefHeading___Toc2974827_2142443653">
            <w:r>
              <w:rPr>
                <w:webHidden/>
                <w:rStyle w:val="IndexLink"/>
                <w:rtl w:val="true"/>
              </w:rPr>
              <w:t>بيان الأطعمة التي يحرم احتكارها</w:t>
            </w:r>
            <w:r>
              <w:rPr>
                <w:rStyle w:val="IndexLink"/>
                <w:rtl w:val="true"/>
              </w:rPr>
              <w:tab/>
            </w:r>
            <w:r>
              <w:rPr>
                <w:rStyle w:val="IndexLink"/>
              </w:rPr>
              <w:t>640</w:t>
            </w:r>
          </w:hyperlink>
        </w:p>
        <w:p>
          <w:pPr>
            <w:pStyle w:val="Contents5"/>
            <w:tabs>
              <w:tab w:val="clear" w:pos="7892"/>
              <w:tab w:val="right" w:pos="9026" w:leader="dot"/>
            </w:tabs>
            <w:rPr/>
          </w:pPr>
          <w:hyperlink w:anchor="__RefHeading___Toc2974829_2142443653">
            <w:r>
              <w:rPr>
                <w:webHidden/>
                <w:rStyle w:val="IndexLink"/>
                <w:rtl w:val="true"/>
              </w:rPr>
              <w:t>تحريم احتكار الطعام وإن لم يملكه بالاشتراء</w:t>
            </w:r>
            <w:r>
              <w:rPr>
                <w:rStyle w:val="IndexLink"/>
                <w:rtl w:val="true"/>
              </w:rPr>
              <w:tab/>
            </w:r>
            <w:r>
              <w:rPr>
                <w:rStyle w:val="IndexLink"/>
              </w:rPr>
              <w:t>641</w:t>
            </w:r>
          </w:hyperlink>
        </w:p>
        <w:p>
          <w:pPr>
            <w:pStyle w:val="Contents5"/>
            <w:tabs>
              <w:tab w:val="clear" w:pos="7892"/>
              <w:tab w:val="right" w:pos="9026" w:leader="dot"/>
            </w:tabs>
            <w:rPr/>
          </w:pPr>
          <w:hyperlink w:anchor="__RefHeading___Toc2974831_2142443653">
            <w:r>
              <w:rPr>
                <w:webHidden/>
                <w:rStyle w:val="IndexLink"/>
                <w:rtl w:val="true"/>
              </w:rPr>
              <w:t>إجبار المحتكر على البيع عند الامتناع والتسعير عند الإجحاف</w:t>
            </w:r>
            <w:r>
              <w:rPr>
                <w:rStyle w:val="IndexLink"/>
                <w:rtl w:val="true"/>
              </w:rPr>
              <w:tab/>
            </w:r>
            <w:r>
              <w:rPr>
                <w:rStyle w:val="IndexLink"/>
              </w:rPr>
              <w:t>642</w:t>
            </w:r>
          </w:hyperlink>
        </w:p>
        <w:p>
          <w:pPr>
            <w:pStyle w:val="Contents2"/>
            <w:tabs>
              <w:tab w:val="clear" w:pos="8743"/>
              <w:tab w:val="right" w:pos="9026" w:leader="dot"/>
            </w:tabs>
            <w:rPr/>
          </w:pPr>
          <w:hyperlink w:anchor="__RefHeading___Toc2974833_2142443653">
            <w:r>
              <w:rPr>
                <w:webHidden/>
                <w:rStyle w:val="IndexLink"/>
                <w:rtl w:val="true"/>
              </w:rPr>
              <w:t>الفهارس العامّة</w:t>
            </w:r>
            <w:r>
              <w:rPr>
                <w:rStyle w:val="IndexLink"/>
                <w:rtl w:val="true"/>
              </w:rPr>
              <w:tab/>
            </w:r>
            <w:r>
              <w:rPr>
                <w:rStyle w:val="IndexLink"/>
              </w:rPr>
              <w:t>645</w:t>
            </w:r>
          </w:hyperlink>
        </w:p>
        <w:p>
          <w:pPr>
            <w:pStyle w:val="Contents3"/>
            <w:tabs>
              <w:tab w:val="clear" w:pos="8459"/>
              <w:tab w:val="right" w:pos="9026" w:leader="dot"/>
            </w:tabs>
            <w:rPr/>
          </w:pPr>
          <w:hyperlink w:anchor="__RefHeading___Toc2974835_2142443653">
            <w:r>
              <w:rPr>
                <w:webHidden/>
                <w:rStyle w:val="IndexLink"/>
                <w:rtl w:val="true"/>
              </w:rPr>
              <w:t>اشارة</w:t>
            </w:r>
            <w:r>
              <w:rPr>
                <w:rStyle w:val="IndexLink"/>
                <w:rtl w:val="true"/>
              </w:rPr>
              <w:tab/>
            </w:r>
            <w:r>
              <w:rPr>
                <w:rStyle w:val="IndexLink"/>
              </w:rPr>
              <w:t>645</w:t>
            </w:r>
          </w:hyperlink>
        </w:p>
        <w:p>
          <w:pPr>
            <w:pStyle w:val="Contents3"/>
            <w:tabs>
              <w:tab w:val="clear" w:pos="8459"/>
              <w:tab w:val="right" w:pos="9026" w:leader="dot"/>
            </w:tabs>
            <w:rPr/>
          </w:pPr>
          <w:hyperlink w:anchor="__RefHeading___Toc2974837_2142443653">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647</w:t>
            </w:r>
          </w:hyperlink>
        </w:p>
        <w:p>
          <w:pPr>
            <w:pStyle w:val="Contents3"/>
            <w:tabs>
              <w:tab w:val="clear" w:pos="8459"/>
              <w:tab w:val="right" w:pos="9026" w:leader="dot"/>
            </w:tabs>
            <w:rPr/>
          </w:pPr>
          <w:hyperlink w:anchor="__RefHeading___Toc2974839_2142443653">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651</w:t>
            </w:r>
          </w:hyperlink>
        </w:p>
        <w:p>
          <w:pPr>
            <w:pStyle w:val="Contents3"/>
            <w:tabs>
              <w:tab w:val="clear" w:pos="8459"/>
              <w:tab w:val="right" w:pos="9026" w:leader="dot"/>
            </w:tabs>
            <w:rPr/>
          </w:pPr>
          <w:hyperlink w:anchor="__RefHeading___Toc2974841_2142443653">
            <w:r>
              <w:rPr>
                <w:webHidden/>
                <w:rStyle w:val="IndexLink"/>
              </w:rPr>
              <w:t>3</w:t>
            </w:r>
            <w:r>
              <w:rPr>
                <w:rStyle w:val="IndexLink"/>
                <w:rtl w:val="true"/>
              </w:rPr>
              <w:t xml:space="preserve"> - </w:t>
            </w:r>
            <w:r>
              <w:rPr>
                <w:rStyle w:val="IndexLink"/>
                <w:rtl w:val="true"/>
              </w:rPr>
              <w:t>فهرس أسماء المعصومين</w:t>
            </w:r>
            <w:r>
              <w:rPr>
                <w:rStyle w:val="IndexLink"/>
                <w:rtl w:val="true"/>
              </w:rPr>
              <w:tab/>
            </w:r>
            <w:r>
              <w:rPr>
                <w:rStyle w:val="IndexLink"/>
              </w:rPr>
              <w:t>665</w:t>
            </w:r>
          </w:hyperlink>
        </w:p>
        <w:p>
          <w:pPr>
            <w:pStyle w:val="Contents3"/>
            <w:tabs>
              <w:tab w:val="clear" w:pos="8459"/>
              <w:tab w:val="right" w:pos="9026" w:leader="dot"/>
            </w:tabs>
            <w:rPr/>
          </w:pPr>
          <w:hyperlink w:anchor="__RefHeading___Toc2974843_2142443653">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667</w:t>
            </w:r>
          </w:hyperlink>
        </w:p>
        <w:p>
          <w:pPr>
            <w:pStyle w:val="Contents3"/>
            <w:tabs>
              <w:tab w:val="clear" w:pos="8459"/>
              <w:tab w:val="right" w:pos="9026" w:leader="dot"/>
            </w:tabs>
            <w:rPr/>
          </w:pPr>
          <w:hyperlink w:anchor="__RefHeading___Toc2974845_2142443653">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680</w:t>
            </w:r>
          </w:hyperlink>
        </w:p>
        <w:p>
          <w:pPr>
            <w:pStyle w:val="Contents3"/>
            <w:tabs>
              <w:tab w:val="clear" w:pos="8459"/>
              <w:tab w:val="right" w:pos="9026" w:leader="dot"/>
            </w:tabs>
            <w:rPr/>
          </w:pPr>
          <w:hyperlink w:anchor="__RefHeading___Toc2974847_2142443653">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685</w:t>
            </w:r>
          </w:hyperlink>
        </w:p>
        <w:p>
          <w:pPr>
            <w:pStyle w:val="Contents3"/>
            <w:tabs>
              <w:tab w:val="clear" w:pos="8459"/>
              <w:tab w:val="right" w:pos="9026" w:leader="dot"/>
            </w:tabs>
            <w:rPr/>
          </w:pPr>
          <w:hyperlink w:anchor="__RefHeading___Toc2974849_2142443653">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707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09_203644"/>
      <w:bookmarkStart w:id="1" w:name="pg15209_203644"/>
      <w:bookmarkEnd w:id="1"/>
    </w:p>
    <w:p>
      <w:pPr>
        <w:pStyle w:val="Heading2"/>
        <w:numPr>
          <w:ilvl w:val="1"/>
          <w:numId w:val="1"/>
        </w:numPr>
        <w:rPr/>
      </w:pPr>
      <w:bookmarkStart w:id="2" w:name="pg15209_203644"/>
      <w:bookmarkStart w:id="3" w:name="__RefHeading___Toc2974291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الخميني قدس سرة الشريف المجلد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البيع المجلد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الخميني قدس 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مواصفات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تنظيم و نشر آثارالامام الخميني قدس سرة،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الامام الخميني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نگهداري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429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09_203648"/>
      <w:bookmarkStart w:id="8" w:name="pg15209_203648"/>
      <w:bookmarkEnd w:id="8"/>
    </w:p>
    <w:p>
      <w:pPr>
        <w:pStyle w:val="Heading2"/>
        <w:numPr>
          <w:ilvl w:val="1"/>
          <w:numId w:val="1"/>
        </w:numPr>
        <w:rPr/>
      </w:pPr>
      <w:bookmarkStart w:id="9" w:name="pg15209_203648"/>
      <w:bookmarkStart w:id="10" w:name="__RefHeading___Toc2974295_2142443653"/>
      <w:bookmarkStart w:id="11" w:name="_Toc3"/>
      <w:bookmarkEnd w:id="9"/>
      <w:bookmarkEnd w:id="10"/>
      <w:r>
        <w:rPr>
          <w:rtl w:val="true"/>
        </w:rPr>
        <w:t>القول في شرائط العوضين</w:t>
      </w:r>
      <w:bookmarkEnd w:id="11"/>
    </w:p>
    <w:p>
      <w:pPr>
        <w:pStyle w:val="Heading3"/>
        <w:numPr>
          <w:ilvl w:val="2"/>
          <w:numId w:val="1"/>
        </w:numPr>
        <w:rPr/>
      </w:pPr>
      <w:bookmarkStart w:id="12" w:name="__RefHeading___Toc2974297_2142443653"/>
      <w:bookmarkStart w:id="13" w:name="_Toc4"/>
      <w:bookmarkEnd w:id="12"/>
      <w:r>
        <w:rPr>
          <w:rtl w:val="true"/>
        </w:rPr>
        <w:t>الشرط الأوّل</w:t>
      </w:r>
      <w:r>
        <w:rPr>
          <w:rtl w:val="true"/>
        </w:rPr>
        <w:t xml:space="preserve">: </w:t>
      </w:r>
      <w:r>
        <w:rPr>
          <w:rtl w:val="true"/>
        </w:rPr>
        <w:t>المالية والملكية في العوضين</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2974299_2142443653"/>
      <w:bookmarkStart w:id="15" w:name="_Toc5"/>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5209_203650"/>
      <w:bookmarkStart w:id="17" w:name="pg15209_203650"/>
      <w:bookmarkEnd w:id="17"/>
    </w:p>
    <w:p>
      <w:pPr>
        <w:pStyle w:val="Heading4"/>
        <w:numPr>
          <w:ilvl w:val="3"/>
          <w:numId w:val="1"/>
        </w:numPr>
        <w:rPr/>
      </w:pPr>
      <w:bookmarkStart w:id="18" w:name="pg15209_203650"/>
      <w:bookmarkStart w:id="19" w:name="__RefHeading___Toc2974301_2142443653"/>
      <w:bookmarkStart w:id="20" w:name="_Toc6"/>
      <w:bookmarkEnd w:id="18"/>
      <w:bookmarkEnd w:id="19"/>
      <w:r>
        <w:rPr>
          <w:rtl w:val="true"/>
        </w:rPr>
        <w:t>اعتبار المالية والملكية في العوضين</w:t>
      </w:r>
      <w:bookmarkEnd w:id="20"/>
    </w:p>
    <w:p>
      <w:pPr>
        <w:pStyle w:val="Heading4"/>
        <w:numPr>
          <w:ilvl w:val="3"/>
          <w:numId w:val="1"/>
        </w:numPr>
        <w:rPr/>
      </w:pPr>
      <w:bookmarkStart w:id="21" w:name="__RefHeading___Toc2974303_2142443653"/>
      <w:bookmarkStart w:id="22" w:name="_Toc7"/>
      <w:bookmarkEnd w:id="21"/>
      <w:r>
        <w:rPr>
          <w:rtl w:val="true"/>
        </w:rPr>
        <w:t>حول اشتراط المالية</w:t>
      </w:r>
      <w:bookmarkEnd w:id="22"/>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كلّ منهما أن يكون متموّلاً ؛ لأنّ البيع مبادلة مال بمال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فيه ؛ بأنّ شروط العوضين والمتعاملين ، إنّما تعتبر بعد تقوّم ماهية البيع ، فما هو دخيل في قوامها ، لا ينبغي أن يعدّ من الشروط ، كما أنّ القصد إلى المعنى أيضاً ، لا ينبغي أن يعدّ منها ، فالبيع له مقوّمات وشروط ، ورتبة الشروط متأخّرة عن أصل الماهية ومقوّماتها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يعدّ نحو المالية والقصد من مقوّمات الماهية ، لا من شروط العوضين ، هذا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البيع مبادلة مال بمال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المناقشة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المالية لا تعتبر في البيع ؛ فإنّ المبادلة بين الشيئين قد تكون لأجل ماليتهما ، وهو الشائع الرائج ، وقد تكون لغرض آخر </w:t>
      </w:r>
      <w:r>
        <w:rPr>
          <w:rFonts w:eastAsia="Amiri" w:cs="Amiri" w:ascii="Amiri" w:hAnsi="Amiri"/>
          <w:color w:val="111111"/>
          <w:sz w:val="28"/>
          <w:szCs w:val="28"/>
          <w:rtl w:val="true"/>
          <w:lang w:bidi="ar-SA"/>
        </w:rPr>
        <w:t xml:space="preserve">. </w:t>
      </w:r>
      <w:bookmarkStart w:id="23" w:name="pg15209_203651"/>
    </w:p>
    <w:p>
      <w:pPr>
        <w:pStyle w:val="BookText"/>
        <w:rPr/>
      </w:pPr>
      <w:bookmarkEnd w:id="23"/>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وجود حيوانات مضرّة بالزرع كالفأرة ، أو بالإنسان كالعقرب ، وأراد صاحب الزرع أو البيت جمعها وإفناءها ، فأعلن أ نّه يشتري كلّ فأرة أو عقرب بكذا ؛ لأجل حصول الدواعي لجمعها ، فاشترى ذلك لإعدامها ، يصدق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اشتراءً عقلائياً ، وإن لم يكن لأجل مالية المبيع ، ولم يكن مالاً ، فلو أتلف غيره بعد اشترائه تلك العقارب ، لم يكن ضامناً ؛ لعدم مناط الضمان فيه ، وعدم المالية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فالاشتراء قد يكون لغرض جلب المال ، وقد يكون لأغراض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فرض اعتبار مالية العوضين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أن يكون مالاً عند نوع العرف ، بل لو كان شيء ذا خاصّية بالنسبة إلى طائفة دون اُخرى ، أو في صقع دون آخر ، صحّ 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كان مالاً عند عدد معدود أو شخص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اختصّ شخص بمرض ، وكان علاجه بشيء لا يرغب فيه أحد غيره ، فاشترى ذلك بأغلى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إشكال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974305_2142443653"/>
      <w:bookmarkStart w:id="25" w:name="_Toc8"/>
      <w:bookmarkEnd w:id="24"/>
      <w:r>
        <w:rPr>
          <w:rtl w:val="true"/>
        </w:rPr>
        <w:t>حكم الشكّ في مالية أحد العوضين</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اعتبار المالية في العوضين ، لو شكّ في تحقّقها في أحدهما ، فلا مجال للتمسّك</w:t>
      </w:r>
      <w:r>
        <w:rPr>
          <w:rStyle w:val="FootnoteAnchor"/>
          <w:rtl w:val="true"/>
        </w:rPr>
        <w:footnoteReference w:id="3"/>
      </w:r>
      <w:r>
        <w:rPr>
          <w:rFonts w:ascii="Amiri" w:hAnsi="Amiri" w:eastAsia="Amiri" w:cs="Amiri"/>
          <w:color w:val="111111"/>
          <w:sz w:val="28"/>
          <w:sz w:val="28"/>
          <w:szCs w:val="28"/>
          <w:rtl w:val="true"/>
          <w:lang w:bidi="ar-SA"/>
        </w:rPr>
        <w:t xml:space="preserve">بأدلّة صحّة البيع والتجارة ، ولا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لأنّ الشبهة في الصدق ، بل ولا بعموم وجوب الوفاء بالعقود فيما إذا أراد المتبايعان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وإن شكّ في تحقّقه حينئذٍ ، لكن لا شكّ في تحقّق العقد ، فيصحّ التمسّك فيه بدليل وجوب الوفاء بالعقود</w:t>
      </w:r>
      <w:r>
        <w:rPr>
          <w:rStyle w:val="FootnoteAnchor"/>
          <w:rtl w:val="true"/>
        </w:rPr>
        <w:footnoteReference w:id="5"/>
      </w:r>
      <w:r>
        <w:rPr>
          <w:rFonts w:ascii="Amiri" w:hAnsi="Amiri" w:eastAsia="Amiri" w:cs="Amiri"/>
          <w:color w:val="111111"/>
          <w:sz w:val="28"/>
          <w:sz w:val="28"/>
          <w:szCs w:val="28"/>
          <w:rtl w:val="true"/>
          <w:lang w:bidi="ar-SA"/>
        </w:rPr>
        <w:t xml:space="preserve">، غير ظاهر ؛ لأنّ عقد البيع عقد واحد ، لا بيع وعقد آخر ، فلا يعقل مع الشكّ في البيع العلم بتحقّق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 لْبَيْعَ</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وبين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أنّ الأوّل خاصّ بالبيع ، والثاني أعمّ منه ومن سائر التجارات ، والثالث أعمّ منهما بناءً على شموله للعهود غير التجارية ، ومقتضى الأعمّية أوسعية الدائرة ، لا تحقّق كلّ بعنوانه في كلّ مصداق مستقلاًّ في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تحقّق التجارة والعقد بعين تحقّق البيع ، وإن كان الصدق باعتبارات ، فلا يعقل عدم تحقّق البيع في مورد لا يكون العوضان مالاً مع تحقّق التجارة والعقد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والفرض في المقام ، أنّ المتبايعين أرادا إيقاع البيع ، لا أمر آخر أجنبيّ عنه ، فإذا لم يتحقّق البيع ، فلا معنى لوجوب الوفاء ؛ لعدم شيء آخر وراء البيع الذي </w:t>
      </w:r>
      <w:bookmarkStart w:id="26" w:name="pg15209_203653"/>
    </w:p>
    <w:p>
      <w:pPr>
        <w:pStyle w:val="BookText"/>
        <w:rPr/>
      </w:pPr>
      <w:bookmarkEnd w:id="26"/>
      <w:r>
        <w:rPr>
          <w:rFonts w:ascii="Amiri" w:hAnsi="Amiri" w:eastAsia="Amiri" w:cs="Amiri"/>
          <w:color w:val="111111"/>
          <w:sz w:val="28"/>
          <w:sz w:val="28"/>
          <w:szCs w:val="28"/>
          <w:rtl w:val="true"/>
          <w:lang w:bidi="ar-SA"/>
        </w:rPr>
        <w:t xml:space="preserve">لم يتحقّق ، فإذا كان الأمر بحسب الواقع كذلك ، لا يعقل مع الشكّ في البيع العلم بالتجارة والعقد ؛ لأ نّهما في مورد البيع عينه </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974307_2142443653"/>
      <w:bookmarkStart w:id="28" w:name="_Toc9"/>
      <w:bookmarkEnd w:id="27"/>
      <w:r>
        <w:rPr>
          <w:rtl w:val="true"/>
        </w:rPr>
        <w:t>كفاية المالية العرفية</w:t>
      </w:r>
      <w:bookmarkEnd w:id="28"/>
    </w:p>
    <w:p>
      <w:pPr>
        <w:pStyle w:val="BookText"/>
        <w:rPr/>
      </w:pPr>
      <w:r>
        <w:rPr>
          <w:rFonts w:ascii="Amiri" w:hAnsi="Amiri" w:eastAsia="Amiri" w:cs="Amiri"/>
          <w:color w:val="111111"/>
          <w:sz w:val="28"/>
          <w:sz w:val="28"/>
          <w:szCs w:val="28"/>
          <w:rtl w:val="true"/>
          <w:lang w:bidi="ar-SA"/>
        </w:rPr>
        <w:t xml:space="preserve">ثمّ على فرض اعتبار المالية في ماهية البيع ، فالمعتبر هو المالية العرفية ، فلو فرض كون شيء غير مال بنظر الشارع الأقدس ، ومالاً بنظر العرف ، لا يضرّ ذلك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وليس في وسع الشرع إسقاط المالية العرفية ، بل ما هو في وسعه سلب الآثار مطلقاً أو في الجملة ، لا سلب اعتبار العرف ، فالخمر والخنزير مال عرفاً ، أسقط الشارع المقدّس آثار ماليتهما ، فلا ضمان في إتلافهما ، ولا يصحّ بيعهما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بعض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الشارع أسقط ماليتهما العرفية</w:t>
      </w:r>
      <w:r>
        <w:rPr>
          <w:rStyle w:val="FootnoteAnchor"/>
          <w:rtl w:val="true"/>
        </w:rPr>
        <w:footnoteReference w:id="9"/>
      </w:r>
      <w:r>
        <w:rPr>
          <w:rFonts w:ascii="Amiri" w:hAnsi="Amiri" w:eastAsia="Amiri" w:cs="Amiri"/>
          <w:color w:val="111111"/>
          <w:sz w:val="28"/>
          <w:sz w:val="28"/>
          <w:szCs w:val="28"/>
          <w:rtl w:val="true"/>
          <w:lang w:bidi="ar-SA"/>
        </w:rPr>
        <w:t xml:space="preserve">، ليس على 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لو شككنا في مورد في كون المبيع مالاً عند الشارع بالمعنى الذي قلناه ، صحّ التمسّك بالعموم والإطلاق بعد الصدق العرفي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شكّ في أنّ الشيء الفلاني مال عند الشارع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 الأشياء ليس بمال عنده ، كما أنّ بعض الأشياء الذي هو مال عند قوم ليس مالاً عند قوم آخرين ، صحّ التمسّك بالعموم ؛ لأنّ موضوع العمومات هو المال العرفي ، لا الشرعي </w:t>
      </w:r>
      <w:r>
        <w:rPr>
          <w:rFonts w:eastAsia="Amiri" w:cs="Amiri" w:ascii="Amiri" w:hAnsi="Amiri"/>
          <w:color w:val="111111"/>
          <w:sz w:val="28"/>
          <w:szCs w:val="28"/>
          <w:rtl w:val="true"/>
          <w:lang w:bidi="ar-SA"/>
        </w:rPr>
        <w:t xml:space="preserve">. </w:t>
      </w:r>
      <w:bookmarkStart w:id="29" w:name="pg15209_203654"/>
    </w:p>
    <w:p>
      <w:pPr>
        <w:pStyle w:val="Heading4"/>
        <w:numPr>
          <w:ilvl w:val="3"/>
          <w:numId w:val="1"/>
        </w:numPr>
        <w:rPr/>
      </w:pPr>
      <w:bookmarkStart w:id="30" w:name="__RefHeading___Toc2974309_2142443653"/>
      <w:bookmarkStart w:id="31" w:name="_Toc10"/>
      <w:bookmarkEnd w:id="29"/>
      <w:bookmarkEnd w:id="30"/>
      <w:r>
        <w:rPr>
          <w:rtl w:val="true"/>
        </w:rPr>
        <w:t>النسبة بين المال والملك</w:t>
      </w:r>
      <w:bookmarkEnd w:id="31"/>
    </w:p>
    <w:p>
      <w:pPr>
        <w:pStyle w:val="BookText"/>
        <w:rPr/>
      </w:pPr>
      <w:r>
        <w:rPr>
          <w:rFonts w:ascii="Amiri" w:hAnsi="Amiri" w:eastAsia="Amiri" w:cs="Amiri"/>
          <w:color w:val="111111"/>
          <w:sz w:val="28"/>
          <w:sz w:val="28"/>
          <w:szCs w:val="28"/>
          <w:rtl w:val="true"/>
          <w:lang w:bidi="ar-SA"/>
        </w:rPr>
        <w:t xml:space="preserve">ثمّ إنّه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المال والملك عموماً مطلقاً ؛ لأنّ ما ليس بمال ، ولا يترتّب عليه البيع والشراء وسائر المعاملات ، لا يعتبر ملكاً ، وعلى ذلك حمل كلام الشيخ الأعظم قدّس سرّه ؛ حيث استدلّ لاعتبار المالية بقوله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كما ترى ؛ لأنّ الأثر لا ينحصر بالبيع ، بل وبسائر المعاملات ، فمن حاز كفّاً من التراب فقد ملكه ، وليس لأحد التصرّف فيه ، ويكون التيمّم به باطلاً ، مع عدم كونه مالاً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وأفسد من ذلك التزامه ؛ بأنّ حبّة من الحنطة ، وكفّاً من التراب ، مال بمقداره ، وكذا كفّ من الماء في البحر ؛ ضرورة أنّ المال ليس حيثية واقعية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قائمة بكلّ واحد من الحبّات ، أو كلّ ذرّة من التراب والماء ، فلو لم تكن الحبّة مالاً ، لا تكون الحبّات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بلغت 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 لأنّ ضمّ ما ليس بمال</w:t>
      </w:r>
    </w:p>
    <w:p>
      <w:pPr>
        <w:pStyle w:val="BookText"/>
        <w:rPr/>
      </w:pPr>
      <w:r>
        <w:rPr>
          <w:rFonts w:ascii="Amiri" w:hAnsi="Amiri" w:eastAsia="Amiri" w:cs="Amiri"/>
          <w:color w:val="111111"/>
          <w:sz w:val="28"/>
          <w:sz w:val="28"/>
          <w:szCs w:val="28"/>
          <w:rtl w:val="true"/>
          <w:lang w:bidi="ar-SA"/>
        </w:rPr>
        <w:t xml:space="preserve">إلى ما ليس بمال ، لا يفيد المالية ؛ فإنّ ذلك خلط بين التكوين والاعتبار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الاُمور الاعتبارية ، لا بدّ وأن يلاحظ اعتبار العقلاء ، ولا إشكال في أنّ كفّاً من الماء في الفرات ، ومن التراب في الفلاة ، لا يعدّ مالاً ، ولا يكون في اعتبار العقلاء كذلك ، فالنسبة هي العموم من وجه ، كما هو المعروف</w:t>
      </w:r>
      <w:r>
        <w:rPr>
          <w:rStyle w:val="FootnoteAnchor"/>
          <w:rtl w:val="true"/>
        </w:rPr>
        <w:footnoteReference w:id="11"/>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منية الطالب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حاشية المكاسب ، المحقّق الأصفهاني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كلام الشيخ قدّس سرّه في المقام</w:t>
      </w:r>
      <w:r>
        <w:rPr>
          <w:rStyle w:val="FootnoteAnchor"/>
          <w:rtl w:val="true"/>
        </w:rPr>
        <w:footnoteReference w:id="12"/>
      </w:r>
      <w:r>
        <w:rPr>
          <w:rFonts w:ascii="Amiri" w:hAnsi="Amiri" w:eastAsia="Amiri" w:cs="Amiri"/>
          <w:color w:val="111111"/>
          <w:sz w:val="28"/>
          <w:sz w:val="28"/>
          <w:szCs w:val="28"/>
          <w:rtl w:val="true"/>
          <w:lang w:bidi="ar-SA"/>
        </w:rPr>
        <w:t xml:space="preserve">، فلا يخلو من اضطراب ، وإن أمكن القول في خصوص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من اشتباه النسّاخ ، وكان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بيع إلاّ في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مقصوده الاستدلال بالرواية ، ولهذا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بل أراد الاستدلال بما سبق منه ؛ من أنّ البيع مبادلة مال بمال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اشتراط المالية </w:t>
      </w:r>
      <w:r>
        <w:rPr>
          <w:rFonts w:eastAsia="Amiri" w:cs="Amiri" w:ascii="Amiri" w:hAnsi="Amiri"/>
          <w:color w:val="111111"/>
          <w:sz w:val="28"/>
          <w:szCs w:val="28"/>
          <w:rtl w:val="true"/>
          <w:lang w:bidi="ar-SA"/>
        </w:rPr>
        <w:t xml:space="preserve">. </w:t>
      </w:r>
      <w:bookmarkStart w:id="32" w:name="pg15209_203656"/>
    </w:p>
    <w:p>
      <w:pPr>
        <w:pStyle w:val="Heading4"/>
        <w:numPr>
          <w:ilvl w:val="3"/>
          <w:numId w:val="1"/>
        </w:numPr>
        <w:rPr/>
      </w:pPr>
      <w:bookmarkStart w:id="33" w:name="__RefHeading___Toc2974311_2142443653"/>
      <w:bookmarkStart w:id="34" w:name="_Toc11"/>
      <w:bookmarkEnd w:id="32"/>
      <w:bookmarkEnd w:id="33"/>
      <w:r>
        <w:rPr>
          <w:rtl w:val="true"/>
        </w:rPr>
        <w:t>حول اشتراط الملكية</w:t>
      </w:r>
      <w:bookmarkEnd w:id="34"/>
    </w:p>
    <w:p>
      <w:pPr>
        <w:pStyle w:val="BookText"/>
        <w:rPr/>
      </w:pPr>
      <w:r>
        <w:rPr>
          <w:rFonts w:ascii="Amiri" w:hAnsi="Amiri" w:eastAsia="Amiri" w:cs="Amiri"/>
          <w:color w:val="111111"/>
          <w:sz w:val="28"/>
          <w:sz w:val="28"/>
          <w:szCs w:val="28"/>
          <w:rtl w:val="true"/>
          <w:lang w:bidi="ar-SA"/>
        </w:rPr>
        <w:t xml:space="preserve">وأمّا الملكية ، فلا ينبغي الإشكال في عدم اشتراطها في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ليست من مقوّمات ماهية البيع ، وكذا ليست من شرائط الصحّة ؛ بحيث يبطل البيع مع فقدها ، فإنّ بيع الوقف العامّ بيع صحيح ، مع أ نّه ليس ملكاً ، بل فكّ للملك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بيع الأجناس الزكوية ، مع عدم كونها ملكاً لأحد على الأقوى ، والموارد المذكورة مصارف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بيع الكلّي ؛ لعدم كونه ملكاً للبائع ، وإنّما يصير ملكاً للمشتري على عهدة البائع بعد البيع </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974313_2142443653"/>
      <w:bookmarkStart w:id="36" w:name="_Toc12"/>
      <w:bookmarkEnd w:id="35"/>
      <w:r>
        <w:rPr>
          <w:rtl w:val="true"/>
        </w:rPr>
        <w:t>عدم اعتبار السلطنة في صدق البيع</w:t>
      </w:r>
      <w:bookmarkEnd w:id="36"/>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صحّة البيع هو السلطنة على المبيع ، ولهذا لا يصحّ بيع الكلّي غير المضاف إلى الذمّة ؛ لفقد السلطنة عليه ، بخلاف المضاف إليها ؛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بذلك يصير تحت سلطنته ، لسلطنته على نفسه بالتعهّد لأحد بشيء في ذمّة نفسه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يصحّ بيع المباحات الأصلية ؛ فإنّها متساوية النسبة إلى البائع والمشتري ، فلا سلطان للبائع عليها ؛ إذ ليست كالكلّي المضاف إلى الذمّة ، ولا كالأعيان المضافة إليه بكونها ملكاً له ، وهو سلطان عليها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القائل المدقّق تعميم السلطنة للكلّيات ، والتزم بما هو مخالف للعقل والعرف ؛ فإنّ الكلّي المضاف إلى الذمّة كلّي عقلي ، لا يعقل وجوده في الخارج ، فمجرّد إضافته إلى الذمّة ، تخرجه عن سلطان البائع لو فرض له سلطان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الإضافة إلى الذمّة مؤكّدة لسلب السلطنة ، لا محقّقة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عند العرف والعقلاء ، فلم يعهد من أحد منهم أن يعتبر عند بيع الكلّي أوّلاً إضافته إلى ذمّته ، ثمّ يبيع المضاف إليه ، بل ولا يكون في ارتكاز العقلاء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قدرة البائع على أداء المبيع في وقته ، توجب اعتبار العقلاء لعهدته وذمّته ، فإذا باع كلّياً اعتبر ذلك في ذمّته ، فتكون الذمّة وعاءً للكلّي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كالأوعية الخارجية للأجناس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إضافة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فالسلطنة في الكلّيات معتبرة في معتمدها ، الذي هو الأعيان الخارجية أو الأعمال ، وبها تتحقّق قدرة الأداء في وقته ، وأمّا السلطنة على نفس الكلّي المبيع فغير لازمة ، فكما أنّ مالية الكلّي باعتبار معتمده ، كذلك صحّة بيعه باعتبار</w:t>
      </w:r>
    </w:p>
    <w:p>
      <w:pPr>
        <w:pStyle w:val="BookText"/>
        <w:rPr/>
      </w:pPr>
      <w:r>
        <w:rPr>
          <w:rFonts w:ascii="Amiri" w:hAnsi="Amiri" w:eastAsia="Amiri" w:cs="Amiri"/>
          <w:color w:val="111111"/>
          <w:sz w:val="28"/>
          <w:sz w:val="28"/>
          <w:szCs w:val="28"/>
          <w:rtl w:val="true"/>
          <w:lang w:bidi="ar-SA"/>
        </w:rPr>
        <w:t xml:space="preserve">السلطنة على معتمده ، لا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اعتبرت السلطنة على المبيع حتّى في الكلّيات ، لا يعقل تصحيحها بالإضافة إلى الذمّة ، بل لا بدّ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الشخص الذي له اعتبار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قدرته على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سلطاناً على الكلّي بمقدار اعتباره ، وهذا لا ينافي سلطنة غيره على الكلّي ؛ لأ نّه قابل للاعتبار في كلّ ذمّة ولكلّ أحد ، ولا تنافي بين السلطات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عدم اعتبار المالية ولا الملكية في المبيع ، تشكل التعاريف التي </w:t>
      </w:r>
      <w:bookmarkStart w:id="37" w:name="pg15209_203658"/>
    </w:p>
    <w:p>
      <w:pPr>
        <w:pStyle w:val="BookText"/>
        <w:rPr/>
      </w:pPr>
      <w:bookmarkEnd w:id="37"/>
      <w:r>
        <w:rPr>
          <w:rFonts w:ascii="Amiri" w:hAnsi="Amiri" w:eastAsia="Amiri" w:cs="Amiri"/>
          <w:color w:val="111111"/>
          <w:sz w:val="28"/>
          <w:sz w:val="28"/>
          <w:szCs w:val="28"/>
          <w:rtl w:val="true"/>
          <w:lang w:bidi="ar-SA"/>
        </w:rPr>
        <w:t xml:space="preserve">وردت في كلمات الفقهاء ؛ لعدم خلوّ شيء منها من المناقشة أو المناقشات ، حتّى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المعتبر ليس إلاّ السلطنة على المبيع ، وعرّفنا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نقل معاملي بعوض ؛ فإنّ النقل إن كان في الملكية ، فقد عرفت عدم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السلطنة ، فلازمه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تبادل السلطنتين ، مثل ما لو بادل أحد سلطنته على العين بسلطنة الآخر على الثمن ، من دون نقل الأعيان ، مع أنّ ذلك باطل بلا 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يسهّل الخطب ، أنّ العجز عن تعريف البيع لا يضرّ بالمقصود ، بعد صدقه في الموارد المتقدّمة ؛ من بيع الأعيان ، وبيع الكلّي ، والأعيان الموقوفة العامّة ، وغيرها ، ففي كلّ مورد صدق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بيع وعقد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بصحّته ونفوذه ، ولا يلزم العلم بماهيته الاعتبارية الجامعة بين الأفراد ، كما في سائر موضوعات الأحكام ، المجهولة ماهيتها بحسب الجنس والفصل </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974315_2142443653"/>
      <w:bookmarkStart w:id="39" w:name="_Toc13"/>
      <w:bookmarkEnd w:id="38"/>
      <w:r>
        <w:rPr>
          <w:rtl w:val="true"/>
        </w:rPr>
        <w:t>حكم بيع المباحات</w:t>
      </w:r>
      <w:bookmarkEnd w:id="39"/>
    </w:p>
    <w:p>
      <w:pPr>
        <w:pStyle w:val="BookText"/>
        <w:rPr/>
      </w:pPr>
      <w:r>
        <w:rPr>
          <w:rFonts w:ascii="Amiri" w:hAnsi="Amiri" w:eastAsia="Amiri" w:cs="Amiri"/>
          <w:color w:val="111111"/>
          <w:sz w:val="28"/>
          <w:sz w:val="28"/>
          <w:szCs w:val="28"/>
          <w:rtl w:val="true"/>
          <w:lang w:bidi="ar-SA"/>
        </w:rPr>
        <w:t>ثمّ إنّه قد ظهر من عدم اعتبار الملكية في العوض ، عدم صحّة الاحتراز بهذا القيد عن بيع المباحات الأصلية</w:t>
      </w:r>
      <w:r>
        <w:rPr>
          <w:rStyle w:val="FootnoteAnchor"/>
          <w:rtl w:val="true"/>
        </w:rPr>
        <w:footnoteReference w:id="14"/>
      </w:r>
      <w:r>
        <w:rPr>
          <w:rFonts w:ascii="Amiri" w:hAnsi="Amiri" w:eastAsia="Amiri" w:cs="Amiri"/>
          <w:color w:val="111111"/>
          <w:sz w:val="28"/>
          <w:sz w:val="28"/>
          <w:szCs w:val="28"/>
          <w:rtl w:val="true"/>
          <w:lang w:bidi="ar-SA"/>
        </w:rPr>
        <w:t xml:space="preserve">، فلا بدّ من طريق آخر لإثبات البطلان فيها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هو مباح لجميع الناس أو المسلمين ، لا يجوز بيعه قبل تملّكه بالاصطياد ونحوه ؛ فإنّ بذل المال بإزائه سفهي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0" w:name="pg15209_203659"/>
    </w:p>
    <w:p>
      <w:pPr>
        <w:pStyle w:val="BookText"/>
        <w:rPr/>
      </w:pPr>
      <w:bookmarkEnd w:id="40"/>
      <w:r>
        <w:rPr>
          <w:rFonts w:ascii="Amiri" w:hAnsi="Amiri" w:eastAsia="Amiri" w:cs="Amiri"/>
          <w:color w:val="111111"/>
          <w:sz w:val="28"/>
          <w:sz w:val="28"/>
          <w:szCs w:val="28"/>
          <w:rtl w:val="true"/>
          <w:lang w:bidi="ar-SA"/>
        </w:rPr>
        <w:t xml:space="preserve">وفيه ما لا يخفى ؛ ضرورة أنّ العاجز عن الاصطياد ، إذا اشترى من القادر عليه صيداً خاصّاً تعلّق غرضه به ، لا يعدّ ذلك سفهاً ، ولا بيعه واشتراؤه سفهياً ، بل حتّى ولو كان قادراً عليه ، لكن لم يرد الاشتغال به ؛ لشغل آخر ، أو لطلب الراحة ، واشتراه من غيره ، لا يكون سفهاً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بيع المباحات ؛ من جهة عدم السلطنة عليها بعد عدم كونها ملكاً لأحد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فقدان السلطنة لا يوجب عدم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عرفاً ؛ فإنّ القادر على صيد السمك والطير لو باعهما ، يصدق عليه العنوان بحسب نظر العرف ، والصحّة الفعلية وإن لم تتحقّق ، لكن لا يوجب ذلك إلاّ بطلانه كبطلان الفضولي ، ويكون المورد كمسألة من باع شيئاً ثمّ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في الفضولي لا يكون الشيء مملوكاً للبائع ، وفي المورد لا يكون مملوكاً لأحد ، وهو لا يوجب الفرق </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974317_2142443653"/>
      <w:bookmarkStart w:id="42" w:name="_Toc14"/>
      <w:bookmarkEnd w:id="41"/>
      <w:r>
        <w:rPr>
          <w:rtl w:val="true"/>
        </w:rPr>
        <w:t>وجوب تحصيل المبيع إذا باع ما ليس له</w:t>
      </w:r>
      <w:bookmarkEnd w:id="42"/>
    </w:p>
    <w:p>
      <w:pPr>
        <w:pStyle w:val="BookText"/>
        <w:rPr/>
      </w:pPr>
      <w:r>
        <w:rPr>
          <w:rFonts w:ascii="Amiri" w:hAnsi="Amiri" w:eastAsia="Amiri" w:cs="Amiri"/>
          <w:color w:val="111111"/>
          <w:sz w:val="28"/>
          <w:sz w:val="28"/>
          <w:szCs w:val="28"/>
          <w:rtl w:val="true"/>
          <w:lang w:bidi="ar-SA"/>
        </w:rPr>
        <w:t>ثمّ إنّه يقع الكلام في المقام وفي الفضولي في أمر آخر ، وهو أ نّه إذا باع ما ليس له ، فهل يجب عليه تحصيله أو لا ؟</w:t>
      </w:r>
    </w:p>
    <w:p>
      <w:pPr>
        <w:pStyle w:val="BookText"/>
        <w:rPr/>
      </w:pPr>
      <w:r>
        <w:rPr>
          <w:rFonts w:ascii="Amiri" w:hAnsi="Amiri" w:eastAsia="Amiri" w:cs="Amiri"/>
          <w:color w:val="111111"/>
          <w:sz w:val="28"/>
          <w:sz w:val="28"/>
          <w:szCs w:val="28"/>
          <w:rtl w:val="true"/>
          <w:lang w:bidi="ar-SA"/>
        </w:rPr>
        <w:t xml:space="preserve">والمسألة مبنيّة على أنّ وجوب الوفاء بالعقد ، خطاب متوجّه إلى خصوص المتعاقدين المالكين للعوضين ، أو أعمّ منه ، ويكون وزانه وزان دليل الشرط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 نّه لو شرط أحد المتعاقدين على الآخر أخذ سمك خاصّ من البحر ، </w:t>
      </w:r>
    </w:p>
    <w:p>
      <w:pPr>
        <w:pStyle w:val="BookText"/>
        <w:rPr/>
      </w:pPr>
      <w:r>
        <w:rPr>
          <w:rFonts w:ascii="Amiri" w:hAnsi="Amiri" w:eastAsia="Amiri" w:cs="Amiri"/>
          <w:color w:val="111111"/>
          <w:sz w:val="28"/>
          <w:sz w:val="28"/>
          <w:szCs w:val="28"/>
          <w:rtl w:val="true"/>
          <w:lang w:bidi="ar-SA"/>
        </w:rPr>
        <w:t xml:space="preserve">أو طائر خاصّ قبل الاصطياد ، وكان المشروط عليه قادراً عليه ، يكون الشرط نافذاً عقلائياً ، ومشمولاً لوجوب الوفاء بالشرط ، كذلك في عقد البيع وغيره ، فإذا ملّكه تمليكاً إنشائياً ،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الوفاء به ، ومعه يجب عليه تحصيله بالابتياع من صاحب السلعة لو كان فضولياً ، وبالاصطياد والحيازة في المباحات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موضوع وجوب الوفاء هو العقد بلا قيد وشرط آخر ، أو العقد الصادر من المالك ؟</w:t>
      </w:r>
    </w:p>
    <w:p>
      <w:pPr>
        <w:pStyle w:val="BookText"/>
        <w:rPr/>
      </w:pPr>
      <w:r>
        <w:rPr>
          <w:rFonts w:ascii="Amiri" w:hAnsi="Amiri" w:eastAsia="Amiri" w:cs="Amiri"/>
          <w:color w:val="111111"/>
          <w:sz w:val="28"/>
          <w:sz w:val="28"/>
          <w:szCs w:val="28"/>
          <w:rtl w:val="true"/>
          <w:lang w:bidi="ar-SA"/>
        </w:rPr>
        <w:t xml:space="preserve">الإطلاق يقتضي الأوّل ، إلاّ أن يدّعى الانصراف ، وهو لا يبعد ، ولا سيّما مع موافقة فهم الفقهاء ، ولم أرَ أحداً احتمل ذلك في الفضولي وفي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قلناه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الوفاء ، عبارة عن العمل بمقتضى</w:t>
      </w:r>
    </w:p>
    <w:p>
      <w:pPr>
        <w:pStyle w:val="BookText"/>
        <w:rPr/>
      </w:pPr>
      <w:r>
        <w:rPr>
          <w:rFonts w:ascii="IRNazanin" w:hAnsi="IRNazanin" w:eastAsia="IRNazanin"/>
          <w:color w:val="111111"/>
          <w:sz w:val="28"/>
          <w:sz w:val="28"/>
          <w:szCs w:val="28"/>
          <w:rtl w:val="true"/>
          <w:lang w:bidi="fa-IR"/>
        </w:rPr>
        <w:t>العقد</w:t>
      </w:r>
      <w:r>
        <w:rPr>
          <w:rStyle w:val="FootnoteAnchor"/>
          <w:rtl w:val="true"/>
        </w:rPr>
        <w:footnoteReference w:id="17"/>
      </w:r>
      <w:r>
        <w:rPr>
          <w:rFonts w:ascii="Amiri" w:hAnsi="Amiri" w:eastAsia="Amiri" w:cs="Amiri"/>
          <w:color w:val="111111"/>
          <w:sz w:val="28"/>
          <w:sz w:val="28"/>
          <w:szCs w:val="28"/>
          <w:rtl w:val="true"/>
          <w:lang w:bidi="ar-SA"/>
        </w:rPr>
        <w:t xml:space="preserve">، وهو موقوف على حصول النقل ، فلا يجب الوفاء في الفضولي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الوفاء بالعقد في بيع المباحات ؛ لا عند العقلاء ، ولا عند الشرع ، يكون ذلك دليلاً على لغوية البيع ، فتأمّل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المباحات </w:t>
      </w:r>
      <w:r>
        <w:rPr>
          <w:rFonts w:eastAsia="Amiri" w:cs="Amiri" w:ascii="Amiri" w:hAnsi="Amiri"/>
          <w:color w:val="111111"/>
          <w:sz w:val="28"/>
          <w:szCs w:val="28"/>
          <w:rtl w:val="true"/>
          <w:lang w:bidi="ar-SA"/>
        </w:rPr>
        <w:t xml:space="preserve">. </w:t>
      </w:r>
      <w:bookmarkStart w:id="43" w:name="pg15209_203661"/>
    </w:p>
    <w:p>
      <w:pPr>
        <w:pStyle w:val="Heading4"/>
        <w:numPr>
          <w:ilvl w:val="3"/>
          <w:numId w:val="1"/>
        </w:numPr>
        <w:rPr/>
      </w:pPr>
      <w:bookmarkStart w:id="44" w:name="__RefHeading___Toc2974319_2142443653"/>
      <w:bookmarkStart w:id="45" w:name="_Toc15"/>
      <w:bookmarkEnd w:id="43"/>
      <w:bookmarkEnd w:id="44"/>
      <w:r>
        <w:rPr>
          <w:rtl w:val="true"/>
        </w:rPr>
        <w:t>حكم بيع الأراضي المفتوحة عنوة</w:t>
      </w:r>
      <w:bookmarkEnd w:id="45"/>
    </w:p>
    <w:p>
      <w:pPr>
        <w:pStyle w:val="BookText"/>
        <w:rPr/>
      </w:pPr>
      <w:r>
        <w:rPr>
          <w:rFonts w:ascii="Amiri" w:hAnsi="Amiri" w:eastAsia="Amiri" w:cs="Amiri"/>
          <w:color w:val="111111"/>
          <w:sz w:val="28"/>
          <w:sz w:val="28"/>
          <w:szCs w:val="28"/>
          <w:rtl w:val="true"/>
          <w:lang w:bidi="ar-SA"/>
        </w:rPr>
        <w:t xml:space="preserve">وأمّا الأرضون المفتوحة عنوة ، فخروجها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أن لا تكون ملكاً لأحد ، فلو كانت ملكاً للمسلمين أو للإمام ، لا يصحّ الاحتراز عنها بهذا القيد ، ولا بأس بالتعرّض لحالها حتّى يتّضح المقصود </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974321_2142443653"/>
      <w:bookmarkStart w:id="47" w:name="_Toc16"/>
      <w:bookmarkEnd w:id="46"/>
      <w:r>
        <w:rPr>
          <w:rtl w:val="true"/>
        </w:rPr>
        <w:t>في الأخبار الدالّة على أنّ الأرض كلّها للإمام عليه السلام</w:t>
      </w:r>
      <w:bookmarkEnd w:id="47"/>
    </w:p>
    <w:p>
      <w:pPr>
        <w:pStyle w:val="BookText"/>
        <w:rPr/>
      </w:pPr>
      <w:r>
        <w:rPr>
          <w:rFonts w:ascii="Amiri" w:hAnsi="Amiri" w:eastAsia="Amiri" w:cs="Amiri"/>
          <w:color w:val="111111"/>
          <w:sz w:val="28"/>
          <w:sz w:val="28"/>
          <w:szCs w:val="28"/>
          <w:rtl w:val="true"/>
          <w:lang w:bidi="ar-SA"/>
        </w:rPr>
        <w:t xml:space="preserve">وقبل التعرّض لأنواعها ، لا بأس بذكر جملة من الأخبار الدالّة على أنّ الأرض كلّها والدنيا كلّها للإمام عليه السلام ، 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الأرض كلّها لهم ، كرواية الكابلي ، عن أبي جعفر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وَا لْعَاقِبَةُ لِلْمُتَّقِينَ</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وأهل بيتي الذين أورثنا اللّه الأرض ، ونحن المتّقون ، والأرض كلّها لنا </w:t>
      </w:r>
      <w:r>
        <w:rPr>
          <w:rFonts w:eastAsia="Amiri" w:cs="Amiri" w:ascii="Amiri" w:hAnsi="Amiri"/>
          <w:color w:val="111111"/>
          <w:sz w:val="28"/>
          <w:szCs w:val="28"/>
          <w:rtl w:val="true"/>
          <w:lang w:bidi="ar-SA"/>
        </w:rPr>
        <w:t xml:space="preserve">. . .» </w:t>
      </w:r>
      <w:r>
        <w:rPr>
          <w:rStyle w:val="FootnoteAnchor"/>
          <w:rtl w:val="true"/>
        </w:rPr>
        <w:footnoteReference w:id="19"/>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عمر بن يزيد ،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وَما لنا من الأرض وما أخرج اللّه منها إلاّ الخمس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سيّار ، إنّ الأرض كلّها لنا ، فما </w:t>
      </w:r>
    </w:p>
    <w:p>
      <w:pPr>
        <w:pStyle w:val="BookText"/>
        <w:rPr/>
      </w:pPr>
      <w:r>
        <w:rPr>
          <w:rFonts w:ascii="Amiri" w:hAnsi="Amiri" w:eastAsia="Amiri" w:cs="Amiri"/>
          <w:color w:val="111111"/>
          <w:sz w:val="28"/>
          <w:sz w:val="28"/>
          <w:szCs w:val="28"/>
          <w:rtl w:val="true"/>
          <w:lang w:bidi="ar-SA"/>
        </w:rPr>
        <w:t>أخرج اللّه منها من شيء فهو لنا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أنّ الدنيا كلّها لهم ، كرواية جابر ،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وأقطعه الدنيا قطيعة ، فما كان لآدم فلرسول اللّه ، وما كان لرسول اللّه ، فهو للأئمّة من آل محمّد صلوات اللّه عليهم أجمعين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الريّان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روي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لرسول اللّه صلي الله عليه و آله وسلم من الدنيا إلاّ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الدنيا وما عليها لرسول اللّه صلي الله عليه و آله وسلم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أنّ الدنيا والآخرة للإمام عليه السلام ، كرواية أبي بصير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الإمام زكاة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أحلت يا أبا محمّد ، أما علمت أنّ الدنيا والآخرة للإمام ؛ يضعها حيث يشاء ، ويدفعها إلى من يشاء ، جائز له ذلك من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 ليلة أبداً وللّه في عنقه حقّ يسأله عنه</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الروايات الواردة بهذه المضامين أو ما يقرب منها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بدّ من نحو تأويل وتوجيه فيها ، بعد عدم جواز الأخذ بظاهرها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محمولة على الملك الحقيقي</w:t>
      </w:r>
      <w:r>
        <w:rPr>
          <w:rStyle w:val="FootnoteAnchor"/>
          <w:rtl w:val="true"/>
        </w:rPr>
        <w:footnoteReference w:id="25"/>
      </w:r>
      <w:r>
        <w:rPr>
          <w:rFonts w:ascii="Amiri" w:hAnsi="Amiri" w:eastAsia="Amiri" w:cs="Amiri"/>
          <w:color w:val="111111"/>
          <w:sz w:val="28"/>
          <w:sz w:val="28"/>
          <w:szCs w:val="28"/>
          <w:rtl w:val="true"/>
          <w:lang w:bidi="ar-SA"/>
        </w:rPr>
        <w:t xml:space="preserve">، ولم يتّضح ما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منه مالكية العلّة لمعلولها ؛ وأ نّهم عليهم السلام لمّا كانوا وسائط الفيض ، فلهم نحو مالكية للأشياء ، فهو لا يناسب الروايات ، بل ظواهر أكثرها آبية عنه ، كرواية الكابلي وجابر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وأقرب الاحتمالات ، هو أنّ اللّه تعالى جعل لهم اختيار التصرّف في الدنيا والآخرة، فهم من قبل اللّه ملاّك التصرّف في كلّ شيء، وإن كانت الأموال لصاحبها، وهذه ولاية عامّة كلّية بالنسبة إلى جميع الموجودات ، غير الولاية التكوينية ، وغير الولاية السلطانية الثابتة من قبلهم للفقهاء أيضاً ، فلهم التحليل والتحريم ، فقد حرّموا على سائر الطوائف الاستفادة من الأرض ، وإن كانوا مالكين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الغضّ عن أنّ أكثر تلك الروايات ضعيفة السند ، بل ظواهرها مخالفة للكتاب</w:t>
      </w:r>
      <w:r>
        <w:rPr>
          <w:rStyle w:val="FootnoteAnchor"/>
          <w:rtl w:val="true"/>
        </w:rPr>
        <w:footnoteReference w:id="26"/>
      </w:r>
      <w:r>
        <w:rPr>
          <w:rFonts w:ascii="Amiri" w:hAnsi="Amiri" w:eastAsia="Amiri" w:cs="Amiri"/>
          <w:color w:val="111111"/>
          <w:sz w:val="28"/>
          <w:sz w:val="28"/>
          <w:szCs w:val="28"/>
          <w:rtl w:val="true"/>
          <w:lang w:bidi="ar-SA"/>
        </w:rPr>
        <w:t>والسنّة</w:t>
      </w:r>
      <w:r>
        <w:rPr>
          <w:rStyle w:val="FootnoteAnchor"/>
          <w:rtl w:val="true"/>
        </w:rPr>
        <w:footnoteReference w:id="27"/>
      </w:r>
      <w:r>
        <w:rPr>
          <w:rFonts w:ascii="Amiri" w:hAnsi="Amiri" w:eastAsia="Amiri" w:cs="Amiri"/>
          <w:color w:val="111111"/>
          <w:sz w:val="28"/>
          <w:sz w:val="28"/>
          <w:szCs w:val="28"/>
          <w:rtl w:val="true"/>
          <w:lang w:bidi="ar-SA"/>
        </w:rPr>
        <w:t>وفتاوي الفقهاء</w:t>
      </w:r>
      <w:r>
        <w:rPr>
          <w:rStyle w:val="FootnoteAnchor"/>
          <w:rtl w:val="true"/>
        </w:rPr>
        <w:footnoteReference w:id="28"/>
      </w:r>
      <w:r>
        <w:rPr>
          <w:rFonts w:ascii="IRNazanin" w:hAnsi="IRNazanin" w:eastAsia="IRNazanin"/>
          <w:color w:val="111111"/>
          <w:sz w:val="28"/>
          <w:sz w:val="28"/>
          <w:szCs w:val="28"/>
          <w:rtl w:val="true"/>
          <w:lang w:bidi="fa-IR"/>
        </w:rPr>
        <w:t xml:space="preserve">، فلا بدّ من ردّ علمها إلى أهلها </w:t>
      </w:r>
      <w:r>
        <w:rPr>
          <w:rFonts w:eastAsia="IRNazanin" w:cs="IRNazanin"/>
          <w:color w:val="111111"/>
          <w:sz w:val="28"/>
          <w:szCs w:val="28"/>
          <w:rtl w:val="true"/>
          <w:lang w:bidi="fa-IR"/>
        </w:rPr>
        <w:t xml:space="preserve">. </w:t>
      </w:r>
      <w:bookmarkStart w:id="48" w:name="pg15209_203664"/>
    </w:p>
    <w:p>
      <w:pPr>
        <w:pStyle w:val="Heading4"/>
        <w:numPr>
          <w:ilvl w:val="3"/>
          <w:numId w:val="1"/>
        </w:numPr>
        <w:rPr/>
      </w:pPr>
      <w:bookmarkStart w:id="49" w:name="__RefHeading___Toc2974323_2142443653"/>
      <w:bookmarkStart w:id="50" w:name="_Toc17"/>
      <w:bookmarkEnd w:id="48"/>
      <w:bookmarkEnd w:id="49"/>
      <w:r>
        <w:rPr>
          <w:rtl w:val="true"/>
        </w:rPr>
        <w:t>التحقيق في مفاد آية الأنفال</w:t>
      </w:r>
      <w:bookmarkEnd w:id="50"/>
    </w:p>
    <w:p>
      <w:pPr>
        <w:pStyle w:val="BookText"/>
        <w:rPr/>
      </w:pPr>
      <w:r>
        <w:rPr>
          <w:rFonts w:ascii="Amiri" w:hAnsi="Amiri" w:eastAsia="Amiri" w:cs="Amiri"/>
          <w:color w:val="111111"/>
          <w:sz w:val="28"/>
          <w:sz w:val="28"/>
          <w:szCs w:val="28"/>
          <w:rtl w:val="true"/>
          <w:lang w:bidi="ar-SA"/>
        </w:rPr>
        <w:t xml:space="preserve">ثمّ إنّهم قسّموا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إمّا موات ، وإمّا عامرة ، وكلّ منهما إمّا أن تكون كذلك بالأصل ، أو عرض لها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الموات بالأصالة ، وكذا المعمورة كذلك ، وما عرض لها الموت بعد كون العمارة أصلية ، وبعض الأراضي المحياة بعد كونها من الموات بالأصالة ، هي كلّها للإمام عليه السلام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والأصل فيه هو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 لُونَكَ عَنِ الْأَنْفَالِ قُلِ الْأَنْفَالُ للّه‌ِ وَا لرَّسُولِ</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والأخبار الكثيرة الواردة في تفسيرها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تكون مضامين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على مضمون الآية الشريفة ، إلاّ في أنّ ما للرسول فهو للإمام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قد تعرّضنا للآية الكريمة سابقاً </w:t>
      </w:r>
      <w:r>
        <w:rPr>
          <w:rStyle w:val="FootnoteAnchor"/>
          <w:rtl w:val="true"/>
        </w:rPr>
        <w:footnoteReference w:id="32"/>
      </w:r>
      <w:r>
        <w:rPr>
          <w:rFonts w:ascii="Amiri" w:hAnsi="Amiri" w:eastAsia="Amiri" w:cs="Amiri"/>
          <w:color w:val="111111"/>
          <w:sz w:val="28"/>
          <w:sz w:val="28"/>
          <w:szCs w:val="28"/>
          <w:rtl w:val="true"/>
          <w:lang w:bidi="ar-SA"/>
        </w:rPr>
        <w:t xml:space="preserve">، ونشير إليها هاهنا ؛ تتميماً للفائدة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الاحتمالات فيها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اللّه تعالى ورسوله مالكين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اعتبارياً ؛ يكون لكلّ منهما نصفها بالإشاعة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مالكين كذلك ؛ كلّ تمامها بنحو الاستقلال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مالكي التصرّف ؛ أي يكون لكلّ منهما ولاية التصرّف ؛ </w:t>
      </w:r>
    </w:p>
    <w:p>
      <w:pPr>
        <w:pStyle w:val="BookText"/>
        <w:rPr/>
      </w:pPr>
      <w:r>
        <w:rPr>
          <w:rFonts w:ascii="Amiri" w:hAnsi="Amiri" w:eastAsia="Amiri" w:cs="Amiri"/>
          <w:color w:val="111111"/>
          <w:sz w:val="28"/>
          <w:sz w:val="28"/>
          <w:szCs w:val="28"/>
          <w:rtl w:val="true"/>
          <w:lang w:bidi="ar-SA"/>
        </w:rPr>
        <w:t xml:space="preserve">للّه تعالى بالأصالة ، وللنبي صلي الله عليه و آله وسلم بجعل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تعالى مالك التصرّف ، والرسول مالك الرقبة ، أو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المالك جهة الاُلوهية وجهة الرسالة ، أو جهة الرئاسة الإلهية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مالكية اللّه تعالى ملكاً اعتبارياً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كملك زيد لفرسه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غاية السقوط ، سواء كان بنحو الإشاعة ، أو بنحو الاستقلال ؛ لعدم الاعتبار العقلائي ، وعدم إمكان ترتّب لوازم الملك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استقلال المالكين لملك واحد ، غير صحيح ؛ لمخالفته لاعتبار العقلاء ، وهو واضح ، فعليه لا ينبغي الإشكال في أنّ كون الأنفال للّه ليس بنحو المالكية الاعتبارية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أنّ مالكية الرسول كمالكية اللّه تعالى ، فكلّ ما قلناه في مالكيته تعالى ، لا بدّ وأن نقول به</w:t>
      </w:r>
    </w:p>
    <w:p>
      <w:pPr>
        <w:pStyle w:val="BookText"/>
        <w:rPr/>
      </w:pPr>
      <w:r>
        <w:rPr>
          <w:rFonts w:ascii="Amiri" w:hAnsi="Amiri" w:eastAsia="Amiri" w:cs="Amiri"/>
          <w:color w:val="111111"/>
          <w:sz w:val="28"/>
          <w:sz w:val="28"/>
          <w:szCs w:val="28"/>
          <w:rtl w:val="true"/>
          <w:lang w:bidi="ar-SA"/>
        </w:rPr>
        <w:t>في مالكية الرسول ، فالتفكيك بين اللّه ورسوله غير وجيه جدّاً ، فمالكية اللّه تعالى</w:t>
      </w:r>
    </w:p>
    <w:p>
      <w:pPr>
        <w:pStyle w:val="BookText"/>
        <w:rPr/>
      </w:pPr>
      <w:r>
        <w:rPr>
          <w:rFonts w:ascii="Amiri" w:hAnsi="Amiri" w:eastAsia="Amiri" w:cs="Amiri"/>
          <w:color w:val="111111"/>
          <w:sz w:val="28"/>
          <w:sz w:val="28"/>
          <w:szCs w:val="28"/>
          <w:rtl w:val="true"/>
          <w:lang w:bidi="ar-SA"/>
        </w:rPr>
        <w:t xml:space="preserve">لخصوص الأنفال والخمس ، ليست إلاّ مالكية التصرّف ، وأ نّه تعالى وليّ الأمر ، له التصرّف فيهما بما أراد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والتخصيص بالأنفال والخمس ، لعلّه لأجل تشريف النبي وتعظيمه ، ولعلّه في الأنفال لأجل قطع النزاع ، كما يشعر به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بَيْنِكُمْ وَأَطِيعُوا اللّه‌َ وَرَسُولَهُ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وأشار إليه بعض المفسّرين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وعليه لا ينبغي الإشكال في أنّ الظاهر من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للّه تعالى له صلي الله عليه و آله وسلم ، فله ولاية التصرّف ، فكما أنّ اللّه تعالى لا يملك الرقبة بالملكية المتداولة ، بل له التصرّف فيها ، فكذلك رسول اللّه صلي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إشكال في أنّ الأنفال بعد رسول اللّه صلي الله عليه و آله وسلم ، لم تكن موروثة بين ورّاثه ، كأزواجه وغيرهنّ ، وليس ذلك إلاّ لأجل أ نّه لم يملك الرقبة ، وتخصيص آية الإرث</w:t>
      </w:r>
      <w:r>
        <w:rPr>
          <w:rStyle w:val="FootnoteAnchor"/>
          <w:rtl w:val="true"/>
        </w:rPr>
        <w:footnoteReference w:id="35"/>
      </w:r>
      <w:r>
        <w:rPr>
          <w:rFonts w:ascii="Amiri" w:hAnsi="Amiri" w:eastAsia="Amiri" w:cs="Amiri"/>
          <w:color w:val="111111"/>
          <w:sz w:val="28"/>
          <w:sz w:val="28"/>
          <w:szCs w:val="28"/>
          <w:rtl w:val="true"/>
          <w:lang w:bidi="ar-SA"/>
        </w:rPr>
        <w:t xml:space="preserve">بعيد غايته ، ولم يقل به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إمّا من حمل الآية على أنّ الملك للجهات لا للأشخاص ، فتكون جهة الربوبية والاُلوهية مالكة ، وجهة الولاية كذلك ، وهو مع كونه خلاف ظاهر الآية ، خلاف اعتبار العقلاء في اللّه تعالى كما مرّ ، فلا بدّ من التفكيك الفظيع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ولاية التصرّف ، وهو للوالي بهذا الوجه ؛ نبيّاً كان أم إماماً ، واحداً بعد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أحسن الوجوه المطابق للاعتبار العقلائي ، الموافق لبناء الدول ؛ من كون الأراضي الموات والمعمورة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للدولة ، والإسلام في هذه الاُمور السياسية ونحوها ، لم يأتِ بشيء مخالف لما عند العقلاء إلاّ فيما فيه مفسدة ، فإذا كان مفاد الآية الشريفة كذلك ، تنحلّ العقدة في الأخبار أيضاً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 بشيء مخالف للآية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ورد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ما لرسول اللّه صلي الله عليه و آله وسلم فهو للأئمّة </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وهو أيضاً يؤكّد ما ذكرناه ؛ إذ لو كان ملكاً له لا بدّ وأن يورث ، أو يخصّص فيه حكم </w:t>
      </w:r>
    </w:p>
    <w:p>
      <w:pPr>
        <w:pStyle w:val="BookText"/>
        <w:rPr/>
      </w:pPr>
      <w:r>
        <w:rPr>
          <w:rFonts w:ascii="Amiri" w:hAnsi="Amiri" w:eastAsia="Amiri" w:cs="Amiri"/>
          <w:color w:val="111111"/>
          <w:sz w:val="28"/>
          <w:sz w:val="28"/>
          <w:szCs w:val="28"/>
          <w:rtl w:val="true"/>
          <w:lang w:bidi="ar-SA"/>
        </w:rPr>
        <w:t xml:space="preserve">الإرث ، ولم ترد في رواية إشارة إلى أنّ هذا الحكم مخالف لأدلّة الإرث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يمكن استفادة أنّ ما ذكرناه كان معروفاً عند الطبقة الاُولى من فقهائنا ؛ أي أصحاب الأئمّة عليهم السلام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المدّعى</w:t>
      </w:r>
      <w:r>
        <w:rPr>
          <w:rStyle w:val="FootnoteAnchor"/>
          <w:rtl w:val="true"/>
        </w:rPr>
        <w:footnoteReference w:id="37"/>
      </w:r>
      <w:r>
        <w:rPr>
          <w:rFonts w:ascii="Amiri" w:hAnsi="Amiri" w:eastAsia="Amiri" w:cs="Amiri"/>
          <w:color w:val="111111"/>
          <w:sz w:val="28"/>
          <w:sz w:val="28"/>
          <w:szCs w:val="28"/>
          <w:rtl w:val="true"/>
          <w:lang w:bidi="ar-SA"/>
        </w:rPr>
        <w:t xml:space="preserve">، فمضافاً إلى إمكان إرادة بعض المجمعين من الملك ما ذكرناه ، يرد أنّ الإجماع ليس بحجّة في مثل تلك المسألة الوارد فيها الكتاب والأخبار ، ومعلوم أنّ مستندهم ليس إلاّ ذلك </w:t>
      </w:r>
      <w:r>
        <w:rPr>
          <w:rFonts w:eastAsia="Amiri" w:cs="Amiri" w:ascii="Amiri" w:hAnsi="Amiri"/>
          <w:color w:val="111111"/>
          <w:sz w:val="28"/>
          <w:szCs w:val="28"/>
          <w:rtl w:val="true"/>
          <w:lang w:bidi="ar-SA"/>
        </w:rPr>
        <w:t xml:space="preserve">. </w:t>
      </w:r>
      <w:bookmarkStart w:id="51" w:name="pg15209_203668"/>
    </w:p>
    <w:p>
      <w:pPr>
        <w:pStyle w:val="Heading4"/>
        <w:numPr>
          <w:ilvl w:val="3"/>
          <w:numId w:val="1"/>
        </w:numPr>
        <w:rPr/>
      </w:pPr>
      <w:bookmarkStart w:id="52" w:name="__RefHeading___Toc2974325_2142443653"/>
      <w:bookmarkStart w:id="53" w:name="_Toc18"/>
      <w:bookmarkEnd w:id="51"/>
      <w:bookmarkEnd w:id="52"/>
      <w:r>
        <w:rPr>
          <w:rtl w:val="true"/>
        </w:rPr>
        <w:t>أقسام الأرضين</w:t>
      </w:r>
      <w:bookmarkEnd w:id="53"/>
    </w:p>
    <w:p>
      <w:pPr>
        <w:pStyle w:val="Heading5"/>
        <w:numPr>
          <w:ilvl w:val="4"/>
          <w:numId w:val="1"/>
        </w:numPr>
        <w:rPr/>
      </w:pPr>
      <w:bookmarkStart w:id="54" w:name="__RefHeading___Toc2974327_2142443653"/>
      <w:bookmarkStart w:id="55" w:name="_Toc19"/>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ثمّ إنّ الأرضين على أقسام </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2974329_2142443653"/>
      <w:bookmarkStart w:id="57" w:name="_Toc20"/>
      <w:bookmarkEnd w:id="56"/>
      <w:r>
        <w:rPr>
          <w:rtl w:val="true"/>
        </w:rPr>
        <w:t>منها</w:t>
      </w:r>
      <w:r>
        <w:rPr>
          <w:rtl w:val="true"/>
        </w:rPr>
        <w:t xml:space="preserve">: </w:t>
      </w:r>
      <w:r>
        <w:rPr>
          <w:rtl w:val="true"/>
        </w:rPr>
        <w:t>الأرض الموات</w:t>
      </w:r>
      <w:bookmarkEnd w:id="57"/>
    </w:p>
    <w:p>
      <w:pPr>
        <w:pStyle w:val="BookText"/>
        <w:rPr/>
      </w:pPr>
      <w:r>
        <w:rPr>
          <w:rFonts w:ascii="Amiri" w:hAnsi="Amiri" w:eastAsia="Amiri" w:cs="Amiri"/>
          <w:color w:val="111111"/>
          <w:sz w:val="28"/>
          <w:sz w:val="28"/>
          <w:szCs w:val="28"/>
          <w:rtl w:val="true"/>
          <w:lang w:bidi="ar-SA"/>
        </w:rPr>
        <w:t xml:space="preserve">ولا إشكال في أ نّها كسائر ما للإمام عليه السلام ، ليست ملكاً شخصياً له ، تورث بين ورّاثه كسائر أملاكه الشخصية ، فهي إمّا ملك لجهة الولاية ، أو ليست ملكاً لأحد ، وإنّما الإمام عليه السلام وليّ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كونها ملكاً للجهة ، يكون الإمام عليه السلام وليّاً عليها ؛ فإنّ الجهة غير شخص الإمام عليه السلام ، فالجهة مالكة ، والإمام عليه السلام وليّ أمرها ، كولايته على سائر الاُمور السلطانية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الإشكال في اعتبار إذنه في التصرّف فيها بنحو التحجير أو الإحياء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كأملاكه الشخصية ، وهو واضح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بملك الجهة ، وهو وليّ التصرّف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ملكيتها لأحد ، وأنّ للإمام عليه السلام الولاية عليها ؛ فإنّ مقتضى الولاية والسلطنة ، عدم جواز تصرّف أحد في مورد سلطانه وولايته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الأمر كذلك في جميع الأولياء ، فليس لأحد التصرّف في مال القصّر إلاّ بإذن أوليائهم ، ولو تصرّف كان غصباً لا يترتّب عليه أثر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الأمر كذلك في جميع الدول والاُمم ، على اختلاف أنحاء الحكومات ، فأرض كلّ دولة إذا كانت مواتاً ، أو ممّا لا ربّ لها ، وجميع ما يتعلّق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 والبحر والجوّ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ولاية السلطان أو الحكومة ، ليس للدول الاُخر التجاوز </w:t>
      </w:r>
    </w:p>
    <w:p>
      <w:pPr>
        <w:pStyle w:val="BookText"/>
        <w:rPr/>
      </w:pPr>
      <w:r>
        <w:rPr>
          <w:rFonts w:ascii="Amiri" w:hAnsi="Amiri" w:eastAsia="Amiri" w:cs="Amiri"/>
          <w:color w:val="111111"/>
          <w:sz w:val="28"/>
          <w:sz w:val="28"/>
          <w:szCs w:val="28"/>
          <w:rtl w:val="true"/>
          <w:lang w:bidi="ar-SA"/>
        </w:rPr>
        <w:t xml:space="preserve">والتصرّف فيها إلاّ بإذن واليها ، بل ليس لأهالي المملكة التصرّفات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 الوالي ، والإسلام لم يأتِ بشيء في تلك الاُمور غير ما عند العقلاء ، فمقتضى سلطنتهم عليهم السلام وولايتهم على تلك الأرضين ، عدم جواز إحيائها إلاّ بإذنهم على جميع الاحتمالات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لم يثبت الإذن منهم ، فهل للفقيه ذلك ؟</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الفقيه نائب عنه عليه السلام فيما يرجع إلى اُمور المسلمين ، التي تكون وظيفة الإمام عليه السلام بما هو رئيس المسلمين ، أن يتصدّى لها ، لا في اُموره الشخصية وأملاكه الشخصية ،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كسهم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 ضرورة أنّ موات الأرض وسهم الإمام ، لو كانت من أملاكه الشخصية ، لا بدّ وأن تورث ، والضرورة على خلافه ، فلا بدّ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بملك الجهة ، والإمام وليّها ، أو بعدم الملك ، وهو الوليّ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سهم الإمام عليه السلام ، وكذا تلك الأرضون التي هي من الدولة الإسلامية ، أمرها بيد السلطان بما هو سلطان ووالٍ ، وكلّ ما كان كذلك ، فالفقيه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قبل المعصومين عليهم السلام ، فلا إشكال في أنّ للفقيه الإذن فيما كان للإمام ذلك في تلك الجهات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المربوطة ببيت مال المسلمين ، أو بحدود بلادهم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ذكرناه في الأخبار الواردة في أنّ الأرض أو الدنيا وما عليها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الأقرب حملها على ولاية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منها هذا </w:t>
      </w:r>
      <w:bookmarkStart w:id="58" w:name="pg15209_203670"/>
    </w:p>
    <w:p>
      <w:pPr>
        <w:pStyle w:val="BookText"/>
        <w:rPr/>
      </w:pPr>
      <w:bookmarkEnd w:id="58"/>
      <w:r>
        <w:rPr>
          <w:rFonts w:ascii="Amiri" w:hAnsi="Amiri" w:eastAsia="Amiri" w:cs="Amiri"/>
          <w:color w:val="111111"/>
          <w:sz w:val="28"/>
          <w:sz w:val="28"/>
          <w:szCs w:val="28"/>
          <w:rtl w:val="true"/>
          <w:lang w:bidi="ar-SA"/>
        </w:rPr>
        <w:t xml:space="preserve">النحو من الولاية التي هي للسلطان ، حتّى تتوقّف تصرّفات الناس على إذنه ، بل المراد أنّ اللّه تعالى أعطاهم اختيار التصرّف في أنفس الناس ، وفي أموالهم ، وجميع ما في الأرض ، وإن كانت الأموال لأصحابها ، ولهم التصرّف فيها بلا 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بعد تسليم صدور الروايات ،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منعهم عن التصرّف ، ففرق بين الولاية السلطانية ، وبين تلك التي سمّيناها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اختيار التصرّف بما شاؤوا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ظواهر تلك الروايات ، فهي ضرورية البطلان ، ومخالفة للكتاب والسنّة وفتاوي الفقهاء ، ولازمها مفاسد واُمور قبيحة ، يزرى بها المذهب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حملها على أ نّه لمّا كانت الأرض مواتاً في الأصل وفي بدء الأمر ، والموات أمرها بيد الإمام عليه السلام ، كانت للإمام أصالة ، ولا ينافي ذلك كون الإحياء موجباً لملكية المحيي بعد الإذن العامّ من وليّ الأمر ، هذا كلّه بحسب القواعد </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974331_2142443653"/>
      <w:bookmarkStart w:id="60" w:name="_Toc21"/>
      <w:bookmarkEnd w:id="59"/>
      <w:r>
        <w:rPr>
          <w:rtl w:val="true"/>
        </w:rPr>
        <w:t>إذن الأئمّة عليهم السلام في التصرّف لمطلق الناس</w:t>
      </w:r>
      <w:bookmarkEnd w:id="60"/>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التصرّف ونفوذه في الموات ، موقوف على إذن النبي صلي الله عليه و آله وسلم ، أو الإمام عليه السلام </w:t>
      </w:r>
      <w:r>
        <w:rPr>
          <w:rStyle w:val="FootnoteAnchor"/>
          <w:rtl w:val="true"/>
        </w:rPr>
        <w:footnoteReference w:id="39"/>
      </w:r>
      <w:r>
        <w:rPr>
          <w:rFonts w:ascii="Amiri" w:hAnsi="Amiri" w:eastAsia="Amiri" w:cs="Amiri"/>
          <w:color w:val="111111"/>
          <w:sz w:val="28"/>
          <w:sz w:val="28"/>
          <w:szCs w:val="28"/>
          <w:rtl w:val="true"/>
          <w:lang w:bidi="ar-SA"/>
        </w:rPr>
        <w:t>، فهل أذن المعصومون عليهم السلام في التصرّف فيها تحجيراً وإحياءً ؟</w:t>
      </w:r>
    </w:p>
    <w:p>
      <w:pPr>
        <w:pStyle w:val="BookText"/>
        <w:rPr/>
      </w:pPr>
      <w:r>
        <w:rPr>
          <w:rFonts w:ascii="Amiri" w:hAnsi="Amiri" w:eastAsia="Amiri" w:cs="Amiri"/>
          <w:color w:val="111111"/>
          <w:sz w:val="28"/>
          <w:sz w:val="28"/>
          <w:szCs w:val="28"/>
          <w:rtl w:val="true"/>
          <w:lang w:bidi="ar-SA"/>
        </w:rPr>
        <w:t>وعلى فرضه ، هل الإذن مخصوص بالشيعة ، أو يعمّ المسلمين ، أو يعمّ الناس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جملة من الروايات اختصاص الإذن بالشيعة ، وهي بين ضعيف </w:t>
      </w:r>
    </w:p>
    <w:p>
      <w:pPr>
        <w:pStyle w:val="BookText"/>
        <w:rPr/>
      </w:pPr>
      <w:r>
        <w:rPr>
          <w:rFonts w:ascii="Amiri" w:hAnsi="Amiri" w:eastAsia="Amiri" w:cs="Amiri"/>
          <w:color w:val="111111"/>
          <w:sz w:val="28"/>
          <w:sz w:val="28"/>
          <w:szCs w:val="28"/>
          <w:rtl w:val="true"/>
          <w:lang w:bidi="ar-SA"/>
        </w:rPr>
        <w:t>السند مطروح الظاهر ، كرواية عمر بن يزيد ، المشترك بين الضعيف</w:t>
      </w:r>
      <w:r>
        <w:rPr>
          <w:rStyle w:val="FootnoteAnchor"/>
          <w:rtl w:val="true"/>
        </w:rPr>
        <w:footnoteReference w:id="40"/>
      </w:r>
      <w:r>
        <w:rPr>
          <w:rFonts w:ascii="Amiri" w:hAnsi="Amiri" w:eastAsia="Amiri" w:cs="Amiri"/>
          <w:color w:val="111111"/>
          <w:sz w:val="28"/>
          <w:sz w:val="28"/>
          <w:szCs w:val="28"/>
          <w:rtl w:val="true"/>
          <w:lang w:bidi="ar-SA"/>
        </w:rPr>
        <w:t>والثقة</w:t>
      </w:r>
      <w:r>
        <w:rPr>
          <w:rStyle w:val="FootnoteAnchor"/>
          <w:rtl w:val="true"/>
        </w:rPr>
        <w:footnoteReference w:id="41"/>
      </w:r>
      <w:r>
        <w:rPr>
          <w:rFonts w:ascii="Amiri" w:hAnsi="Amiri" w:eastAsia="Amiri" w:cs="Amiri"/>
          <w:color w:val="111111"/>
          <w:sz w:val="28"/>
          <w:sz w:val="28"/>
          <w:szCs w:val="28"/>
          <w:rtl w:val="true"/>
          <w:lang w:bidi="ar-SA"/>
        </w:rPr>
        <w:t xml:space="preserve">، المشتملة على أنّ الأرض كلّها لهم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أيدي شيعتنا من الأرض فهم فيه محلّلون ، ومحلّل لهم ذلك إلى أن يقوم قائمنا ، فيجبيهم طَسْق ما كان في أيديهم ، وترك الأرض في أيديهم ،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ما كان في أيدي غيرهم ، فإنّ كسبهم من الأرض حرام عليهم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وكرواية يونس بن ظبيان</w:t>
      </w:r>
      <w:r>
        <w:rPr>
          <w:rStyle w:val="FootnoteAnchor"/>
          <w:rtl w:val="true"/>
        </w:rPr>
        <w:footnoteReference w:id="43"/>
      </w:r>
      <w:r>
        <w:rPr>
          <w:rFonts w:ascii="Amiri" w:hAnsi="Amiri" w:eastAsia="Amiri" w:cs="Amiri"/>
          <w:color w:val="111111"/>
          <w:sz w:val="28"/>
          <w:sz w:val="28"/>
          <w:szCs w:val="28"/>
          <w:rtl w:val="true"/>
          <w:lang w:bidi="ar-SA"/>
        </w:rPr>
        <w:t>، أو المعلّى بن خنيس</w:t>
      </w:r>
      <w:r>
        <w:rPr>
          <w:rStyle w:val="FootnoteAnchor"/>
          <w:rtl w:val="true"/>
        </w:rPr>
        <w:footnoteReference w:id="44"/>
      </w:r>
      <w:r>
        <w:rPr>
          <w:rFonts w:ascii="Amiri" w:hAnsi="Amiri" w:eastAsia="Amiri" w:cs="Amiri"/>
          <w:color w:val="111111"/>
          <w:sz w:val="28"/>
          <w:sz w:val="28"/>
          <w:szCs w:val="28"/>
          <w:rtl w:val="true"/>
          <w:lang w:bidi="ar-SA"/>
        </w:rPr>
        <w:t xml:space="preserve">، المشتملة على أنّ ما سقت ثمانية أنهار أو استقت منها فهو لهم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لنا فهو </w:t>
      </w:r>
    </w:p>
    <w:p>
      <w:pPr>
        <w:pStyle w:val="BookText"/>
        <w:rPr/>
      </w:pPr>
      <w:r>
        <w:rPr>
          <w:rFonts w:ascii="Amiri" w:hAnsi="Amiri" w:eastAsia="Amiri" w:cs="Amiri"/>
          <w:color w:val="111111"/>
          <w:sz w:val="28"/>
          <w:sz w:val="28"/>
          <w:szCs w:val="28"/>
          <w:rtl w:val="true"/>
          <w:lang w:bidi="ar-SA"/>
        </w:rPr>
        <w:t>لشيعتنا ، وليس لعدوّنا منه شيء</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وكالمنقولة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ضعيف السند غير ظاهر الدلالة ، كرواية الحارث 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إنّ لنا الخمس في كتاب اللّه ، ولنا الأنفال ، ولنا صفو المال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ظلمنا حقّنا</w:t>
      </w:r>
    </w:p>
    <w:p>
      <w:pPr>
        <w:pStyle w:val="BookText"/>
        <w:rPr/>
      </w:pP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الناس ليتقلّبون في حرام إلى يوم القيامة بظلمنا أهلَ البيت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قد أحللنا ذلك لشيعتنا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علينا بوجهه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ما على فطرة إبراهيم غيرنا وغير شيعتنا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ضعف السند ، فبجعفر بن محمّد بن حكيم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عدم ظهور الدلالة ، فلأنّ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ليتقلّبون في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منه أنّ ذلك لأجل غصب الخمس فقط ، أو لأجله مع صفو المال ، أو لأجلهما مع الأنفال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ظهور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قد أحللنا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في الحصر بالشيعة ، ولا سيّما مع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على فطرة إبراهيم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وأمّا التحريم على غيرهم فلا تدلّ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وكرواية الثمالي ، عن أبي جعفر عليه السلام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 لنا أهل البيت سهاماً ثلاثة في جميع الفيء ،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 نَّمَا غَنِمْتُمْ </w:t>
      </w:r>
      <w:r>
        <w:rPr>
          <w:rFonts w:eastAsia="Amiri" w:cs="Amiri" w:ascii="Amiri" w:hAnsi="Amiri"/>
          <w:color w:val="111111"/>
          <w:sz w:val="28"/>
          <w:szCs w:val="28"/>
          <w:rtl w:val="true"/>
          <w:lang w:bidi="ar-SA"/>
        </w:rPr>
        <w:t>. . .) . . .»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أصحاب الخمس والفيء ، وقد حرّمناه على جميع الناس ما خلا شيعتنا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هو الخمس ؛ لاستشهاده بالآية ،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سهاماً ثلاثة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أصحاب الخمس والفيء ، وقد حرّمناه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تقدّم ، وإرجاع الضمير المفرد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وحدتهما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ضعيفة السند</w:t>
      </w:r>
      <w:r>
        <w:rPr>
          <w:rStyle w:val="FootnoteAnchor"/>
          <w:rtl w:val="true"/>
        </w:rPr>
        <w:footnoteReference w:id="50"/>
      </w:r>
      <w:r>
        <w:rPr>
          <w:rFonts w:ascii="Amiri" w:hAnsi="Amiri" w:eastAsia="Amiri" w:cs="Amiri"/>
          <w:color w:val="111111"/>
          <w:sz w:val="28"/>
          <w:sz w:val="28"/>
          <w:szCs w:val="28"/>
          <w:rtl w:val="true"/>
          <w:lang w:bidi="ar-SA"/>
        </w:rPr>
        <w:t xml:space="preserve">والدلالة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صحيحة الفضيل ، عن أبي عبداللّه عليه السلام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 السلام لفاطمة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أحلّي نصيبك من الفيء لآباء شيعتنا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فالظاهر منها هو فدك ، وهي لم تكن مواتاً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رواية علي بن أسباط</w:t>
      </w:r>
      <w:r>
        <w:rPr>
          <w:rStyle w:val="FootnoteAnchor"/>
          <w:rtl w:val="true"/>
        </w:rPr>
        <w:footnoteReference w:id="52"/>
      </w:r>
      <w:r>
        <w:rPr>
          <w:rFonts w:ascii="Amiri" w:hAnsi="Amiri" w:eastAsia="Amiri" w:cs="Amiri"/>
          <w:color w:val="111111"/>
          <w:sz w:val="28"/>
          <w:sz w:val="28"/>
          <w:szCs w:val="28"/>
          <w:rtl w:val="true"/>
          <w:lang w:bidi="ar-SA"/>
        </w:rPr>
        <w:t xml:space="preserve">تحديده بحدود دخل فيها كثير من الموات ، لكنّها مرسلة ، أو في سندها السيّاري ، وهو ضعيف جدّاً </w:t>
      </w:r>
      <w:r>
        <w:rPr>
          <w:rStyle w:val="FootnoteAnchor"/>
          <w:rtl w:val="true"/>
        </w:rPr>
        <w:footnoteReference w:id="53"/>
      </w:r>
      <w:r>
        <w:rPr>
          <w:rFonts w:ascii="Amiri" w:hAnsi="Amiri" w:eastAsia="Amiri" w:cs="Amiri"/>
          <w:color w:val="111111"/>
          <w:sz w:val="28"/>
          <w:sz w:val="28"/>
          <w:szCs w:val="28"/>
          <w:rtl w:val="true"/>
          <w:lang w:bidi="ar-SA"/>
        </w:rPr>
        <w:t xml:space="preserve">، ومتنها مختلف ، فراجع ، مع أ نّها لا تدلّ على التحريم على غير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رواية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أهل الجبل يسأل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أخذ أرضاً مواتاً تركها أهلها ، فعمّرها وكرى أنهارها ، وبنى فيها بيوتاً ، وغرس فيها نخلاً وشجراً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من المؤمنين فهي له ، وعليه طسقها ، يؤدّيه إلى الإمام في حال الهدنة ، فإذا ظهر القائم فليوطّن نفسه على أن تؤخذ منه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 معتمدة ؛ لاشتراك عمر بين الثقة وغيره</w:t>
      </w:r>
      <w:r>
        <w:rPr>
          <w:rStyle w:val="FootnoteAnchor"/>
          <w:rtl w:val="true"/>
        </w:rPr>
        <w:footnoteReference w:id="55"/>
      </w:r>
      <w:r>
        <w:rPr>
          <w:rFonts w:ascii="Amiri" w:hAnsi="Amiri" w:eastAsia="Amiri" w:cs="Amiri"/>
          <w:color w:val="111111"/>
          <w:sz w:val="28"/>
          <w:sz w:val="28"/>
          <w:szCs w:val="28"/>
          <w:rtl w:val="true"/>
          <w:lang w:bidi="ar-SA"/>
        </w:rPr>
        <w:t xml:space="preserve">، ولاحتمال كون المراد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الأرض المسؤول عنها ؛ أي الخربة بعد العمارة ، وهي خارجة عمّا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نّها مشتملة على أداء الطسق ، وهو خلاف الفتوى ، وأنّ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ظهر القائم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 ، مخالف لما دلّت على أنّ الأرض متروكة في أيدي الشيعة عند الظهور</w:t>
      </w:r>
      <w:r>
        <w:rPr>
          <w:rStyle w:val="FootnoteAnchor"/>
          <w:rtl w:val="true"/>
        </w:rPr>
        <w:footnoteReference w:id="56"/>
      </w:r>
      <w:r>
        <w:rPr>
          <w:rFonts w:ascii="Amiri" w:hAnsi="Amiri" w:eastAsia="Amiri" w:cs="Amiri"/>
          <w:color w:val="111111"/>
          <w:sz w:val="28"/>
          <w:sz w:val="28"/>
          <w:szCs w:val="28"/>
          <w:rtl w:val="true"/>
          <w:lang w:bidi="ar-SA"/>
        </w:rPr>
        <w:t>، ولسائر الروايات الواردة في التحليل</w:t>
      </w:r>
      <w:r>
        <w:rPr>
          <w:rStyle w:val="FootnoteAnchor"/>
          <w:rtl w:val="true"/>
        </w:rPr>
        <w:footnoteReference w:id="57"/>
      </w:r>
      <w:r>
        <w:rPr>
          <w:rFonts w:ascii="Amiri" w:hAnsi="Amiri" w:eastAsia="Amiri" w:cs="Amiri"/>
          <w:color w:val="111111"/>
          <w:sz w:val="28"/>
          <w:sz w:val="28"/>
          <w:szCs w:val="28"/>
          <w:rtl w:val="true"/>
          <w:lang w:bidi="ar-SA"/>
        </w:rPr>
        <w:t xml:space="preserve">، فالمقصود منها تحليل الخمس ، سواء ذكر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 يثبت اختصاص الإذن بالشيعة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احتمال ذلك ، احتمال الاختصاص بالمسلمين</w:t>
      </w:r>
      <w:r>
        <w:rPr>
          <w:rStyle w:val="FootnoteAnchor"/>
          <w:rtl w:val="true"/>
        </w:rPr>
        <w:footnoteReference w:id="58"/>
      </w:r>
      <w:r>
        <w:rPr>
          <w:rFonts w:ascii="Amiri" w:hAnsi="Amiri" w:eastAsia="Amiri" w:cs="Amiri"/>
          <w:color w:val="111111"/>
          <w:sz w:val="28"/>
          <w:sz w:val="28"/>
          <w:szCs w:val="28"/>
          <w:rtl w:val="true"/>
          <w:lang w:bidi="ar-SA"/>
        </w:rPr>
        <w:t xml:space="preserve">؛ وذلك لعدم الدليل عليه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الكابلي ،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وَا لْعَاقِبَةُ لِلْمُتَّقِينَ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وأهل بيتي الذين أورثنا اللّه الأرض ، ونحن المتّقون ، والأرض كلّها لنا ، فمن أحيا أرضاً من المسلمين فليعمرها ، وليؤدّ خراجها </w:t>
      </w:r>
      <w:r>
        <w:rPr>
          <w:rFonts w:eastAsia="Amiri" w:cs="Amiri" w:ascii="Amiri" w:hAnsi="Amiri"/>
          <w:color w:val="111111"/>
          <w:sz w:val="28"/>
          <w:szCs w:val="28"/>
          <w:rtl w:val="true"/>
          <w:lang w:bidi="ar-SA"/>
        </w:rPr>
        <w:t xml:space="preserve">. . .» </w:t>
      </w:r>
      <w:r>
        <w:rPr>
          <w:rStyle w:val="FootnoteAnchor"/>
          <w:rtl w:val="true"/>
        </w:rPr>
        <w:footnoteReference w:id="59"/>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فمع ضعف سندها بالكابلي</w:t>
      </w:r>
      <w:r>
        <w:rPr>
          <w:rStyle w:val="FootnoteAnchor"/>
          <w:rtl w:val="true"/>
        </w:rPr>
        <w:footnoteReference w:id="60"/>
      </w:r>
      <w:r>
        <w:rPr>
          <w:rFonts w:ascii="IRNazanin" w:hAnsi="IRNazanin" w:eastAsia="IRNazanin"/>
          <w:color w:val="111111"/>
          <w:sz w:val="28"/>
          <w:sz w:val="28"/>
          <w:szCs w:val="28"/>
          <w:rtl w:val="true"/>
          <w:lang w:bidi="fa-IR"/>
        </w:rPr>
        <w:t>وإن صحّحها بعض</w:t>
      </w:r>
      <w:r>
        <w:rPr>
          <w:rStyle w:val="FootnoteAnchor"/>
          <w:rtl w:val="true"/>
        </w:rPr>
        <w:footnoteReference w:id="61"/>
      </w:r>
      <w:r>
        <w:rPr>
          <w:rFonts w:ascii="Amiri" w:hAnsi="Amiri" w:eastAsia="Amiri" w:cs="Amiri"/>
          <w:color w:val="111111"/>
          <w:sz w:val="28"/>
          <w:sz w:val="28"/>
          <w:szCs w:val="28"/>
          <w:rtl w:val="true"/>
          <w:lang w:bidi="ar-SA"/>
        </w:rPr>
        <w:t xml:space="preserve">، واشتمالها على ما لا نقول به من وجوه ، لا تدلّ على الاختصاص ؛ لعدم المفهوم حتّى ينفى غير المسلم ، مع أ نّه لو حملت على الأرض الخراجية ، فهي خارجة عن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النبويان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مَوَتان الأرض للّه ورسوله ، ثمّ هي لكم منّي أيّها المسلمون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 الأرض للّه ولرسوله ، ثمّ هي منّي لكم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كونهما من طرقنا ، ومخالفة ظاهرهما للروايات الواردة من طريق أهل البيت عليهم السلام بأنّ الأنفال للّه ، ورسوله صلي الله عليه و آله وسلم ، وللأئمّة 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وعدّ فيها موات الأرض ، ولهذا قد يختلج بالبال أنّهما من الموضوعات ، قبال ما ورد في أهل البيت عليهم السلام ولا سيّما مع هذا التعبير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هي لكم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المنافي لكونها للأئمّة بعد الرسول صلي الله عليه و آله وسلم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مخالفة ظاهرهما للواقع ؛ فإنّ الموتان إن كانت ملكاً لرسول اللّه صلي الله عليه و آله وسلم كسائر أملاكه الشخصية ، فلا بدّ وأن يكون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تمليكاً لهم ، </w:t>
      </w:r>
      <w:bookmarkStart w:id="61" w:name="pg15209_203677"/>
    </w:p>
    <w:p>
      <w:pPr>
        <w:pStyle w:val="BookText"/>
        <w:rPr/>
      </w:pPr>
      <w:bookmarkEnd w:id="61"/>
      <w:r>
        <w:rPr>
          <w:rFonts w:ascii="Amiri" w:hAnsi="Amiri" w:eastAsia="Amiri" w:cs="Amiri"/>
          <w:color w:val="111111"/>
          <w:sz w:val="28"/>
          <w:sz w:val="28"/>
          <w:szCs w:val="28"/>
          <w:rtl w:val="true"/>
          <w:lang w:bidi="ar-SA"/>
        </w:rPr>
        <w:t xml:space="preserve">فخرجت بذلك عن ملك اللّه ورسوله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الظاهر أنّ كلّها لكلّ واحد من المسلمين ، وهو باطل بالضرورة ، فلا بدّ من الحمل على أنّ كلّ من أحيا شيئاً منها فهو له ، وهو خلاف ظاهر في خلاف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الإذن في الإحياء للمسلمين لا ينافي الإذن لغيرهم ، فلا تدلاّن على الاختصاص بالمسلمين ، فلو دلّ دليل على الإذن لغيرهم نأخذ به </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2974333_2142443653"/>
      <w:bookmarkStart w:id="63" w:name="_Toc22"/>
      <w:bookmarkEnd w:id="62"/>
      <w:r>
        <w:rPr>
          <w:rtl w:val="true"/>
        </w:rPr>
        <w:t>استعراض الأدلّة على الإذن المطلق</w:t>
      </w:r>
      <w:bookmarkEnd w:id="63"/>
    </w:p>
    <w:p>
      <w:pPr>
        <w:pStyle w:val="BookText"/>
        <w:rPr/>
      </w:pPr>
      <w:r>
        <w:rPr>
          <w:rFonts w:ascii="Amiri" w:hAnsi="Amiri" w:eastAsia="Amiri" w:cs="Amiri"/>
          <w:color w:val="111111"/>
          <w:sz w:val="28"/>
          <w:sz w:val="28"/>
          <w:szCs w:val="28"/>
          <w:rtl w:val="true"/>
          <w:lang w:bidi="ar-SA"/>
        </w:rPr>
        <w:t xml:space="preserve">وتدلّ على الإذن لمطلق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الشراء من أرض اليهود والنصارى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 وقد ظهر رسول اللّه صلي الله عليه و آله وسلم على أهل خيبر ، فخارجهم على أن يترك الأرض في أيديهم يعملون بها ويعمرونها ، وما بها بأس ولو اشتريت منها شيئاً ، وأيّما قوم أحيوا شيئاً من الأرض أو عملوه فهم أحقّ بها ، وهي لهم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إطلاق الصدر ، يقتضي جواز الشراء منهم في صورة الإحياء والتعمير ، كما أنّ الكبرى الكلّية في الذيل بتعبير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مسلمين كانوا ، أو نصارى ، أو غيرهما ، تدلّ على أنّ الإحياء سبب تامّ ، من غير دخالة شيء آخر </w:t>
      </w:r>
    </w:p>
    <w:p>
      <w:pPr>
        <w:pStyle w:val="BookText"/>
        <w:rPr/>
      </w:pPr>
      <w:r>
        <w:rPr>
          <w:rFonts w:ascii="Amiri" w:hAnsi="Amiri" w:eastAsia="Amiri" w:cs="Amiri"/>
          <w:color w:val="111111"/>
          <w:sz w:val="28"/>
          <w:sz w:val="28"/>
          <w:szCs w:val="28"/>
          <w:rtl w:val="true"/>
          <w:lang w:bidi="ar-SA"/>
        </w:rPr>
        <w:t xml:space="preserve">في الأرض الموتان ، وأنّ العمل في الأرض الخربة التي لا ربّ لها ، سبب تامّ في تحقّق الاستحقاق والملكية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واستشهاده عليه السلام بما فعل رسول اللّه صلي الله عليه و آله وسلم ، تقريب لعدم الفرق بين الطوائف في هذه الاُمور ، فكما أنّ رسول اللّه صلي الله عليه و آله وسلم ترك الأرضين في أيديهم ؛ ليعملوا بها ويعمروها ، فصاروا مستحقّين بذلك ، من غير فرق بينهم وبين المسلمين ، كذلك الإحياء والتعمير للأرض الموات بالذات أو بالعرض ، فلا فرق فيما ذكر كلّه بين قوم وقوم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الاستشهاد دليل على أنّ الأرض المسؤول عنها ، كانت من الأرضين الخراجية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 لصدرها وذيلها ، ولا سيّما مع الكبرى المصدّرة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والمؤكّدة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عدم الاكتفاء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أردف به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توهّم أنّ لهم الاستحقاق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ظاهرة جدّاً في التعميم ، بل لا يبعد الاختصاص بالأرض غير الخراجية سؤالاً وجواباً ، كما هو ظاهر الذيل مع العناية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الاستحقاق ، وكان ذلك قرينة على ما ذكر ، فتدبّر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يقع الكلام فيها وفي روايات اُخر ، كرواية ابن مسلم ،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وعمروها ، فهم أحقّ بها ، وهي لهم</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ورواية الفضلاء ، عن أبي جعفر وأبي عبداللّه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عن رسول اللّه صلي الله عليه و آله 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وزانها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شيئاً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الاشتراء بشرائطه موجب لذلك ، ولا إطلاق له حتّى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اشترى من الفضولي أو الغاصب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ذلك اشتراط الاشتراء بشيء آخر ؟</w:t>
      </w:r>
    </w:p>
    <w:p>
      <w:pPr>
        <w:pStyle w:val="BookText"/>
        <w:rPr/>
      </w:pPr>
      <w:r>
        <w:rPr>
          <w:rFonts w:ascii="Amiri" w:hAnsi="Amiri" w:eastAsia="Amiri" w:cs="Amiri"/>
          <w:color w:val="111111"/>
          <w:sz w:val="28"/>
          <w:sz w:val="28"/>
          <w:szCs w:val="28"/>
          <w:rtl w:val="true"/>
          <w:lang w:bidi="ar-SA"/>
        </w:rPr>
        <w:t xml:space="preserve">فقوله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اشتراطه بشيء آخر ، ولا إطلاق له ، فلا تدلّ تلك الروايات على عدم اعتبار الإذن ، ولا على صدوره ممّن له ذلك ؟</w:t>
      </w:r>
    </w:p>
    <w:p>
      <w:pPr>
        <w:pStyle w:val="BookText"/>
        <w:rPr/>
      </w:pPr>
      <w:r>
        <w:rPr>
          <w:rFonts w:ascii="Amiri" w:hAnsi="Amiri" w:eastAsia="Amiri" w:cs="Amiri"/>
          <w:color w:val="111111"/>
          <w:sz w:val="28"/>
          <w:sz w:val="28"/>
          <w:szCs w:val="28"/>
          <w:rtl w:val="true"/>
          <w:lang w:bidi="ar-SA"/>
        </w:rPr>
        <w:t>أو أنّ لها إطلاقاً ، فتدلّ على أنّ تمام السبب هو الإحياء ، ولا يحتاج إلى شيء آخر ؛ من الإذن من الإمام عليه السلام ، أو من نائبه ؟</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فيها في غاية القوّة ، ولا سيّما مع مناسبات مغروسة في الأذهان ، ولا ينقدح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الأذهان الخالية عن المناقشات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دخالة شيء آخر في الاستحقاق أو التملّك ، وكذا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ولا يقاس ذلك بالاشتراء الذي كانت له شرائط مقرّرة عند العقلاء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 صحيحة ابن مسلم المتقدّمة ، الدالّة على جواز الاشتراء من اليهود </w:t>
      </w:r>
    </w:p>
    <w:p>
      <w:pPr>
        <w:pStyle w:val="BookText"/>
        <w:rPr/>
      </w:pPr>
      <w:r>
        <w:rPr>
          <w:rFonts w:ascii="Amiri" w:hAnsi="Amiri" w:eastAsia="Amiri" w:cs="Amiri"/>
          <w:color w:val="111111"/>
          <w:sz w:val="28"/>
          <w:sz w:val="28"/>
          <w:szCs w:val="28"/>
          <w:rtl w:val="true"/>
          <w:lang w:bidi="ar-SA"/>
        </w:rPr>
        <w:t>والنصارى ، أقوى شاهد على عدم اعتبار الإذن ، وعلى فرض اعتباره على صدور الإذن من وليّ الأمر ، وهو اللّه تعالى ، أو رسول اللّه صلي الله عليه و آله وسلم ، كما أشارت إليه موثّقة السكوني</w:t>
      </w:r>
      <w:r>
        <w:rPr>
          <w:rStyle w:val="FootnoteAnchor"/>
          <w:rtl w:val="true"/>
        </w:rPr>
        <w:footnoteReference w:id="68"/>
      </w:r>
      <w:r>
        <w:rPr>
          <w:rFonts w:ascii="Amiri" w:hAnsi="Amiri" w:eastAsia="Amiri" w:cs="Amiri"/>
          <w:color w:val="111111"/>
          <w:sz w:val="28"/>
          <w:sz w:val="28"/>
          <w:szCs w:val="28"/>
          <w:rtl w:val="true"/>
          <w:lang w:bidi="ar-SA"/>
        </w:rPr>
        <w:t xml:space="preserve">،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شجراً ، أو حفر وادياً بديّاً لم يسبقه إليه أحد ، أو أحيا أرضاً ميتة فهي له ؛ قضاء من اللّه ورسوله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قضاء اللّه ورسوله غير الحكم الشرعي ظاهراً ، بل قضاء من وليّ الأمر ، ولا سيّما مع عطف قضاء الرسول على قضاء اللّه ؛ فإنّ حكم اللّه ليس حكماً لرسول اللّه ، لكن في مورد الولاية يصحّ قضاء الوليّين وحكمهما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الإذن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الواردة في استحباب الزرع ، كالمرويّ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عليه السلام في حديث عدّ معايش الخلق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وجه العمارة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فأعلمنا سبحانه أ نّه قد أمرهم بالعمارة ؛ ليكون ذلك سبباً لمعايشهم بما يخرج من الأرض ؛ من الحبّ والثمرات وما شاكل ذلك ، ممّا جعله اللّه معايش للخلق</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المزارعة والمساقاة ،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bookmarkStart w:id="64" w:name="pg15209_203681"/>
    </w:p>
    <w:p>
      <w:pPr>
        <w:pStyle w:val="Heading5"/>
        <w:numPr>
          <w:ilvl w:val="4"/>
          <w:numId w:val="1"/>
        </w:numPr>
        <w:rPr/>
      </w:pPr>
      <w:bookmarkStart w:id="65" w:name="__RefHeading___Toc2974335_2142443653"/>
      <w:bookmarkStart w:id="66" w:name="_Toc23"/>
      <w:bookmarkEnd w:id="64"/>
      <w:bookmarkEnd w:id="65"/>
      <w:r>
        <w:rPr>
          <w:rtl w:val="true"/>
        </w:rPr>
        <w:t>حصول الملكية بالإحياء لكلّ محيٍ</w:t>
      </w:r>
      <w:bookmarkEnd w:id="66"/>
    </w:p>
    <w:p>
      <w:pPr>
        <w:pStyle w:val="BookText"/>
        <w:rPr/>
      </w:pPr>
      <w:r>
        <w:rPr>
          <w:rFonts w:ascii="Amiri" w:hAnsi="Amiri" w:eastAsia="Amiri" w:cs="Amiri"/>
          <w:color w:val="111111"/>
          <w:sz w:val="28"/>
          <w:sz w:val="28"/>
          <w:szCs w:val="28"/>
          <w:rtl w:val="true"/>
          <w:lang w:bidi="ar-SA"/>
        </w:rPr>
        <w:t xml:space="preserve">ثمّ إنّ الظاهر حصول الملكية بالإحياء لكلّ محيٍ ، مسلماً كان أم غيره ؛ للأخبار الصحاح المتظافرة بتعبيرات متقاربة ، كقول رسول اللّه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الفضلاء</w:t>
      </w:r>
      <w:r>
        <w:rPr>
          <w:rStyle w:val="FootnoteAnchor"/>
          <w:rtl w:val="true"/>
        </w:rPr>
        <w:footnoteReference w:id="72"/>
      </w:r>
      <w:r>
        <w:rPr>
          <w:rFonts w:ascii="Amiri" w:hAnsi="Amiri" w:eastAsia="Amiri" w:cs="Amiri"/>
          <w:color w:val="111111"/>
          <w:sz w:val="28"/>
          <w:sz w:val="28"/>
          <w:szCs w:val="28"/>
          <w:rtl w:val="true"/>
          <w:lang w:bidi="ar-SA"/>
        </w:rPr>
        <w:t xml:space="preserve">وغيرها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وكموثّقة السكوني المتقدّمة</w:t>
      </w:r>
      <w:r>
        <w:rPr>
          <w:rStyle w:val="FootnoteAnchor"/>
          <w:rtl w:val="true"/>
        </w:rPr>
        <w:footnoteReference w:id="74"/>
      </w:r>
      <w:r>
        <w:rPr>
          <w:rFonts w:ascii="Amiri" w:hAnsi="Amiri" w:eastAsia="Amiri" w:cs="Amiri"/>
          <w:color w:val="111111"/>
          <w:sz w:val="28"/>
          <w:sz w:val="28"/>
          <w:szCs w:val="28"/>
          <w:rtl w:val="true"/>
          <w:lang w:bidi="ar-SA"/>
        </w:rPr>
        <w:t>فإنّ لها ظهوراً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لو كان المراد بقوله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تقدّم من الشجر والبئر والأرض المحياة ، كما هو ظاهر العطف ؛ فإنّ الشجر ملك للغارس بلا إشكال ، فكذا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المراد بيان مصاديق الإحياء ، وقوله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أحيا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ذكر العامّ بعد الخاصّ ، لكان ظهورها كغيرها ، لكنّه خلاف الظاهر ، فالظاهر أنّ الغرس والبئر له ، كما أنّ الأرض المحياة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وكصحيحة 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وعمروها فهم أحقّ بها ، وهي لهم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إرداف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الظهور قويّاً في الملكية ؛ ضرورة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الأحقّية الأعمّ من الملكية ، </w:t>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 لدفع توهّم عدم حصول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وكصحيحته الاُخرى المتقدّمة</w:t>
      </w:r>
      <w:r>
        <w:rPr>
          <w:rStyle w:val="FootnoteAnchor"/>
          <w:rtl w:val="true"/>
        </w:rPr>
        <w:footnoteReference w:id="76"/>
      </w:r>
      <w:r>
        <w:rPr>
          <w:rFonts w:ascii="Amiri" w:hAnsi="Amiri" w:eastAsia="Amiri" w:cs="Amiri"/>
          <w:color w:val="111111"/>
          <w:sz w:val="28"/>
          <w:sz w:val="28"/>
          <w:szCs w:val="28"/>
          <w:rtl w:val="true"/>
          <w:lang w:bidi="ar-SA"/>
        </w:rPr>
        <w:t xml:space="preserve">المشتملة على الاشتراء من أرض اليهود والنصارى ، فإنّ الظاهر جواز اشتراء نفس الأراضي ، فلا بدّ أن تكون ملكاً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وأيّما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الوارد في ذيلها ، يؤكّد ظهورها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الروايات في الملكية ممّا لا ينبغي إنكاره ، وليس من قبل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بل لمكان القرائن الحافّة بها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قبالها روايتا الكابلي وعمر بن يزيد المتقدّمتان</w:t>
      </w:r>
      <w:r>
        <w:rPr>
          <w:rStyle w:val="FootnoteAnchor"/>
          <w:rtl w:val="true"/>
        </w:rPr>
        <w:footnoteReference w:id="77"/>
      </w:r>
      <w:r>
        <w:rPr>
          <w:rFonts w:ascii="Amiri" w:hAnsi="Amiri" w:eastAsia="Amiri" w:cs="Amiri"/>
          <w:color w:val="111111"/>
          <w:sz w:val="28"/>
          <w:sz w:val="28"/>
          <w:szCs w:val="28"/>
          <w:rtl w:val="true"/>
          <w:lang w:bidi="ar-SA"/>
        </w:rPr>
        <w:t xml:space="preserve">، وهما ظاهرتان في عدم الملكية ظهوراً لا ينكر أيضاً ، وليس بين الطائفتين جمع 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يسهّل الخطب أنّ الروايتين غير معتمدتين ؛ 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كضعفهما ، وإعراض المشهور عن ظاهرهما ، فهما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منهما عدم مالكية الشيعة أيضاً ، كما أنّ ظاهرهما أنّ الأرض كلّها للإمام عليه السلام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وببعض ما ذكر يجاب عن رواية عمر بن يزيد الاُخرى</w:t>
      </w:r>
      <w:r>
        <w:rPr>
          <w:rStyle w:val="FootnoteAnchor"/>
          <w:rtl w:val="true"/>
        </w:rPr>
        <w:footnoteReference w:id="78"/>
      </w:r>
      <w:r>
        <w:rPr>
          <w:rFonts w:ascii="Amiri" w:hAnsi="Amiri" w:eastAsia="Amiri" w:cs="Amiri"/>
          <w:color w:val="111111"/>
          <w:sz w:val="28"/>
          <w:sz w:val="28"/>
          <w:szCs w:val="28"/>
          <w:rtl w:val="true"/>
          <w:lang w:bidi="ar-SA"/>
        </w:rPr>
        <w:t xml:space="preserve">الظاهرة في أنّ المؤمنين لا يملكون بالإحياء ، مع أنّ ذيلها يخالف الروايتين السابقتين ، كما أنّ بينهما اختلافاً يمكن رفعه ، والأمر سهل ، وتتمّة الكلام وفروعه موكولة إلى محلّها </w:t>
      </w:r>
      <w:r>
        <w:rPr>
          <w:rFonts w:eastAsia="Amiri" w:cs="Amiri" w:ascii="Amiri" w:hAnsi="Amiri"/>
          <w:color w:val="111111"/>
          <w:sz w:val="28"/>
          <w:szCs w:val="28"/>
          <w:rtl w:val="true"/>
          <w:lang w:bidi="ar-SA"/>
        </w:rPr>
        <w:t xml:space="preserve">. </w:t>
      </w:r>
      <w:bookmarkStart w:id="67" w:name="pg15209_203683"/>
    </w:p>
    <w:p>
      <w:pPr>
        <w:pStyle w:val="Heading4"/>
        <w:numPr>
          <w:ilvl w:val="3"/>
          <w:numId w:val="1"/>
        </w:numPr>
        <w:rPr/>
      </w:pPr>
      <w:bookmarkStart w:id="68" w:name="__RefHeading___Toc2974337_2142443653"/>
      <w:bookmarkStart w:id="69" w:name="_Toc24"/>
      <w:bookmarkEnd w:id="67"/>
      <w:bookmarkEnd w:id="68"/>
      <w:r>
        <w:rPr>
          <w:rtl w:val="true"/>
        </w:rPr>
        <w:t>ومنها</w:t>
      </w:r>
      <w:r>
        <w:rPr>
          <w:rtl w:val="true"/>
        </w:rPr>
        <w:t xml:space="preserve">: </w:t>
      </w:r>
      <w:r>
        <w:rPr>
          <w:rtl w:val="true"/>
        </w:rPr>
        <w:t>الأرض العامرة بالأصالة</w:t>
      </w:r>
      <w:bookmarkEnd w:id="69"/>
    </w:p>
    <w:p>
      <w:pPr>
        <w:pStyle w:val="Heading5"/>
        <w:numPr>
          <w:ilvl w:val="4"/>
          <w:numId w:val="1"/>
        </w:numPr>
        <w:rPr/>
      </w:pPr>
      <w:bookmarkStart w:id="70" w:name="__RefHeading___Toc2974339_2142443653"/>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أي لا من معمّر ، فهي أيضاً من الأنفال ، كما تدلّ عليه جملة من الروايات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حكي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مثل موثّقة إسحاق بن عمّار</w:t>
      </w:r>
      <w:r>
        <w:rPr>
          <w:rStyle w:val="FootnoteAnchor"/>
          <w:rtl w:val="true"/>
        </w:rPr>
        <w:footnoteReference w:id="80"/>
      </w:r>
      <w:r>
        <w:rPr>
          <w:rFonts w:ascii="Amiri" w:hAnsi="Amiri" w:eastAsia="Amiri" w:cs="Amiri"/>
          <w:color w:val="111111"/>
          <w:sz w:val="28"/>
          <w:sz w:val="28"/>
          <w:szCs w:val="28"/>
          <w:rtl w:val="true"/>
          <w:lang w:bidi="ar-SA"/>
        </w:rPr>
        <w:t>وبين مرسلة حمّاد</w:t>
      </w:r>
      <w:r>
        <w:rPr>
          <w:rStyle w:val="FootnoteAnchor"/>
          <w:rtl w:val="true"/>
        </w:rPr>
        <w:footnoteReference w:id="81"/>
      </w:r>
      <w:r>
        <w:rPr>
          <w:rFonts w:ascii="Amiri" w:hAnsi="Amiri" w:eastAsia="Amiri" w:cs="Amiri"/>
          <w:color w:val="111111"/>
          <w:sz w:val="28"/>
          <w:sz w:val="28"/>
          <w:szCs w:val="28"/>
          <w:rtl w:val="true"/>
          <w:lang w:bidi="ar-SA"/>
        </w:rPr>
        <w:t>أنّ الأرض العامرة ليست من الأنفال ، بل هي من المباحات الأصلية</w:t>
      </w:r>
      <w:r>
        <w:rPr>
          <w:rStyle w:val="FootnoteAnchor"/>
          <w:rtl w:val="true"/>
        </w:rPr>
        <w:footnoteReference w:id="82"/>
      </w:r>
      <w:r>
        <w:rPr>
          <w:rFonts w:ascii="Amiri" w:hAnsi="Amiri" w:eastAsia="Amiri" w:cs="Amiri"/>
          <w:color w:val="111111"/>
          <w:sz w:val="28"/>
          <w:sz w:val="28"/>
          <w:szCs w:val="28"/>
          <w:rtl w:val="true"/>
          <w:lang w:bidi="ar-SA"/>
        </w:rPr>
        <w:t>وقد وقع كلامه محلاًّ للنقض والإبرام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وقبل الورود في البحث ، لا بدّ من ذكر أمر لعلّه يدفع به النزاع ، وهو أنّ المتفاهم من مجموع روايات الباب ، أنّ ما للإمام عليه السلام ، هو عنوان واحد منطبق على موارد كثيرة ، والملاك في الكلّ واحد ؛ وهو أنّ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كان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 ربّ ، فهو للوالي ، يضعه حيث شاء في مصالح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شائع بين الدول أيضاً ، فالمعادن والآجام والأرض عامرة كانت أو غيرها إن لم يكن لها ربّ ، وإرث من لا وارث له والبرّ والبحر والجوّ ، كلّها للدول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مُؤمّمة ، والدول أولياء اُمورها لمصالح الاُمم ، والإسلام لم يأتِ في ذلك بشيء جديد ، مغاير لهذا الأمر الشائع بين الدول ، وإن أجاز النبي صلي الله عليه و آله وسلم إحياء الأرض الموات ، وحيازة الآجام ونحوها ، والعمارة فيها ، وقضى بأنّ كلاًّ من الإحياء والحيازة مملّك ، كما تفعل ذلك سائر الدول أحياناً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لمّا كان النبي صلي الله عليه و آله وسلم ، وليّ الأمر في الأرض كلّها ، وبعده يكون الإمام عليه السلام كذلك ، كان حال جميع الأرض بالنسبة إليه وإلى أوصيائه ، حال قطعة منها بالنسبة إلى واليها ، فما لا ربّ له من الأرض فهو للنبي والوصيّ ؛ بالمعنى الذي أشرنا إليه سابقاً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فرؤوس الجبال وبطون الأودية وكلّ أرض خربة والآجام والمعادن والأرض التي باد أهلها أو جلوا عنها وإرث من لا وارث له ، كلّها للإمام عليه السلام ، لا بعناوين مختلفة وبملاكات عديدة ، بل بملاك واحد ؛ هو عدم الربّ لها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دخالة لشيء من العناوين المذكورة بما هي في ذلك ، بل تمام الموضوع </w:t>
      </w:r>
    </w:p>
    <w:p>
      <w:pPr>
        <w:pStyle w:val="BookText"/>
        <w:rPr/>
      </w:pPr>
      <w:r>
        <w:rPr>
          <w:rFonts w:ascii="Amiri" w:hAnsi="Amiri" w:eastAsia="Amiri" w:cs="Amiri"/>
          <w:color w:val="111111"/>
          <w:sz w:val="28"/>
          <w:sz w:val="28"/>
          <w:szCs w:val="28"/>
          <w:rtl w:val="true"/>
          <w:lang w:bidi="ar-SA"/>
        </w:rPr>
        <w:t xml:space="preserve">هو أمر واحد ، وتلك مصاديقه ، بل لو باد أهل قرية عامرة بالعرض ، ولم يكن للملاّك ورثة ، فهي أيضاً للإمام عليه السلام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نّها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انطبق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 لا وارث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فرؤوس الجبال إذا كان لها ربّ ، لا شبهة في أ نّها ليست له عليه السلام ، كبطون الأودية وغيرها ممّا لها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شيء إمّا له ربّ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لربّه لا للإمام عليه السلام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كون ما في البحر كالسمك والمرجان وغيرهما ، وما في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وإن كان الأقرب أ نّها من المباحات ، وإن جاز للوالي منع الاصطياد برّاً وبحراً ؛ لمصالح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أنّ الأرض التي تركها أهلها من خوف المسلمين ، وأخذها المسلمون من غير عنوة ، وكذا الأرض المغنومة عنوة بلا إذن الإمام عليه السلام ، هي له عليه السلام ، وإن لم يعرض عنها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راجعت الروايات على كثرتها ، ترى أنّ ما ذكرناه هو الموافق لفهم العرف ، والمنطبقة عليه الأخبار ، ولا سيّما مع تداول ذلك بين سائر الدول ، وعليه فلا يبقى مجال لما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 ولا للمناقشات التي حوله ؛ فإنّ الموتان والعمران لا دخالة لهما في ذلك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مع الغضّ عن ذلك أيضاً ، لا مجال له بالنظر إلى مضمون مرسلة حمّاد ؛ فإنّ الظاهر من قوله عليه السلام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رؤوس الجبال وبطون الأودية والآجام ، وكلّ أرض ميتة لا ربّ لها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أنّ المقصود بيان التعميم في العامرة وغيرها ؛ فإنّ </w:t>
      </w:r>
    </w:p>
    <w:p>
      <w:pPr>
        <w:pStyle w:val="BookText"/>
        <w:rPr/>
      </w:pPr>
      <w:r>
        <w:rPr>
          <w:rFonts w:ascii="Amiri" w:hAnsi="Amiri" w:eastAsia="Amiri" w:cs="Amiri"/>
          <w:color w:val="111111"/>
          <w:sz w:val="28"/>
          <w:sz w:val="28"/>
          <w:szCs w:val="28"/>
          <w:rtl w:val="true"/>
          <w:lang w:bidi="ar-SA"/>
        </w:rPr>
        <w:t xml:space="preserve">الآجام وكثيراً من بطون الأودية ورؤوس الجبال ، من العامرات بالأصالة ، وليس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الأشجار الملتفّة ، بل الظاهر أنّ المراد هي والأرض الشاملة لها ولو بمساعدة المناسبات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يكون التوصيف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دخول الموتان أيضاً في ماله ، كدخول بطون الأودية العامرة والآجام ، فلا يبقى مجال لتوهّم المفهوم</w:t>
      </w:r>
      <w:r>
        <w:rPr>
          <w:rStyle w:val="FootnoteAnchor"/>
          <w:rtl w:val="true"/>
        </w:rPr>
        <w:footnoteReference w:id="86"/>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الغضّ عمّا ذكر ، وعن عدم المفهوم للوصف مطلقاً ، لا مفهوم له في المقام ؛ لما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الوصف ورد مورد الغالب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يرد عليه ما أفاده بعض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الإطلاقات أيضاً منزّلة على الغالب بعين هذا الوجه ، فكما أنّ ذكر هذا الوصف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للغلبة ، كذلك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إهماله مع اعتباره هناك ؛ لمكان الغلبة ، فلا إطلاق يعمّ العامرة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حديث مانعية الغلبة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باب الإطلاقات ، لا العمومات ، 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روايتي إسحاق</w:t>
      </w:r>
      <w:r>
        <w:rPr>
          <w:rStyle w:val="FootnoteAnchor"/>
          <w:rtl w:val="true"/>
        </w:rPr>
        <w:footnoteReference w:id="89"/>
      </w:r>
      <w:r>
        <w:rPr>
          <w:rFonts w:ascii="Amiri" w:hAnsi="Amiri" w:eastAsia="Amiri" w:cs="Amiri"/>
          <w:color w:val="111111"/>
          <w:sz w:val="28"/>
          <w:sz w:val="28"/>
          <w:szCs w:val="28"/>
          <w:rtl w:val="true"/>
          <w:lang w:bidi="ar-SA"/>
        </w:rPr>
        <w:t>وأبي بصير</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العموم، ولفظه يشمل الغالب وغيره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ما ذكره لا يتمّ في الإطلاق أيضاً ؛ إذ ليس من مقدّماته عدم 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وصلت إلى حدّ الانصراف لتمّ ما ذكر ، لكنّها ليست كذلك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أنّ الغلبة مانعة عن المفهوم ، لا عن الإطلاق ، أنّ المفهوم متوقّف على دعوى أنّ القيد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كان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 من فائدة ؛ صوناً لكلام الحكيم ، والفائدة هي دخالة القيد في الحكم ، وعدم البديل له ، وإذا كان لذكر القيد 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قيداً غالبياً يتعارف التعبير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مفهوم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الإطلاق فلا تضرّه الغلبة ؛ لأنّ معناه أنّ ما أخذه المتكلّم في موضوع حكمه ، هو تمام الموضوع له بلا قيد ، وغلبة الأفراد وعدمها بل نفس الأفراد عند إلقاء الكلام مغفول عنها ؛ فإنّ الطبيعة المأخوذة في الكلام ، لا تحكي عن الأفراد ، بل لا يعقل أن تحكي عنها ، فلا وجه لكون الغلبة مانعة عن الإطلاق ، وحديث الانصراف أمر آخر ليس المقام مورده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الغلبة مانعة عن المفهوم ، دون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على فرض تسليم عدم الغلبة ، للمنع عن التقييد أيضاً مجال ؛ لأنّ التقييد في المثبتين منوط بما إذا كان المطلوب صرف الوجود ، لا مطلق الوجود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إشكال واضح ؛ لأنّ التعارض بين مفهوم المرسلة</w:t>
      </w:r>
      <w:r>
        <w:rPr>
          <w:rStyle w:val="FootnoteAnchor"/>
          <w:rtl w:val="true"/>
        </w:rPr>
        <w:footnoteReference w:id="92"/>
      </w:r>
      <w:r>
        <w:rPr>
          <w:rFonts w:ascii="Amiri" w:hAnsi="Amiri" w:eastAsia="Amiri" w:cs="Amiri"/>
          <w:color w:val="111111"/>
          <w:sz w:val="28"/>
          <w:sz w:val="28"/>
          <w:szCs w:val="28"/>
          <w:rtl w:val="true"/>
          <w:lang w:bidi="ar-SA"/>
        </w:rPr>
        <w:t>وسائر الروايات</w:t>
      </w:r>
      <w:r>
        <w:rPr>
          <w:rStyle w:val="FootnoteAnchor"/>
          <w:rtl w:val="true"/>
        </w:rPr>
        <w:footnoteReference w:id="93"/>
      </w:r>
      <w:r>
        <w:rPr>
          <w:rFonts w:ascii="Amiri" w:hAnsi="Amiri" w:eastAsia="Amiri" w:cs="Amiri"/>
          <w:color w:val="111111"/>
          <w:sz w:val="28"/>
          <w:sz w:val="28"/>
          <w:szCs w:val="28"/>
          <w:rtl w:val="true"/>
          <w:lang w:bidi="ar-SA"/>
        </w:rPr>
        <w:t xml:space="preserve">، بالإثبات والنفي ، فيكون من قبيل تقييد النافي للمثبت </w:t>
      </w:r>
      <w:r>
        <w:rPr>
          <w:rFonts w:eastAsia="Amiri" w:cs="Amiri" w:ascii="Amiri" w:hAnsi="Amiri"/>
          <w:color w:val="111111"/>
          <w:sz w:val="28"/>
          <w:szCs w:val="28"/>
          <w:rtl w:val="true"/>
          <w:lang w:bidi="ar-SA"/>
        </w:rPr>
        <w:t xml:space="preserve">. </w:t>
      </w:r>
      <w:bookmarkStart w:id="72" w:name="pg15209_203688"/>
    </w:p>
    <w:p>
      <w:pPr>
        <w:pStyle w:val="Heading5"/>
        <w:numPr>
          <w:ilvl w:val="4"/>
          <w:numId w:val="1"/>
        </w:numPr>
        <w:rPr/>
      </w:pPr>
      <w:bookmarkStart w:id="73" w:name="__RefHeading___Toc2974341_2142443653"/>
      <w:bookmarkStart w:id="74" w:name="_Toc26"/>
      <w:bookmarkEnd w:id="72"/>
      <w:bookmarkEnd w:id="73"/>
      <w:r>
        <w:rPr>
          <w:rtl w:val="true"/>
        </w:rPr>
        <w:t>تملّك الأراضي التي لا ربّ لها بالحيازة</w:t>
      </w:r>
      <w:bookmarkEnd w:id="74"/>
    </w:p>
    <w:p>
      <w:pPr>
        <w:pStyle w:val="BookText"/>
        <w:rPr/>
      </w:pPr>
      <w:r>
        <w:rPr>
          <w:rFonts w:ascii="Amiri" w:hAnsi="Amiri" w:eastAsia="Amiri" w:cs="Amiri"/>
          <w:color w:val="111111"/>
          <w:sz w:val="28"/>
          <w:sz w:val="28"/>
          <w:szCs w:val="28"/>
          <w:rtl w:val="true"/>
          <w:lang w:bidi="ar-SA"/>
        </w:rPr>
        <w:t>ثمّ إنّ الظاهر تملّك تلك الأراضي بالحيازة ، وكذا ما فيها من الأشجار والغابات وغيرها ؛ للسيرة القطعية من العقلاء والمسلمين بالنسبة إلى ما فيها ، بل وبالنسبة إليها أيضاً ، وهي متّصلة بعصر النبوّة وما قبله إلى ما شاء اللّه تعالى ،</w:t>
      </w:r>
    </w:p>
    <w:p>
      <w:pPr>
        <w:pStyle w:val="BookText"/>
        <w:rPr/>
      </w:pPr>
      <w:r>
        <w:rPr>
          <w:rFonts w:ascii="Amiri" w:hAnsi="Amiri" w:eastAsia="Amiri" w:cs="Amiri"/>
          <w:color w:val="111111"/>
          <w:sz w:val="28"/>
          <w:sz w:val="28"/>
          <w:szCs w:val="28"/>
          <w:rtl w:val="true"/>
          <w:lang w:bidi="ar-SA"/>
        </w:rPr>
        <w:t xml:space="preserve">وكان المسلمون يتعاملون معها معاملة الأملاك ، من غير فرق بين كون الحائز مسلماً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تكون الروايات الواردة في تملّك الموات بالإحياء</w:t>
      </w:r>
      <w:r>
        <w:rPr>
          <w:rStyle w:val="FootnoteAnchor"/>
          <w:rtl w:val="true"/>
        </w:rPr>
        <w:footnoteReference w:id="94"/>
      </w:r>
      <w:r>
        <w:rPr>
          <w:rFonts w:ascii="Amiri" w:hAnsi="Amiri" w:eastAsia="Amiri" w:cs="Amiri"/>
          <w:color w:val="111111"/>
          <w:sz w:val="28"/>
          <w:sz w:val="28"/>
          <w:szCs w:val="28"/>
          <w:rtl w:val="true"/>
          <w:lang w:bidi="ar-SA"/>
        </w:rPr>
        <w:t xml:space="preserve">، موافقة للسيرة وارتكاز العقلاء ، بل هذه السيرة القطعية من أوّل تمدّن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تكون الملكية بالإحياء والحيازة من غير نكير من الأنبياء والأولياء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عن الإذن الإلهي ، وقضاء منه تعالى من بدء الخلقة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 لَكُمْ مَا فِى الْأَرْضِ جَمِيعاً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دلالةً على هذا القضاء الإلهي ، والإذن في أنحاء الاستفادة منها وممّا فيها ؛ تملّكاً وغيره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الارتكاز والسيرة العقلائية ، لا ينبغي الإشكال في دلالة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لا يسبقه إليه مسلم ، فهو أحقّ به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ولا يرد عليه ما أوردوا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مسوق لبيان أحقّية السابق ، لا لبيان جواز السبق إلى ما لم يسبق إليه أحد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السبق إلى ملك الغير خارج عنه ، ولو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مالكياً من الإمام عليه السلام ، للزم جواز السبق إلى سائر أملاكه ؛ إذ لا يختصّ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بالأراضي الموات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الأحقّية لا تقتضي الملكية وإن لم تنافها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 نّه مع هذا الارتكاز ، لا ينقدح في ذهن السامع من هذا الكلام إلاّ ما هو معهود عندهم ؛ من أنّ السبق إلى ما لا ربّ له موجب للأحقّية والملكية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هذا الكلام على مثل الخانات والمدارس ونحوهما </w:t>
      </w:r>
      <w:r>
        <w:rPr>
          <w:rStyle w:val="FootnoteAnchor"/>
          <w:rtl w:val="true"/>
        </w:rPr>
        <w:footnoteReference w:id="101"/>
      </w:r>
      <w:r>
        <w:rPr>
          <w:rFonts w:ascii="Amiri" w:hAnsi="Amiri" w:eastAsia="Amiri" w:cs="Amiri"/>
          <w:color w:val="111111"/>
          <w:sz w:val="28"/>
          <w:sz w:val="28"/>
          <w:szCs w:val="28"/>
          <w:rtl w:val="true"/>
          <w:lang w:bidi="ar-SA"/>
        </w:rPr>
        <w:t xml:space="preserve">، خلاف الظاهر ؛ لأنّ الظاهر منه نفي السبق بقول مطلق ، ولا ينطبق ذلك إلاّ على الأرض الموات ، والآجام ، والغابات ممّا لم يسبق إليه سابق ، والحمل على مثل الخانات يحتاج إلى تأويل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يجاب عن الإشكال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الأحقّية لا تقتضي الملكية ؛ فإنّ العرف يفهم من هذا الكلام ، أ نّه لبيان الموافقة لهم في ما هو المرتكز عندهم ، لا لردعهم عنه ، ونفي الملكية وعدم حصولها ردع لارتكازهم ، بخلاف حصول </w:t>
      </w:r>
    </w:p>
    <w:p>
      <w:pPr>
        <w:pStyle w:val="BookText"/>
        <w:rPr/>
      </w:pPr>
      <w:r>
        <w:rPr>
          <w:rFonts w:ascii="Amiri" w:hAnsi="Amiri" w:eastAsia="Amiri" w:cs="Amiri"/>
          <w:color w:val="111111"/>
          <w:sz w:val="28"/>
          <w:sz w:val="28"/>
          <w:szCs w:val="28"/>
          <w:rtl w:val="true"/>
          <w:lang w:bidi="ar-SA"/>
        </w:rPr>
        <w:t xml:space="preserve">الملكية ، فالمراد من الأحقّية هو تقدّم السابق في تملّك ما حازه ، وعدم جواز مزاحمة الغير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ترى أ نّه في روايات إحياء الموات 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أحقّ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لهم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وعبّر في سائر رواياتها عن الملكية ، تارة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أحقّ بها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واُخرى بقوله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فكما أنّ الأحقّية هنا يراد منها الأحقّية في الملك ، كذلك هاهنا ، ولا سيّما مع شمول النبوي لمورد تلك الروايات ، التي لا إشكال في حصول الملكية فيه ، والتفكيك خلاف الظاهر ، وخلاف الارتكاز العقلائي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الثاني ، فمندفع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بعد هذا الارتكاز ، وملاحظة ورود الرواية مورد سائر الروايات ، لا يتوهّم أحد شموله للملك الخاصّ بشخص الإمام عليه السلام ، بل يحمل على ما له بعنوان الإمامة ؛ ممّا لم يسبق إليه سابق ، وهو لا ينطبق إلاّ على الموات من الأرض والمحياة ذاتاً ، وعلى ما فيها من الأشجار والنباتات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الإمام عليه السلام وليّ الأمر بالنسبة إلى تلك الأراضي ونحوها ، لا أ نّه مالك كسائر الملاّك</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يكون مثل هذا الكلام ، مسوقاً لإجازة وليّ الأمر للسبق بالتملّك ، أو لبيان القضاء الإلهي ، أو حكمه ، ولا شبهة في 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 يسبق إليه </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 دون أموال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التعبير 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فجارٍ مجرى العادة ظاهراً ، نحو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فلا يفهم منه التقييد والاحتراز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لولا ضعف السند</w:t>
      </w:r>
      <w:r>
        <w:rPr>
          <w:rStyle w:val="FootnoteAnchor"/>
          <w:rtl w:val="true"/>
        </w:rPr>
        <w:footnoteReference w:id="107"/>
      </w:r>
      <w:r>
        <w:rPr>
          <w:rFonts w:ascii="Amiri" w:hAnsi="Amiri" w:eastAsia="Amiri" w:cs="Amiri"/>
          <w:color w:val="111111"/>
          <w:sz w:val="28"/>
          <w:sz w:val="28"/>
          <w:szCs w:val="28"/>
          <w:rtl w:val="true"/>
          <w:lang w:bidi="ar-SA"/>
        </w:rPr>
        <w:t xml:space="preserve">، لم يكن إشكال في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المقصود جملة من الروايات ، كصحيحة ابن مسلم ، عن أبي جعفر عليه السلام ،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وأيّما قوم أحيوا شيئاً من الأرض أو عملوه ، فهم أحقّ بها ، وهي لهم</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الاُخرى 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أو عمروها ، فهم أحقّ بها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وقريب منهما غيرهما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التعمير والعمل في مثل محالّ الآجام والغابات ، موجبان للملكية ، ولا شبهة في صدقهما في نحوهما لو لم نقل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موثّقة السكوني ،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75" w:name="pg15209_203692"/>
    </w:p>
    <w:p>
      <w:pPr>
        <w:pStyle w:val="BookText"/>
        <w:rPr/>
      </w:pPr>
      <w:bookmarkEnd w:id="75"/>
      <w:r>
        <w:rPr>
          <w:rFonts w:ascii="Amiri" w:hAnsi="Amiri" w:eastAsia="Amiri" w:cs="Amiri"/>
          <w:color w:val="111111"/>
          <w:sz w:val="28"/>
          <w:sz w:val="28"/>
          <w:szCs w:val="28"/>
          <w:rtl w:val="true"/>
          <w:lang w:bidi="ar-SA"/>
        </w:rPr>
        <w:t>غرس شجراً ، أو حفر وادياً بديّاً لم يسبقه إليه أحد ، أو أحيا أرضاً ميتةً فهي له ؛ قضاء من اللّه ورسوله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إشكال في فهم المثالية من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غرس شجراً ، أو حفر 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منه أنّ كلّ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بئر ، أو إحداث بستان ، أو بيت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ذيل صحيحة معاوية بن وهب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الأرض للّه ولمن عمرها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إشكال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إزالة الغابات والآجام عن الأرض ، وجعلها بستاناً أو داراً أو نحوهما </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974343_2142443653"/>
      <w:bookmarkStart w:id="77" w:name="_Toc27"/>
      <w:bookmarkEnd w:id="76"/>
      <w:r>
        <w:rPr>
          <w:rtl w:val="true"/>
        </w:rPr>
        <w:t>ومنها</w:t>
      </w:r>
      <w:r>
        <w:rPr>
          <w:rtl w:val="true"/>
        </w:rPr>
        <w:t xml:space="preserve">: </w:t>
      </w:r>
      <w:r>
        <w:rPr>
          <w:rtl w:val="true"/>
        </w:rPr>
        <w:t>الموات بالعرض</w:t>
      </w:r>
      <w:bookmarkEnd w:id="77"/>
    </w:p>
    <w:p>
      <w:pPr>
        <w:pStyle w:val="Heading5"/>
        <w:numPr>
          <w:ilvl w:val="4"/>
          <w:numId w:val="1"/>
        </w:numPr>
        <w:rPr/>
      </w:pPr>
      <w:bookmarkStart w:id="78" w:name="__RefHeading___Toc2974345_2142443653"/>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ولا إشكال في كونها للإمام عليه السلام إذا كانت من العامرة بالذات ، ثمّ صارت مواتاً قبل أن يحدث فيها ما يوجب ملكيتها لأحد؛ لعدم سبب للخروج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عرضها الموات بعد التملّك بوجه ، وكذا الموات بالأصل إذا صارت ملكاً بالإحياء ، ثمّ عرضها الموات ، فهل هي باقية على ملكه مطلقاً ، ويتوقّف جواز التصرّف على إذنه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زالت ملكيته مطلقاً ، وصارت ملكاً للإمام عليه السلام ولمن عمّرها ؟ </w:t>
      </w:r>
    </w:p>
    <w:p>
      <w:pPr>
        <w:pStyle w:val="BookText"/>
        <w:rPr/>
      </w:pPr>
      <w:r>
        <w:rPr>
          <w:rFonts w:ascii="Amiri" w:hAnsi="Amiri" w:eastAsia="Amiri" w:cs="Amiri"/>
          <w:color w:val="111111"/>
          <w:sz w:val="28"/>
          <w:sz w:val="28"/>
          <w:szCs w:val="28"/>
          <w:rtl w:val="true"/>
          <w:lang w:bidi="ar-SA"/>
        </w:rPr>
        <w:t>أو باقية على ملكه ، لكن يجوز للغير الإحياء ، وبه يصير أحقّ بها ، وعليه اُجرة الأرض ؟</w:t>
      </w:r>
    </w:p>
    <w:p>
      <w:pPr>
        <w:pStyle w:val="BookText"/>
        <w:rPr/>
      </w:pPr>
      <w:r>
        <w:rPr>
          <w:rFonts w:ascii="Amiri" w:hAnsi="Amiri" w:eastAsia="Amiri" w:cs="Amiri"/>
          <w:color w:val="111111"/>
          <w:sz w:val="28"/>
          <w:sz w:val="28"/>
          <w:szCs w:val="28"/>
          <w:rtl w:val="true"/>
          <w:lang w:bidi="ar-SA"/>
        </w:rPr>
        <w:t>أو تزول إذا كان تملّكها بالإحياء ، وتبقى إذا كان تملّكها بالشراء ونحوه ؟</w:t>
      </w:r>
    </w:p>
    <w:p>
      <w:pPr>
        <w:pStyle w:val="BookText"/>
        <w:rPr/>
      </w:pPr>
      <w:r>
        <w:rPr>
          <w:rFonts w:ascii="Amiri" w:hAnsi="Amiri" w:eastAsia="Amiri" w:cs="Amiri"/>
          <w:color w:val="111111"/>
          <w:sz w:val="28"/>
          <w:sz w:val="28"/>
          <w:szCs w:val="28"/>
          <w:rtl w:val="true"/>
          <w:lang w:bidi="ar-SA"/>
        </w:rPr>
        <w:t>وفي الفرض الأخير ، هل للمحيي أحقّية التصرّف أو لا ؟</w:t>
      </w:r>
    </w:p>
    <w:p>
      <w:pPr>
        <w:pStyle w:val="BookText"/>
        <w:rPr/>
      </w:pPr>
      <w:r>
        <w:rPr>
          <w:rFonts w:ascii="Amiri" w:hAnsi="Amiri" w:eastAsia="Amiri" w:cs="Amiri"/>
          <w:color w:val="111111"/>
          <w:sz w:val="28"/>
          <w:sz w:val="28"/>
          <w:szCs w:val="28"/>
          <w:rtl w:val="true"/>
          <w:lang w:bidi="ar-SA"/>
        </w:rPr>
        <w:t xml:space="preserve">وجوه وأقوال ، لا شاهد يعتمد عليه في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أعرض المحيي الأوّل عنها ، فتصير للإمام عليه السلام ولمن عمّرها ، وبين غيره ، فتبقى على ملكه ، ولا يجوز التصرّف فيها إلاّ بإذنه ، وعلى الثاني اُجرة مثل الأرض ، ويجب عليه تسليمها إلى الأوّل لو طالب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هو مقتضى الجمع العرفي بين الروايات ، كما هو مقتضى القواعد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الرجوع إلى روايات الباب ، لا بدّ من الإشارة إلى ما قدّمناه</w:t>
      </w:r>
      <w:r>
        <w:rPr>
          <w:rStyle w:val="FootnoteAnchor"/>
          <w:rtl w:val="true"/>
        </w:rPr>
        <w:footnoteReference w:id="113"/>
      </w:r>
      <w:r>
        <w:rPr>
          <w:rFonts w:ascii="Amiri" w:hAnsi="Amiri" w:eastAsia="Amiri" w:cs="Amiri"/>
          <w:color w:val="111111"/>
          <w:sz w:val="28"/>
          <w:sz w:val="28"/>
          <w:szCs w:val="28"/>
          <w:rtl w:val="true"/>
          <w:lang w:bidi="ar-SA"/>
        </w:rPr>
        <w:t xml:space="preserve">؛ وهو أنّ مقتضى الجمع بين الروايات الواردة في الأنفال ، أنّ ما للإمام عليه السلام من الأراضي ، هي التي لا مالك لها ، فقد وردت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أرض خربة فهي لرسول اللّه صلي الله عليه و آله وسلم ، وللإمام عليه السلام ، كصحيحة حفص بن البختري</w:t>
      </w:r>
      <w:r>
        <w:rPr>
          <w:rStyle w:val="FootnoteAnchor"/>
          <w:rtl w:val="true"/>
        </w:rPr>
        <w:footnoteReference w:id="114"/>
      </w:r>
      <w:r>
        <w:rPr>
          <w:rFonts w:ascii="IRNazanin" w:hAnsi="IRNazanin" w:eastAsia="IRNazanin"/>
          <w:color w:val="111111"/>
          <w:sz w:val="28"/>
          <w:sz w:val="28"/>
          <w:szCs w:val="28"/>
          <w:rtl w:val="true"/>
          <w:lang w:bidi="fa-IR"/>
        </w:rPr>
        <w:t>ومحمّ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مسلم</w:t>
      </w:r>
      <w:r>
        <w:rPr>
          <w:rStyle w:val="FootnoteAnchor"/>
          <w:rtl w:val="true"/>
        </w:rPr>
        <w:footnoteReference w:id="115"/>
      </w:r>
      <w:r>
        <w:rPr>
          <w:rFonts w:ascii="Amiri" w:hAnsi="Amiri" w:eastAsia="Amiri" w:cs="Amiri"/>
          <w:color w:val="111111"/>
          <w:sz w:val="28"/>
          <w:sz w:val="28"/>
          <w:szCs w:val="28"/>
          <w:rtl w:val="true"/>
          <w:lang w:bidi="ar-SA"/>
        </w:rPr>
        <w:t xml:space="preserve">وغيرهما </w:t>
      </w:r>
      <w:r>
        <w:rPr>
          <w:rStyle w:val="FootnoteAnchor"/>
          <w:rtl w:val="true"/>
        </w:rPr>
        <w:footnoteReference w:id="116"/>
      </w:r>
      <w:r>
        <w:rPr>
          <w:rFonts w:ascii="Amiri" w:hAnsi="Amiri" w:eastAsia="Amiri" w:cs="Amiri"/>
          <w:color w:val="111111"/>
          <w:sz w:val="28"/>
          <w:sz w:val="28"/>
          <w:szCs w:val="28"/>
          <w:rtl w:val="true"/>
          <w:lang w:bidi="ar-SA"/>
        </w:rPr>
        <w:t xml:space="preserve">وروايات كثيرة اُخرى مع قيد ووصف ، </w:t>
      </w:r>
    </w:p>
    <w:p>
      <w:pPr>
        <w:pStyle w:val="BookText"/>
        <w:rPr/>
      </w:pPr>
      <w:r>
        <w:rPr>
          <w:rFonts w:ascii="Amiri" w:hAnsi="Amiri" w:eastAsia="Amiri" w:cs="Amiri"/>
          <w:color w:val="111111"/>
          <w:sz w:val="28"/>
          <w:sz w:val="28"/>
          <w:szCs w:val="28"/>
          <w:rtl w:val="true"/>
          <w:lang w:bidi="ar-SA"/>
        </w:rPr>
        <w:t xml:space="preserve">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جلا أهلها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قرية يهلك أهلها أو يجلون عنها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الأرضين باد أهلها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خربة قد باد أهلها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القرى التي قد خربت وانجلى أهلها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القرى التي قد جلا أهلها وهلكوا فخربت</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لا ربّ لها ، وكلّ أرض باد أهلها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ميتة قد جلا أهلها</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125"/>
      </w:r>
      <w:r>
        <w:rPr>
          <w:rFonts w:ascii="Amiri" w:hAnsi="Amiri" w:eastAsia="Amiri" w:cs="Amiri"/>
          <w:color w:val="111111"/>
          <w:sz w:val="28"/>
          <w:sz w:val="28"/>
          <w:szCs w:val="28"/>
          <w:rtl w:val="true"/>
          <w:lang w:bidi="ar-SA"/>
        </w:rPr>
        <w:t xml:space="preserve">؛ ممّا يكون كثير منها في مقام التحديد ، الظاهر في دخالة القيد ووجود المفهوم ، فتقيّد به المطلقات ، ولا سيّما مع 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عند جميع الدول على أنّ ما ليس له مالك فهو للدولة ، أو هو مؤمّم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ولو لم تكن تلك المقيّدات أيضاً ، لم ينقدح في الأذهان من نحو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خربة فهو من الأنفال</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أنّ المراد به هي الأراضي أو البيوت التي كان لها مالك ، وأنّ مجرّد عروض الخراب على ملك ، موجب لخروجه عن ملك صاحبه ، بل لا يفهم من الأرض الخربة إلاّ الأرض التي تركها أهلها أو بادوا ، والإنصاف أنّ ما ذكرناه في غاية الوضوح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وردت في الباب لها جمع عقلائي عرفي ؛ فإنّ صحيحة معاوية بن وهب</w:t>
      </w:r>
      <w:r>
        <w:rPr>
          <w:rStyle w:val="FootnoteAnchor"/>
          <w:rtl w:val="true"/>
        </w:rPr>
        <w:footnoteReference w:id="128"/>
      </w:r>
      <w:r>
        <w:rPr>
          <w:rFonts w:ascii="Amiri" w:hAnsi="Amiri" w:eastAsia="Amiri" w:cs="Amiri"/>
          <w:color w:val="111111"/>
          <w:sz w:val="28"/>
          <w:sz w:val="28"/>
          <w:szCs w:val="28"/>
          <w:rtl w:val="true"/>
          <w:lang w:bidi="ar-SA"/>
        </w:rPr>
        <w:t>ورواية الكابلي</w:t>
      </w:r>
      <w:r>
        <w:rPr>
          <w:rStyle w:val="FootnoteAnchor"/>
          <w:rtl w:val="true"/>
        </w:rPr>
        <w:footnoteReference w:id="129"/>
      </w:r>
      <w:r>
        <w:rPr>
          <w:rFonts w:ascii="Amiri" w:hAnsi="Amiri" w:eastAsia="Amiri" w:cs="Amiri"/>
          <w:color w:val="111111"/>
          <w:sz w:val="28"/>
          <w:sz w:val="28"/>
          <w:szCs w:val="28"/>
          <w:rtl w:val="true"/>
          <w:lang w:bidi="ar-SA"/>
        </w:rPr>
        <w:t xml:space="preserve">فرض فيهما أنّ صاحبها تركها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كانت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قبله ، فغاب عنها وتركها فأخربها ، ثمّ جاء بعدُ يطلبها ، فإنّ الأرض للّه ولمن عمّرها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أحيا أرضاً من المسلمين فليعمرها ، ويؤدّ خراجها إلى الإمام من أهل بيتي ، وله ما أكل منها ، فإن تركها وأخربها ، فأخذها رجل من المسلمين من بعده فعمّرها وأحياها ، فهو أحقّ بها من الذي تركها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فمورد هاتين مع الإشكال من جهات في الثانية ، هو الترك ، ومعلوم أنّ المراد به هو رفع اليد عن الملك والإعراض عنه ، وإلاّ فمن غاب وذهب إلى سفر ، يريد الرجوع عنه إلى محلّه وتعمير الخربة ، 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غاب عنها وتركها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واحتمال أنّ المراد به هو ترك التعمير</w:t>
      </w:r>
      <w:r>
        <w:rPr>
          <w:rStyle w:val="FootnoteAnchor"/>
          <w:rtl w:val="true"/>
        </w:rPr>
        <w:footnoteReference w:id="130"/>
      </w:r>
      <w:r>
        <w:rPr>
          <w:rFonts w:ascii="Amiri" w:hAnsi="Amiri" w:eastAsia="Amiri" w:cs="Amiri"/>
          <w:color w:val="111111"/>
          <w:sz w:val="28"/>
          <w:sz w:val="28"/>
          <w:szCs w:val="28"/>
          <w:rtl w:val="true"/>
          <w:lang w:bidi="ar-SA"/>
        </w:rPr>
        <w:t xml:space="preserve">، لا يناسب ما في صحيحة معاوية وإن لم يبعد في رواية الكابلي ، لكن ترك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الإعراض ، وإلاّ فمن ترك زراعة أرض في سنة أو سنتين ، 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تركها وأخربها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رواية الكابلي مخالفة للنصّ والفتوى من جهات ، فلا يعتمد عليها ، وظاهر الصحيحة ما ذكرناه ، ولا سيّما مع المناسبات المغروسة في الأذهان ، ومع ملاحظة الروايات المتقدّمة ؛ ممّا لا شبهة في دلالة نحو 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الإعراض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الأرض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قبله فغاب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 وأنّ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 بعدُ 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يفرض فيه كونه </w:t>
      </w:r>
    </w:p>
    <w:p>
      <w:pPr>
        <w:pStyle w:val="BookText"/>
        <w:rPr/>
      </w:pPr>
      <w:r>
        <w:rPr>
          <w:rFonts w:ascii="Amiri" w:hAnsi="Amiri" w:eastAsia="Amiri" w:cs="Amiri"/>
          <w:color w:val="111111"/>
          <w:sz w:val="28"/>
          <w:sz w:val="28"/>
          <w:szCs w:val="28"/>
          <w:rtl w:val="true"/>
          <w:lang w:bidi="ar-SA"/>
        </w:rPr>
        <w:t xml:space="preserve">صاحبها ، بخلاف الصحيحتين الآتيتين ، حيث فرض فيهما كونه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w:t>
      </w:r>
    </w:p>
    <w:p>
      <w:pPr>
        <w:pStyle w:val="BookText"/>
        <w:rPr/>
      </w:pPr>
      <w:r>
        <w:rPr>
          <w:rFonts w:ascii="Amiri" w:hAnsi="Amiri" w:eastAsia="Amiri" w:cs="Amiri"/>
          <w:color w:val="111111"/>
          <w:sz w:val="28"/>
          <w:sz w:val="28"/>
          <w:szCs w:val="28"/>
          <w:rtl w:val="true"/>
          <w:lang w:bidi="ar-SA"/>
        </w:rPr>
        <w:t>يأتي الأرض الخربة ، فيستخرجها ويجري أنهارها ، ويعمرها ويزرعها ، ماذا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المنقولة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أرض خربة ، عمّرها رجل ، وكسح أنهارها ، هل عليه فيها صدقة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يعرف صاحبها فليؤدّ إليه حقّه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يكن موردهما هو الإعراض ، بل الظاهر من الثانية ومن ذيل الاُولى عدمه ، فيكون وجوب أداء حقّه إليه دليلاً على بقاء ملكيته ، سواء كان المراد به نفس الأرض فقط كما لا يبعد ، أو اُجرة المثل ، ويجب إرجاع الأصل إليه أيضاً على القواعد ، بعد عدم دلالة الروايتين المتقدّمتين على خلافها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الجمع عقلائي ، موافق للقواعد ، وللروايات المتقدّمة ، ولارتكاز العقلاء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اُغمض عن هذا الجمع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اختصاص صحيحة معاوية بن وهب ورواية الكابلي بمورد عدم الإعراض ، بل مفادهما أعمّ منه ، ومجرّد مجيء الرجل وطلبه لا يدلاّن على عدمه ؛ إذ كثيراً ما يتّفق أنّ الذي ترك الأرض وأعرض عنها لخرابها ، إذا جاء ورأى التعمير وحصول المنافع ، يطلبها طمعاً بالمنافع ، وأمّا صحيحتا الحلبي وسليمان فظاهرهما عدم الإعراض ، فيقيّد بهما إطلاق السابقتين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كلام ، وهو أنّ المفروض فيهما معرفة صاحبها ، فلا بدّ من التفصيل بين كون صاحبها معروفاً وغيره ، وإن لم يعرض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التفصيل وإن لم يكن بعيداً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المجهول مالكها ، أمرها بيد الإمام عليه السلام ، لكن مع عدم المفهوم للشرطية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الشرط هنا نظير ما هو محقّق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يساعد العرف على القيدية ، بل الظاهر منهما أنّ المراد التفصيل بين ما لها صاحب وغيره ، وأنّ الحقّ اللازم الأداء هو ما له صاحب ، لا ما له صاحب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من الموارد التي يمكن أن يكون لمجهول المالك حكم المعرض عنه ، ومع ذكر خصوص معروف المالك ، وعدم التنبيه على لزوم معاملة مجهول المالك فيما لا يعرف مالكه ، يفهم أ نّه مع عدم المعرفة لا مانع من التصرّف ، وعليه الصدقة ، والأرض له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وأمّا الوجوه التي ذكرت لسائر الأقوال ، فغير وجيهة ، ولا داعي لنقلها وانتقادها </w:t>
      </w:r>
      <w:r>
        <w:rPr>
          <w:rFonts w:eastAsia="Amiri" w:cs="Amiri" w:ascii="Amiri" w:hAnsi="Amiri"/>
          <w:color w:val="111111"/>
          <w:sz w:val="28"/>
          <w:szCs w:val="28"/>
          <w:rtl w:val="true"/>
          <w:lang w:bidi="ar-SA"/>
        </w:rPr>
        <w:t xml:space="preserve">. </w:t>
      </w:r>
      <w:bookmarkStart w:id="80" w:name="pg15209_203699"/>
    </w:p>
    <w:p>
      <w:pPr>
        <w:pStyle w:val="Heading5"/>
        <w:numPr>
          <w:ilvl w:val="4"/>
          <w:numId w:val="1"/>
        </w:numPr>
        <w:rPr/>
      </w:pPr>
      <w:bookmarkStart w:id="81" w:name="__RefHeading___Toc2974347_2142443653"/>
      <w:bookmarkStart w:id="82" w:name="_Toc29"/>
      <w:bookmarkEnd w:id="80"/>
      <w:bookmarkEnd w:id="81"/>
      <w:r>
        <w:rPr>
          <w:rtl w:val="true"/>
        </w:rPr>
        <w:t>مقتضى الأصل في الأقسام الثلاثة</w:t>
      </w:r>
      <w:bookmarkEnd w:id="82"/>
    </w:p>
    <w:p>
      <w:pPr>
        <w:pStyle w:val="BookText"/>
        <w:rPr/>
      </w:pPr>
      <w:r>
        <w:rPr>
          <w:rFonts w:ascii="Amiri" w:hAnsi="Amiri" w:eastAsia="Amiri" w:cs="Amiri"/>
          <w:color w:val="111111"/>
          <w:sz w:val="28"/>
          <w:sz w:val="28"/>
          <w:szCs w:val="28"/>
          <w:rtl w:val="true"/>
          <w:lang w:bidi="ar-SA"/>
        </w:rPr>
        <w:t>ثمّ إنّه لا بأس بذكر مقتضى الأصل في الأقسام الثلاثة ؛ إذ الحكم فيها مختلف ، فإنّ الموات بالأصل لمحييها بلا شبهة ، والموات التي عرضها الموتان بعد الإحياء محلّ خلاف ، كما تقدّم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2974349_2142443653"/>
      <w:bookmarkStart w:id="84" w:name="_Toc30"/>
      <w:bookmarkEnd w:id="83"/>
      <w:r>
        <w:rPr>
          <w:rtl w:val="true"/>
        </w:rPr>
        <w:t>حكم الشكّ في موتان الأرض بالأصالة أو لعارض</w:t>
      </w:r>
      <w:bookmarkEnd w:id="84"/>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 في أرض أ نّها ميتة بالأصل ، أو عرضها الموت بعد الحياة ، فإن كان الموضوع لحكم التملّك بالإحياء هو الأرض الميتة بالأصل ، أو الأرض التي لم يحيها محيٍ ، فيمكن إحرازه بالأصل ؛ فإنّ كلّ أرض مسبوقة بكونها ميتة ، وبعدم إحيائها بتصرّف محيٍ ، فيستصحب الموضوع ، ويترتّب عليه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مشاراً إلى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ميتة بالأصل ، فالآن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أ نّه إذا أحياها محيٍ فهي له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المستند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لا يسبقه إليه مسلم</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أو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حفر وادياً بديّاً لم يسبقه إليه أحد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فهي له</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فالإحراز </w:t>
      </w:r>
    </w:p>
    <w:p>
      <w:pPr>
        <w:pStyle w:val="BookText"/>
        <w:rPr/>
      </w:pPr>
      <w:r>
        <w:rPr>
          <w:rFonts w:ascii="Amiri" w:hAnsi="Amiri" w:eastAsia="Amiri" w:cs="Amiri"/>
          <w:color w:val="111111"/>
          <w:sz w:val="28"/>
          <w:sz w:val="28"/>
          <w:szCs w:val="28"/>
          <w:rtl w:val="true"/>
          <w:lang w:bidi="ar-SA"/>
        </w:rPr>
        <w:t xml:space="preserve">بالأصل مشكل ؛ لأنّ استصحاب عدم سبق أحد ، لا يثبت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 إلى ما لا يسبقه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بالأصل المثبت ، نظير ما يقال فيمن أدرك الركوع فقد أدرك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استصحاب بقاء الإمام في الركوع ، لا يثبت إدراك ركوعه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دخل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 بل المراد منهما إحياء ما لم يسبقه أحد ، فحينئذٍ يجري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تقريب الأصل بوجه آخر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حفر البئر في هذه الأرض كان في زمان بديّاً ، والآن كذلك ، أو السبق إلى هذه كان ممّا لم يسبقه سابق ، والآن كذلك ، فيحرز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الحفر 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 هذا أيضاً مثبت ؛ لأنّ الحكم الشرعي لم يتعلّق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الحفر 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الموضوع للتملّك هو الحفر خارجاً إذا كان بديّاً ، واستصحاب العنوان المذكور لا يثبت أنّ ما حفره بديّ ، أو أ نّه سبق إلى كذا ، والمعنى التعليقي هنا من قبيل التعليق في الموضوع ، ولا يجري الأصل فيه إلاّ مع القول بالأصل المثبت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الحكم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حفر وادياً 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الإلهية في جميع الأزمنة ، ولا يختصّ بالإسلام كما هو واضح ؛ فإنّ التملّك كان من أوّل الأمر بالإحياء والحيازة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عليه السلام في ذيل موثّقة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من اللّه ورسوله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إشارة إلى أ نّه من </w:t>
      </w:r>
    </w:p>
    <w:p>
      <w:pPr>
        <w:pStyle w:val="BookText"/>
        <w:rPr/>
      </w:pPr>
      <w:r>
        <w:rPr>
          <w:rFonts w:ascii="Amiri" w:hAnsi="Amiri" w:eastAsia="Amiri" w:cs="Amiri"/>
          <w:color w:val="111111"/>
          <w:sz w:val="28"/>
          <w:sz w:val="28"/>
          <w:szCs w:val="28"/>
          <w:rtl w:val="true"/>
          <w:lang w:bidi="ar-SA"/>
        </w:rPr>
        <w:t xml:space="preserve">القضاء الإلهي في كلّ عصر ، ولعلّ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إشارة إلى ذلك كما تقدّم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بناء العقلاء من أوّل التمدّن على التملّك بالإحياء والحيازة ، ولم يصل ردع من الرسل عليهم السلام عن ذلك ، بل الظاهر عدم ردعهم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يمكن استصحاب هذا الحكم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القطعة من الأرض كانت من بدء التمدّن لو سبق إليها أحد أو حفر فيها بئراً فهي له ، والآن كذلك ، كما يقال في حكم العصير العنبي إذا صار العنب زبيباً ، فيشار إلى الموجود الخارجي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عصير هذا كان إذا نشّ وغلى حرم ، والآن كذلك ، فإذا غلى ونشّ انطبق عليه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المشار إليها ، لمّا كانت في العصور السابقة ممّا لم يسبق إليها سابق ، ولم يحفر فيها حافر ، صدق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من حفر فيها بئراً ، أو غرس فيها شجراً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هذا الحكم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المعتبر في الاستصحاب ، تعلّق بنفس الأرض ولو بواسطة كونها غير مسبوقة بسابق ، أو كونها بكراً ، وعدم المسبوقية واسطة لتعلّق اليقين بنفس الأرض ، والقضيّة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انطباق الحكم على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بئراً في هذه الأرض ، أو غرس فيها شجراً ،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عين القضيّة المشكوك فيها ، فيكون الحكم الشرعي في هذه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إذا حفر فيها حافر ملكها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حصول التملّك من أوّل الأمر في مورد الإحياء والحيازة ، ممّا لا ينبغي الإشكال فيه ، لكن كيفية جعل الحكم الإلهي بتوسّط الأنبياء غير معلومة ، فلعلّها كانت بنحو جعل السببية ، وحينئذٍ فاستصحاب السبب أو السببية لترتّب المسبّب عليه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ولعلّها كانت بنحو جعل الملازمة ، واستصحابها لترتّب اللازم على الملزوم أيضاً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الجعل كان على موضوع موصوف ،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الميتة المحياة لمحييها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حينئذٍ لا يثبت القضيّة الموصوفة على ما هو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الشكّ في كيفية الجعل ، لا يصحّ التمسّك بالاستصحاب ؛ للشبهة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الاُمور العقلائية الثابتة من أوّل الأمر ، لا احتياج في تثبيتها إلى جعل إلهي وتشريع ، ولو ورد من الشارع شيء لكان إمضاءً لها ، لا تأسيساً ، ولا شكّ في أنّ ما عند العقلاء ليس سببية الحيازة أو الإحياء للتملّك ، ولا الملازمة بينهما ونحو ذلك ، بل بناؤهم على تملّك من أحيا شيئاً أو حازه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جعل السببية أو الملازمة ونحوها ، فليس له عند العقلاء عين ولا أثر ، وعليه فالحكم الشرعي المستفاد من بناء العقلاء قابل للاستصحاب ، ولا يحتمل جعل السببية من الشارع تأسيساً ، في قبال حكم العقلاء وبنائهم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والذي يسهّل الخطب ، أنّ المستند في هذا القسم من الأرض ، هو </w:t>
      </w:r>
      <w:bookmarkStart w:id="85" w:name="pg15209_203703"/>
    </w:p>
    <w:p>
      <w:pPr>
        <w:pStyle w:val="BookText"/>
        <w:rPr/>
      </w:pPr>
      <w:bookmarkEnd w:id="85"/>
      <w:r>
        <w:rPr>
          <w:rFonts w:ascii="Amiri" w:hAnsi="Amiri" w:eastAsia="Amiri" w:cs="Amiri"/>
          <w:color w:val="111111"/>
          <w:sz w:val="28"/>
          <w:sz w:val="28"/>
          <w:szCs w:val="28"/>
          <w:rtl w:val="true"/>
          <w:lang w:bidi="ar-SA"/>
        </w:rPr>
        <w:t xml:space="preserve">الروايات الواردة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فلو كان الموضوع الميتة الأصلية ، فلا إشكال في جريان الأصل وإحرازه ، كما تقدّم الكلام فيه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2974351_2142443653"/>
      <w:bookmarkStart w:id="87" w:name="_Toc31"/>
      <w:bookmarkEnd w:id="86"/>
      <w:r>
        <w:rPr>
          <w:rtl w:val="true"/>
        </w:rPr>
        <w:t>حكم الشكّ في عمران الأرض بالأصالة أو لعارض</w:t>
      </w:r>
      <w:bookmarkEnd w:id="87"/>
    </w:p>
    <w:p>
      <w:pPr>
        <w:pStyle w:val="BookText"/>
        <w:rPr/>
      </w:pPr>
      <w:r>
        <w:rPr>
          <w:rFonts w:ascii="Amiri" w:hAnsi="Amiri" w:eastAsia="Amiri" w:cs="Amiri"/>
          <w:color w:val="111111"/>
          <w:sz w:val="28"/>
          <w:sz w:val="28"/>
          <w:szCs w:val="28"/>
          <w:rtl w:val="true"/>
          <w:lang w:bidi="ar-SA"/>
        </w:rPr>
        <w:t>وأمّا الأرض العامرة ، فإن شكّ في أ نّها عامرة بالأصالة أو بالعرض ، فإن كان</w:t>
      </w:r>
    </w:p>
    <w:p>
      <w:pPr>
        <w:pStyle w:val="BookText"/>
        <w:rPr/>
      </w:pPr>
      <w:r>
        <w:rPr>
          <w:rFonts w:ascii="Amiri" w:hAnsi="Amiri" w:eastAsia="Amiri" w:cs="Amiri"/>
          <w:color w:val="111111"/>
          <w:sz w:val="28"/>
          <w:sz w:val="28"/>
          <w:szCs w:val="28"/>
          <w:rtl w:val="true"/>
          <w:lang w:bidi="ar-SA"/>
        </w:rPr>
        <w:t xml:space="preserve">الحكم مترتّباً على عنوانين وجوديين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العامرة بالأصالة ملك للإمام عليه السلام ، والعامرة بالعرض ملك للمعمِّر ، فلا أصل يحرز إحداهما ؛ لعدم الحالة السابقة ، وأصالة عدم كونها عامرة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كونها عامرة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العنوان المقابل الوجودي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موضوع مال الإمام عليه السلام ، الأرض التي لا تكون عامرة بالعرض ، سواء كانت ميتة ، أو عامرة بالذات ، فبأصالة عدم كونها عامرة بالعرض يحرز الموضوع ، وكذلك إن كان الموضوع الأرض التي لا ربّ لها </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2974353_2142443653"/>
      <w:bookmarkStart w:id="89" w:name="_Toc32"/>
      <w:bookmarkEnd w:id="88"/>
      <w:r>
        <w:rPr>
          <w:rtl w:val="true"/>
        </w:rPr>
        <w:t>حكم الشكّ في الأرض المملوكة التي عرضها الخراب</w:t>
      </w:r>
      <w:bookmarkEnd w:id="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الأرض المملوكة التي عرض لها الخراب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لا يوجب سقوط الملكية ، بل الإعراض عنها موجب لصيرورتها للإمام عليه السلام ، فأصالة عدم الإعراض ، جارية لنفي كونها للإمام عليه السلام على كلام فيها ، وجارية لإثبات بقاء </w:t>
      </w:r>
      <w:bookmarkStart w:id="90" w:name="pg15209_203704"/>
    </w:p>
    <w:p>
      <w:pPr>
        <w:pStyle w:val="BookText"/>
        <w:rPr/>
      </w:pPr>
      <w:bookmarkEnd w:id="90"/>
      <w:r>
        <w:rPr>
          <w:rFonts w:ascii="Amiri" w:hAnsi="Amiri" w:eastAsia="Amiri" w:cs="Amiri"/>
          <w:color w:val="111111"/>
          <w:sz w:val="28"/>
          <w:sz w:val="28"/>
          <w:szCs w:val="28"/>
          <w:rtl w:val="true"/>
          <w:lang w:bidi="ar-SA"/>
        </w:rPr>
        <w:t xml:space="preserve">الملكية إن كان عدم الإعراض موضوعاً له ، ولو اُغمض عن هذا الأصل ، فأصالة بقاء ملكه لا إشكال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الخراب موجب لسقوط الملكية وصيرورتها للإمام عليه السلام ، فإن شكّ في الخراب موضوعاً ، فأصالة عدمه جارية إن كان عدم الخراب موضوعاً لبقاء الملك شرعاً ، وجارية أيضاً لإثبات عدم مالكية الإمام عليه السلام ، على كلام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كانت الشبهة مفهومية ؛ بأن شكّ في 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بغور مائها مثلاً ، فجريان الأصل مبنيّ على جريانه في الشبهات المفهومية ، مثل الشبهة في الغروب والمغرب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بالجريان فهو ، وإلاّ فأصالة بقاء ملكه جارية ، يترتّب عليها أحكامها </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974355_2142443653"/>
      <w:bookmarkStart w:id="92" w:name="_Toc33"/>
      <w:bookmarkEnd w:id="91"/>
      <w:r>
        <w:rPr>
          <w:rtl w:val="true"/>
        </w:rPr>
        <w:t>ومنها</w:t>
      </w:r>
      <w:r>
        <w:rPr>
          <w:rtl w:val="true"/>
        </w:rPr>
        <w:t xml:space="preserve">: </w:t>
      </w:r>
      <w:r>
        <w:rPr>
          <w:rtl w:val="true"/>
        </w:rPr>
        <w:t>ما عرضتها الحياة بعد كونها ميتة بالأصالة</w:t>
      </w:r>
      <w:bookmarkEnd w:id="92"/>
    </w:p>
    <w:p>
      <w:pPr>
        <w:pStyle w:val="Heading5"/>
        <w:numPr>
          <w:ilvl w:val="4"/>
          <w:numId w:val="1"/>
        </w:numPr>
        <w:rPr/>
      </w:pPr>
      <w:bookmarkStart w:id="93" w:name="__RefHeading___Toc2974357_2142443653"/>
      <w:bookmarkStart w:id="94" w:name="_Toc34"/>
      <w:bookmarkEnd w:id="93"/>
      <w:r>
        <w:rPr>
          <w:rtl w:val="true"/>
        </w:rPr>
        <w:t>اشارة</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الكلام فيها في القسم الأوّل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لمحييها ، من غير فرق بين المسلم والكافر ، وأنّ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ملكية الرقبة ، أو اختصاصها بالمؤمن ، أو المسلم ضعيف</w:t>
      </w:r>
      <w:r>
        <w:rPr>
          <w:rStyle w:val="FootnoteAnchor"/>
          <w:rtl w:val="true"/>
        </w:rPr>
        <w:footnoteReference w:id="142"/>
      </w:r>
      <w:r>
        <w:rPr>
          <w:rFonts w:ascii="Amiri" w:hAnsi="Amiri" w:eastAsia="Amiri" w:cs="Amiri"/>
          <w:color w:val="111111"/>
          <w:sz w:val="28"/>
          <w:sz w:val="28"/>
          <w:szCs w:val="28"/>
          <w:rtl w:val="true"/>
          <w:lang w:bidi="ar-SA"/>
        </w:rPr>
        <w:t xml:space="preserve">، ولا يزول ملك المحيي إلاّ بناقل ، أو بالإعراض </w:t>
      </w:r>
      <w:r>
        <w:rPr>
          <w:rFonts w:eastAsia="Amiri" w:cs="Amiri" w:ascii="Amiri" w:hAnsi="Amiri"/>
          <w:color w:val="111111"/>
          <w:sz w:val="28"/>
          <w:szCs w:val="28"/>
          <w:rtl w:val="true"/>
          <w:lang w:bidi="ar-SA"/>
        </w:rPr>
        <w:t xml:space="preserve">. </w:t>
      </w:r>
      <w:bookmarkStart w:id="95" w:name="pg15209_203705"/>
    </w:p>
    <w:p>
      <w:pPr>
        <w:pStyle w:val="Heading5"/>
        <w:numPr>
          <w:ilvl w:val="4"/>
          <w:numId w:val="1"/>
        </w:numPr>
        <w:rPr/>
      </w:pPr>
      <w:bookmarkStart w:id="96" w:name="__RefHeading___Toc2974359_2142443653"/>
      <w:bookmarkStart w:id="97" w:name="_Toc35"/>
      <w:bookmarkEnd w:id="95"/>
      <w:bookmarkEnd w:id="96"/>
      <w:r>
        <w:rPr>
          <w:rtl w:val="true"/>
        </w:rPr>
        <w:t>بيان حكم الأراضي المفتوحة عنوة</w:t>
      </w:r>
      <w:bookmarkEnd w:id="97"/>
    </w:p>
    <w:p>
      <w:pPr>
        <w:pStyle w:val="BookText"/>
        <w:rPr/>
      </w:pPr>
      <w:r>
        <w:rPr>
          <w:rFonts w:ascii="Amiri" w:hAnsi="Amiri" w:eastAsia="Amiri" w:cs="Amiri"/>
          <w:color w:val="111111"/>
          <w:sz w:val="28"/>
          <w:sz w:val="28"/>
          <w:szCs w:val="28"/>
          <w:rtl w:val="true"/>
          <w:lang w:bidi="ar-SA"/>
        </w:rPr>
        <w:t>ثمّ إنّ ما ملكها الكافر إن ارتفعت يده منها قهراً وعنوةً ، فلا كلام في أ نّها للمسلمين مع تحقّق الشرائط ، وإنّما الكلام في كيفية كونها لهم ، فهل يملكون رقبتها نحو سائر أملاكهم أو لا ؟</w:t>
      </w:r>
    </w:p>
    <w:p>
      <w:pPr>
        <w:pStyle w:val="BookText"/>
        <w:rPr/>
      </w:pPr>
      <w:r>
        <w:rPr>
          <w:rFonts w:ascii="Amiri" w:hAnsi="Amiri" w:eastAsia="Amiri" w:cs="Amiri"/>
          <w:color w:val="111111"/>
          <w:sz w:val="28"/>
          <w:sz w:val="28"/>
          <w:szCs w:val="28"/>
          <w:rtl w:val="true"/>
          <w:lang w:bidi="ar-SA"/>
        </w:rPr>
        <w:t xml:space="preserve">والأصل في ذلك هو الأخبار الواردة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عليه السلام عن السواد ما منزلته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لجميع المسلمين ؛ لمن هو اليوم ، ولمن يدخل في الإسلام بعد اليوم ، ولمن لم يُخلق بعدُ</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شريح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أرض الخراج للمسلمين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بردة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أرض المسلمين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والعمدة صحيحة الحلبي ، وفيها احتمالات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الأرض فعلاً لجميع المسلمين ؛ الموجودين في الحال ، ومن سيوجد فيما بعد ، ومن يصير مسلماً من سائر الملل ، ومن المعدومين ، </w:t>
      </w:r>
    </w:p>
    <w:p>
      <w:pPr>
        <w:pStyle w:val="BookText"/>
        <w:rPr/>
      </w:pPr>
      <w:r>
        <w:rPr>
          <w:rFonts w:ascii="Amiri" w:hAnsi="Amiri" w:eastAsia="Amiri" w:cs="Amiri"/>
          <w:color w:val="111111"/>
          <w:sz w:val="28"/>
          <w:sz w:val="28"/>
          <w:szCs w:val="28"/>
          <w:rtl w:val="true"/>
          <w:lang w:bidi="ar-SA"/>
        </w:rPr>
        <w:t xml:space="preserve">فتكون أرض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الموجود ، والمعدوم ، والكافر الذي يصير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بطلان هذا الاحتمال ، وعدم إرادته جزماً ؛ ضرورة عدم ملكية الكفّار لها حال كفرهم ، وعدم إمكان ملكية المعدوم حال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الملكية أمر اعتباري ، يصحّ اعتبارها للمعدوم</w:t>
      </w:r>
      <w:r>
        <w:rPr>
          <w:rStyle w:val="FootnoteAnchor"/>
          <w:rtl w:val="true"/>
        </w:rPr>
        <w:footnoteReference w:id="146"/>
      </w:r>
      <w:r>
        <w:rPr>
          <w:rFonts w:ascii="Amiri" w:hAnsi="Amiri" w:eastAsia="Amiri" w:cs="Amiri"/>
          <w:color w:val="111111"/>
          <w:sz w:val="28"/>
          <w:sz w:val="28"/>
          <w:szCs w:val="28"/>
          <w:rtl w:val="true"/>
          <w:lang w:bidi="ar-SA"/>
        </w:rPr>
        <w:t xml:space="preserve">، في غاية السقوط ؛ لأنّ الإضافة ولو كانت اعتبارية ، لا تعقل بين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ولا تعقل الإشارة إلى المعدوم ، وفي مثل الوقف على الطبقات المتأخّرة ، اعتبر على عنوان قابل للانطباق عليها حين وجودها ، كالوقف على العلماء ، أو الفقراء ، أو أبناء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بيع الثمار من ضمّ المعدوم إلى الموجود</w:t>
      </w:r>
      <w:r>
        <w:rPr>
          <w:rStyle w:val="FootnoteAnchor"/>
          <w:rtl w:val="true"/>
        </w:rPr>
        <w:footnoteReference w:id="147"/>
      </w:r>
      <w:r>
        <w:rPr>
          <w:rFonts w:ascii="Amiri" w:hAnsi="Amiri" w:eastAsia="Amiri" w:cs="Amiri"/>
          <w:color w:val="111111"/>
          <w:sz w:val="28"/>
          <w:sz w:val="28"/>
          <w:szCs w:val="28"/>
          <w:rtl w:val="true"/>
          <w:lang w:bidi="ar-SA"/>
        </w:rPr>
        <w:t xml:space="preserve">،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التحقيق هناك أيضاً أ نّه من قبيل ضمّ العنوان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ينطبق إلاّ على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الاحتمال أظهر الاحتمالات ، وغيرها يحتاج إلى نحو تأويل ، ومع عدم إمكان الالتزام به ، لا بدّ من الخروج عن الظاهر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لجميع المسلمين على نحو القضيّة الحقيقية ، فالكافر بعد إسلامه ، والمعدوم بعد وجوده وإسلامه ولو تبعاً ، يملكانها قضاءً للحقيقية ، ولا يرد عليه الإشكال المتقدّم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الانتقال إلى المسلمين حال الفتح ، وجعل الملكية الفعلية لهم من قبل الشارع بنحو الحقيقية ، لازمه عدم ملكية غير الموجود حال الفتح ؛ ضرورة عدم إمكان فعلية الملك مع فقد المالك ، وليس جعل آخر يتعلّق بملكية الأفراد المتجدّدة ، سواء قلنا في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قضيّة حملية بتّية كما هو التحقيق</w:t>
      </w:r>
      <w:r>
        <w:rPr>
          <w:rStyle w:val="FootnoteAnchor"/>
          <w:rtl w:val="true"/>
        </w:rPr>
        <w:footnoteReference w:id="148"/>
      </w:r>
      <w:r>
        <w:rPr>
          <w:rFonts w:ascii="Amiri" w:hAnsi="Amiri" w:eastAsia="Amiri" w:cs="Amiri"/>
          <w:color w:val="111111"/>
          <w:sz w:val="28"/>
          <w:sz w:val="28"/>
          <w:szCs w:val="28"/>
          <w:rtl w:val="true"/>
          <w:lang w:bidi="ar-SA"/>
        </w:rPr>
        <w:t>، أو بأ نّها ترجع إلى الشرطية</w:t>
      </w:r>
      <w:r>
        <w:rPr>
          <w:rStyle w:val="FootnoteAnchor"/>
          <w:rtl w:val="true"/>
        </w:rPr>
        <w:footnoteReference w:id="149"/>
      </w:r>
      <w:r>
        <w:rPr>
          <w:rFonts w:ascii="Amiri" w:hAnsi="Amiri" w:eastAsia="Amiri" w:cs="Amiri"/>
          <w:color w:val="111111"/>
          <w:sz w:val="28"/>
          <w:sz w:val="28"/>
          <w:szCs w:val="28"/>
          <w:rtl w:val="true"/>
          <w:lang w:bidi="ar-SA"/>
        </w:rPr>
        <w:t xml:space="preserve">؛ بأن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وجد شخص في الخارج وكان مسلماً ، فهو مالك ، فإنّ الملكية الفعلية لا تعقل لمن لا يكون موجوداً ، والملكية حال وجوده ليست فعلية ، ولا سبب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جعل الفتح بشرائطه سبباً لمالكية المسلم حيثما وجد ، فهو سبب لمالكية الموجودين فعلاً ، ولمالكية غيرهم حال وجودهم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الفتح ليس له بقاء ، فلا تعقل سببية المعدوم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دفعه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هو كون الأرض مفتوحة عنوة ، وهو عنوان صادق عليها إلى الأبد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أيضاً مخالف للظاهر ؛ إذ ظاهر الروايات أ نّها ملك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هو اليوم ، ولمن يدخل في الإسلام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إلى‌آخره ، ظاهر في كون كلّ طائفة تملك حين وجودها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سلّم ذلك ، فجعل الشارع السببية لما ذكر أوّلاً ، ثمّ الحكم بأ نّه </w:t>
      </w:r>
    </w:p>
    <w:p>
      <w:pPr>
        <w:pStyle w:val="BookText"/>
        <w:rPr/>
      </w:pPr>
      <w:r>
        <w:rPr>
          <w:rFonts w:ascii="Amiri" w:hAnsi="Amiri" w:eastAsia="Amiri" w:cs="Amiri"/>
          <w:color w:val="111111"/>
          <w:sz w:val="28"/>
          <w:sz w:val="28"/>
          <w:szCs w:val="28"/>
          <w:rtl w:val="true"/>
          <w:lang w:bidi="ar-SA"/>
        </w:rPr>
        <w:t xml:space="preserve">لجميعهم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 بل عدمه مقطوع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الغضّ عن لزوم كون الشيء علّة لملكية أشخاص ، وسلب ملكية أشخاص آخرين ، وهو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للجهة ، كالوقف للجهات العامّة</w:t>
      </w:r>
      <w:r>
        <w:rPr>
          <w:rStyle w:val="FootnoteAnchor"/>
          <w:rtl w:val="true"/>
        </w:rPr>
        <w:footnoteReference w:id="150"/>
      </w:r>
      <w:r>
        <w:rPr>
          <w:rFonts w:ascii="Amiri" w:hAnsi="Amiri" w:eastAsia="Amiri" w:cs="Amiri"/>
          <w:color w:val="111111"/>
          <w:sz w:val="28"/>
          <w:sz w:val="28"/>
          <w:szCs w:val="28"/>
          <w:rtl w:val="true"/>
          <w:lang w:bidi="ar-SA"/>
        </w:rPr>
        <w:t xml:space="preserve">، فيكون المالك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ومصالح الأفراد مصرفاً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خلاف الظاهر جدّاً ، ولا سيّما مع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هو اليوم ، ولمن يدخل في الإسلام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المالك طبيعي المسلم ونوعه</w:t>
      </w:r>
      <w:r>
        <w:rPr>
          <w:rStyle w:val="FootnoteAnchor"/>
          <w:rtl w:val="true"/>
        </w:rPr>
        <w:footnoteReference w:id="151"/>
      </w:r>
      <w:r>
        <w:rPr>
          <w:rFonts w:ascii="Amiri" w:hAnsi="Amiri" w:eastAsia="Amiri" w:cs="Amiri"/>
          <w:color w:val="111111"/>
          <w:sz w:val="28"/>
          <w:sz w:val="28"/>
          <w:szCs w:val="28"/>
          <w:rtl w:val="true"/>
          <w:lang w:bidi="ar-SA"/>
        </w:rPr>
        <w:t xml:space="preserve">، وهو أبعد الاحتمالات بالنسبة إلى 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 من الكلّ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ملك للمجموع من حيث المجموع ، فإنّه مع مخالفته للظاهر ، لازمه سلب المالكية بموت بعض المسلمين ، أو خروجه عن الإسلام ، إلاّ أن يجعل للعنوان ، وهو مخالف للظاهر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الغضّ عن لزوم إشكالات ومخالفة للقواعد بناءً على ملكية المسلمين بنحو الإشاعة</w:t>
      </w:r>
      <w:r>
        <w:rPr>
          <w:rStyle w:val="FootnoteAnchor"/>
          <w:rtl w:val="true"/>
        </w:rPr>
        <w:footnoteReference w:id="152"/>
      </w:r>
      <w:r>
        <w:rPr>
          <w:rFonts w:ascii="Amiri" w:hAnsi="Amiri" w:eastAsia="Amiri" w:cs="Amiri"/>
          <w:color w:val="111111"/>
          <w:sz w:val="28"/>
          <w:sz w:val="28"/>
          <w:szCs w:val="28"/>
          <w:rtl w:val="true"/>
          <w:lang w:bidi="ar-SA"/>
        </w:rPr>
        <w:t xml:space="preserve">؛ فإنّ لازمها جواز بيع كلّ مسلم حصّته ولو من الكافر ، وهدم قاعدة الإرث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 ممّا قيل أو يقال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جعل الملكية للمسلمين مع سلب جميع آثارها ؛ من التصرّفات النقلية </w:t>
      </w:r>
    </w:p>
    <w:p>
      <w:pPr>
        <w:pStyle w:val="BookText"/>
        <w:rPr/>
      </w:pPr>
      <w:r>
        <w:rPr>
          <w:rFonts w:ascii="Amiri" w:hAnsi="Amiri" w:eastAsia="Amiri" w:cs="Amiri"/>
          <w:color w:val="111111"/>
          <w:sz w:val="28"/>
          <w:sz w:val="28"/>
          <w:szCs w:val="28"/>
          <w:rtl w:val="true"/>
          <w:lang w:bidi="ar-SA"/>
        </w:rPr>
        <w:t xml:space="preserve">الاعتبارية والخارجية ، وسلب آثار الشركة وغير ذلك ، يعدّ لغواً يجب تنزيه الشارع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الصحيحة دائر بين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الملكية ، أو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الاستغراق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ظاهرهما ، والأوّل أهون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على الملكية نظر ، بل أكثر استعمالاتها في الكتاب</w:t>
      </w:r>
    </w:p>
    <w:p>
      <w:pPr>
        <w:pStyle w:val="BookText"/>
        <w:rPr/>
      </w:pPr>
      <w:r>
        <w:rPr>
          <w:rFonts w:ascii="Amiri" w:hAnsi="Amiri" w:eastAsia="Amiri" w:cs="Amiri"/>
          <w:color w:val="111111"/>
          <w:sz w:val="28"/>
          <w:sz w:val="28"/>
          <w:szCs w:val="28"/>
          <w:rtl w:val="true"/>
          <w:lang w:bidi="ar-SA"/>
        </w:rPr>
        <w:t xml:space="preserve">العزيز في غير الملكية بالمعنى المعهود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المُلْكُ وَلَهُ ا لْحَمْدُ</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 لْحُسْنَى</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فِى السَّموَاتِ وَالْأَرْضِ</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ممّا لا يحصى ، والملكية بمعنى مالكية التصرّف ، أو المالكية الحقيقية التي هي للخالق بالنسبة إلى المخلوق ، غير المعنى اللغوي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الملكية ، شائع كتاباً وسنّة وعرفاً ، فلو فرض ظهورها فيها ، فهو ظهور ضعيف ، يمكن رفع اليد عنه بأدنى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الألفاظ المتقدّمة ، فظهورها في المعنى الاستغراقي ظهور تامّ لا ينكر ، واستعمالها في غيره قليل غير معروف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الأراضي المفتوحة عنوة ليست ملكاً لأحد ، بل محفوظة لمصالح المسلمين ، ولا تختصّ بمصالح المسلمين حال الفتح ، بل متروكة لمصالحهم في كلّ عصر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يكون لمصالح المسلمين ، ليس </w:t>
      </w:r>
      <w:bookmarkStart w:id="98" w:name="pg15209_203710"/>
    </w:p>
    <w:p>
      <w:pPr>
        <w:pStyle w:val="BookText"/>
        <w:rPr/>
      </w:pPr>
      <w:bookmarkEnd w:id="98"/>
      <w:r>
        <w:rPr>
          <w:rFonts w:ascii="Amiri" w:hAnsi="Amiri" w:eastAsia="Amiri" w:cs="Amiri"/>
          <w:color w:val="111111"/>
          <w:sz w:val="28"/>
          <w:sz w:val="28"/>
          <w:szCs w:val="28"/>
          <w:rtl w:val="true"/>
          <w:lang w:bidi="ar-SA"/>
        </w:rPr>
        <w:t xml:space="preserve">المراد منه أنّ كلّ فرد من المسلمين ، لا بدّ وأن يستفيد منه ، بل المصالح العامّة كالجهاد ، والدفاع ، وتعمير الطرق ، وتأسيس مولّدات الكهرباء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المصالح العامّة لجميع المسلمين ، ولو فرض عدم فعلية استفادة قوم أو جمع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مع ملاحظة أنّ سيرة الدول في الأملاك التي هي خالصة للدولة ، وفي الآجام المؤمّمة ونحوها ، على كونها لمصالح الاُمّة بنحو ما ذكرناه ، لا ينبغي الشكّ في أنّ المراد من الصحيحة هو ما ذكرناه ، خصوصاً مع ملاحظة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جعل الملكية المسلوب عنها جميع آثارها يعدّ لغواً </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2974361_2142443653"/>
      <w:bookmarkStart w:id="100" w:name="_Toc36"/>
      <w:bookmarkEnd w:id="99"/>
      <w:r>
        <w:rPr>
          <w:rtl w:val="true"/>
        </w:rPr>
        <w:t>مؤيّدات لعدم ملكية الأرض المفتوحة عنوة</w:t>
      </w:r>
      <w:bookmarkEnd w:id="100"/>
    </w:p>
    <w:p>
      <w:pPr>
        <w:pStyle w:val="BookText"/>
        <w:rPr/>
      </w:pPr>
      <w:r>
        <w:rPr>
          <w:rFonts w:ascii="Amiri" w:hAnsi="Amiri" w:eastAsia="Amiri" w:cs="Amiri"/>
          <w:color w:val="111111"/>
          <w:sz w:val="28"/>
          <w:sz w:val="28"/>
          <w:szCs w:val="28"/>
          <w:rtl w:val="true"/>
          <w:lang w:bidi="ar-SA"/>
        </w:rPr>
        <w:t>ويؤيّ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فيها ، كرواية أبي الربيع الشامي ،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تشتروا من أرض السواد شيئاً إلاّ من كانت له ذمّة ؛ فإنّما هو فيء للمسلمين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من عقار أهل الذمّة ، ولا من أرضهم شيئاً ؛ لأ نّه فيء المسلمين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التعبير 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أو دلالة على أنّ </w:t>
      </w:r>
    </w:p>
    <w:p>
      <w:pPr>
        <w:pStyle w:val="BookText"/>
        <w:rPr/>
      </w:pPr>
      <w:r>
        <w:rPr>
          <w:rFonts w:ascii="Amiri" w:hAnsi="Amiri" w:eastAsia="Amiri" w:cs="Amiri"/>
          <w:color w:val="111111"/>
          <w:sz w:val="28"/>
          <w:sz w:val="28"/>
          <w:szCs w:val="28"/>
          <w:rtl w:val="true"/>
          <w:lang w:bidi="ar-SA"/>
        </w:rPr>
        <w:t xml:space="preserve">تلك الأرض راجعة إليهم بنحو ما ؛ فإنّ منافع الأرض إذا كانت لمصلحة المسلمين العامّة ، 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فيء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أرض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وأولى بالتأييد بل بالدلالة ، مرسلة حمّاد الطويلة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التي اُخذت عنوة بخيل وركاب ، فهي موقوفة متروكة في يد من يعمرها ويحييها </w:t>
      </w:r>
      <w:r>
        <w:rPr>
          <w:rFonts w:eastAsia="Amiri" w:cs="Amiri" w:ascii="Amiri" w:hAnsi="Amiri"/>
          <w:color w:val="111111"/>
          <w:sz w:val="28"/>
          <w:szCs w:val="28"/>
          <w:rtl w:val="true"/>
          <w:lang w:bidi="ar-SA"/>
        </w:rPr>
        <w:t>. . .»</w:t>
      </w:r>
      <w:r>
        <w:rPr>
          <w:rStyle w:val="FootnoteAnchor"/>
          <w:rtl w:val="true"/>
        </w:rPr>
        <w:footnoteReference w:id="159"/>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المراد 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المعنى الاصطلاحي ، ويكون الحمل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الحقيقة ، فتكون الأرض وقفاً إلهياً على المسلمين أو على مصالحهم ، فتدلّ على عدم ملكيتها للمسلمين ، سواء كانت موقوفة على المصالح ، وهو واضح ، أو موقوفة على المسلمين ؛ فإنّ الوقف على الجهات العامّة فكّ للملك ، لا تمليك لأربابه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بنحو الادّعاء ، فإطلاق الادّعاء يقتضي أن يترتّب عليها جميع آثار الوقف الحقيقي ، منها فكّ الملك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المعنى اللغوي ، ويراد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واقفة غير منتقلة بنحو من الانتقالات ، وعليه فالظاهر من الكلام أنّ الأرض بمجرّد فتحها عنوة ، موقوفة عن النقل ، فصيرورتها ملك المسلمين مخالف لهذا الظاهر ؛ فإنّها أيضاً نقل مخالف للتوقّف ، ففرق بين كونها ملكاً لهم ، ثمّ صارت موقوفة ، وبين صيرورتها </w:t>
      </w:r>
    </w:p>
    <w:p>
      <w:pPr>
        <w:pStyle w:val="BookText"/>
        <w:rPr/>
      </w:pPr>
      <w:r>
        <w:rPr>
          <w:rFonts w:ascii="Amiri" w:hAnsi="Amiri" w:eastAsia="Amiri" w:cs="Amiri"/>
          <w:color w:val="111111"/>
          <w:sz w:val="28"/>
          <w:sz w:val="28"/>
          <w:szCs w:val="28"/>
          <w:rtl w:val="true"/>
          <w:lang w:bidi="ar-SA"/>
        </w:rPr>
        <w:t xml:space="preserve">موقوفة بمجرّد الفتح ، والظاهر هو الثاني ، ومقتضاه عدم صيرورتها ملكاً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ويؤخذ بعد ما بقي من العشر ، فيقسم بين الوالي وبين شركائه الذين هم عمّال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الأرض لو كانت للمسلمين ، كان شركاء العمّال هم المسلمين دون الوالي ، وإن كان الوالي وليّاً عليهم وعلى أموالهم في المورد ، فالشركاء هم المسلمون ، والوالي وليّ الشركاء ، بخلاف ما إذا كانت بنحو فكّ الملك ، وكان الأمر إلى الوالي ؛ إذ عدّ الوالي حينئذٍ شريكاً لا مانع منه ، لأنّ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الثلث أو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إليه وإن لم يكن ملكاً له ، كما ورد في صحيحة البزنطي ، عن أبي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اُخذ بالسيف فذاك إلى الإمام عليه السلام ، يقبّله بالذي يرى</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لنفسه من ذلك قليل ولا كثير</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مع أنّ ملكية الأرض للمسلمين ، موجبة لملكية المنافع ، وكون الوالي مالكاً لحصّة منها ؛ فإنّه من المسلمين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أنّ الأرض المفتوحة عنوة ، ليست ملكاً لأحد ، بل هي محرّرة موقوفة لمصالح المسلمين ، وهم غير مالكين لرقبتها ولا لمنافعها ، بل ليسوا مصرفاً لها ، كما هو مقتضى رواية حمّاد</w:t>
      </w:r>
      <w:r>
        <w:rPr>
          <w:rStyle w:val="FootnoteAnchor"/>
          <w:rtl w:val="true"/>
        </w:rPr>
        <w:footnoteReference w:id="162"/>
      </w:r>
      <w:r>
        <w:rPr>
          <w:rFonts w:ascii="Amiri" w:hAnsi="Amiri" w:eastAsia="Amiri" w:cs="Amiri"/>
          <w:color w:val="111111"/>
          <w:sz w:val="28"/>
          <w:sz w:val="28"/>
          <w:szCs w:val="28"/>
          <w:rtl w:val="true"/>
          <w:lang w:bidi="ar-SA"/>
        </w:rPr>
        <w:t xml:space="preserve">وإنّما هي </w:t>
      </w:r>
      <w:bookmarkStart w:id="101" w:name="pg15209_203713"/>
    </w:p>
    <w:p>
      <w:pPr>
        <w:pStyle w:val="BookText"/>
        <w:rPr/>
      </w:pPr>
      <w:bookmarkEnd w:id="101"/>
      <w:r>
        <w:rPr>
          <w:rFonts w:ascii="Amiri" w:hAnsi="Amiri" w:eastAsia="Amiri" w:cs="Amiri"/>
          <w:color w:val="111111"/>
          <w:sz w:val="28"/>
          <w:sz w:val="28"/>
          <w:szCs w:val="28"/>
          <w:rtl w:val="true"/>
          <w:lang w:bidi="ar-SA"/>
        </w:rPr>
        <w:t xml:space="preserve">لمصالحهم العامّة ، كالجيش ، والجهاد ، وما يحتاج إليه في تشكيل الحكومة ، والحوائج المرتبطة بها ؛ من قبيل تعمير الطرق والشوارع ، وإيجاد القناطر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2974363_2142443653"/>
      <w:bookmarkStart w:id="103" w:name="_Toc37"/>
      <w:bookmarkEnd w:id="102"/>
      <w:r>
        <w:rPr>
          <w:rtl w:val="true"/>
        </w:rPr>
        <w:t>بحث في صحّة بيع الأراضي المفتوحة عنوة</w:t>
      </w:r>
      <w:bookmarkEnd w:id="103"/>
    </w:p>
    <w:p>
      <w:pPr>
        <w:pStyle w:val="BookText"/>
        <w:rPr/>
      </w:pPr>
      <w:r>
        <w:rPr>
          <w:rFonts w:ascii="Amiri" w:hAnsi="Amiri" w:eastAsia="Amiri" w:cs="Amiri"/>
          <w:color w:val="111111"/>
          <w:sz w:val="28"/>
          <w:sz w:val="28"/>
          <w:szCs w:val="28"/>
          <w:rtl w:val="true"/>
          <w:lang w:bidi="ar-SA"/>
        </w:rPr>
        <w:t xml:space="preserve">ثمّ إنّه قد وقع الكلام في صحّة بيع تلك الأرض وعدمها ، ولا بدّ من بسط الكلام حول أخبار الباب حتّى يتّضح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أرض الصلح التي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الجزية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التي تصالح والي المسلمين مع الكفّار على أن تكون الأرض لهم ، وعليهم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ملك لهم ، ويجوز بيعها وشراؤها ، والأخبار المربوطة بها غير أخبار الأرض الخراجية ، وإن اختلطت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أرض أهل الذمّة أو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هي مملوكة لهم بالإحياء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 فلا بدّ من تمحيص البحث في الروايات المربوطة بالأرض الخراجية </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2974365_2142443653"/>
      <w:bookmarkStart w:id="105" w:name="_Toc38"/>
      <w:bookmarkEnd w:id="104"/>
      <w:r>
        <w:rPr>
          <w:rtl w:val="true"/>
        </w:rPr>
        <w:t>التحقيق في الروايات الواردة في الأراضي الخراجية</w:t>
      </w:r>
      <w:bookmarkEnd w:id="105"/>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بردة بن رجا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شراء أرض الخراج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يبيع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المسلمين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يبيعها الذي هي في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ويصنع بخراج المسلمين ماذا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 يشتري حقّه منها ، ويحوِّل حقَّ المسلمين عليه ، ولعلّه يكون أقوى عليها ، وأملى بخراجهم منه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الذي هو كالصريح ، عدم جواز بيع أرض الخراج ، وعدم صيرورتها ملكاً لمن في يده ؛ لا مستقلاًّ ، ولا تبعاً للآثار ؛ ضرورة أنّ أرض الخراج المسؤول عنها كانت بيد الزرّاع ، ومن البعيد جدّاً خلوّها عن آثار منهم ؛ فإنّ الزارع لا يدع الأرض بلا عمل ، من تسويتها ، وتهيئتها للزراعة ، أو زرعها ، وغرسها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ممّا هو متعارف في الأراضي الزراعية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فالأرض التي بيدهم إمّا مشغولة فعلاً بالزرع والغرس ، أو مهيّئة لذلك بأعمال منهم ؛ كالتسوية ، والتسميد ، وبناء الجداول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ممّا هو معهود ومتعارف ، فالآثار منهم موجودة في الأرض دائماً أو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يبيع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احتمال مملوكيتها استقلالاً</w:t>
      </w:r>
      <w:r>
        <w:rPr>
          <w:rStyle w:val="FootnoteAnchor"/>
          <w:rtl w:val="true"/>
        </w:rPr>
        <w:footnoteReference w:id="165"/>
      </w:r>
      <w:r>
        <w:rPr>
          <w:rFonts w:ascii="IRNazanin" w:hAnsi="IRNazanin" w:eastAsia="IRNazanin"/>
          <w:color w:val="111111"/>
          <w:sz w:val="28"/>
          <w:sz w:val="28"/>
          <w:szCs w:val="28"/>
          <w:rtl w:val="true"/>
          <w:lang w:bidi="fa-IR"/>
        </w:rPr>
        <w:t>أو بتبع الآثار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يبيعها الذي هي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 نّه توهّم كون السؤال حقيقياً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بيده الأرض يبيعها ؛ بتوهّم كونه مالكاً لرقبتها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بعيد بعد تصريح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الأرض للمسلمين ، مع فرض كونها خراجية وبيد الزارع العامل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أراد بيان أنّ مقصوده من شرائها ما هو المتعارف بين الفلاّحين ؛ من بيع الآثار والأعيان التي لهم في الأرض إذا أرادوا تركها ، أو المهاجرة من تلك الناحية ؛ فإنّ بناءهم على بيع حقوقهم من الآثار ونحوها ، ولم يكن بيع نفس الأرض التي هي لصاحب القرية معهوداً عندهم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السائل بعد إنكار الإمام عليه السلام ، وإفتائه بعدم الصحّة ، وعدم كون بيع أرض المسلمين في صلاحية أحد ، لفت نظره الشريف إلى ما هو المعهود والمتعارف بين الفلاّحين ؛ من بيع الآثار وما لهم فيها ، وتحويل الأرض إلى المشتري ، والتعبير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القرينة على المراد سهل ، خصوصاً في مثل المورد وعند الفلاّحين ، فأبدى عليه السلام إشكالاً آخر في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ويصنع بخراج المسلمين ماذا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قرار الخراج بين الوالي والفلاّح الذي بيده الأرض ، فإذا باع الآثار وسلّم الأرض إلى المشتري وذهب ، فكيف يصنع بالخراج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 يشتري حقّه منها ، ويحوِّل حقَّ المسلمين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الكلام على الاحتمال الأوّل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يبيع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إشكالين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بيع الأرض ، وهو لا يصحّ من غير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الخراج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فيندفع ببيع حقّه فيها ، كالآثار على ما هو المتعارف ، أو حقّ </w:t>
      </w:r>
    </w:p>
    <w:p>
      <w:pPr>
        <w:pStyle w:val="BookText"/>
        <w:rPr/>
      </w:pPr>
      <w:r>
        <w:rPr>
          <w:rFonts w:ascii="Amiri" w:hAnsi="Amiri" w:eastAsia="Amiri" w:cs="Amiri"/>
          <w:color w:val="111111"/>
          <w:sz w:val="28"/>
          <w:sz w:val="28"/>
          <w:szCs w:val="28"/>
          <w:rtl w:val="true"/>
          <w:lang w:bidi="ar-SA"/>
        </w:rPr>
        <w:t xml:space="preserve">انتفاعه منها ، أو المنافع ،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فيندفع بتحويل ما عليه على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يكون أقوى عليها ، وأملى بخراجهم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التحويل أيضاً كان متعارفاً مرضيّاً عند الوالي ، فلا يحتاج إلى قبوله الفعلي ، بعد التعارف والرضا بما هو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 وأمّا إذا كان مجهولاً ، فيراد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الخراج يحوَّل عليه قهراً مع الشراء ؛ فإنّه على الأرض ، أو على منافعها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الاحتمال الثاني ، فيكون دفعاً للإشكال الثاني ، وإن أشار إلى كيفية البيع ؛ وأنّ مورده حقّه ، لا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الرواية على عدم تملّك الأرض ؛ لا مستقلاًّ ، ولا بتبع الآثار ، وعدم جواز بيعها مطلقاً ، كما تدلّ على جواز بيع حقّ الزارع من الآثار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نظر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بيع حقّ خاصّ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الحقّ كذا وكذا ، بل نظره عليه السلام إلى التخلّص من بيع الأرض في مثل الواقعة ، وبيان العلاج إجمالاً ، سواء كان التخلّص باشتراء الآثار ، أو اشتراء الحصص ، أو سائر الحقوق ، هذا مع البناء على الاحتمال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 فكان المراد معلوماً بين السائل والمجيب بما عرفت ، والأرجح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الواقع ، والتعارف بين الفلاّحين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الاحتمال الثاني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يمكن استظهار المقصود من صحيحة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عليه السلام عن السواد ما منزلته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لجميع المسلمين ، لمن هو اليوم ، ولمن يدخل في الإسلام بعد اليوم ، ولمن لم يخلق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أن يشتري منهم على أن يصيّرها للمسلمين ، فإذا شاء وليّ الأمر أن يأخذها أخذها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أخذها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إليه رأس ماله ، وله ما أكل من غلّتها بما عمل</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لسؤال مثل الحلبي عن جواز شراء نفس الأرض من الدهاقين ؛ ضرورة وضوح الحكم ، فلا يبعد أن يكون السؤال عمّا هو متعارف بين الفلاّحين ؛ من بيع الآثار ، كما تقدّم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والدهاقين إن كانوا هم الزرّاع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يراد منه ذلك على ما في بعض روايات المزارعة</w:t>
      </w:r>
      <w:r>
        <w:rPr>
          <w:rStyle w:val="FootnoteAnchor"/>
          <w:rtl w:val="true"/>
        </w:rPr>
        <w:footnoteReference w:id="169"/>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نّه مقدّم أصحاب الزراعة</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واضح مع التأمّل في صدر الرواية وذيلها ، وفي التعارف المذكور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منهم رؤساء القرى ، فالظاهر أ نّهم كانوا يتقبّلون الأراضي </w:t>
      </w:r>
    </w:p>
    <w:p>
      <w:pPr>
        <w:pStyle w:val="BookText"/>
        <w:rPr/>
      </w:pPr>
      <w:r>
        <w:rPr>
          <w:rFonts w:ascii="Amiri" w:hAnsi="Amiri" w:eastAsia="Amiri" w:cs="Amiri"/>
          <w:color w:val="111111"/>
          <w:sz w:val="28"/>
          <w:sz w:val="28"/>
          <w:szCs w:val="28"/>
          <w:rtl w:val="true"/>
          <w:lang w:bidi="ar-SA"/>
        </w:rPr>
        <w:t>والقرى من السلطان ، ويقبّلونها لغيرهم تارة ، كما في رواية أبي الربيع الشامي في أبواب الإجارة</w:t>
      </w:r>
      <w:r>
        <w:rPr>
          <w:rStyle w:val="FootnoteAnchor"/>
          <w:rtl w:val="true"/>
        </w:rPr>
        <w:footnoteReference w:id="171"/>
      </w:r>
      <w:r>
        <w:rPr>
          <w:rFonts w:ascii="Amiri" w:hAnsi="Amiri" w:eastAsia="Amiri" w:cs="Amiri"/>
          <w:color w:val="111111"/>
          <w:sz w:val="28"/>
          <w:sz w:val="28"/>
          <w:szCs w:val="28"/>
          <w:rtl w:val="true"/>
          <w:lang w:bidi="ar-SA"/>
        </w:rPr>
        <w:t xml:space="preserve">فتأمّل ، ويعملون فيها اُخرى ، فيعمرونها ويزرعونها بأنفسهم ، ففي هذه الصورة قد تقتضي مصلحتهم أن يبيعوا آثارهم ، وما في الأرض ؛ من البذر والقصيل والسماد وغيره ممّا هو متعارف بين الفلاّحين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وبيع الآثار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الانتفاع بالقطعات التي يبيعونها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إرادة الرحيل والهجرة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الدهاقين في تلك الأعصار مستبدّين بالأرض ، ومدّعين لمالكيتهم ، كما يظهر بالتأمّل في الأخبار ؛ من أنّ الأراضي الخراجية كانت تحت يد السلاطين ، والدهاقين كانوا يتقبّلون منهم ، ويدفعون الخراج إليهم ، فاحتمال كونهم غاصبين للأرض ، وكانوا يعملون فيها عمل الملاّك</w:t>
      </w:r>
      <w:r>
        <w:rPr>
          <w:rStyle w:val="FootnoteAnchor"/>
          <w:rtl w:val="true"/>
        </w:rPr>
        <w:footnoteReference w:id="172"/>
      </w:r>
      <w:r>
        <w:rPr>
          <w:rFonts w:ascii="Amiri" w:hAnsi="Amiri" w:eastAsia="Amiri" w:cs="Amiri"/>
          <w:color w:val="111111"/>
          <w:sz w:val="28"/>
          <w:sz w:val="28"/>
          <w:szCs w:val="28"/>
          <w:rtl w:val="true"/>
          <w:lang w:bidi="ar-SA"/>
        </w:rPr>
        <w:t xml:space="preserve">، 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إلاّ أن يشتري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يمكن أن يراد منه عدم الصحّة إلاّ بالتزامه في العقد على أن يصيّرها للمسلمين ؛ أي يلتزم بما التزم به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المنافع مشتركة بينه وبين المسلمين ؛ ضرورة أنّ الالتزام بأن يكون جميعها للمسلمين ، ممّا لم يصدر منهم غالباً ، لو لم نقل دائماً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قوله عليه السلام في الرواية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ويحوِّل حقَّ المسلمين عليه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ونظير رواية أبي الربيع الآتية</w:t>
      </w:r>
      <w:r>
        <w:rPr>
          <w:rStyle w:val="FootnoteAnchor"/>
          <w:rtl w:val="true"/>
        </w:rPr>
        <w:footnoteReference w:id="174"/>
      </w:r>
      <w:r>
        <w:rPr>
          <w:rFonts w:ascii="Amiri" w:hAnsi="Amiri" w:eastAsia="Amiri" w:cs="Amiri"/>
          <w:color w:val="111111"/>
          <w:sz w:val="28"/>
          <w:sz w:val="28"/>
          <w:szCs w:val="28"/>
          <w:rtl w:val="true"/>
          <w:lang w:bidi="ar-SA"/>
        </w:rPr>
        <w:t xml:space="preserve">بناءً على أنّ الظاهر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كانت له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عهدة أداء حقّ المسلمين ، فإذا ضمن حقّ المسلمين صحّ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الاحتمال ، تكون صحّة البيع مشروطة بأن يجعل ما يشتري للمسلمين في ضمن العقد ، ولعلّ ذلك لأجل قطع النزاع والكلام ، فلو اشتراها بلا شرط يمكن أن يدّعي المشتري بأ نّه اشتراها ، وليس عليه شيء ، والوالي لا بدّ وأن يرجع إلى الدهقان ، وأمّا مع هذا القرار ، فينقطع الكلام ، ويؤدّى حقّ المسلمين بلا نكرة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مرجوحية الاشتراء إلاّ مع ما ذكر ، وهذا أوفق بالقواعد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شراء ما ذكر لازمه تحوّل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أداء الخراج ،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وبظواهر بعض روايات اُخر ، كقوله عليه السلام في رواية أبي بردة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ويحوَّل حقُّ المسلمين عليه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بناءً على 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أرضهم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تشتريها ، فتكون إذا كان ذلك بمنزلتهم ، تؤدّي فيها كما يؤدّون فيها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بناءً على كون المراد أرض الخراج ، أو الأعمّ منها ومن أرض الجزية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الاشتراط كان لأجل صلاح الوالي ، وقطع الكلام والمشاجرة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عليه السلام في صحيحة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شاء وليّ الأمر أن يأخذها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الشرط المذكور ؛ أي لو صيّرها للمسلمين كان للوالي الخيار ، وهو منافٍ للزوم عقد المزارعة ، إلاّ أن يكون قرار الخيار للوالي ، معهوداً في تلك الأعصار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شرطاً ثانياً لصحّة البيع على الاحتمال الأوّل المتقدّم ، أو لنفي الحزازة وعدم الصلوح على الاحتمال الآخر ، ولعلّ ذلك احتياط لحقّ المسلمين ؛ فإنّ المتقبّل الأوّل لمّا كان طرفاً للوالي ، كان التقبيل بتشخيصه لصلاحيته وصحّة عمله وأدائه ، وأمّا المشتري فلعلّه ليس بهذه المثابة في نظره ، ولهذا جعل شرط الصحّة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الخيار للوالي على الاحتمال الأوّل ، وحكم برجحان ذلك على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أوفق بالقواعد ، وإن لم يناسب العطف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ذلك تصحيفاً ، وكان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يمكن أن يكون من تتمّة الاشتراط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المبيع هو الآثار ، فالوالي إذا فسخ ، كان ردّ رأس ماله </w:t>
      </w:r>
    </w:p>
    <w:p>
      <w:pPr>
        <w:pStyle w:val="BookText"/>
        <w:rPr/>
      </w:pPr>
      <w:r>
        <w:rPr>
          <w:rFonts w:ascii="Amiri" w:hAnsi="Amiri" w:eastAsia="Amiri" w:cs="Amiri"/>
          <w:color w:val="111111"/>
          <w:sz w:val="28"/>
          <w:sz w:val="28"/>
          <w:szCs w:val="28"/>
          <w:rtl w:val="true"/>
          <w:lang w:bidi="ar-SA"/>
        </w:rPr>
        <w:t xml:space="preserve">إليه على القاعدة ؛ لأنّ مقتضى تصيير الآثار للمسلمين على ما تقدّم ، وأنّ لوليّ المسلمين حقّ الفسخ ، أ نّه بعد الفسخ يردّ رأس ماله ، ويأخذ منه الأرض بآثارها ، أو يدعها في يده ، وعليه ما على المتقبّل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الفسخ من حينه ، فما أكل من الغلّة كان ملكه ، وما عمل كان في ملكه ، ولعلّ في التعبير الذي في الرواية مسامحة ، ولو كان من الأصل فلا بدّ وأن يردّ المشتري الغلّ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ويأخذ بدل عمله ، فجعل الشارع ما أكله مقابل ما عمله ؛ لقطع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الربيع الشامي ،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من أرض السواد شيئاً إلاّ من كانت له ذمّة ، فإنّما هو فيء للمسلمين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النجف</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تشتروا من أرض السواد </w:t>
      </w:r>
      <w:r>
        <w:rPr>
          <w:rFonts w:eastAsia="Amiri" w:cs="Amiri" w:ascii="Amiri" w:hAnsi="Amiri"/>
          <w:color w:val="111111"/>
          <w:sz w:val="28"/>
          <w:szCs w:val="28"/>
          <w:rtl w:val="true"/>
          <w:lang w:bidi="ar-SA"/>
        </w:rPr>
        <w:t>. . .»</w:t>
      </w:r>
      <w:r>
        <w:rPr>
          <w:rStyle w:val="FootnoteAnchor"/>
          <w:rtl w:val="true"/>
        </w:rPr>
        <w:footnoteReference w:id="179"/>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طهران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يشتري من أراضي أهل السواد شيئاً </w:t>
      </w:r>
      <w:r>
        <w:rPr>
          <w:rFonts w:eastAsia="Amiri" w:cs="Amiri" w:ascii="Amiri" w:hAnsi="Amiri"/>
          <w:color w:val="111111"/>
          <w:sz w:val="28"/>
          <w:szCs w:val="28"/>
          <w:rtl w:val="true"/>
          <w:lang w:bidi="ar-SA"/>
        </w:rPr>
        <w:t>. . . »</w:t>
      </w:r>
      <w:r>
        <w:rPr>
          <w:rStyle w:val="FootnoteAnchor"/>
          <w:rtl w:val="true"/>
        </w:rPr>
        <w:footnoteReference w:id="180"/>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بدّ من البحث على جميع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التفصيل بين البائعين ، وكأنّ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 إلاّ ممّن كانت له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له قرار وعهد وضمان مع الوالي ؛ أي أخذ الأرض من الوالي بقرار الخراج ، وأمّا من كانت بيده بلا ضمان وقرار ، فإنّه غاصب لا يجوز الشراء منه ، سواء كان المراد شراء الأرض ، أو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الملكية بتبع الآثار ، لا تحصل إلاّ مع كون الآثار بإذن الوالي وقرار الخراج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الآثار في المغصوب لا يصحّ بيعها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التي لا عين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تصفية الأرض ، وإحداث الجداول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لصاحب الأرض ؛ أي المسلمين ، ولا احترام لعمل الغاصب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الأعيان ، فلا بدّ من قلعها وقطعها وإفراغ الأرض منها ، فلا يصحّ للغاصب تحويلها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أظهر من احتمال كون المراد استثناء أهل الذمّة</w:t>
      </w:r>
      <w:r>
        <w:rPr>
          <w:rStyle w:val="FootnoteAnchor"/>
          <w:rtl w:val="true"/>
        </w:rPr>
        <w:footnoteReference w:id="181"/>
      </w:r>
      <w:r>
        <w:rPr>
          <w:rFonts w:ascii="Amiri" w:hAnsi="Amiri" w:eastAsia="Amiri" w:cs="Amiri"/>
          <w:color w:val="111111"/>
          <w:sz w:val="28"/>
          <w:sz w:val="28"/>
          <w:szCs w:val="28"/>
          <w:rtl w:val="true"/>
          <w:lang w:bidi="ar-SA"/>
        </w:rPr>
        <w:t xml:space="preserve">؛ لأنّ الظاهر من الروايات ، أنّ أرض السواد كلّها من أرض الخراج ، وهي للمسلمين ، ولم يعهد كون قطعة أو قطعات منها لأهل الذمّة ، ومن أرض الجزية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احتمال كون التفصيل على هذه النسخة بين المشترين</w:t>
      </w:r>
      <w:r>
        <w:rPr>
          <w:rStyle w:val="FootnoteAnchor"/>
          <w:rtl w:val="true"/>
        </w:rPr>
        <w:footnoteReference w:id="182"/>
      </w:r>
      <w:r>
        <w:rPr>
          <w:rFonts w:ascii="Amiri" w:hAnsi="Amiri" w:eastAsia="Amiri" w:cs="Amiri"/>
          <w:color w:val="111111"/>
          <w:sz w:val="28"/>
          <w:sz w:val="28"/>
          <w:szCs w:val="28"/>
          <w:rtl w:val="true"/>
          <w:lang w:bidi="ar-SA"/>
        </w:rPr>
        <w:t xml:space="preserve">، ففي غاية البعد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الظاهر من سائر النسخ أنّ التفصيل بين المشترين ، ولا سيّما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كان له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يشتري أحد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 أ نّه لا يشتريها إلاّ من له عهد وقرار وضمان بالنسبة إلى الخراج</w:t>
      </w:r>
      <w:r>
        <w:rPr>
          <w:rStyle w:val="FootnoteAnchor"/>
          <w:rtl w:val="true"/>
        </w:rPr>
        <w:footnoteReference w:id="183"/>
      </w:r>
      <w:r>
        <w:rPr>
          <w:rFonts w:ascii="Amiri" w:hAnsi="Amiri" w:eastAsia="Amiri" w:cs="Amiri"/>
          <w:color w:val="111111"/>
          <w:sz w:val="28"/>
          <w:sz w:val="28"/>
          <w:szCs w:val="28"/>
          <w:rtl w:val="true"/>
          <w:lang w:bidi="ar-SA"/>
        </w:rPr>
        <w:t>، وكان المقصود هو الاشتراء بضمان ، فيكون مضمونها موافقاً لرواية أبي بردة وغيرها ، والكلام فيها هو الكلام فيما تقدّم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التعليل في أنّ الأرض فيء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غنيمتهم ، أو ملكهم ، أو محرّرة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الاشتراء المتعارف بين الدهاقين والفلاّحين ، لا اشتراء نفس الأرض ، ولو بضمّ قرائن خارجية ، كسائر الروايات ، ولا سيّما رواية أبي بردة</w:t>
      </w:r>
      <w:r>
        <w:rPr>
          <w:rStyle w:val="FootnoteAnchor"/>
          <w:rtl w:val="true"/>
        </w:rPr>
        <w:footnoteReference w:id="185"/>
      </w:r>
      <w:r>
        <w:rPr>
          <w:rFonts w:ascii="Amiri" w:hAnsi="Amiri" w:eastAsia="Amiri" w:cs="Amiri"/>
          <w:color w:val="111111"/>
          <w:sz w:val="28"/>
          <w:sz w:val="28"/>
          <w:szCs w:val="28"/>
          <w:rtl w:val="true"/>
          <w:lang w:bidi="ar-SA"/>
        </w:rPr>
        <w:t>ومرسلة حمّاد الطويلة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عهدة معتبرة يمكنه أداء خراج السلطان</w:t>
      </w:r>
      <w:r>
        <w:rPr>
          <w:rStyle w:val="FootnoteAnchor"/>
          <w:rtl w:val="true"/>
        </w:rPr>
        <w:footnoteReference w:id="187"/>
      </w:r>
      <w:r>
        <w:rPr>
          <w:rFonts w:ascii="Amiri" w:hAnsi="Amiri" w:eastAsia="Amiri" w:cs="Amiri"/>
          <w:color w:val="111111"/>
          <w:sz w:val="28"/>
          <w:sz w:val="28"/>
          <w:szCs w:val="28"/>
          <w:rtl w:val="true"/>
          <w:lang w:bidi="ar-SA"/>
        </w:rPr>
        <w:t xml:space="preserve">؛ فإنّ الخراج قد يكون نقداً على الذمم ، والأوّل أوضح وأوفق بمضمون الروايات ، ولمفهوم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التفصيل بين المشترين ، ويحتمل أن يكون بين البائعين ، والكلام في الفرضين هو ما تقدّم ، ولعلّ الأظهر الاحتمال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ذكرنا يظهر الكلام في رواية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بن شريح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شراء الأرض من أرض الخراج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فكرهه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أرض الخراج للمسلمين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يشتريها الرجل وعليه 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 إلاّ أن يستحيي من عيب ذلك</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التعليل بأ نّها للمسلمين ، لا يدع مجالاً للسؤال عن شراء الرقبة ، بل الظاهر أنّ السؤال عن الشراء المعهود بين الفلاّحين ، وهو شراء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أن يكون السؤال الأوّل أيضاً عن الشراء المعهود بينهم ، وتكون كراهته والتعليل لمكان الخراج ، فقال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يلتزم بالخراج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لا يبعد أن تكون الأسئلة والأجوبة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مربوطة بالخراج ، وببيع الآثار ، لا ببيع الأرض المعلوم أ نّها للمسلمين ، وتحت سلطة الوالي في تلك الأعصار ، كما يظهر من الروايات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هو عهدة الخراج ، والحمل على أرض أهل الذمّة</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التصريح بأ نّها أرض الخراج ، وأ نّها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مرضيّ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حمّاد الطويلة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التي اُخذت عنوة بخيل أو ركاب ، فهي موقوفة متروكة في يد من يعمرها ويحييها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ودلالتها على عدم تملّكها مستقلاًّ ولا بتبع الآثار ، لا تنكر ، بل هي كالصريحة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ويؤكّدها قوله عليه السلام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ويؤخذ بعد ما بقي من العشر ، فيقسم بين الوالي وشركائه الذين هم عمّال الأرض وأكرتها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لو كانوا مالكين لها ولو بتبع الآثار ، لكانوا ملاّك الأرض ، لا عمّالها فقط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البزنطي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الحسن الرضا عليه السلام الخراج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اُخذ بالسيف فذلك إلى الإمام عليه السلام ، يقبّله بالذي يرى</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ونحوها روايته الاُخرى</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ظاهرتان في أنّ المأخوذ عنوة أمره إلى الإمام عليه السلام ، فلو كانت الآثار مملوكة ، لكان أمرها بعد التملّك إلى المالك في التقبيل ، وإن كان على الأرض الخراج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وظاهرهما أنّ المأخوذ بالسيف ما دام ينطبق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بالسيف</w:t>
      </w:r>
      <w:r>
        <w:rPr>
          <w:rFonts w:eastAsia="Amiri" w:cs="Amiri" w:ascii="Amiri" w:hAnsi="Amiri"/>
          <w:color w:val="111111"/>
          <w:sz w:val="28"/>
          <w:szCs w:val="28"/>
          <w:rtl w:val="true"/>
          <w:lang w:bidi="ar-SA"/>
        </w:rPr>
        <w:t xml:space="preserve">» </w:t>
      </w:r>
      <w:bookmarkStart w:id="106" w:name="pg15209_203726"/>
    </w:p>
    <w:p>
      <w:pPr>
        <w:pStyle w:val="BookText"/>
        <w:rPr/>
      </w:pPr>
      <w:bookmarkEnd w:id="106"/>
      <w:r>
        <w:rPr>
          <w:rFonts w:ascii="Amiri" w:hAnsi="Amiri" w:eastAsia="Amiri" w:cs="Amiri"/>
          <w:color w:val="111111"/>
          <w:sz w:val="28"/>
          <w:sz w:val="28"/>
          <w:szCs w:val="28"/>
          <w:rtl w:val="true"/>
          <w:lang w:bidi="ar-SA"/>
        </w:rPr>
        <w:t xml:space="preserve">أمره في كلّ عصر إلى الإمام عليه السلام ؛ إذ من المعلوم أنّ ذلك الوصف لا يزال ثابتاً للأرض الكذائية ، فأمرها مطلقاً إلى الإمام عليه السلام ؛ لعدم المالك لها </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974367_2142443653"/>
      <w:bookmarkStart w:id="108" w:name="_Toc39"/>
      <w:bookmarkEnd w:id="107"/>
      <w:r>
        <w:rPr>
          <w:rtl w:val="true"/>
        </w:rPr>
        <w:t>الروايات الظاهرة في شراء أرض الخراج</w:t>
      </w:r>
      <w:bookmarkEnd w:id="108"/>
    </w:p>
    <w:p>
      <w:pPr>
        <w:pStyle w:val="BookText"/>
        <w:rPr/>
      </w:pPr>
      <w:r>
        <w:rPr>
          <w:rFonts w:ascii="Amiri" w:hAnsi="Amiri" w:eastAsia="Amiri" w:cs="Amiri"/>
          <w:color w:val="111111"/>
          <w:sz w:val="28"/>
          <w:sz w:val="28"/>
          <w:szCs w:val="28"/>
          <w:rtl w:val="true"/>
          <w:lang w:bidi="ar-SA"/>
        </w:rPr>
        <w:t xml:space="preserve">ثمّ إنّ في المقام روايات لها ظهور بدوي في جواز الاشتراء ، كرواية إسماعيل بن الفضل الهاشمي ، عن أبي عبداللّه عليه السلام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اشترى أرضاً من أرض الخراج ، فبنى بها أو لم يبنِ ، غير أنّ اُناساً من أهل الذمّة نزلوها ، له أن يأخذ منهم اُجرة البيوت إذا أدّوا جزية رؤوسهم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يشارطهم ، فما أخذ بعد الشرط فهو حلال</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السؤال عن أنّ أهل الذمّة الذين عملوا على شرطها ، وأدّوا جزيتهم ، هل حكمهم حكم المسلمين في جواز نزولهم على أهل الخراج ثلاثة أيّام ، أو لا ، فيجوز أخذ اُجرة البيوت منهم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الأخذ ، وعدم التسوية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الروايات الدالّة على جواز النزول على أهل الخراج ، مصبّها هو الأراضي الخراجية التي هي للمسلمين ، وأنّ الأرض الخراجية لمّا كانت لهم ، جاز النزول على أهلها ثلاثة أيّام ، فلا بدّ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الاشتراء المعهود ، كما تقدّم مفصّلاً</w:t>
      </w:r>
      <w:r>
        <w:rPr>
          <w:rStyle w:val="FootnoteAnchor"/>
          <w:rtl w:val="true"/>
        </w:rPr>
        <w:footnoteReference w:id="195"/>
      </w:r>
      <w:r>
        <w:rPr>
          <w:rFonts w:ascii="Amiri" w:hAnsi="Amiri" w:eastAsia="Amiri" w:cs="Amiri"/>
          <w:color w:val="111111"/>
          <w:sz w:val="28"/>
          <w:sz w:val="28"/>
          <w:szCs w:val="28"/>
          <w:rtl w:val="true"/>
          <w:lang w:bidi="ar-SA"/>
        </w:rPr>
        <w:t xml:space="preserve">، لا اشتراء رقبة الأرض ؛ فإنّه مع اشترائها </w:t>
      </w:r>
    </w:p>
    <w:p>
      <w:pPr>
        <w:pStyle w:val="BookText"/>
        <w:rPr/>
      </w:pPr>
      <w:r>
        <w:rPr>
          <w:rFonts w:ascii="Amiri" w:hAnsi="Amiri" w:eastAsia="Amiri" w:cs="Amiri"/>
          <w:color w:val="111111"/>
          <w:sz w:val="28"/>
          <w:sz w:val="28"/>
          <w:szCs w:val="28"/>
          <w:rtl w:val="true"/>
          <w:lang w:bidi="ar-SA"/>
        </w:rPr>
        <w:t xml:space="preserve">لا مجال للتفصيل بين المسلمين وغيرهم ، مع أنّ الظاهر التسالم بين السائل والمجيب على جواز نزول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جواز النزول على أهل الخراج ، لا يتوقّف على كون الأرض للمسلمين ، بل يكفي كونها خراجية ولو كانت ملكاً للأشخاص ، فظاهرها البدوي جواز شرائها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وكموثّقة حريز ،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إلى أمير المؤمنين عليه السلام رجل مسلم ، اشترى أرضاً من أراضي الخراج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لنا ، وعليه ما علينا ، مسلماً كان أو كافراً ، له ما لأهل اللّه ، وعليه ما عليهم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أرض الجزية ؛ بمناسبة رفع المسلم المشتري إليه عليه السلام ، وكان رفعهم إيّاه لأجل أنّ الجزية لا تؤخذ من المسلم ، وحكمه عليه السلام بالتسوية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للزوم أداء جزية الأرض ؛ لأ نّها حقّ على الأرض ، لا على الرؤوس ، وإمّا لسقوطها إذا اشترى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أظهر وأنسب ؛ لحكمه بالتسوية بين المسلم والكافر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وكصحيحة محمّد بن مسلم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أرض أهل الذمّة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 فتكون إذا كان ذلك بمنزلتهم، تؤدّي عنها كما يؤدّون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09" w:name="pg15209_203728"/>
    </w:p>
    <w:p>
      <w:pPr>
        <w:pStyle w:val="BookText"/>
        <w:rPr/>
      </w:pPr>
      <w:bookmarkEnd w:id="109"/>
      <w:r>
        <w:rPr>
          <w:rFonts w:ascii="Amiri" w:hAnsi="Amiri" w:eastAsia="Amiri" w:cs="Amiri"/>
          <w:color w:val="111111"/>
          <w:sz w:val="28"/>
          <w:sz w:val="28"/>
          <w:szCs w:val="28"/>
          <w:rtl w:val="true"/>
          <w:lang w:bidi="ar-SA"/>
        </w:rPr>
        <w:t>وقريب منها صحيحته الاُخرى</w:t>
      </w:r>
      <w:r>
        <w:rPr>
          <w:rStyle w:val="FootnoteAnchor"/>
          <w:rtl w:val="true"/>
        </w:rPr>
        <w:footnoteReference w:id="198"/>
      </w:r>
      <w:r>
        <w:rPr>
          <w:rFonts w:ascii="Amiri" w:hAnsi="Amiri" w:eastAsia="Amiri" w:cs="Amiri"/>
          <w:color w:val="111111"/>
          <w:sz w:val="28"/>
          <w:sz w:val="28"/>
          <w:szCs w:val="28"/>
          <w:rtl w:val="true"/>
          <w:lang w:bidi="ar-SA"/>
        </w:rPr>
        <w:t xml:space="preserve">والظاهر أ نّهما راجعتان إلى أرض الجزية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فالمتحصّل من جميع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بعضها إلى بعض ، وقرينية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بيع الرقبات ، وعدم تملّكها مطلقاً ، مستقلاًّ كان ، أو تبعاً للآثار ، ويكون الاشتراء في تلك الأخيرة ، كالاشتراء في رواية أبي بردة</w:t>
      </w:r>
      <w:r>
        <w:rPr>
          <w:rStyle w:val="FootnoteAnchor"/>
          <w:rtl w:val="true"/>
        </w:rPr>
        <w:footnoteReference w:id="199"/>
      </w:r>
      <w:r>
        <w:rPr>
          <w:rFonts w:ascii="Amiri" w:hAnsi="Amiri" w:eastAsia="Amiri" w:cs="Amiri"/>
          <w:color w:val="111111"/>
          <w:sz w:val="28"/>
          <w:sz w:val="28"/>
          <w:szCs w:val="28"/>
          <w:rtl w:val="true"/>
          <w:lang w:bidi="ar-SA"/>
        </w:rPr>
        <w:t>وصحيحة الحلبي</w:t>
      </w:r>
      <w:r>
        <w:rPr>
          <w:rStyle w:val="FootnoteAnchor"/>
          <w:rtl w:val="true"/>
        </w:rPr>
        <w:footnoteReference w:id="200"/>
      </w:r>
      <w:r>
        <w:rPr>
          <w:rFonts w:ascii="IRNazanin" w:hAnsi="IRNazanin" w:eastAsia="IRNazanin"/>
          <w:color w:val="111111"/>
          <w:sz w:val="28"/>
          <w:sz w:val="28"/>
          <w:szCs w:val="28"/>
          <w:rtl w:val="true"/>
          <w:lang w:bidi="fa-IR"/>
        </w:rPr>
        <w:t xml:space="preserve">ونحوها </w:t>
      </w:r>
      <w:r>
        <w:rPr>
          <w:rStyle w:val="FootnoteAnchor"/>
          <w:rtl w:val="true"/>
        </w:rPr>
        <w:footnoteReference w:id="201"/>
      </w:r>
      <w:r>
        <w:rPr>
          <w:rFonts w:ascii="Amiri" w:hAnsi="Amiri" w:eastAsia="Amiri" w:cs="Amiri"/>
          <w:color w:val="111111"/>
          <w:sz w:val="28"/>
          <w:sz w:val="28"/>
          <w:szCs w:val="28"/>
          <w:rtl w:val="true"/>
          <w:lang w:bidi="ar-SA"/>
        </w:rPr>
        <w:t xml:space="preserve">؛ إذ هي محمولة على أرض الجزية التي هي أرض الخراج أيضاً </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974369_2142443653"/>
      <w:bookmarkStart w:id="111" w:name="_Toc40"/>
      <w:bookmarkEnd w:id="110"/>
      <w:r>
        <w:rPr>
          <w:rtl w:val="true"/>
        </w:rPr>
        <w:t>اعتبار إذن الإمام عليه السلام في صيرورة الأرض المفتوحة عنوة خراجية</w:t>
      </w:r>
      <w:bookmarkEnd w:id="111"/>
    </w:p>
    <w:p>
      <w:pPr>
        <w:pStyle w:val="BookText"/>
        <w:rPr/>
      </w:pPr>
      <w:r>
        <w:rPr>
          <w:rFonts w:ascii="Amiri" w:hAnsi="Amiri" w:eastAsia="Amiri" w:cs="Amiri"/>
          <w:color w:val="111111"/>
          <w:sz w:val="28"/>
          <w:sz w:val="28"/>
          <w:szCs w:val="28"/>
          <w:rtl w:val="true"/>
          <w:lang w:bidi="ar-SA"/>
        </w:rPr>
        <w:t xml:space="preserve">ثمّ إنّ المعروف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يشترط في صيرورة الأرض المفتوحة عنوة خراجية ، وفي كونها أو منافعها للمسلمين ، أن يكون الغزو بأمر الإمام عليه السلام ، فلو كان بغير أمره صارت ملكاً له عليه السلام ، يضعها حيث يشاء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112" w:name="pg15209_203729"/>
    </w:p>
    <w:p>
      <w:pPr>
        <w:pStyle w:val="BookText"/>
        <w:rPr/>
      </w:pPr>
      <w:bookmarkEnd w:id="112"/>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كاد أن يكون إجماعياً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عمل الأصحاب</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الخلاف عنه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نّه المعروف من المذهب</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قول الشافعي، وهو المساواة مع المأذون فيها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نّه جيّد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التوقّف</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بتوسعة نطاق الكلام بالنظر إلى آية الخمس ، والروايات الواردة في ذلك المجال </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2974371_2142443653"/>
      <w:bookmarkStart w:id="114" w:name="_Toc41"/>
      <w:bookmarkEnd w:id="113"/>
      <w:r>
        <w:rPr>
          <w:rtl w:val="true"/>
        </w:rPr>
        <w:t>البحث عن مفاد آية الخمس</w:t>
      </w:r>
      <w:bookmarkEnd w:id="11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 نَّمَا غَنِمْتُمْ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شَىْ‌ءٍ فَأَنَّ للّه‌ِِ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r>
        <w:rPr>
          <w:rStyle w:val="FootnoteAnchor"/>
          <w:rtl w:val="true"/>
        </w:rPr>
        <w:footnoteReference w:id="211"/>
      </w:r>
      <w:r>
        <w:rPr>
          <w:rFonts w:ascii="Amiri" w:hAnsi="Amiri" w:eastAsia="Amiri" w:cs="Amiri"/>
          <w:color w:val="111111"/>
          <w:sz w:val="28"/>
          <w:sz w:val="28"/>
          <w:szCs w:val="28"/>
          <w:rtl w:val="true"/>
          <w:lang w:bidi="ar-SA"/>
        </w:rPr>
        <w:t xml:space="preserve">إلى آخره أنّ ما للّه وللرسول وباقي الأصناف في الغنائم </w:t>
      </w:r>
    </w:p>
    <w:p>
      <w:pPr>
        <w:pStyle w:val="BookText"/>
        <w:rPr/>
      </w:pPr>
      <w:r>
        <w:rPr>
          <w:rFonts w:ascii="Amiri" w:hAnsi="Amiri" w:eastAsia="Amiri" w:cs="Amiri"/>
          <w:color w:val="111111"/>
          <w:sz w:val="28"/>
          <w:sz w:val="28"/>
          <w:szCs w:val="28"/>
          <w:rtl w:val="true"/>
          <w:lang w:bidi="ar-SA"/>
        </w:rPr>
        <w:t xml:space="preserve">كلّها ، هو الخمس فقط ، وأربعة الأخماس منها للغانمين ، من غير فرق بين أقسام الغنائم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غنائم الحرب ، كما عليه بعض</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تكون مختصّة بغنائمها ، كما هو المعروف بين المفسّرين</w:t>
      </w:r>
      <w:r>
        <w:rPr>
          <w:rStyle w:val="FootnoteAnchor"/>
          <w:rtl w:val="true"/>
        </w:rPr>
        <w:footnoteReference w:id="213"/>
      </w:r>
      <w:r>
        <w:rPr>
          <w:rFonts w:ascii="Amiri" w:hAnsi="Amiri" w:eastAsia="Amiri" w:cs="Amiri"/>
          <w:color w:val="111111"/>
          <w:sz w:val="28"/>
          <w:sz w:val="28"/>
          <w:szCs w:val="28"/>
          <w:rtl w:val="true"/>
          <w:lang w:bidi="ar-SA"/>
        </w:rPr>
        <w:t>والأظهر من سياق الآية الكريمة ، ولسان الأخبار في ذلك مختلف</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الإطلاق عدم الفرق بين الأراضي المغنومة ، فعلى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إذا فتح قطر أو ناحية يعدّ جميعها غنيمة ، سواء كانت الأرض محياة ، أو مواتاً حال الفتح</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الموات منها ليست بلا شيء ، بل تعدّ من أملاك الحكومة ، ولها فوائد للدولة ، ولا يلزم في كون الشيء غنيمة أن يكون له نفع خاصّ ، كالزرع ، والغلّة ، بل الفوائد الاُخر للدول لا تقصر عن الغلّة والزرع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الموات أيضاً في الغنيمة ، فيجب فيها بحسب ظاهر الآية ،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مقتضى إطلاقها أنّ الحكم كذلك في الأرض المفتوحة ، سواء كان الفتح بإذن الإمام أم لا ، وفي أرض الصلح ، وفيما لا يوجف بخيل ولا ركاب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الأرض الموات والأنفال للإمام عليه السلام ، والمفتوحة عنوة </w:t>
      </w:r>
    </w:p>
    <w:p>
      <w:pPr>
        <w:pStyle w:val="BookText"/>
        <w:rPr/>
      </w:pPr>
      <w:r>
        <w:rPr>
          <w:rFonts w:ascii="Amiri" w:hAnsi="Amiri" w:eastAsia="Amiri" w:cs="Amiri"/>
          <w:color w:val="111111"/>
          <w:sz w:val="28"/>
          <w:sz w:val="28"/>
          <w:szCs w:val="28"/>
          <w:rtl w:val="true"/>
          <w:lang w:bidi="ar-SA"/>
        </w:rPr>
        <w:t xml:space="preserve">للمسلمين ، وأرض الصلح فيها الجزية ، أو يتعامل معها حسب ما يتصالح الوالي مع الكفّار بما هو صلاح المسلمين ، لم تبقَ الأرض المغنومة تحت إطلاق الآية ؛ إذ هي وإن كان في بعضها الخمس ، لكن لا يقسم الباقي بين الغانمين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التقييد لو كان أكثرياً موجباً للاستهجان ، لا بدّ في رفع الغائلة إمّا من إنكار إطلاق الآية الكريمة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بصدد بيان تقسيم الغنيمة ، لا جعل الخمس فيها ، فليس لها إطلاق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ضرورة أ نّها بصدد بيان وجوب الخمس ، ولا ينافي ذلك ذكر المصرف فيها ، ولهذا لا يزال الفقهاء يتمسّكون بها لوجوبه</w:t>
      </w:r>
      <w:r>
        <w:rPr>
          <w:rStyle w:val="FootnoteAnchor"/>
          <w:rtl w:val="true"/>
        </w:rPr>
        <w:footnoteReference w:id="216"/>
      </w:r>
      <w:r>
        <w:rPr>
          <w:rFonts w:ascii="Amiri" w:hAnsi="Amiri" w:eastAsia="Amiri" w:cs="Amiri"/>
          <w:color w:val="111111"/>
          <w:sz w:val="28"/>
          <w:sz w:val="28"/>
          <w:szCs w:val="28"/>
          <w:rtl w:val="true"/>
          <w:lang w:bidi="ar-SA"/>
        </w:rPr>
        <w:t>، بل في بعض الروايات</w:t>
      </w:r>
      <w:r>
        <w:rPr>
          <w:rStyle w:val="FootnoteAnchor"/>
          <w:rtl w:val="true"/>
        </w:rPr>
        <w:footnoteReference w:id="217"/>
      </w:r>
      <w:r>
        <w:rPr>
          <w:rFonts w:ascii="Amiri" w:hAnsi="Amiri" w:eastAsia="Amiri" w:cs="Amiri"/>
          <w:color w:val="111111"/>
          <w:sz w:val="28"/>
          <w:sz w:val="28"/>
          <w:szCs w:val="28"/>
          <w:rtl w:val="true"/>
          <w:lang w:bidi="ar-SA"/>
        </w:rPr>
        <w:t xml:space="preserve">أيضاً التمسّك بها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حمل الآية على مطلق الغنائم ، كما في صحيحة ابن مهزيار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العمل بمقتضى معارضة الأخبار المقيّدة</w:t>
      </w:r>
      <w:r>
        <w:rPr>
          <w:rStyle w:val="FootnoteAnchor"/>
          <w:rtl w:val="true"/>
        </w:rPr>
        <w:footnoteReference w:id="219"/>
      </w:r>
      <w:r>
        <w:rPr>
          <w:rFonts w:ascii="IRNazanin" w:hAnsi="IRNazanin" w:eastAsia="IRNazanin"/>
          <w:color w:val="111111"/>
          <w:sz w:val="28"/>
          <w:sz w:val="28"/>
          <w:szCs w:val="28"/>
          <w:rtl w:val="true"/>
          <w:lang w:bidi="fa-IR"/>
        </w:rPr>
        <w:t xml:space="preserve">تعارضاً بالعرض ؛ لأجل امتناع وقوع الاستهجان </w:t>
      </w:r>
      <w:r>
        <w:rPr>
          <w:rFonts w:eastAsia="IRNazanin" w:cs="IRNazanin"/>
          <w:color w:val="111111"/>
          <w:sz w:val="28"/>
          <w:szCs w:val="28"/>
          <w:rtl w:val="true"/>
          <w:lang w:bidi="fa-IR"/>
        </w:rPr>
        <w:t xml:space="preserve">. </w:t>
      </w:r>
      <w:bookmarkStart w:id="115" w:name="pg15209_203732"/>
    </w:p>
    <w:p>
      <w:pPr>
        <w:pStyle w:val="BookText"/>
        <w:rPr/>
      </w:pPr>
      <w:bookmarkEnd w:id="115"/>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الاستهجان بالتقييدات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الآية ، وشمولها لجميع الفوائد والغنائم ، سواء كانت غنائم الحرب أم لا</w:t>
      </w:r>
      <w:r>
        <w:rPr>
          <w:rStyle w:val="FootnoteAnchor"/>
          <w:rtl w:val="true"/>
        </w:rPr>
        <w:footnoteReference w:id="220"/>
      </w:r>
      <w:r>
        <w:rPr>
          <w:rFonts w:ascii="IRNazanin" w:hAnsi="IRNazanin" w:eastAsia="IRNazanin"/>
          <w:color w:val="111111"/>
          <w:sz w:val="28"/>
          <w:sz w:val="28"/>
          <w:szCs w:val="28"/>
          <w:rtl w:val="true"/>
          <w:lang w:bidi="fa-IR"/>
        </w:rPr>
        <w:t xml:space="preserve">، فظاهر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على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بالاختصاص</w:t>
      </w:r>
      <w:r>
        <w:rPr>
          <w:rStyle w:val="FootnoteAnchor"/>
          <w:rtl w:val="true"/>
        </w:rPr>
        <w:footnoteReference w:id="221"/>
      </w:r>
      <w:r>
        <w:rPr>
          <w:rFonts w:ascii="Amiri" w:hAnsi="Amiri" w:eastAsia="Amiri" w:cs="Amiri"/>
          <w:color w:val="111111"/>
          <w:sz w:val="28"/>
          <w:sz w:val="28"/>
          <w:szCs w:val="28"/>
          <w:rtl w:val="true"/>
          <w:lang w:bidi="ar-SA"/>
        </w:rPr>
        <w:t xml:space="preserve">؛ فلأنّ ما يغتنم من الكفّار بعد فتح البلاد من صنوف أموالهم ، أكثر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 والميزان هو تعدّد الداخل والخارج ، فالخارج هو الأرض ، والداخل غيرها ، ولا استهجان فيه ، ولهذا لا يرى احتمال ذلك الذي ذكرناه في كلمات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المقصود في المقام ، هو بيان حال الشرط الذي عليه الشهرة ، وهو اعتبار إذن الإمام عليه السلام في صيرورة الأرض المفتوحة عنوة للمسلمين ، وإلاّ فهي للإمام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الآية الكريمة أنّ فيها الخمس ، وأربعة أخماسها للغانمين</w:t>
      </w:r>
      <w:r>
        <w:rPr>
          <w:rStyle w:val="FootnoteAnchor"/>
          <w:rtl w:val="true"/>
        </w:rPr>
        <w:footnoteReference w:id="222"/>
      </w:r>
      <w:r>
        <w:rPr>
          <w:rFonts w:ascii="Amiri" w:hAnsi="Amiri" w:eastAsia="Amiri" w:cs="Amiri"/>
          <w:color w:val="111111"/>
          <w:sz w:val="28"/>
          <w:sz w:val="28"/>
          <w:szCs w:val="28"/>
          <w:rtl w:val="true"/>
          <w:lang w:bidi="ar-SA"/>
        </w:rPr>
        <w:t xml:space="preserve">، كما هو المتفاهم من الآية </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2974373_2142443653"/>
      <w:bookmarkStart w:id="117" w:name="_Toc42"/>
      <w:bookmarkEnd w:id="116"/>
      <w:r>
        <w:rPr>
          <w:rtl w:val="true"/>
        </w:rPr>
        <w:t>الأخبار الدالّة على وجوب الخمس في الأراضي المغنومة</w:t>
      </w:r>
      <w:bookmarkEnd w:id="11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جملة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أبي بصير ،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قوتل عليه على شهادة أن لا إله إلاّ اللّه ، وأنّ محمّداً رسول اللّه ، </w:t>
      </w:r>
    </w:p>
    <w:p>
      <w:pPr>
        <w:pStyle w:val="BookText"/>
        <w:rPr/>
      </w:pPr>
      <w:r>
        <w:rPr>
          <w:rFonts w:ascii="Amiri" w:hAnsi="Amiri" w:eastAsia="Amiri" w:cs="Amiri"/>
          <w:color w:val="111111"/>
          <w:sz w:val="28"/>
          <w:sz w:val="28"/>
          <w:szCs w:val="28"/>
          <w:rtl w:val="true"/>
          <w:lang w:bidi="ar-SA"/>
        </w:rPr>
        <w:t>فإنّ لنا خمسه ، ولا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سنان ، عن أبي عبداللّه عليه السلام في الغنيمة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 الخمس ، ويقسم ما بقي على من قاتل عليه وولي ذلك</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وجه الإمارة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 نَّمَا غَنِمْتُمْ مِنْ شَىْ‌ءٍ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للّه خمس الغنائم ، والخمس يخرج من 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الغنائم التي يصيبها المسلمون من المشركين </w:t>
      </w:r>
      <w:r>
        <w:rPr>
          <w:rFonts w:eastAsia="Amiri" w:cs="Amiri" w:ascii="Amiri" w:hAnsi="Amiri"/>
          <w:color w:val="111111"/>
          <w:sz w:val="28"/>
          <w:szCs w:val="28"/>
          <w:rtl w:val="true"/>
          <w:lang w:bidi="ar-SA"/>
        </w:rPr>
        <w:t xml:space="preserve">. . .» </w:t>
      </w:r>
      <w:r>
        <w:rPr>
          <w:rStyle w:val="FootnoteAnchor"/>
          <w:rtl w:val="true"/>
        </w:rPr>
        <w:footnoteReference w:id="225"/>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العموم والإطلاق فيها وفي جملة اُخرى</w:t>
      </w:r>
      <w:r>
        <w:rPr>
          <w:rStyle w:val="FootnoteAnchor"/>
          <w:rtl w:val="true"/>
        </w:rPr>
        <w:footnoteReference w:id="226"/>
      </w:r>
      <w:r>
        <w:rPr>
          <w:rFonts w:ascii="Amiri" w:hAnsi="Amiri" w:eastAsia="Amiri" w:cs="Amiri"/>
          <w:color w:val="111111"/>
          <w:sz w:val="28"/>
          <w:sz w:val="28"/>
          <w:szCs w:val="28"/>
          <w:rtl w:val="true"/>
          <w:lang w:bidi="ar-SA"/>
        </w:rPr>
        <w:t xml:space="preserve">أنّ الخمس في جميع الغنائم ، والباقي يقسم بين الغانمين ، على ما صرّح به في بعضها </w:t>
      </w:r>
      <w:r>
        <w:rPr>
          <w:rStyle w:val="FootnoteAnchor"/>
          <w:rtl w:val="true"/>
        </w:rPr>
        <w:footnoteReference w:id="227"/>
      </w:r>
      <w:r>
        <w:rPr>
          <w:rFonts w:ascii="IRNazanin" w:hAnsi="IRNazanin" w:eastAsia="IRNazanin"/>
          <w:color w:val="111111"/>
          <w:sz w:val="28"/>
          <w:sz w:val="28"/>
          <w:szCs w:val="28"/>
          <w:rtl w:val="true"/>
          <w:lang w:bidi="fa-IR"/>
        </w:rPr>
        <w:t xml:space="preserve">والمتفاهم من بعض </w:t>
      </w:r>
      <w:r>
        <w:rPr>
          <w:rFonts w:eastAsia="IRNazanin" w:cs="IRNazanin"/>
          <w:color w:val="111111"/>
          <w:sz w:val="28"/>
          <w:szCs w:val="28"/>
          <w:rtl w:val="true"/>
          <w:lang w:bidi="fa-IR"/>
        </w:rPr>
        <w:t xml:space="preserve">. </w:t>
      </w:r>
      <w:bookmarkStart w:id="118" w:name="pg15209_203734"/>
    </w:p>
    <w:p>
      <w:pPr>
        <w:pStyle w:val="Heading5"/>
        <w:numPr>
          <w:ilvl w:val="4"/>
          <w:numId w:val="1"/>
        </w:numPr>
        <w:rPr/>
      </w:pPr>
      <w:bookmarkStart w:id="119" w:name="__RefHeading___Toc2974375_2142443653"/>
      <w:bookmarkStart w:id="120" w:name="_Toc43"/>
      <w:bookmarkEnd w:id="118"/>
      <w:bookmarkEnd w:id="119"/>
      <w:r>
        <w:rPr>
          <w:rtl w:val="true"/>
        </w:rPr>
        <w:t>الأخبار الدالّة على عدم وجوب الخمس في الأراضي المغنومة</w:t>
      </w:r>
      <w:bookmarkEnd w:id="120"/>
    </w:p>
    <w:p>
      <w:pPr>
        <w:pStyle w:val="BookText"/>
        <w:rPr/>
      </w:pPr>
      <w:r>
        <w:rPr>
          <w:rFonts w:ascii="Amiri" w:hAnsi="Amiri" w:eastAsia="Amiri" w:cs="Amiri"/>
          <w:color w:val="111111"/>
          <w:sz w:val="28"/>
          <w:sz w:val="28"/>
          <w:szCs w:val="28"/>
          <w:rtl w:val="true"/>
          <w:lang w:bidi="ar-SA"/>
        </w:rPr>
        <w:t xml:space="preserve">وفي قبالها روايات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الأرض المفتوحة عنوة للمسلمين ، كمرسلة حمّاد وصحيحة البزنطي المتقدّمتين</w:t>
      </w:r>
      <w:r>
        <w:rPr>
          <w:rStyle w:val="FootnoteAnchor"/>
          <w:rtl w:val="true"/>
        </w:rPr>
        <w:footnoteReference w:id="228"/>
      </w:r>
      <w:r>
        <w:rPr>
          <w:rFonts w:ascii="Amiri" w:hAnsi="Amiri" w:eastAsia="Amiri" w:cs="Amiri"/>
          <w:color w:val="111111"/>
          <w:sz w:val="28"/>
          <w:sz w:val="28"/>
          <w:szCs w:val="28"/>
          <w:rtl w:val="true"/>
          <w:lang w:bidi="ar-SA"/>
        </w:rPr>
        <w:t>، فإنّ الظاهر منهما عدم التخميس ، وأنّ الوالي والإمام عليه السلام يقبّلها ، ويصرف منافعها في مصالح المسلمين العامّة ، كما هو صريح المرسلة ، والمتفاهم من الصحيحة ، ورواية البزنطي الاُخرى</w:t>
      </w:r>
      <w:r>
        <w:rPr>
          <w:rStyle w:val="FootnoteAnchor"/>
          <w:rtl w:val="true"/>
        </w:rPr>
        <w:footnoteReference w:id="229"/>
      </w:r>
      <w:r>
        <w:rPr>
          <w:rFonts w:ascii="Amiri" w:hAnsi="Amiri" w:eastAsia="Amiri" w:cs="Amiri"/>
          <w:color w:val="111111"/>
          <w:sz w:val="28"/>
          <w:sz w:val="28"/>
          <w:szCs w:val="28"/>
          <w:rtl w:val="true"/>
          <w:lang w:bidi="ar-SA"/>
        </w:rPr>
        <w:t xml:space="preserve">وهي أخصّ مطلقاً من الآية والروايات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الورّاق ،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 فغنموا ، كانت الغنيمة كلّها للإمام ، وإذا غزوا بأمر الإمام فغنموا ، كان للإمام الخمس</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وهي أيضاً أخصّ مطلقاً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معاوية بن وهب ، تدلّ على ما تدلّ عليه مرسلة الورّاق</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يبعثها الإمام فيصيبون غنائم، كيف يقسم؟ </w:t>
      </w:r>
      <w:bookmarkStart w:id="121" w:name="pg15209_203735"/>
    </w:p>
    <w:p>
      <w:pPr>
        <w:pStyle w:val="BookText"/>
        <w:rPr/>
      </w:pPr>
      <w:bookmarkEnd w:id="12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قاتلوا عليها مع أمير أمّره الإمام عليهم ، أخرج منها الخمس للّه وللرسول ، وقسم بينهم أربعة أخماس ، وإن لم يكونوا قاتلوا عليها المشركين ، كان كلّ ما غنموا للإمام ، يجعلها حيث أحبّ</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مبنيّ على حجّية مفهوم القيد ، وفيها منع ، ولا سيّما في المقام ؛ ممّا فرض في السؤال كون السريّة يبعثها الإمام ، ولا محالة كانت بإمارة أمير ، ويمكن أن يكون ذكر القيد تبعاً للسؤال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مفهوم الشرط ، فهو الذي ذكره الإمام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يكونوا قاتلوا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صدرها وذيلها ، أنّ التفصيل بين الاغتنام بالمقاتلة وبخيل وركاب ، وبين الاغتنام بغيرها ، وإلاّ كان عليه بيان الفرض الآخر ، وهو المقاتلة بلا أمير أمّره ، والسكوت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التعرّض لمفهوم الشرط ، ومع عدم كون مفهوم القيد أمراً ظاهراً يصحّ السكوت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ثنائية الفرض ، بل لعلّه دليل على عدم دخالة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الصحيحة مخالفة للمرسلة أو مؤيّدة لمخالفها ، أولى </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2974377_2142443653"/>
      <w:bookmarkStart w:id="123" w:name="_Toc44"/>
      <w:bookmarkEnd w:id="122"/>
      <w:r>
        <w:rPr>
          <w:rtl w:val="true"/>
        </w:rPr>
        <w:t>كيفية الجمع بين الأخبار السابقة</w:t>
      </w:r>
      <w:bookmarkEnd w:id="12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النسبة بين صحيحة معاوية ومرسلة الورّاق ، وبين صحيحة البزنطي وروايته ومرسلة حمّاد ، العموم من وجه ، فيقع التعارض بينهما في الأرض </w:t>
      </w:r>
    </w:p>
    <w:p>
      <w:pPr>
        <w:pStyle w:val="BookText"/>
        <w:rPr/>
      </w:pPr>
      <w:r>
        <w:rPr>
          <w:rFonts w:ascii="Amiri" w:hAnsi="Amiri" w:eastAsia="Amiri" w:cs="Amiri"/>
          <w:color w:val="111111"/>
          <w:sz w:val="28"/>
          <w:sz w:val="28"/>
          <w:szCs w:val="28"/>
          <w:rtl w:val="true"/>
          <w:lang w:bidi="ar-SA"/>
        </w:rPr>
        <w:t xml:space="preserve">المفتوحة عنوة إذا كان الفتح بأمر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الأوّلتين وجوب الخمس فيها ، وأنّ أربعة أخماسها للغانمين ، كما هو صريح الصحيحة ، والمتفاهم من المرسلة ، ومقتضى ما يقابلهما كون جميعها للمسلمين ولمصالحهم ، كما هو صريح مرسلة حمّاد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علاج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العامّين من وجه عن أدلّة العلاج</w:t>
      </w:r>
      <w:r>
        <w:rPr>
          <w:rStyle w:val="FootnoteAnchor"/>
          <w:rtl w:val="true"/>
        </w:rPr>
        <w:footnoteReference w:id="233"/>
      </w:r>
      <w:r>
        <w:rPr>
          <w:rFonts w:ascii="Amiri" w:hAnsi="Amiri" w:eastAsia="Amiri" w:cs="Amiri"/>
          <w:color w:val="111111"/>
          <w:sz w:val="28"/>
          <w:sz w:val="28"/>
          <w:szCs w:val="28"/>
          <w:rtl w:val="true"/>
          <w:lang w:bidi="ar-SA"/>
        </w:rPr>
        <w:t xml:space="preserve">، كان مقتضى القاعدة سقوطهما ، والرجوع إلى الإطلاق أو العامّ الفوقاني ، وهو إطلاق الآية الكريمة ، وعموم أو إطلاق الروايات المتقدّمة ، كرواية أبي بصير وغيرها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بدخولهما فيها </w:t>
      </w:r>
      <w:r>
        <w:rPr>
          <w:rStyle w:val="FootnoteAnchor"/>
          <w:rtl w:val="true"/>
        </w:rPr>
        <w:footnoteReference w:id="235"/>
      </w:r>
      <w:r>
        <w:rPr>
          <w:rFonts w:ascii="Amiri" w:hAnsi="Amiri" w:eastAsia="Amiri" w:cs="Amiri"/>
          <w:color w:val="111111"/>
          <w:sz w:val="28"/>
          <w:sz w:val="28"/>
          <w:szCs w:val="28"/>
          <w:rtl w:val="true"/>
          <w:lang w:bidi="ar-SA"/>
        </w:rPr>
        <w:t>، فما دلّت على وجوب الخمس فيها ، وأنّ أربعة أخماسها للغانمين ، موافقة للكتاب ،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في الخمس وظاهراً في أربعة أخماس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وأقوال العامّة والخاصّة فيها مختلفة ، وقد ادّعى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الطائفة على أنّ ما لا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كالدور ، والعقارات ،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الخمس ، والباقي لجميع المسلمين ؛ من حضر القتال ، أو لم يحضر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حنيفة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مخيّر فيه بين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على الغانمين ، وأن يقفه على المسلمين ، وأن يقرّ أهلها عليها ، ويضرب </w:t>
      </w:r>
    </w:p>
    <w:p>
      <w:pPr>
        <w:pStyle w:val="BookText"/>
        <w:rPr/>
      </w:pPr>
      <w:r>
        <w:rPr>
          <w:rFonts w:ascii="Amiri" w:hAnsi="Amiri" w:eastAsia="Amiri" w:cs="Amiri"/>
          <w:color w:val="111111"/>
          <w:sz w:val="28"/>
          <w:sz w:val="28"/>
          <w:szCs w:val="28"/>
          <w:rtl w:val="true"/>
          <w:lang w:bidi="ar-SA"/>
        </w:rPr>
        <w:t xml:space="preserve">عليهم الجزية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وقف على المسلمين بنفس الاستغنام ، من غير إيقاف الإمام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حكمها حكم ما ينقل ؛ خمسها لأهله ، والباقي للغانمين</w:t>
      </w:r>
      <w:r>
        <w:rPr>
          <w:rStyle w:val="FootnoteAnchor"/>
          <w:rtl w:val="true"/>
        </w:rPr>
        <w:footnoteReference w:id="239"/>
      </w:r>
      <w:r>
        <w:rPr>
          <w:rFonts w:ascii="Amiri" w:hAnsi="Amiri" w:eastAsia="Amiri" w:cs="Amiri"/>
          <w:color w:val="111111"/>
          <w:sz w:val="28"/>
          <w:sz w:val="28"/>
          <w:szCs w:val="28"/>
          <w:rtl w:val="true"/>
          <w:lang w:bidi="ar-SA"/>
        </w:rPr>
        <w:t>، وعن العلاّمة موافقته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الخمس ، والباقي للمسلمين ، كما عليه دعوى الشهرة</w:t>
      </w:r>
      <w:r>
        <w:rPr>
          <w:rStyle w:val="FootnoteAnchor"/>
          <w:rtl w:val="true"/>
        </w:rPr>
        <w:footnoteReference w:id="241"/>
      </w:r>
      <w:r>
        <w:rPr>
          <w:rFonts w:ascii="IRNazanin" w:hAnsi="IRNazanin" w:eastAsia="IRNazanin"/>
          <w:color w:val="111111"/>
          <w:sz w:val="28"/>
          <w:sz w:val="28"/>
          <w:szCs w:val="28"/>
          <w:rtl w:val="true"/>
          <w:lang w:bidi="fa-IR"/>
        </w:rPr>
        <w:t>والإجماع</w:t>
      </w:r>
      <w:r>
        <w:rPr>
          <w:rStyle w:val="FootnoteAnchor"/>
          <w:rtl w:val="true"/>
        </w:rPr>
        <w:footnoteReference w:id="242"/>
      </w:r>
      <w:r>
        <w:rPr>
          <w:rFonts w:ascii="Amiri" w:hAnsi="Amiri" w:eastAsia="Amiri" w:cs="Amiri"/>
          <w:color w:val="111111"/>
          <w:sz w:val="28"/>
          <w:sz w:val="28"/>
          <w:szCs w:val="28"/>
          <w:rtl w:val="true"/>
          <w:lang w:bidi="ar-SA"/>
        </w:rPr>
        <w:t>، ويمكن استفادة ذلك من مرسلة حمّاد</w:t>
      </w:r>
      <w:r>
        <w:rPr>
          <w:rStyle w:val="FootnoteAnchor"/>
          <w:rtl w:val="true"/>
        </w:rPr>
        <w:footnoteReference w:id="243"/>
      </w:r>
      <w:r>
        <w:rPr>
          <w:rFonts w:ascii="Amiri" w:hAnsi="Amiri" w:eastAsia="Amiri" w:cs="Amiri"/>
          <w:color w:val="111111"/>
          <w:sz w:val="28"/>
          <w:sz w:val="28"/>
          <w:szCs w:val="28"/>
          <w:rtl w:val="true"/>
          <w:lang w:bidi="ar-SA"/>
        </w:rPr>
        <w:t>، التي هي معتمدة على ما نقل</w:t>
      </w:r>
      <w:r>
        <w:rPr>
          <w:rStyle w:val="FootnoteAnchor"/>
          <w:rtl w:val="true"/>
        </w:rPr>
        <w:footnoteReference w:id="244"/>
      </w:r>
      <w:r>
        <w:rPr>
          <w:rFonts w:ascii="Amiri" w:hAnsi="Amiri" w:eastAsia="Amiri" w:cs="Amiri"/>
          <w:color w:val="111111"/>
          <w:sz w:val="28"/>
          <w:sz w:val="28"/>
          <w:szCs w:val="28"/>
          <w:rtl w:val="true"/>
          <w:lang w:bidi="ar-SA"/>
        </w:rPr>
        <w:t xml:space="preserve">؛ فإنّ صدرها يدلّ على تعلّق الخمس بالغنائم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آخرها، والجمع المحلّى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العموم بالدلالة اللفظية ، من غير احتياج إلى مقدّمات الإطلاق، كما قرّر في محلّه</w:t>
      </w:r>
      <w:r>
        <w:rPr>
          <w:rStyle w:val="FootnoteAnchor"/>
          <w:rtl w:val="true"/>
        </w:rPr>
        <w:footnoteReference w:id="245"/>
      </w:r>
      <w:r>
        <w:rPr>
          <w:rFonts w:ascii="Amiri" w:hAnsi="Amiri" w:eastAsia="Amiri" w:cs="Amiri"/>
          <w:color w:val="111111"/>
          <w:sz w:val="28"/>
          <w:sz w:val="28"/>
          <w:szCs w:val="28"/>
          <w:rtl w:val="true"/>
          <w:lang w:bidi="ar-SA"/>
        </w:rPr>
        <w:t>، فتشمل جميع صنوف الغنائم ؛ من المنقول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من كلّ هذه الصنوف الخمس ، فيجعل لمن جعله اللّه له ، ويقسم أربعة أقسام بين من قاتل عليه ، وولي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فيها كيفية تقسيم الخمس بتفصيل ، ومورده ، وجهات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ذلك ممّا فصل بين جملات الكلام بجمل عديدة ، لا إشكال في استقرار الظهور ، فإذا وقع في بعض الجمل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المنفصلة عن العامّ أو المطلق بجمل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يخصّص العامّ أو يقيّد المطلق ، كان كالتخصيص والتقييد بالمنفصل ؛ لاستقرار ظهور المتقدّم في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كلام طويل ، وجمل عديدة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لمن قاتل شيء من الأرضين وما غلبوا عليه ، إلاّ ما احتوى العسكر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يدلّ على عدم تقسيم أربعة أخماس منها بين من قاتل وغنم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استثناء ما احتوى العسكر ، مربوط بالجملة الثانية ، فلا تقسم الأرض مطلقاً بين من قاتل ، فيخصّص به عموم الصدر ، ويبقى الخمس 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استفادة لزوم الخمس من السكوت عنه ، بعد كونه في مقام بيان حال الأرضين ، فنفي خصوص حقّ من قاتل ، دالّ عرفاً على ثبوت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التي اُخذت عنوة بخيل وركاب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الجملة المتقدّمة والعموم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خصوص قسمة الغانمين والمقاتلين ؛ أي الأرض التي لا تقسم بينهم واُخرج منها الخمس ، تكون موقوفة لمصالح المسلمين ، فتدلّ الرواية على المذهب المشهور ، وتخرج شاهدة للجمع بين الروايات ، ولو لم يسلّم استفادة ثبوت الخمس منها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الإشكال في نفي التقسيم بين من قاتل ، فالعمومات والإطلاقات الدالّة </w:t>
      </w:r>
      <w:bookmarkStart w:id="124" w:name="pg15209_203739"/>
    </w:p>
    <w:p>
      <w:pPr>
        <w:pStyle w:val="BookText"/>
        <w:rPr/>
      </w:pPr>
      <w:bookmarkEnd w:id="124"/>
      <w:r>
        <w:rPr>
          <w:rFonts w:ascii="Amiri" w:hAnsi="Amiri" w:eastAsia="Amiri" w:cs="Amiri"/>
          <w:color w:val="111111"/>
          <w:sz w:val="28"/>
          <w:sz w:val="28"/>
          <w:szCs w:val="28"/>
          <w:rtl w:val="true"/>
          <w:lang w:bidi="ar-SA"/>
        </w:rPr>
        <w:t>على ثبوت التقسيم بينهم</w:t>
      </w:r>
      <w:r>
        <w:rPr>
          <w:rStyle w:val="FootnoteAnchor"/>
          <w:rtl w:val="true"/>
        </w:rPr>
        <w:footnoteReference w:id="246"/>
      </w:r>
      <w:r>
        <w:rPr>
          <w:rFonts w:ascii="Amiri" w:hAnsi="Amiri" w:eastAsia="Amiri" w:cs="Amiri"/>
          <w:color w:val="111111"/>
          <w:sz w:val="28"/>
          <w:sz w:val="28"/>
          <w:szCs w:val="28"/>
          <w:rtl w:val="true"/>
          <w:lang w:bidi="ar-SA"/>
        </w:rPr>
        <w:t>، مخصّصة بها بعد كونها معوّلاً عليها عند الأصحاب ، كما قيل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وتبقى الروايات الدالّة على أنّ تلك الأراضي للمسلمين</w:t>
      </w:r>
      <w:r>
        <w:rPr>
          <w:rStyle w:val="FootnoteAnchor"/>
          <w:rtl w:val="true"/>
        </w:rPr>
        <w:footnoteReference w:id="248"/>
      </w:r>
      <w:r>
        <w:rPr>
          <w:rFonts w:ascii="Amiri" w:hAnsi="Amiri" w:eastAsia="Amiri" w:cs="Amiri"/>
          <w:color w:val="111111"/>
          <w:sz w:val="28"/>
          <w:sz w:val="28"/>
          <w:szCs w:val="28"/>
          <w:rtl w:val="true"/>
          <w:lang w:bidi="ar-SA"/>
        </w:rPr>
        <w:t>، وصحيحة معاوية ومرسلة الورّاق</w:t>
      </w:r>
      <w:r>
        <w:rPr>
          <w:rStyle w:val="FootnoteAnchor"/>
          <w:rtl w:val="true"/>
        </w:rPr>
        <w:footnoteReference w:id="249"/>
      </w:r>
      <w:r>
        <w:rPr>
          <w:rFonts w:ascii="Amiri" w:hAnsi="Amiri" w:eastAsia="Amiri" w:cs="Amiri"/>
          <w:color w:val="111111"/>
          <w:sz w:val="28"/>
          <w:sz w:val="28"/>
          <w:szCs w:val="28"/>
          <w:rtl w:val="true"/>
          <w:lang w:bidi="ar-SA"/>
        </w:rPr>
        <w:t>، على تعارضهما بالعموم من وجه ، فترجّح الثانية بموافقة الكتاب والشهرة ، أو يكون الكتاب المرجع ، على اختلاف المسلكين</w:t>
      </w:r>
      <w:r>
        <w:rPr>
          <w:rStyle w:val="FootnoteAnchor"/>
          <w:rtl w:val="true"/>
        </w:rPr>
        <w:footnoteReference w:id="250"/>
      </w:r>
      <w:r>
        <w:rPr>
          <w:rFonts w:ascii="Amiri" w:hAnsi="Amiri" w:eastAsia="Amiri" w:cs="Amiri"/>
          <w:color w:val="111111"/>
          <w:sz w:val="28"/>
          <w:sz w:val="28"/>
          <w:szCs w:val="28"/>
          <w:rtl w:val="true"/>
          <w:lang w:bidi="ar-SA"/>
        </w:rPr>
        <w:t xml:space="preserve">، فتصير النتيجة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الخمس ، وعدم تقسيم الباقي بين المقاتلين ، وكونه للمسلمين ، هذا حال ما انجرّ البحث إليه تطفّلاً </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2974379_2142443653"/>
      <w:bookmarkStart w:id="126" w:name="_Toc45"/>
      <w:bookmarkEnd w:id="125"/>
      <w:r>
        <w:rPr>
          <w:rtl w:val="true"/>
        </w:rPr>
        <w:t>أدلّة اعتبار إذن الإمام في ملكية المسلمين</w:t>
      </w:r>
      <w:bookmarkEnd w:id="126"/>
    </w:p>
    <w:p>
      <w:pPr>
        <w:pStyle w:val="BookText"/>
        <w:rPr/>
      </w:pPr>
      <w:r>
        <w:rPr>
          <w:rFonts w:ascii="Amiri" w:hAnsi="Amiri" w:eastAsia="Amiri" w:cs="Amiri"/>
          <w:color w:val="111111"/>
          <w:sz w:val="28"/>
          <w:sz w:val="28"/>
          <w:szCs w:val="28"/>
          <w:rtl w:val="true"/>
          <w:lang w:bidi="ar-SA"/>
        </w:rPr>
        <w:t>وأمّا قضيّة اعتبار إذن الإمام عليه السلام في صيرورة الأرضين ملكاً للمسلمين ، وإلاّ فهي للإمام عليه السلام ، فالأصل فيها مرسلة الورّاق ، وصحيحة معاوية على ما قيل</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 نّه لا مفهوم لواحد من الروايتين حتّى الشرط في الصحيحة ؛ فإنّ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يكونوا قاتلوا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هو مفهوم الشرطية ؛ فإنّ مفهومها سلب الخمس ، لا إثبات كون الغنيمة للإمام عليه السلام ، فالجملة الثانية شرطية مستقلّة ، ومعها لا مفهوم للشرط السابق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رواية الورّاق ، بل هي أولى بذلك ؛ فإنّ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غزوا بأمر الإمام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مفهوم الشرط ،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ملحقة بأداة الشرط ، ولا مفهوم القيد ؛ لما مرّ من أنّ مفهومه سلب ما ثبت في المنطوق ، لا إثبات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عدم المفهوم في الروايتين ، لا تنافي بينهما في شيء ؛ لعدم المنافاة بين ثبوت الخمس إذا كانت المقاتلة مع أمير أمّره الإمام ، أو مع كون القتال بأمر الإمام ، وبين كون الغنيمة للإمام إذا غزوا بغير إذنه ، أو إذا لم يقاتلوا فغنموا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بالمفهوم</w:t>
      </w:r>
      <w:r>
        <w:rPr>
          <w:rStyle w:val="FootnoteAnchor"/>
          <w:rtl w:val="true"/>
        </w:rPr>
        <w:footnoteReference w:id="252"/>
      </w:r>
      <w:r>
        <w:rPr>
          <w:rFonts w:ascii="Amiri" w:hAnsi="Amiri" w:eastAsia="Amiri" w:cs="Amiri"/>
          <w:color w:val="111111"/>
          <w:sz w:val="28"/>
          <w:sz w:val="28"/>
          <w:szCs w:val="28"/>
          <w:rtl w:val="true"/>
          <w:lang w:bidi="ar-SA"/>
        </w:rPr>
        <w:t xml:space="preserve">، فيقع التعارض بين مفهوم القيد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قاتلوا بلا أمير أمّره لم يخرج منه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قوله عليه السلام في المرسلة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غزوا بأمر الإمام فغنموا كان للإمام الخمس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مفهوم القيد في مثل المقام في الصحيحة ، هو رفع واحد يحتوي الأمرين ؛ أي الخمس للّه والرسول ، والقسمة بين المقاتلين ، يصير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غزوا بأمر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كالمخصّص له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ينحلّ إلى جملتين ؛ نفي هذا ، ونفي ذلك ، كان التعارض بينهما بالتباين في خصوص الخمس ، فيرجّح ما دلّ على الخمس بموافقة الكتاب ، أو يكون الكتاب مرجعاً بعد التساقط، هذا حالهما بالنسبة إلى ملاحظتهما في نفسهما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عليه السلام في مرسلة الورّاق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غزا قوم بغير إذن الإمام </w:t>
      </w:r>
      <w:r>
        <w:rPr>
          <w:rFonts w:eastAsia="Amiri" w:cs="Amiri" w:ascii="Amiri" w:hAnsi="Amiri"/>
          <w:color w:val="111111"/>
          <w:sz w:val="28"/>
          <w:szCs w:val="28"/>
          <w:rtl w:val="true"/>
          <w:lang w:bidi="ar-SA"/>
        </w:rPr>
        <w:t xml:space="preserve">. . .» </w:t>
      </w:r>
      <w:r>
        <w:rPr>
          <w:rStyle w:val="FootnoteAnchor"/>
          <w:rtl w:val="true"/>
        </w:rPr>
        <w:footnoteReference w:id="253"/>
      </w:r>
      <w:r>
        <w:rPr>
          <w:rFonts w:ascii="Amiri" w:hAnsi="Amiri" w:eastAsia="Amiri" w:cs="Amiri"/>
          <w:color w:val="111111"/>
          <w:sz w:val="28"/>
          <w:sz w:val="28"/>
          <w:szCs w:val="28"/>
          <w:rtl w:val="true"/>
          <w:lang w:bidi="ar-SA"/>
        </w:rPr>
        <w:t>إلى آخره ، فيعارض ما تدلّ على أنّ الأرض المفتوحة عنوة للمسلمين</w:t>
      </w:r>
      <w:r>
        <w:rPr>
          <w:rStyle w:val="FootnoteAnchor"/>
          <w:rtl w:val="true"/>
        </w:rPr>
        <w:footnoteReference w:id="254"/>
      </w:r>
      <w:r>
        <w:rPr>
          <w:rFonts w:ascii="IRNazanin" w:hAnsi="IRNazanin" w:eastAsia="IRNazanin"/>
          <w:color w:val="111111"/>
          <w:sz w:val="28"/>
          <w:sz w:val="28"/>
          <w:szCs w:val="28"/>
          <w:rtl w:val="true"/>
          <w:lang w:bidi="fa-IR"/>
        </w:rPr>
        <w:t xml:space="preserve">بالعموم من 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بحكومة المرسلة عليها </w:t>
      </w:r>
      <w:r>
        <w:rPr>
          <w:rStyle w:val="FootnoteAnchor"/>
          <w:rtl w:val="true"/>
        </w:rPr>
        <w:footnoteReference w:id="255"/>
      </w:r>
      <w:r>
        <w:rPr>
          <w:rFonts w:ascii="Amiri" w:hAnsi="Amiri" w:eastAsia="Amiri" w:cs="Amiri"/>
          <w:color w:val="111111"/>
          <w:sz w:val="28"/>
          <w:sz w:val="28"/>
          <w:szCs w:val="28"/>
          <w:rtl w:val="true"/>
          <w:lang w:bidi="ar-SA"/>
        </w:rPr>
        <w:t xml:space="preserve">؛ لأ نّها تعرّضت لعقد الوضع فيها ، فتقدّم بالحكومة ، وإلاّ تقدّم بالشهرة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من المرجّحات</w:t>
      </w:r>
      <w:r>
        <w:rPr>
          <w:rStyle w:val="FootnoteAnchor"/>
          <w:rtl w:val="true"/>
        </w:rPr>
        <w:footnoteReference w:id="256"/>
      </w:r>
      <w:r>
        <w:rPr>
          <w:rFonts w:ascii="Amiri" w:hAnsi="Amiri" w:eastAsia="Amiri" w:cs="Amiri"/>
          <w:color w:val="111111"/>
          <w:sz w:val="28"/>
          <w:sz w:val="28"/>
          <w:szCs w:val="28"/>
          <w:rtl w:val="true"/>
          <w:lang w:bidi="ar-SA"/>
        </w:rPr>
        <w:t xml:space="preserve">،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تجعل مخالفها بيّن الغيّ ، وموافقها بيّن الرشد</w:t>
      </w:r>
      <w:r>
        <w:rPr>
          <w:rStyle w:val="FootnoteAnchor"/>
          <w:rtl w:val="true"/>
        </w:rPr>
        <w:footnoteReference w:id="257"/>
      </w:r>
      <w:r>
        <w:rPr>
          <w:rFonts w:ascii="IRNazanin" w:hAnsi="IRNazanin" w:eastAsia="IRNazanin"/>
          <w:color w:val="111111"/>
          <w:sz w:val="28"/>
          <w:sz w:val="28"/>
          <w:szCs w:val="28"/>
          <w:rtl w:val="true"/>
          <w:lang w:bidi="fa-IR"/>
        </w:rPr>
        <w:t xml:space="preserve">، فالأمر أوضح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يمكن أن يستدلّ على كفاية إذن الإمام عليه السلام في صيرورة المفتوحة عنوة ملك المسلمين ، بالروايات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على أنّ أرض السواد للمسلمين</w:t>
      </w:r>
      <w:r>
        <w:rPr>
          <w:rStyle w:val="FootnoteAnchor"/>
          <w:rtl w:val="true"/>
        </w:rPr>
        <w:footnoteReference w:id="258"/>
      </w:r>
      <w:r>
        <w:rPr>
          <w:rFonts w:ascii="Amiri" w:hAnsi="Amiri" w:eastAsia="Amiri" w:cs="Amiri"/>
          <w:color w:val="111111"/>
          <w:sz w:val="28"/>
          <w:sz w:val="28"/>
          <w:szCs w:val="28"/>
          <w:rtl w:val="true"/>
          <w:lang w:bidi="ar-SA"/>
        </w:rPr>
        <w:t xml:space="preserve">؛ فإنّ المسلّم الذي لا ريب فيه ، أنّ الأمير في فتحها لم يكن بجعل الإمام عليه السلام ، بل الظاهر عدم كونه بأمره بمعناه الحقيقي في الأمر ، غاية الأمر كونه بإذنه ورضاه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 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بعد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يشاورني في موارد الاُمور ومصادرها ، </w:t>
      </w:r>
      <w:bookmarkStart w:id="127" w:name="pg15209_203742"/>
    </w:p>
    <w:p>
      <w:pPr>
        <w:pStyle w:val="BookText"/>
        <w:rPr/>
      </w:pPr>
      <w:bookmarkEnd w:id="127"/>
      <w:r>
        <w:rPr>
          <w:rFonts w:ascii="Amiri" w:hAnsi="Amiri" w:eastAsia="Amiri" w:cs="Amiri"/>
          <w:color w:val="111111"/>
          <w:sz w:val="28"/>
          <w:sz w:val="28"/>
          <w:szCs w:val="28"/>
          <w:rtl w:val="true"/>
          <w:lang w:bidi="ar-SA"/>
        </w:rPr>
        <w:t>فيصدرها عن أمري ، ويناظرني في غوامضها ، فيمضيها عن رأيي</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لا يدلّ على أنّ الغزاة كانوا يغزون بأمر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الثاني كان يشاوره في الأمر، فإذا اقتنع برأيه كان يبعث العسكر ، ويؤمّر الأمير ، ويأمرهم بالغزو موافقاً لرأيه وأمره ، ولم يكن أمره عليه السلام كأمر الوالي والأمير على المأمور ، بل كأمر المشاور والناصح ، فليس الأمر بمعناه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فيتّضح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وإظهار الرأي كافٍ في ذلك ، وسيأتي بعض الكلام في ذلك</w:t>
      </w:r>
      <w:r>
        <w:rPr>
          <w:rStyle w:val="FootnoteAnchor"/>
          <w:rtl w:val="true"/>
        </w:rPr>
        <w:footnoteReference w:id="260"/>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2974381_2142443653"/>
      <w:bookmarkStart w:id="129" w:name="_Toc46"/>
      <w:bookmarkEnd w:id="128"/>
      <w:r>
        <w:rPr>
          <w:rtl w:val="true"/>
        </w:rPr>
        <w:t>في اعتبار كون الأرض محياة حال الفتح لصيرورتها خراجية</w:t>
      </w:r>
      <w:bookmarkEnd w:id="129"/>
    </w:p>
    <w:p>
      <w:pPr>
        <w:pStyle w:val="BookText"/>
        <w:rPr/>
      </w:pPr>
      <w:r>
        <w:rPr>
          <w:rFonts w:ascii="Amiri" w:hAnsi="Amiri" w:eastAsia="Amiri" w:cs="Amiri"/>
          <w:color w:val="111111"/>
          <w:sz w:val="28"/>
          <w:sz w:val="28"/>
          <w:szCs w:val="28"/>
          <w:rtl w:val="true"/>
          <w:lang w:bidi="ar-SA"/>
        </w:rPr>
        <w:t xml:space="preserve">وهل يعتبر في كون الأرض المفتوحة عنوة خراجيةً ، أن تكون محياة حال الفتح ، وإلاّ تكون كلّها للإمام عليه السلام ، ولا تدخل في الغنائم كما هو المشهور ، بل المتّفق عليه على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فرق بين المحياة والموات في تعلّق الخمس بها </w:t>
      </w:r>
      <w:r>
        <w:rPr>
          <w:rStyle w:val="FootnoteAnchor"/>
          <w:rtl w:val="true"/>
        </w:rPr>
        <w:footnoteReference w:id="262"/>
      </w:r>
      <w:r>
        <w:rPr>
          <w:rFonts w:ascii="Amiri" w:hAnsi="Amiri" w:eastAsia="Amiri" w:cs="Amiri"/>
          <w:color w:val="111111"/>
          <w:sz w:val="28"/>
          <w:sz w:val="28"/>
          <w:szCs w:val="28"/>
          <w:rtl w:val="true"/>
          <w:lang w:bidi="ar-SA"/>
        </w:rPr>
        <w:t xml:space="preserve">، وكون الباقي للمسلمين ؟ </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وردت من الأخبار في الموات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 الموات كلّها للإمام عليه السلام ، كمرسلة أحمد بن محمّد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 كلّ أرض لا ربّ لها ، له عليه السلام ، كموثّقة إسحاق بن عمّار</w:t>
      </w:r>
      <w:r>
        <w:rPr>
          <w:rStyle w:val="FootnoteAnchor"/>
          <w:rtl w:val="true"/>
        </w:rPr>
        <w:footnoteReference w:id="264"/>
      </w:r>
      <w:r>
        <w:rPr>
          <w:rFonts w:ascii="Amiri" w:hAnsi="Amiri" w:eastAsia="Amiri" w:cs="Amiri"/>
          <w:color w:val="111111"/>
          <w:sz w:val="28"/>
          <w:sz w:val="28"/>
          <w:szCs w:val="28"/>
          <w:rtl w:val="true"/>
          <w:lang w:bidi="ar-SA"/>
        </w:rPr>
        <w:t>ورواية أبي بصير</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 كلّ أرض ميتة لا ربّ لها ، له عليه السلام كمرسلة حمّاد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اُخر بمضامين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بعض المباحث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مجموع الروايات في الأرضين وغيرها ، أنّ ما لا ربّ له للإمام عليه السلام ، سواء كان من الأرضين أم من غيرها </w:t>
      </w:r>
      <w:r>
        <w:rPr>
          <w:rStyle w:val="FootnoteAnchor"/>
          <w:rtl w:val="true"/>
        </w:rPr>
        <w:footnoteReference w:id="267"/>
      </w:r>
      <w:r>
        <w:rPr>
          <w:rFonts w:ascii="Amiri" w:hAnsi="Amiri" w:eastAsia="Amiri" w:cs="Amiri"/>
          <w:color w:val="111111"/>
          <w:sz w:val="28"/>
          <w:sz w:val="28"/>
          <w:szCs w:val="28"/>
          <w:rtl w:val="true"/>
          <w:lang w:bidi="ar-SA"/>
        </w:rPr>
        <w:t xml:space="preserve">، ويستفاد من تلك الروايات أيضاً ، أنّ الموات من الأرضين التي لا ربّ لها ، للإمام عليه السلام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المراد من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هل هو المالك بالمعنى الخاصّ ، فما لا يكون لها مالك فهي للإمام عليه السلام ، فمثل مرافق القرى ومراتعها ممّا </w:t>
      </w:r>
    </w:p>
    <w:p>
      <w:pPr>
        <w:pStyle w:val="BookText"/>
        <w:rPr/>
      </w:pPr>
      <w:r>
        <w:rPr>
          <w:rFonts w:ascii="Amiri" w:hAnsi="Amiri" w:eastAsia="Amiri" w:cs="Amiri"/>
          <w:color w:val="111111"/>
          <w:sz w:val="28"/>
          <w:sz w:val="28"/>
          <w:szCs w:val="28"/>
          <w:rtl w:val="true"/>
          <w:lang w:bidi="ar-SA"/>
        </w:rPr>
        <w:t xml:space="preserve">هي تابعة لها ، ولها نحو اختصاص بملاّكها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مملوكيتها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للإمام عليه السلام ، وكذا الأراضي الموقوفة للجهات العامّة إذا صارت مواتاً ، تكون له ؟</w:t>
      </w:r>
    </w:p>
    <w:p>
      <w:pPr>
        <w:pStyle w:val="BookText"/>
        <w:rPr/>
      </w:pPr>
      <w:r>
        <w:rPr>
          <w:rFonts w:ascii="Amiri" w:hAnsi="Amiri" w:eastAsia="Amiri" w:cs="Amiri"/>
          <w:color w:val="111111"/>
          <w:sz w:val="28"/>
          <w:sz w:val="28"/>
          <w:szCs w:val="28"/>
          <w:rtl w:val="true"/>
          <w:lang w:bidi="ar-SA"/>
        </w:rPr>
        <w:t xml:space="preserve">بل الموقوفات الخاصّة بناءً على أنّ الوقف مطلقاً فكّ الملك ، وكذا موات كلّ دولة ممّا هي للحكومة أو الوالي ، لا على نحو الملكية ، بل على النحو الآخر من الاختصاص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قبيل الولاية عليها ؟</w:t>
      </w:r>
    </w:p>
    <w:p>
      <w:pPr>
        <w:pStyle w:val="BookText"/>
        <w:rPr/>
      </w:pPr>
      <w:r>
        <w:rPr>
          <w:rFonts w:ascii="IRNazanin" w:hAnsi="IRNazanin" w:eastAsia="IRNazanin"/>
          <w:color w:val="111111"/>
          <w:sz w:val="28"/>
          <w:sz w:val="28"/>
          <w:szCs w:val="28"/>
          <w:rtl w:val="true"/>
          <w:lang w:bidi="fa-IR"/>
        </w:rPr>
        <w:t>أو أعمّ منه وممّن له نحو تعلّق بالمال ؟</w:t>
      </w:r>
    </w:p>
    <w:p>
      <w:pPr>
        <w:pStyle w:val="BookText"/>
        <w:rPr/>
      </w:pPr>
      <w:r>
        <w:rPr>
          <w:rFonts w:ascii="Amiri" w:hAnsi="Amiri" w:eastAsia="Amiri" w:cs="Amiri"/>
          <w:color w:val="111111"/>
          <w:sz w:val="28"/>
          <w:sz w:val="28"/>
          <w:szCs w:val="28"/>
          <w:rtl w:val="true"/>
          <w:lang w:bidi="ar-SA"/>
        </w:rPr>
        <w:t xml:space="preserve">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بين الصورة الأخيرة وغيرها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بناء الدول والولاة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للوالي هي التي لا تعلّق لها</w:t>
      </w:r>
    </w:p>
    <w:p>
      <w:pPr>
        <w:pStyle w:val="BookText"/>
        <w:rPr/>
      </w:pPr>
      <w:r>
        <w:rPr>
          <w:rFonts w:ascii="Amiri" w:hAnsi="Amiri" w:eastAsia="Amiri" w:cs="Amiri"/>
          <w:color w:val="111111"/>
          <w:sz w:val="28"/>
          <w:sz w:val="28"/>
          <w:szCs w:val="28"/>
          <w:rtl w:val="true"/>
          <w:lang w:bidi="ar-SA"/>
        </w:rPr>
        <w:t xml:space="preserve">بالغير ، سواء كان التعلّق بنحو الملك أو الحقّ ، فمثل المراتع والمرافق التي هي من توابع الأملاك ، غير داخل في الأنفال ، وكذا الموقوفات التي صارت وقفاً لدرّ المنافع على الموقوف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بمناسبات مغروسة في الأذهان ، هو معنىً أعمّ من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والوالي ، لا يزاحم أرباب الحقوق في حقوقهم ،</w:t>
      </w:r>
    </w:p>
    <w:p>
      <w:pPr>
        <w:pStyle w:val="BookText"/>
        <w:rPr/>
      </w:pPr>
      <w:r>
        <w:rPr>
          <w:rFonts w:ascii="IRNazanin" w:hAnsi="IRNazanin" w:eastAsia="IRNazanin"/>
          <w:color w:val="111111"/>
          <w:sz w:val="28"/>
          <w:sz w:val="28"/>
          <w:szCs w:val="28"/>
          <w:rtl w:val="true"/>
          <w:lang w:bidi="fa-IR"/>
        </w:rPr>
        <w:t xml:space="preserve">بل له ما لا مزاحم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موات الدولة فليست كذلك ؛ لأ نّها ليست للدول والولاة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الملك والحقّ فواضح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الولاية التي تدّعيها كلّ دولة أو والٍ على جميع الأرضين المتعلّقة بحيطة </w:t>
      </w:r>
    </w:p>
    <w:p>
      <w:pPr>
        <w:pStyle w:val="BookText"/>
        <w:rPr/>
      </w:pPr>
      <w:r>
        <w:rPr>
          <w:rFonts w:ascii="Amiri" w:hAnsi="Amiri" w:eastAsia="Amiri" w:cs="Amiri"/>
          <w:color w:val="111111"/>
          <w:sz w:val="28"/>
          <w:sz w:val="28"/>
          <w:szCs w:val="28"/>
          <w:rtl w:val="true"/>
          <w:lang w:bidi="ar-SA"/>
        </w:rPr>
        <w:t xml:space="preserve">سلطنتهم ، فإنّها غير نافذة شرعاً ، فتكون تلك الأرضون ممّا لا ربّ لها بنحو من الأنحاء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 مع فتح الدولة بيد المسلمين ، تصير ولايتهم العرفية أيضاً ساقطة ، وتصير الولاية للحاكم الغالب ، وولاة الجور في الإسلام لا ولاية لهم بحسب الشرع ، فتكون تلك الأرضون ممّا لا ربّ لها ، فهي للإمام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الموات ولو في بعض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كأعصارنا ممّا تكون الحدود بين الدول ملحوظة دقيقاً ، وتكون الأرضون شبراً شبراً متعلّقة للأغراض ، ولها منافع وقيم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الآية الكريمة وما تدلّ على أنّ الموات للإمام عليه السلام ، العموم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الموات للإمام عليه السلام بنحو الملكية ، كسائر أملاكه الشخصية</w:t>
      </w:r>
      <w:r>
        <w:rPr>
          <w:rStyle w:val="FootnoteAnchor"/>
          <w:rtl w:val="true"/>
        </w:rPr>
        <w:footnoteReference w:id="268"/>
      </w:r>
      <w:r>
        <w:rPr>
          <w:rFonts w:ascii="Amiri" w:hAnsi="Amiri" w:eastAsia="Amiri" w:cs="Amiri"/>
          <w:color w:val="111111"/>
          <w:sz w:val="28"/>
          <w:sz w:val="28"/>
          <w:szCs w:val="28"/>
          <w:rtl w:val="true"/>
          <w:lang w:bidi="ar-SA"/>
        </w:rPr>
        <w:t xml:space="preserve">، تخرج الموات من الآية والروايات التي بمضمونها، موضوعاً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في موضوعها ، هي ما تكون ملكاً للكفّار أو تحت سلطتهم ، وأمّا لو فرض وجود شيء من أموال المسلمين بيد الكفّار ، وأخذه المسلمون منهم ، فلا يعدّ غنيمة ، ولا يخمّس ، بل يردّ إلى صاحبه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الموات قبل أخذها من الكفّار ، ملكاً للإمام عليه السلام ، تردّ إليه بعده ، ولا تكون غنيمة ، وإن صدقت عليها مع الغضّ عن ملكيتها له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كذلك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للإمام ، لا بنحو الملكية ، بل بنحو الولاية ، وأ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وليّ عليها </w:t>
      </w:r>
      <w:r>
        <w:rPr>
          <w:rStyle w:val="FootnoteAnchor"/>
          <w:rtl w:val="true"/>
        </w:rPr>
        <w:footnoteReference w:id="269"/>
      </w:r>
      <w:r>
        <w:rPr>
          <w:rFonts w:ascii="Amiri" w:hAnsi="Amiri" w:eastAsia="Amiri" w:cs="Amiri"/>
          <w:color w:val="111111"/>
          <w:sz w:val="28"/>
          <w:sz w:val="28"/>
          <w:szCs w:val="28"/>
          <w:rtl w:val="true"/>
          <w:lang w:bidi="ar-SA"/>
        </w:rPr>
        <w:t xml:space="preserve">، 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يضعها حيث يحبّ ، وحيث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bookmarkStart w:id="130" w:name="pg15209_203746"/>
    </w:p>
    <w:p>
      <w:pPr>
        <w:pStyle w:val="BookText"/>
        <w:rPr/>
      </w:pPr>
      <w:bookmarkEnd w:id="130"/>
      <w:r>
        <w:rPr>
          <w:rFonts w:ascii="Amiri" w:hAnsi="Amiri" w:eastAsia="Amiri" w:cs="Amiri"/>
          <w:color w:val="111111"/>
          <w:sz w:val="28"/>
          <w:sz w:val="28"/>
          <w:szCs w:val="28"/>
          <w:rtl w:val="true"/>
          <w:lang w:bidi="ar-SA"/>
        </w:rPr>
        <w:t>الروايات</w:t>
      </w:r>
      <w:r>
        <w:rPr>
          <w:rStyle w:val="FootnoteAnchor"/>
          <w:rtl w:val="true"/>
        </w:rPr>
        <w:footnoteReference w:id="270"/>
      </w:r>
      <w:r>
        <w:rPr>
          <w:rFonts w:ascii="Amiri" w:hAnsi="Amiri" w:eastAsia="Amiri" w:cs="Amiri"/>
          <w:color w:val="111111"/>
          <w:sz w:val="28"/>
          <w:sz w:val="28"/>
          <w:szCs w:val="28"/>
          <w:rtl w:val="true"/>
          <w:lang w:bidi="ar-SA"/>
        </w:rPr>
        <w:t xml:space="preserve">، فإنّها خارجة عن الغنائم أيضاً بعد كونها قبل الأخذ تحت ولايته النافذة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المسألة ممّا لا إشكال فيها بحسب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المغنومة إنّما تصير خراجية وللمسلمين ، بعد كونها مفتوحة عنوة ، وبعد كون الفتح بإذن الإمام عليه السلام ، وبعد كونها محياة حال الفتح ، كما عليه الأصحاب</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2974383_2142443653"/>
      <w:bookmarkStart w:id="132" w:name="_Toc47"/>
      <w:bookmarkEnd w:id="131"/>
      <w:r>
        <w:rPr>
          <w:rtl w:val="true"/>
        </w:rPr>
        <w:t>حكم الشكّ في كون الفتح عنوة</w:t>
      </w:r>
      <w:bookmarkEnd w:id="132"/>
    </w:p>
    <w:p>
      <w:pPr>
        <w:pStyle w:val="BookText"/>
        <w:rPr/>
      </w:pPr>
      <w:r>
        <w:rPr>
          <w:rFonts w:ascii="Amiri" w:hAnsi="Amiri" w:eastAsia="Amiri" w:cs="Amiri"/>
          <w:color w:val="111111"/>
          <w:sz w:val="28"/>
          <w:sz w:val="28"/>
          <w:szCs w:val="28"/>
          <w:rtl w:val="true"/>
          <w:lang w:bidi="ar-SA"/>
        </w:rPr>
        <w:t xml:space="preserve">ولو شكّ في المذكورات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أ نّها فتحت عنوة ، أو صلحاً على أن تكون الأرض للمسلمين ، أو على أن تبقى لهم ، وتكون على الأرض أو على نفوسهم الجزية ، أو أ نّها فتحت بغير عنوة ، أو أسلم أهلها طوعاً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بعض الاحتمالات مقطوع العدم ، ويكون الشكّ في سائرها ، والشكّ ثلاثي الأطراف ، أو أقلّ ، أو أكثر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عدم إمكان إحراز أحد العناوين الوجودية بالأصل ، وأمّا إجراء استصحاب عدمه لنفي الحكم الشرعي عن الموضوع ، فهو مثبت ؛ لأنّ نفي الحكم مع عدم الموضوع عقلي ، لا شرعي ، إلاّ أن يدلّ دليل شرعي على نفيه ، أو على ثبوت حكم آخر متعلّق بنفيه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فأصالة عدم الفتح عنوة لنفي كون الأرض للمسلمين ، إنّما تجري إذا دلّ دليل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منطوقاً أو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لا تفتح عنوة ليست للمسلمين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الأرض كانت ممّا لم تفتح عنوة في زمان ، فيستصحب ، ويترتّب عليها أ نّها ليست للمسلمين ، وأمّا إذا تعلّق الحكم بالفتح عنوة فقط ، واُريد استصحاب عدمه لنفي ملك المسلمين ، فهو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جارٍ في جميع الفقه ، فلو دلّ 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أحيا أرضاً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فهي له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حاز شيئاً ملك</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واُريد باستصحاب عدمهما نفي الملكية الثابتة على العنوانين ، لكان مثبتاً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وردت في الأنفال روايات كثيرة ، مضمون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الأنفال عبارة عمّا لم يوجف عليه بخيل ولا ركاب</w:t>
      </w:r>
      <w:r>
        <w:rPr>
          <w:rStyle w:val="FootnoteAnchor"/>
          <w:rtl w:val="true"/>
        </w:rPr>
        <w:footnoteReference w:id="274"/>
      </w:r>
      <w:r>
        <w:rPr>
          <w:rFonts w:ascii="Amiri" w:hAnsi="Amiri" w:eastAsia="Amiri" w:cs="Amiri"/>
          <w:color w:val="111111"/>
          <w:sz w:val="28"/>
          <w:sz w:val="28"/>
          <w:szCs w:val="28"/>
          <w:rtl w:val="true"/>
          <w:lang w:bidi="ar-SA"/>
        </w:rPr>
        <w:t xml:space="preserve">، ويظهر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هو ما ذكر ، وأنّ التعابير الاُخر من قبيل ذكر المصاديق لهذا العنوان ، من غير دخالة قيود اُخر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إشكال في أنّ هذا العنوان العامّ ، ليس موضوعاً لمال الإمام عليه السلام ؛ ضرورة صدقه على ما يؤخذ من الكفّار صلحاً ، على أن تكون الأرض للمسلمين أو لهم ، وعليهم الجزية ، بل صدقه على الأرض التي كانت في يد الكفّار ، ولم يتعرّض لها المسلمون ؛ فإنّها أيضاً أرض لم يوجف عليها </w:t>
      </w:r>
    </w:p>
    <w:p>
      <w:pPr>
        <w:pStyle w:val="BookText"/>
        <w:rPr/>
      </w:pPr>
      <w:r>
        <w:rPr>
          <w:rFonts w:ascii="Amiri" w:hAnsi="Amiri" w:eastAsia="Amiri" w:cs="Amiri"/>
          <w:color w:val="111111"/>
          <w:sz w:val="28"/>
          <w:sz w:val="28"/>
          <w:szCs w:val="28"/>
          <w:rtl w:val="true"/>
          <w:lang w:bidi="ar-SA"/>
        </w:rPr>
        <w:t xml:space="preserve">بخيل ولا ركاب ، فالموضوع أخصّ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إن كان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المغنومة التي لم يوجف عليها بخيل ولا ركاب ، ولم تقع عليها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القيد للموضوع ، فلا حالة سابقة معلومة له ، والإشكال فيه نظير ما ذكرناه في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الموضوع للحكم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زهقت روحه بلا شرائط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متيقّن ، وما هو المتيقّن عنوان أعمّ ، وإجراء الأصل لإثبات عنوان أخصّ منه ، مثبت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المغنومة التي لم يوجف عليها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 حالة سابقة متيقّنة ، واستصحاب عدم كون الأرض مغنومة كذلك ، إلى زمان حصول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الكون الرابط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الاغتنام من قبيل الشرط لتحقّق الملكية للإمام عليه السلام ، فيقال مشاراً إلى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في زمان لم يوجف عليها بخيل ولا ركاب ، فيستصحب ، وحكمها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غنمها المسلمون فهي للإمام عليه السلام ، والفرض ثبوت تسلّط المسلمين عليها ، وأخذها من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فهمنا من مجموع الأدلّة ، أنّ الأرض التي لم يوجف عليها بخيل ولا ركاب ، إذا تسلّط عليها المسلمون أو غنموها ، كانت للإمام عليه السلام ، فيستصحب الموضوع ، وتحقّق الشرط وجداني ، فيترتّب عليه الحكم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بعض عناوين اُخر مشكوك فيها ، ومسبوقة بالعدم ، كاحتمال وقوع الصلح عليها على أن تكون الأرض للمسلمين ، أو على أن تكون للكفّار ، </w:t>
      </w:r>
      <w:bookmarkStart w:id="133" w:name="pg15209_203749"/>
    </w:p>
    <w:p>
      <w:pPr>
        <w:pStyle w:val="BookText"/>
        <w:rPr/>
      </w:pPr>
      <w:bookmarkEnd w:id="133"/>
      <w:r>
        <w:rPr>
          <w:rFonts w:ascii="Amiri" w:hAnsi="Amiri" w:eastAsia="Amiri" w:cs="Amiri"/>
          <w:color w:val="111111"/>
          <w:sz w:val="28"/>
          <w:sz w:val="28"/>
          <w:szCs w:val="28"/>
          <w:rtl w:val="true"/>
          <w:lang w:bidi="ar-SA"/>
        </w:rPr>
        <w:t xml:space="preserve">وعليهم الجزية ، والأرض المذكورة قبل بعث العسكر كانت ممّا لم يصالح عليها بوجه ، ولم يوجف عليها بخيل ، وكلّ أرض كذلك فهي للإمام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الفرض ، يحرز موضوع الحكم بشرائطه بالأصل والوجدان </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2974385_2142443653"/>
      <w:bookmarkStart w:id="135" w:name="_Toc48"/>
      <w:bookmarkEnd w:id="134"/>
      <w:r>
        <w:rPr>
          <w:rtl w:val="true"/>
        </w:rPr>
        <w:t>حكم الشكّ في إذن الإمام عليه السلام</w:t>
      </w:r>
      <w:bookmarkEnd w:id="135"/>
    </w:p>
    <w:p>
      <w:pPr>
        <w:pStyle w:val="BookText"/>
        <w:rPr/>
      </w:pPr>
      <w:r>
        <w:rPr>
          <w:rFonts w:ascii="Amiri" w:hAnsi="Amiri" w:eastAsia="Amiri" w:cs="Amiri"/>
          <w:color w:val="111111"/>
          <w:sz w:val="28"/>
          <w:sz w:val="28"/>
          <w:szCs w:val="28"/>
          <w:rtl w:val="true"/>
          <w:lang w:bidi="ar-SA"/>
        </w:rPr>
        <w:t>وممّا ذكرنا يظهر حال الشكّ في إذن الإمام عليه السلام ، إذا كان المستند فيه مرسلة الورّاق</w:t>
      </w:r>
      <w:r>
        <w:rPr>
          <w:rStyle w:val="FootnoteAnchor"/>
          <w:rtl w:val="true"/>
        </w:rPr>
        <w:footnoteReference w:id="276"/>
      </w:r>
      <w:r>
        <w:rPr>
          <w:rFonts w:ascii="Amiri" w:hAnsi="Amiri" w:eastAsia="Amiri" w:cs="Amiri"/>
          <w:color w:val="111111"/>
          <w:sz w:val="28"/>
          <w:sz w:val="28"/>
          <w:szCs w:val="28"/>
          <w:rtl w:val="true"/>
          <w:lang w:bidi="ar-SA"/>
        </w:rPr>
        <w:t xml:space="preserve">فإنّ الغزو بغير إذن الإمام عليه السلام ، ليست له حالة سابقة معلومة ، والمتيقّن هو عدم الغزو بإذنه ، واستصحابه لإثبات الغزو بغير إذنه ،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حال الشكّ في كون الأرض محياة حال الفتح ؛ فإنّ الموضوع لمال الإمام عليه السلام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لم تكن محياة حال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حالة سابقة معلومة لها ، فما في ظاهر كلام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الأصل في هذا الفرض</w:t>
      </w:r>
      <w:r>
        <w:rPr>
          <w:rStyle w:val="FootnoteAnchor"/>
          <w:rtl w:val="true"/>
        </w:rPr>
        <w:footnoteReference w:id="277"/>
      </w:r>
      <w:r>
        <w:rPr>
          <w:rFonts w:ascii="Amiri" w:hAnsi="Amiri" w:eastAsia="Amiri" w:cs="Amiri"/>
          <w:color w:val="111111"/>
          <w:sz w:val="28"/>
          <w:sz w:val="28"/>
          <w:szCs w:val="28"/>
          <w:rtl w:val="true"/>
          <w:lang w:bidi="ar-SA"/>
        </w:rPr>
        <w:t xml:space="preserve">، غير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المحياة إلى زمان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كما أ نّه لو كان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لا ربّ لها إلى زمان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بإجرائه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الاُصول المذكورة أو الإشكال فيها ، يمكن إجراء أصالة بقاء </w:t>
      </w:r>
      <w:bookmarkStart w:id="136" w:name="pg15209_203750"/>
    </w:p>
    <w:p>
      <w:pPr>
        <w:pStyle w:val="BookText"/>
        <w:rPr/>
      </w:pPr>
      <w:bookmarkEnd w:id="136"/>
      <w:r>
        <w:rPr>
          <w:rFonts w:ascii="Amiri" w:hAnsi="Amiri" w:eastAsia="Amiri" w:cs="Amiri"/>
          <w:color w:val="111111"/>
          <w:sz w:val="28"/>
          <w:sz w:val="28"/>
          <w:szCs w:val="28"/>
          <w:rtl w:val="true"/>
          <w:lang w:bidi="ar-SA"/>
        </w:rPr>
        <w:t>ملك الإمام ، بناءً على كون الموات والأنفال للإمام عليه السلام في كلّ عصر ، فكانت لآدم عليه السلام ، وبعده للمصطفين الذين اصطفاهم اللّه كما هو المرويّ</w:t>
      </w:r>
      <w:r>
        <w:rPr>
          <w:rStyle w:val="FootnoteAnchor"/>
          <w:rtl w:val="true"/>
        </w:rPr>
        <w:footnoteReference w:id="278"/>
      </w:r>
      <w:r>
        <w:rPr>
          <w:rFonts w:ascii="Amiri" w:hAnsi="Amiri" w:eastAsia="Amiri" w:cs="Amiri"/>
          <w:color w:val="111111"/>
          <w:sz w:val="28"/>
          <w:sz w:val="28"/>
          <w:szCs w:val="28"/>
          <w:rtl w:val="true"/>
          <w:lang w:bidi="ar-SA"/>
        </w:rPr>
        <w:t xml:space="preserve">وإنّما خرجت عن ملكه بالإحياء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استصحاب كون الأرض نفلاً ؛ فإنّها كانت للّه تعالى قبل الإحياء ، وإنّما خرجت بالإحياء من النفل ومن كونها له تعالى بهذه الحيثية ، ومع الشكّ يستصحب بقاؤها ، فتندرج في قوله عليه السلام 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للّه فهو لرسول اللّه ، وما كان لرسول اللّه فهو للإمام عليه السلام </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وبعد الاندراج فيه تندرج في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أو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2974387_2142443653"/>
      <w:bookmarkStart w:id="138" w:name="_Toc49"/>
      <w:bookmarkEnd w:id="137"/>
      <w:r>
        <w:rPr>
          <w:rtl w:val="true"/>
        </w:rPr>
        <w:t>الأمارات المثبتة لتحقّق الإذن والعنوة والحياة</w:t>
      </w:r>
      <w:bookmarkEnd w:id="138"/>
    </w:p>
    <w:p>
      <w:pPr>
        <w:pStyle w:val="BookText"/>
        <w:rPr/>
      </w:pPr>
      <w:r>
        <w:rPr>
          <w:rFonts w:ascii="Amiri" w:hAnsi="Amiri" w:eastAsia="Amiri" w:cs="Amiri"/>
          <w:color w:val="111111"/>
          <w:sz w:val="28"/>
          <w:sz w:val="28"/>
          <w:szCs w:val="28"/>
          <w:rtl w:val="true"/>
          <w:lang w:bidi="ar-SA"/>
        </w:rPr>
        <w:t xml:space="preserve">ثمّ إنّه يثبت الفتح عنوة ، وكذا إذن الإمام عليه السلام ، والحياة حال الفتح ، بما تثبت به سائر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الشياع المفيد للعلم ، والاطمئنان ، والبيّنة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الظنّ الحاصل من الشياع أو من غيره ، ففي كفايته إشكال ، بل منع ، كما </w:t>
      </w:r>
    </w:p>
    <w:p>
      <w:pPr>
        <w:pStyle w:val="BookText"/>
        <w:rPr/>
      </w:pPr>
      <w:r>
        <w:rPr>
          <w:rFonts w:ascii="Amiri" w:hAnsi="Amiri" w:eastAsia="Amiri" w:cs="Amiri"/>
          <w:color w:val="111111"/>
          <w:sz w:val="28"/>
          <w:sz w:val="28"/>
          <w:szCs w:val="28"/>
          <w:rtl w:val="true"/>
          <w:lang w:bidi="ar-SA"/>
        </w:rPr>
        <w:t xml:space="preserve">أنّ الثبوت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جواز الرجوع إلى أهل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كالرجوع إلى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حصول الشياع المفيد للعلم ، يشترط فيه ما يشترط في التواتر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كون الشياع في جميع الطبقات إلى زمان الواقعة ، فلو شاعت قضيّة تأريخية في عصرنا كمال الشيوع ، لكن كان مستند الشياع نقل عدد معدود من أهل التأريخ ، لا يحصل من ذلك العلم بنفس القضيّة ، بل يحصل منه العلم بوجودها في كتب التأريخ ، وهو غير 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البيّنة ، فإن قامت على بيّنة سابقة عليها سماعاً ، والسابقة على سابقتها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متسلسلاً إلى زمان الواقعة ، فلا إشكال في 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شهد عدلان في هذا العصر بالواقعة التي حدثت في صدر الإسلام ، وكان مستند علمهم عين ما لا يحصل منه العلم لنا ، وإن حصل للبيّنة ، ففي حجّيتها إشكال ، بل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شهدت عدّة لم تثبت عدالتهم برؤية الهلال ، ولم يحصل لنا العلم برؤيتهم ، ولكن حصل العلم للعدلين من شهادتهم ، ثمّ شهدا بثبوت الهلال ، فالاتّكال على قولهما مشكل ، ودليل حجّية قول البيّنة منصرف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شهدا ولم نعلم مستندهما في ذلك ، فلا إشكال في الحجّية ، لكن المستند في المورد المبحوث عنه معلوم ، ولا يحتمل كون شيء وراء التواريخ عندهما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القضايا التأريخية شرعاً من الأعصار القديمة بنقل </w:t>
      </w:r>
      <w:bookmarkStart w:id="139" w:name="pg15209_203752"/>
    </w:p>
    <w:p>
      <w:pPr>
        <w:pStyle w:val="BookText"/>
        <w:rPr/>
      </w:pPr>
      <w:bookmarkEnd w:id="139"/>
      <w:r>
        <w:rPr>
          <w:rFonts w:ascii="Amiri" w:hAnsi="Amiri" w:eastAsia="Amiri" w:cs="Amiri"/>
          <w:color w:val="111111"/>
          <w:sz w:val="28"/>
          <w:sz w:val="28"/>
          <w:szCs w:val="28"/>
          <w:rtl w:val="true"/>
          <w:lang w:bidi="ar-SA"/>
        </w:rPr>
        <w:t xml:space="preserve">المؤرّخين ، في غاية الإشكال ، ولا سيّما مع ما نرى من اختلاف الناقلين ، ومع ملاحظة ما نرى من عدم إتقان التواريخ التي تنقل القضايا الواقعة في عصرنا ، والأعصار متشابهة ، والأهواء كثيرة </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2974389_2142443653"/>
      <w:bookmarkStart w:id="141" w:name="_Toc50"/>
      <w:bookmarkEnd w:id="140"/>
      <w:r>
        <w:rPr>
          <w:rtl w:val="true"/>
        </w:rPr>
        <w:t>حكم أرض العراق</w:t>
      </w:r>
      <w:bookmarkEnd w:id="141"/>
    </w:p>
    <w:p>
      <w:pPr>
        <w:pStyle w:val="BookText"/>
        <w:rPr/>
      </w:pPr>
      <w:r>
        <w:rPr>
          <w:rFonts w:ascii="Amiri" w:hAnsi="Amiri" w:eastAsia="Amiri" w:cs="Amiri"/>
          <w:color w:val="111111"/>
          <w:sz w:val="28"/>
          <w:sz w:val="28"/>
          <w:szCs w:val="28"/>
          <w:rtl w:val="true"/>
          <w:lang w:bidi="ar-SA"/>
        </w:rPr>
        <w:t xml:space="preserve">ثمّ إنّ الشيخ الأعظم قدّس سرّه ، قد تشبّث لثبوت الإذن في أرض العراق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تدلّ على أ نّها ملك المسلمين</w:t>
      </w:r>
      <w:r>
        <w:rPr>
          <w:rStyle w:val="FootnoteAnchor"/>
          <w:rtl w:val="true"/>
        </w:rPr>
        <w:footnoteReference w:id="282"/>
      </w:r>
      <w:r>
        <w:rPr>
          <w:rFonts w:ascii="Amiri" w:hAnsi="Amiri" w:eastAsia="Amiri" w:cs="Amiri"/>
          <w:color w:val="111111"/>
          <w:sz w:val="28"/>
          <w:sz w:val="28"/>
          <w:szCs w:val="28"/>
          <w:rtl w:val="true"/>
          <w:lang w:bidi="ar-SA"/>
        </w:rPr>
        <w:t xml:space="preserve">، وسيأتي الكلام فيها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وقد تقدّم الكلام فيه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اشتهر من حضور أبي محمّد الحسن عليه السلام في بعض الغزوات ، ودخول بعض خواصّ أمير المؤمنين عليه السلام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ثبوت حضور أبي محمّد عليه السلام في تلك الغزوات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يدلّ على رضاهم ، ولعلّهم كانوا في ذلك مجبورين ملزمين ، ومعلوم أ نّه لم يمكن لهم التخلّف عن أمر المتصدّين للخلافة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الاكتفاء عن الإذن المنصوص في مرسلة الورّاق</w:t>
      </w:r>
      <w:r>
        <w:rPr>
          <w:rStyle w:val="FootnoteAnchor"/>
          <w:rtl w:val="true"/>
        </w:rPr>
        <w:footnoteReference w:id="287"/>
      </w:r>
      <w:r>
        <w:rPr>
          <w:rFonts w:ascii="IRNazanin" w:hAnsi="IRNazanin" w:eastAsia="IRNazanin"/>
          <w:color w:val="111111"/>
          <w:sz w:val="28"/>
          <w:sz w:val="28"/>
          <w:szCs w:val="28"/>
          <w:rtl w:val="true"/>
          <w:lang w:bidi="fa-IR"/>
        </w:rPr>
        <w:t xml:space="preserve">بالعلم من </w:t>
      </w:r>
    </w:p>
    <w:p>
      <w:pPr>
        <w:pStyle w:val="BookText"/>
        <w:rPr/>
      </w:pPr>
      <w:r>
        <w:rPr>
          <w:rFonts w:ascii="Amiri" w:hAnsi="Amiri" w:eastAsia="Amiri" w:cs="Amiri"/>
          <w:color w:val="111111"/>
          <w:sz w:val="28"/>
          <w:sz w:val="28"/>
          <w:szCs w:val="28"/>
          <w:rtl w:val="true"/>
          <w:lang w:bidi="ar-SA"/>
        </w:rPr>
        <w:t>شاهد الحال برضاهم بالفتوحات الإسلامية ، الموجبة لتأيّد هذا الدين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مرسلة الورّاق ، اعتبار أمر الإمام عليه السلام ، ومقتضى صحيحة معاوية بن وهب</w:t>
      </w:r>
      <w:r>
        <w:rPr>
          <w:rStyle w:val="FootnoteAnchor"/>
          <w:rtl w:val="true"/>
        </w:rPr>
        <w:footnoteReference w:id="289"/>
      </w:r>
      <w:r>
        <w:rPr>
          <w:rFonts w:ascii="Amiri" w:hAnsi="Amiri" w:eastAsia="Amiri" w:cs="Amiri"/>
          <w:color w:val="111111"/>
          <w:sz w:val="28"/>
          <w:sz w:val="28"/>
          <w:szCs w:val="28"/>
          <w:rtl w:val="true"/>
          <w:lang w:bidi="ar-SA"/>
        </w:rPr>
        <w:t xml:space="preserve">اعتبار أمير أمّره الإمام عليه السلام ، والعلم برضا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شيئاً من العنوانين ، بل مقتضاهما عدم كفاية الإذن في صيرورة الأرض خراجية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كفايته ، لكن الرضا غير الإذن ، فمع الرضا تصير الأرض وغيرها من الغنائم للإمام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الصادر من الغزاة من فتح البلاد على الوجه الصحيح ، وهو كونه بأمر الإمام عليه السلام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الفتح لا يتّصف بالصحّة والفساد ، وكذا الغزو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يتّصفان بالحرمة والحلّية ، لكن لا دليل على الحمل على الحلال ؛ لا من بناء العقلاء ، ولا غيره ، وعدم الحمل على الحرمة غير الحمل على الحلّية ، مع أنّ كشف إذن الإمام عليه السلام عنه محلّ إشكال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اُريد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يترتّب عليه أثر شرعاً ، لم يفد في المقام ؛ لأنّ الغزو أو الفتح بإذنه وإن كان يترتّب عليه أثر شرعاً ، وهو صيرورة المفتوح ملكاً </w:t>
      </w:r>
    </w:p>
    <w:p>
      <w:pPr>
        <w:pStyle w:val="BookText"/>
        <w:rPr/>
      </w:pPr>
      <w:r>
        <w:rPr>
          <w:rFonts w:ascii="Amiri" w:hAnsi="Amiri" w:eastAsia="Amiri" w:cs="Amiri"/>
          <w:color w:val="111111"/>
          <w:sz w:val="28"/>
          <w:sz w:val="28"/>
          <w:szCs w:val="28"/>
          <w:rtl w:val="true"/>
          <w:lang w:bidi="ar-SA"/>
        </w:rPr>
        <w:t xml:space="preserve">للمسلمين ، لكن الغزو بغير إذنه أيضاً يترتّب عليه أثر شرعاً ، وهو صيرورته ملكاً للإمام عليه السلام ، فالحمل على أحدهما بلا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مورد الحمل على الصحّة ، ما إذا لم يعتقد الفاعل عدم دخالة الشرط ، ومعه لا يحمل على الصحّة ، وحصول الشرط من باب الاتّفاق ، وفي المقام لم يعتقد الغزاة دخالة هذا الشرط ، بل الأكثر لم يعتقدوا إمامتهم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فطائفة منها وردت في خصوص أرض السواد ، وهي صحيحة الحلبي</w:t>
      </w:r>
      <w:r>
        <w:rPr>
          <w:rStyle w:val="FootnoteAnchor"/>
          <w:rtl w:val="true"/>
        </w:rPr>
        <w:footnoteReference w:id="291"/>
      </w:r>
      <w:r>
        <w:rPr>
          <w:rFonts w:ascii="Amiri" w:hAnsi="Amiri" w:eastAsia="Amiri" w:cs="Amiri"/>
          <w:color w:val="111111"/>
          <w:sz w:val="28"/>
          <w:sz w:val="28"/>
          <w:szCs w:val="28"/>
          <w:rtl w:val="true"/>
          <w:lang w:bidi="ar-SA"/>
        </w:rPr>
        <w:t>ورواية أبي الربيع الشامي</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 السواد للمسلمين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فيء للمسلمين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استدلّ بها الشيخ الأعظم قدّس سرّه على أ نّها مفتوحة بإذن الإمام عليه السلام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المحتمل أن يكون الحكم فيها لأجل كونها مفتوحة بإذنه ، وأن يكون لأجل عدم اعتبار إذنه عليه السلام في خصوص أرض السواد ، أو في الأرض مطلقاً ، أو عدم اعتباره في زمان عدم بسط يده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 الإذن وإن كان معتبراً ، ولكنّها اُلحقت بالخراجية حكماً لا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مصلحة المسلمين ، أو لأجل التقيّة وعدم قدرة أمير المؤمنين عليه السلام على تغيير ما فعله المتصدّون للخلافة ، ولا سيّما في مثل تلك الواقعة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منها أ نّها خراجية موضوعاً ، والإلحاق الحكمي خلاف الظاهر ، </w:t>
      </w:r>
      <w:bookmarkStart w:id="142" w:name="pg15209_203755"/>
    </w:p>
    <w:p>
      <w:pPr>
        <w:pStyle w:val="BookText"/>
        <w:rPr/>
      </w:pPr>
      <w:bookmarkEnd w:id="142"/>
      <w:r>
        <w:rPr>
          <w:rFonts w:ascii="Amiri" w:hAnsi="Amiri" w:eastAsia="Amiri" w:cs="Amiri"/>
          <w:color w:val="111111"/>
          <w:sz w:val="28"/>
          <w:sz w:val="28"/>
          <w:szCs w:val="28"/>
          <w:rtl w:val="true"/>
          <w:lang w:bidi="ar-SA"/>
        </w:rPr>
        <w:t xml:space="preserve">فدار الأمر بين الاحتمالين الأوّلين ؛ أي اعتبار الإذن وتحقّقه ، وعدم اعتباره ، ولا مرجّح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الأدلّة عن كون الفتح بإذنه</w:t>
      </w:r>
      <w:r>
        <w:rPr>
          <w:rStyle w:val="FootnoteAnchor"/>
          <w:rtl w:val="true"/>
        </w:rPr>
        <w:footnoteReference w:id="294"/>
      </w:r>
      <w:r>
        <w:rPr>
          <w:rFonts w:ascii="Amiri" w:hAnsi="Amiri" w:eastAsia="Amiri" w:cs="Amiri"/>
          <w:color w:val="111111"/>
          <w:sz w:val="28"/>
          <w:sz w:val="28"/>
          <w:szCs w:val="28"/>
          <w:rtl w:val="true"/>
          <w:lang w:bidi="ar-SA"/>
        </w:rPr>
        <w:t xml:space="preserve">، مبنيّ على مبنىً غير مرضيّ ؛ فإنّ أصالة العموم أو الإطلاق ، إنّما هي حجّة في كشف المراد ، وأمّا بعد معلوميته ، ودوران الأمر بين التقييد أو التخصيص ، وبين الخروج موضوعاً أو التخصّص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كون زيد العالم واجب الإكرام ، فأصالة العموم محكّمة ، وأمّا لو علم عدم وجوب إكرامه ، وشكّ في كونه عالماً حتّى يكون الخروج تخصيصاً ، أو جاهلاً حتّى يكون تخصّصاً ، فلا أصل يحرز ذلك ، ويكشف حال الفرد ، والتفصيل في مقامه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دليل على أنّ الفتح كان بأمره أو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الكلام في الشرط الآخر ، وهو كون الأرض محياةً حال الفتح ، فإنّ الدوران بين التخصيص والتخصّص ، بالنسبة إلى ما تدلّ على أنّ الموات للإمام عليه السلام ، جارٍ هنا أيضاً ، ولا دليل على كشف وجود الشرط </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2974391_2142443653"/>
      <w:bookmarkStart w:id="144" w:name="_Toc51"/>
      <w:bookmarkEnd w:id="143"/>
      <w:r>
        <w:rPr>
          <w:rtl w:val="true"/>
        </w:rPr>
        <w:t xml:space="preserve">المراد من </w:t>
      </w:r>
      <w:r>
        <w:rPr>
          <w:rtl w:val="true"/>
        </w:rPr>
        <w:t>«</w:t>
      </w:r>
      <w:r>
        <w:rPr>
          <w:rtl w:val="true"/>
        </w:rPr>
        <w:t>أرض السواد</w:t>
      </w:r>
      <w:r>
        <w:rPr>
          <w:rtl w:val="true"/>
        </w:rPr>
        <w:t>»</w:t>
      </w:r>
      <w:bookmarkEnd w:id="14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الروايتين المتقدّمتين ، أنّ أرض العراق مطلقاً خراجية ، فبناءً على كشفه عن 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الشرط ، يدلّ على أ نّها كانت محياة فعرضها الموت المشهود فعلاً ، كما ذهب إليه </w:t>
      </w:r>
    </w:p>
    <w:p>
      <w:pPr>
        <w:pStyle w:val="BookText"/>
        <w:rPr/>
      </w:pPr>
      <w:r>
        <w:rPr>
          <w:rFonts w:ascii="Amiri" w:hAnsi="Amiri" w:eastAsia="Amiri" w:cs="Amiri"/>
          <w:color w:val="111111"/>
          <w:sz w:val="28"/>
          <w:sz w:val="28"/>
          <w:szCs w:val="28"/>
          <w:rtl w:val="true"/>
          <w:lang w:bidi="ar-SA"/>
        </w:rPr>
        <w:t xml:space="preserve">الشيخ الأعظم قدّس سرّه </w:t>
      </w:r>
      <w:r>
        <w:rPr>
          <w:rStyle w:val="FootnoteAnchor"/>
          <w:rtl w:val="true"/>
        </w:rPr>
        <w:footnoteReference w:id="296"/>
      </w:r>
      <w:r>
        <w:rPr>
          <w:rFonts w:ascii="Amiri" w:hAnsi="Amiri" w:eastAsia="Amiri" w:cs="Amiri"/>
          <w:color w:val="111111"/>
          <w:sz w:val="28"/>
          <w:sz w:val="28"/>
          <w:szCs w:val="28"/>
          <w:rtl w:val="true"/>
          <w:lang w:bidi="ar-SA"/>
        </w:rPr>
        <w:t>، وأيّده بمقدار المساحة التي وردت في كتب النقل</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منشأ التوهّم هو 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السواد هو العراق</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مع أنّ الواقع خلاف ذلك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نصّ عليه أئمّة اللغة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رستاق العراق وقراها ، والأرض المحيطة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السواد من البلدة قراها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رستاق العراق</w:t>
      </w:r>
      <w:r>
        <w:rPr>
          <w:rStyle w:val="FootnoteAnchor"/>
          <w:rtl w:val="true"/>
        </w:rPr>
        <w:footnoteReference w:id="299"/>
      </w:r>
      <w:r>
        <w:rPr>
          <w:rFonts w:ascii="Amiri" w:hAnsi="Amiri" w:eastAsia="Amiri" w:cs="Amiri"/>
          <w:color w:val="111111"/>
          <w:sz w:val="28"/>
          <w:sz w:val="28"/>
          <w:szCs w:val="28"/>
          <w:rtl w:val="true"/>
          <w:lang w:bidi="ar-SA"/>
        </w:rPr>
        <w:t xml:space="preserve">، والرستاق هو القرى وما يحيط بها من الأرضين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 العراق لما بين البصرة والكوفة ، ولما حولهما من القرى</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سواد الكوفة والبصرة قراهما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 الكوفة نخيلها وأشجارها ، ومثله سواد العراق</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التمدّن الإسلامي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ويسمّى ما بين دجلة والفرات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أرض السواد ، فهي الأرض المغنومة من الفرس التي </w:t>
      </w:r>
    </w:p>
    <w:p>
      <w:pPr>
        <w:pStyle w:val="BookText"/>
        <w:rPr/>
      </w:pPr>
      <w:r>
        <w:rPr>
          <w:rFonts w:ascii="Amiri" w:hAnsi="Amiri" w:eastAsia="Amiri" w:cs="Amiri"/>
          <w:color w:val="111111"/>
          <w:sz w:val="28"/>
          <w:sz w:val="28"/>
          <w:szCs w:val="28"/>
          <w:rtl w:val="true"/>
          <w:lang w:bidi="ar-SA"/>
        </w:rPr>
        <w:t>فتحها عمر ، وهي سواد العراق</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سواد العراق غير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تأييد الشيخ الأعظم قدّس سرّه ما أفاده بالمساحة المنقولة ، وهي ستّة أو اثنان وثلاثون ألف ألف جريب</w:t>
      </w:r>
      <w:r>
        <w:rPr>
          <w:rStyle w:val="FootnoteAnchor"/>
          <w:rtl w:val="true"/>
        </w:rPr>
        <w:footnoteReference w:id="305"/>
      </w:r>
      <w:r>
        <w:rPr>
          <w:rFonts w:ascii="Amiri" w:hAnsi="Amiri" w:eastAsia="Amiri" w:cs="Amiri"/>
          <w:color w:val="111111"/>
          <w:sz w:val="28"/>
          <w:sz w:val="28"/>
          <w:szCs w:val="28"/>
          <w:rtl w:val="true"/>
          <w:lang w:bidi="ar-SA"/>
        </w:rPr>
        <w:t xml:space="preserve">، مع أنّ هذا المقدار في مقابل مساحة العراق ، شيء قليل ؛ فإنّ مساحته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جغرافية العراق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438446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المنجد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فبناءً على كون الجريب ألف متر مربّع ، تصير على التقدير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438446000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جريب ، وعلى الثاني أكثر منه ، فمساحته بالنسبة إلى التقدير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ستّة أو اثنين وثلاثين ألف ألف جريب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بكثير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الجريب ستّين ذراعاً في ستّين ذراعاً ، وهو نصف الذرع ، كانت مساحة العراق أيضاً أكثر من التقدير المذكور بكثير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لازم كون جميع أرض العراق في عصر الفتح معمورة ومحياة ، أن تكون نفوسها أكثر من العدد المعهود من سكّانها بكثير ، وهو واضح الخلاف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تمام أرض العراق ، يقع التعارض بين صحيحة الحلبي</w:t>
      </w:r>
      <w:r>
        <w:rPr>
          <w:rStyle w:val="FootnoteAnchor"/>
          <w:rtl w:val="true"/>
        </w:rPr>
        <w:footnoteReference w:id="307"/>
      </w:r>
      <w:r>
        <w:rPr>
          <w:rFonts w:ascii="Amiri" w:hAnsi="Amiri" w:eastAsia="Amiri" w:cs="Amiri"/>
          <w:color w:val="111111"/>
          <w:sz w:val="28"/>
          <w:sz w:val="28"/>
          <w:szCs w:val="28"/>
          <w:rtl w:val="true"/>
          <w:lang w:bidi="ar-SA"/>
        </w:rPr>
        <w:t>ورواية أبي الربيع</w:t>
      </w:r>
      <w:r>
        <w:rPr>
          <w:rStyle w:val="FootnoteAnchor"/>
          <w:rtl w:val="true"/>
        </w:rPr>
        <w:footnoteReference w:id="308"/>
      </w:r>
      <w:r>
        <w:rPr>
          <w:rFonts w:ascii="Amiri" w:hAnsi="Amiri" w:eastAsia="Amiri" w:cs="Amiri"/>
          <w:color w:val="111111"/>
          <w:sz w:val="28"/>
          <w:sz w:val="28"/>
          <w:szCs w:val="28"/>
          <w:rtl w:val="true"/>
          <w:lang w:bidi="ar-SA"/>
        </w:rPr>
        <w:t xml:space="preserve">وبين ما تدلّ على أنّ الموات </w:t>
      </w:r>
    </w:p>
    <w:p>
      <w:pPr>
        <w:pStyle w:val="BookText"/>
        <w:rPr/>
      </w:pPr>
      <w:r>
        <w:rPr>
          <w:rFonts w:ascii="Amiri" w:hAnsi="Amiri" w:eastAsia="Amiri" w:cs="Amiri"/>
          <w:color w:val="111111"/>
          <w:sz w:val="28"/>
          <w:sz w:val="28"/>
          <w:szCs w:val="28"/>
          <w:rtl w:val="true"/>
          <w:lang w:bidi="ar-SA"/>
        </w:rPr>
        <w:t xml:space="preserve">للإمام عليه السلام </w:t>
      </w:r>
      <w:r>
        <w:rPr>
          <w:rStyle w:val="FootnoteAnchor"/>
          <w:rtl w:val="true"/>
        </w:rPr>
        <w:footnoteReference w:id="309"/>
      </w:r>
      <w:r>
        <w:rPr>
          <w:rFonts w:ascii="Amiri" w:hAnsi="Amiri" w:eastAsia="Amiri" w:cs="Amiri"/>
          <w:color w:val="111111"/>
          <w:sz w:val="28"/>
          <w:sz w:val="28"/>
          <w:szCs w:val="28"/>
          <w:rtl w:val="true"/>
          <w:lang w:bidi="ar-SA"/>
        </w:rPr>
        <w:t xml:space="preserve">فيكون الترجيح للثانية ؛ لموافقتها للكتاب ، فإنّ الأنفال للّه والرسول ، ومنها الموات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أرض العراق أو محياتها ، لم تكن الصحيحة حجّة في مواتها ، فيؤخذ بالروايات الدالّة على أ نّها للإمام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أرض الأعتاب المقدّسة وسائر ما حدثت فيه العمارة في عصر الخلفاء ومن بعدهم ، باقية تحت الأصل الذي قدّمناه ؛ من كونها للإمام عليه السلام ، وأنّ من أحياها فهي له ، فلا يبقى إشكال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بأنّ كثيراً من أرض العراق كانت محياةً ، فلا بدّ من الاحتراز عن الجميع</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كثيراً من البلاد معلومة حياتها في عصر الفتح تفصيلاً ، وهي التي كانت في صدر الإسلام معروفة مذكورة في جميع الكتب والتواريخ ، وليس لنا علم زائداً على ما ذكر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الغضّ عن عدم منجّزية العلم الإجمالي ، فيما إذا كان بعض الأطراف خارجاً عن محلّ الابتلاء ، لا لما ذكروه من الوجه في عدم منجّزيته</w:t>
      </w:r>
      <w:r>
        <w:rPr>
          <w:rStyle w:val="FootnoteAnchor"/>
          <w:rtl w:val="true"/>
        </w:rPr>
        <w:footnoteReference w:id="311"/>
      </w:r>
      <w:r>
        <w:rPr>
          <w:rFonts w:ascii="Amiri" w:hAnsi="Amiri" w:eastAsia="Amiri" w:cs="Amiri"/>
          <w:color w:val="111111"/>
          <w:sz w:val="28"/>
          <w:sz w:val="28"/>
          <w:szCs w:val="28"/>
          <w:rtl w:val="true"/>
          <w:lang w:bidi="ar-SA"/>
        </w:rPr>
        <w:t>، بل لما ذكرناه في محلّه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145" w:name="pg15209_203759"/>
    </w:p>
    <w:p>
      <w:pPr>
        <w:pStyle w:val="Heading5"/>
        <w:numPr>
          <w:ilvl w:val="4"/>
          <w:numId w:val="1"/>
        </w:numPr>
        <w:rPr/>
      </w:pPr>
      <w:bookmarkStart w:id="146" w:name="__RefHeading___Toc2974393_2142443653"/>
      <w:bookmarkStart w:id="147" w:name="_Toc52"/>
      <w:bookmarkEnd w:id="145"/>
      <w:bookmarkEnd w:id="146"/>
      <w:r>
        <w:rPr>
          <w:rtl w:val="true"/>
        </w:rPr>
        <w:t>حكم التصرّف في أرض العراق وغيره</w:t>
      </w:r>
      <w:bookmarkEnd w:id="147"/>
    </w:p>
    <w:p>
      <w:pPr>
        <w:pStyle w:val="BookText"/>
        <w:rPr/>
      </w:pPr>
      <w:r>
        <w:rPr>
          <w:rFonts w:ascii="Amiri" w:hAnsi="Amiri" w:eastAsia="Amiri" w:cs="Amiri"/>
          <w:color w:val="111111"/>
          <w:sz w:val="28"/>
          <w:sz w:val="28"/>
          <w:szCs w:val="28"/>
          <w:rtl w:val="true"/>
          <w:lang w:bidi="ar-SA"/>
        </w:rPr>
        <w:t xml:space="preserve">ثمّ إن قلنا في المحياة منها حال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مجموع روايات الباب ، أنّ تلك الأرضين خراجية حكماً لا موضوعاً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الإمام عليه السلام</w:t>
      </w:r>
    </w:p>
    <w:p>
      <w:pPr>
        <w:pStyle w:val="BookText"/>
        <w:rPr/>
      </w:pPr>
      <w:r>
        <w:rPr>
          <w:rFonts w:ascii="Amiri" w:hAnsi="Amiri" w:eastAsia="Amiri" w:cs="Amiri"/>
          <w:color w:val="111111"/>
          <w:sz w:val="28"/>
          <w:sz w:val="28"/>
          <w:szCs w:val="28"/>
          <w:rtl w:val="true"/>
          <w:lang w:bidi="ar-SA"/>
        </w:rPr>
        <w:t xml:space="preserve">أجاز ما فعله الحكّام ؛ من أخذ الخراج وصرفه ، لا أ نّها خرجت عن ملك الإمام عليه السلام ؛ وصارت 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 لما مرّ من أ نّه لا ينافي ذلك إجازته للشيعة في الإحياء ، والتملّك ، والتصرّفات الاُخر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والنهي عن 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 المتقدّمة</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منافياً لذلك ، لكن يمكن صدورها لأجل مصلحة ، أو لتقيّة من الخلفاء ، ولا سيّما في مثل هذا الأمر الذي هو مضادّ لمقام السلطنة ، وولايتهم الجائرة ، ولهذا ترى ورود الإجازة في أخذ الجوائز</w:t>
      </w:r>
      <w:r>
        <w:rPr>
          <w:rStyle w:val="FootnoteAnchor"/>
          <w:rtl w:val="true"/>
        </w:rPr>
        <w:footnoteReference w:id="316"/>
      </w:r>
      <w:r>
        <w:rPr>
          <w:rFonts w:ascii="Amiri" w:hAnsi="Amiri" w:eastAsia="Amiri" w:cs="Amiri"/>
          <w:color w:val="111111"/>
          <w:sz w:val="28"/>
          <w:sz w:val="28"/>
          <w:szCs w:val="28"/>
          <w:rtl w:val="true"/>
          <w:lang w:bidi="ar-SA"/>
        </w:rPr>
        <w:t>وبقاء الأرض الخراجية تحت يد بعض الشيعة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الأرضين من العراق وغيره التي فتحت بعد النبي صلي الله عليه و آله وسلم ، خراجية واقعاً</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لحصول الشروط ، أو لسقوطها مع عدم بسط يد الإمام عليه السلام ، </w:t>
      </w:r>
    </w:p>
    <w:p>
      <w:pPr>
        <w:pStyle w:val="BookText"/>
        <w:rPr/>
      </w:pP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خلفاء الجور إن أخذوا الخراج باسمه ، وصرفوه كلاًّ أو بعضاً في المصارف المقرّرة من المصالح العامّة ، كانت أعمالهم نافذة ؛ لكون ذلك من الحسبيات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عدم إمكان تصدّي من له الحقّ ، لو تصدّى غيره جاز ونفذ ، وإن كان معاقباً لتصدّي ما ليس له ، بل في نفس التصرّفات أيضاً ، نظير من جعل نفسه مضطرّاً لأكل الميتة لحفظ نفسه ،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يجب عليه حفظها ، ويعاقب على أكل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الخراج متروكاً أخذاً وصرفاً ، أو صرفاً فقط ، ودار الأمر بين ترك تلك الأرضين الخراجية خربة ، وجلاء أهلها إلى محالّ اُخر ؛ ممّا هو غير مرضيّ للشارع الأقدس ، وبين بقاء القاطنين وتعميرهم الأرضين ، وصرف منافعها في إعاشتهم التي هي أيضاً من المصالح في الرتبة المتأخّرة ، كان الثاني متعيّناً بعد عدم إمكان القيام بالمصالح العامّة ؛ من الجهاد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اُغمض عنه أيضاً ، فكما أنّ للنبي والإمام عليهما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بولايتهم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في تلك الظروف في تملّكها وبيعها وشرائها بعد اقتضاء المصلحة ، كذلك للفقيه العدل ذلك ؛ لولايته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مع احتمال الصحّة في تصرّفات المسلمين وأيديهم على الأرضين ، يؤخذ بمقتضى أيديهم ، وتحمل أعمالهم على الصحّة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الأرضين وصلت إلى الطبقة الموجودة من أيدي أسلافهم ، مع احتمال كون تملّكهم على وجه شرعي ، فيجوز لنا ولهم ترتيب آثار الملكية </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5209_203762"/>
      <w:bookmarkStart w:id="149" w:name="pg15209_203762"/>
      <w:bookmarkEnd w:id="149"/>
    </w:p>
    <w:p>
      <w:pPr>
        <w:pStyle w:val="Heading3"/>
        <w:numPr>
          <w:ilvl w:val="2"/>
          <w:numId w:val="1"/>
        </w:numPr>
        <w:rPr/>
      </w:pPr>
      <w:bookmarkStart w:id="150" w:name="pg15209_203762"/>
      <w:bookmarkStart w:id="151" w:name="__RefHeading___Toc2974395_2142443653"/>
      <w:bookmarkStart w:id="152" w:name="_Toc53"/>
      <w:bookmarkEnd w:id="150"/>
      <w:bookmarkEnd w:id="151"/>
      <w:r>
        <w:rPr>
          <w:rtl w:val="true"/>
        </w:rPr>
        <w:t>الشرط الثاني</w:t>
      </w:r>
      <w:r>
        <w:rPr>
          <w:rtl w:val="true"/>
        </w:rPr>
        <w:t xml:space="preserve">: </w:t>
      </w:r>
      <w:r>
        <w:rPr>
          <w:rtl w:val="true"/>
        </w:rPr>
        <w:t>كون العوضين ملكاً طلقاً</w:t>
      </w:r>
      <w:bookmarkEnd w:id="1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2974397_2142443653"/>
      <w:bookmarkStart w:id="154" w:name="_Toc54"/>
      <w:bookmarkEnd w:id="153"/>
      <w:r>
        <w:rPr>
          <w:rtl w:val="true"/>
        </w:rPr>
        <w:t>اشارة</w:t>
      </w:r>
      <w:bookmarkEnd w:id="15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5209_203764"/>
      <w:bookmarkStart w:id="156" w:name="pg15209_203764"/>
      <w:bookmarkEnd w:id="156"/>
    </w:p>
    <w:p>
      <w:pPr>
        <w:pStyle w:val="Heading4"/>
        <w:numPr>
          <w:ilvl w:val="3"/>
          <w:numId w:val="1"/>
        </w:numPr>
        <w:rPr/>
      </w:pPr>
      <w:bookmarkStart w:id="157" w:name="pg15209_203764"/>
      <w:bookmarkStart w:id="158" w:name="__RefHeading___Toc2974399_2142443653"/>
      <w:bookmarkStart w:id="159" w:name="_Toc55"/>
      <w:bookmarkEnd w:id="157"/>
      <w:bookmarkEnd w:id="158"/>
      <w:r>
        <w:rPr>
          <w:rtl w:val="true"/>
        </w:rPr>
        <w:t>اعتبار كون العوضين ملكاً طلقاً</w:t>
      </w:r>
      <w:bookmarkEnd w:id="159"/>
    </w:p>
    <w:p>
      <w:pPr>
        <w:pStyle w:val="Heading4"/>
        <w:numPr>
          <w:ilvl w:val="3"/>
          <w:numId w:val="1"/>
        </w:numPr>
        <w:rPr/>
      </w:pPr>
      <w:bookmarkStart w:id="160" w:name="__RefHeading___Toc2974401_2142443653"/>
      <w:bookmarkStart w:id="161" w:name="_Toc56"/>
      <w:bookmarkEnd w:id="160"/>
      <w:r>
        <w:rPr>
          <w:rtl w:val="true"/>
        </w:rPr>
        <w:t>بيان المراد من الطِلقية</w:t>
      </w:r>
      <w:bookmarkEnd w:id="161"/>
    </w:p>
    <w:p>
      <w:pPr>
        <w:pStyle w:val="BookText"/>
        <w:rPr/>
      </w:pPr>
      <w:r>
        <w:rPr>
          <w:rFonts w:ascii="Amiri" w:hAnsi="Amiri" w:eastAsia="Amiri" w:cs="Amiri"/>
          <w:color w:val="111111"/>
          <w:sz w:val="28"/>
          <w:sz w:val="28"/>
          <w:szCs w:val="28"/>
          <w:rtl w:val="true"/>
          <w:lang w:bidi="ar-SA"/>
        </w:rPr>
        <w:t xml:space="preserve">ثمّ إنّ المحكيّ عن الفاضلين وجمع ممّن تأخّر عنهما في شروط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طلقاً </w:t>
      </w:r>
      <w:r>
        <w:rPr>
          <w:rStyle w:val="FootnoteAnchor"/>
          <w:rtl w:val="true"/>
        </w:rPr>
        <w:footnoteReference w:id="319"/>
      </w:r>
      <w:r>
        <w:rPr>
          <w:rFonts w:ascii="Amiri" w:hAnsi="Amiri" w:eastAsia="Amiri" w:cs="Amiri"/>
          <w:color w:val="111111"/>
          <w:sz w:val="28"/>
          <w:sz w:val="28"/>
          <w:szCs w:val="28"/>
          <w:rtl w:val="true"/>
          <w:lang w:bidi="ar-SA"/>
        </w:rPr>
        <w:t xml:space="preserve">، وفرّعوا عليه عدم جواز بيع الوقف والرهن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فسّرت الطلقية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الملكية</w:t>
      </w:r>
      <w:r>
        <w:rPr>
          <w:rStyle w:val="FootnoteAnchor"/>
          <w:rtl w:val="true"/>
        </w:rPr>
        <w:footnoteReference w:id="320"/>
      </w:r>
      <w:r>
        <w:rPr>
          <w:rFonts w:ascii="Amiri" w:hAnsi="Amiri" w:eastAsia="Amiri" w:cs="Amiri"/>
          <w:color w:val="111111"/>
          <w:sz w:val="28"/>
          <w:sz w:val="28"/>
          <w:szCs w:val="28"/>
          <w:rtl w:val="true"/>
          <w:lang w:bidi="ar-SA"/>
        </w:rPr>
        <w:t xml:space="preserve">،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السلطنة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المراد من تمام الملكية ، أن يكون ملكاً محضاً خالصاً عن تعلّق حقّ به ، ففيه ما لا يخفى ؛ فإنّ العين المستأجرة يجوز بيعها ، مع عدم كونها ملكاً محضاً بهذا المعنى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المراد ، خلوّها عن الموانع المعدودة المتفرّعة عليه ، فهو لا يرجع إلى محصّل ، وبهذا يظهر الكلام في التفسير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تمام السلطنة من شرائط المتعاملين ، لا العوضين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الطلق انتفاء الموانع كما أفاده الشيخ الأعظم قدّس سرّه </w:t>
      </w:r>
      <w:r>
        <w:rPr>
          <w:rStyle w:val="FootnoteAnchor"/>
          <w:rtl w:val="true"/>
        </w:rPr>
        <w:footnoteReference w:id="322"/>
      </w:r>
      <w:r>
        <w:rPr>
          <w:rFonts w:ascii="Amiri" w:hAnsi="Amiri" w:eastAsia="Amiri" w:cs="Amiri"/>
          <w:color w:val="111111"/>
          <w:sz w:val="28"/>
          <w:sz w:val="28"/>
          <w:szCs w:val="28"/>
          <w:rtl w:val="true"/>
          <w:lang w:bidi="ar-SA"/>
        </w:rPr>
        <w:t xml:space="preserve">، فيرجع ذلك إلى اشتراط عدم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مبنيّ على أنّ عدم المانع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التكوين</w:t>
      </w:r>
      <w:r>
        <w:rPr>
          <w:rStyle w:val="FootnoteAnchor"/>
          <w:rtl w:val="true"/>
        </w:rPr>
        <w:footnoteReference w:id="323"/>
      </w:r>
      <w:r>
        <w:rPr>
          <w:rFonts w:ascii="Amiri" w:hAnsi="Amiri" w:eastAsia="Amiri" w:cs="Amiri"/>
          <w:color w:val="111111"/>
          <w:sz w:val="28"/>
          <w:sz w:val="28"/>
          <w:szCs w:val="28"/>
          <w:rtl w:val="true"/>
          <w:lang w:bidi="ar-SA"/>
        </w:rPr>
        <w:t xml:space="preserve">، مع أ نّه في التكوين واضح الفساد ؛ فإنّ الشرط له خصوصية بها تكون له نحو دخالة في تحقّق المعلول ؛ إمّا لكونه شرطاً في فاعلية الفاعل ، أو في قابلية القابل ، والأعدام لا تعقل فيها خصوصية ، ولا دخالة في تحقّق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والتشريع لو كان كاشفاً عن مصالح ومفاسد ، ودخالة الموضوعات والشرائط في نيل المصالح والتخلّص عن المفاسد، لكان كالتكوين، بل هو عينه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فالموانع في التكوين والتشريع على هذا الفرض ، هي الموجودات التي تزاحم الممنوعات في التحقّق ، فما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المانع من أجزاء العلّة</w:t>
      </w:r>
      <w:r>
        <w:rPr>
          <w:rStyle w:val="FootnoteAnchor"/>
          <w:rtl w:val="true"/>
        </w:rPr>
        <w:footnoteReference w:id="324"/>
      </w:r>
      <w:r>
        <w:rPr>
          <w:rFonts w:ascii="Amiri" w:hAnsi="Amiri" w:eastAsia="Amiri" w:cs="Amiri"/>
          <w:color w:val="111111"/>
          <w:sz w:val="28"/>
          <w:sz w:val="28"/>
          <w:szCs w:val="28"/>
          <w:rtl w:val="true"/>
          <w:lang w:bidi="ar-SA"/>
        </w:rPr>
        <w:t xml:space="preserve">ليس على ما ينبغي ، ولو وقع في كلام أهل التحقيق فلا بدّ وأن يأوّل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قلنا في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خصوصية في الشرائط ، ولا في الموانع ، بل </w:t>
      </w:r>
    </w:p>
    <w:p>
      <w:pPr>
        <w:pStyle w:val="BookText"/>
        <w:rPr/>
      </w:pPr>
      <w:r>
        <w:rPr>
          <w:rFonts w:ascii="Amiri" w:hAnsi="Amiri" w:eastAsia="Amiri" w:cs="Amiri"/>
          <w:color w:val="111111"/>
          <w:sz w:val="28"/>
          <w:sz w:val="28"/>
          <w:szCs w:val="28"/>
          <w:rtl w:val="true"/>
          <w:lang w:bidi="ar-SA"/>
        </w:rPr>
        <w:t xml:space="preserve">كلّ منهما جعلي اعتباري ، فما جعله الشارع الأقدس شرطاً فهو شرط ، وما جعله مانعاً فهو مانع ، على فرض جعليتهما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على فرض انتزاعيتهما والجعل التبعي ؛ إذ كما أنّ جعل الشرطية ، لازمه عدم تحقّق المشروط مع عدمه في نظر المقنّن وبحسب جعله ، كذلك لازم جعل المانعية مزاحمة المانع لتحقّق الممنوع في نظره وبحسب جعله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ترتيب أثر الشرط والمانع الواقعيين ، فاعتبار الشرط يقابل اعتبار المانع ، فلا يرجع جعل المانع إلى جعل شرطية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إشكال في أ نّه مع جعل المانعية لشيء ، لا يحتاج إلى جعل الشرطية لعدمه ؛ فإنّه مع جعل أحدهما ، يغني عن الآخر لو فرضت صحّة جعلهما ، وكون جعلهما ذا أثر في الجملة ولو في جريان بعض الاُصول ، غير مسلّم بل ممنوع ، مع أنّ إرجاع نظر الجاعل إلى مثل ذلك ،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موارد دوران الأمر بين الشرطية والمانعية ، لا بدّ من ملاحظة نفس الماهيات ، أو ملاحظة الأدلّة الدالّة على 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الأمر بين مانعية الوقف أو نظائره ، وبين شرطية عدمها بناءً على المسلك المذكور ، وإلاّ فلا دوران على المذهب المنصور ، بل يكون الوقف والرهن وغيرهما من الموانع مانعاً ، لا أعدامها شرطاً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المانع هو الجامع بين تلك الموارد</w:t>
      </w:r>
      <w:r>
        <w:rPr>
          <w:rStyle w:val="FootnoteAnchor"/>
          <w:rtl w:val="true"/>
        </w:rPr>
        <w:footnoteReference w:id="325"/>
      </w:r>
      <w:r>
        <w:rPr>
          <w:rFonts w:ascii="Amiri" w:hAnsi="Amiri" w:eastAsia="Amiri" w:cs="Amiri"/>
          <w:color w:val="111111"/>
          <w:sz w:val="28"/>
          <w:sz w:val="28"/>
          <w:szCs w:val="28"/>
          <w:rtl w:val="true"/>
          <w:lang w:bidi="ar-SA"/>
        </w:rPr>
        <w:t xml:space="preserve">لا يرجع إلى محصّل عند المحصّلين ، فلا بدّ من البحث عن كلّ ما قيل بمانعيته مستقلاًّ </w:t>
      </w:r>
      <w:r>
        <w:rPr>
          <w:rFonts w:eastAsia="Amiri" w:cs="Amiri" w:ascii="Amiri" w:hAnsi="Amiri"/>
          <w:color w:val="111111"/>
          <w:sz w:val="28"/>
          <w:szCs w:val="28"/>
          <w:rtl w:val="true"/>
          <w:lang w:bidi="ar-SA"/>
        </w:rPr>
        <w:t xml:space="preserve">. </w:t>
      </w:r>
      <w:bookmarkStart w:id="162" w:name="pg15209_203767"/>
    </w:p>
    <w:p>
      <w:pPr>
        <w:pStyle w:val="Heading4"/>
        <w:numPr>
          <w:ilvl w:val="3"/>
          <w:numId w:val="1"/>
        </w:numPr>
        <w:rPr/>
      </w:pPr>
      <w:bookmarkStart w:id="163" w:name="__RefHeading___Toc2974403_2142443653"/>
      <w:bookmarkStart w:id="164" w:name="_Toc57"/>
      <w:bookmarkEnd w:id="162"/>
      <w:bookmarkEnd w:id="163"/>
      <w:r>
        <w:rPr>
          <w:rtl w:val="true"/>
        </w:rPr>
        <w:t>مسألة في عدم جواز بيع الوقف</w:t>
      </w:r>
      <w:bookmarkEnd w:id="164"/>
    </w:p>
    <w:p>
      <w:pPr>
        <w:pStyle w:val="Heading5"/>
        <w:numPr>
          <w:ilvl w:val="4"/>
          <w:numId w:val="1"/>
        </w:numPr>
        <w:rPr/>
      </w:pPr>
      <w:bookmarkStart w:id="165" w:name="__RefHeading___Toc2974405_2142443653"/>
      <w:bookmarkStart w:id="166" w:name="_Toc58"/>
      <w:bookmarkEnd w:id="165"/>
      <w:r>
        <w:rPr>
          <w:rtl w:val="true"/>
        </w:rPr>
        <w:t>ماهية الوقف</w:t>
      </w:r>
      <w:bookmarkEnd w:id="166"/>
    </w:p>
    <w:p>
      <w:pPr>
        <w:pStyle w:val="BookText"/>
        <w:rPr/>
      </w:pPr>
      <w:r>
        <w:rPr>
          <w:rFonts w:ascii="Amiri" w:hAnsi="Amiri" w:eastAsia="Amiri" w:cs="Amiri"/>
          <w:color w:val="111111"/>
          <w:sz w:val="28"/>
          <w:sz w:val="28"/>
          <w:szCs w:val="28"/>
          <w:rtl w:val="true"/>
          <w:lang w:bidi="ar-SA"/>
        </w:rPr>
        <w:t>لا يجوز بيع الوقف إجمالاً ، وهو ممّا لا إشكال فيه ، لكن عدم الجواز ، هل هو لمنافاة ماهية الوقف للجواز أو لصحّة بيعه ، أو لأنّ لازم ماهيته ذلك ، أو لا ذا ولا ذاك ، بل لأنّ مقتضى الإجماع أو الأدلّة الشرعية ذلك ؟</w:t>
      </w:r>
    </w:p>
    <w:p>
      <w:pPr>
        <w:pStyle w:val="BookText"/>
        <w:rPr/>
      </w:pPr>
      <w:r>
        <w:rPr>
          <w:rFonts w:ascii="Amiri" w:hAnsi="Amiri" w:eastAsia="Amiri" w:cs="Amiri"/>
          <w:color w:val="111111"/>
          <w:sz w:val="28"/>
          <w:sz w:val="28"/>
          <w:szCs w:val="28"/>
          <w:rtl w:val="true"/>
          <w:lang w:bidi="ar-SA"/>
        </w:rPr>
        <w:t xml:space="preserve">فلا بدّ من بيان ماهيته أوّلاً حتّى يتّضح الأمر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تحبيس العين وتسبيل المنفعة</w:t>
      </w:r>
      <w:r>
        <w:rPr>
          <w:rStyle w:val="FootnoteAnchor"/>
          <w:rtl w:val="true"/>
        </w:rPr>
        <w:footnoteReference w:id="326"/>
      </w:r>
      <w:r>
        <w:rPr>
          <w:rFonts w:ascii="Amiri" w:hAnsi="Amiri" w:eastAsia="Amiri" w:cs="Amiri"/>
          <w:color w:val="111111"/>
          <w:sz w:val="28"/>
          <w:sz w:val="28"/>
          <w:szCs w:val="28"/>
          <w:rtl w:val="true"/>
          <w:lang w:bidi="ar-SA"/>
        </w:rPr>
        <w:t>، أو إطلاق المنفعة</w:t>
      </w:r>
      <w:r>
        <w:rPr>
          <w:rStyle w:val="FootnoteAnchor"/>
          <w:rtl w:val="true"/>
        </w:rPr>
        <w:footnoteReference w:id="327"/>
      </w:r>
      <w:r>
        <w:rPr>
          <w:rFonts w:ascii="Amiri" w:hAnsi="Amiri" w:eastAsia="Amiri" w:cs="Amiri"/>
          <w:color w:val="111111"/>
          <w:sz w:val="28"/>
          <w:sz w:val="28"/>
          <w:szCs w:val="28"/>
          <w:rtl w:val="true"/>
          <w:lang w:bidi="ar-SA"/>
        </w:rPr>
        <w:t xml:space="preserve">، فقد نقل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تبعاً لكاشف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الحبس هو الممنوعية عن التصرّفات ، فإذا جاز التصرّف خرج عن الوقفية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واُشكل عليهما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المنع إمّا مالكي ، أو شرعي ، ولا ثالث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كونه منعاً مالكياً ، فلأنّ منع الغير عن التصرّف ، لا يعقل أن يكون موقوفاً على القبول ، والوقف يصلح أن يتوقّف عليه ، بل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موقوف عليه ، ولا سيّما في الوقف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المالكي لا يتصوّر إلاّ في ظرف بقاء العين على ملك المانع ، وإلاّ فلا معنى لمنعه عمّا لا مساس له به ، والحال أنّ خروج العين عن ملك الواقف ممّا لا كلام فيه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موقوفية الوقف على القبول أوّل الكلام ، بل الظاهر عدمها ؛ وأنّ الوقف من الإيقاعات كما يأتي</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جعل الممنوعية على فرضه ، ليس ممنوعية لا مساس لها بالقابل ؛ فإنّ الحبس عليه على هذا الفرض ، قرار كونه ممنوعاً عنه ، نظير شرط النتيجة ، وهو يحتاج إلى القبول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إيقاع المنع إنّما هو في زمان مالكيته ، فلو كان الحبس هو الممنوعية ، لكان حصول الممنوعية وخروج العين عن ملكه ، بإنشائها في زمان مالكيته ، ولا يعتبر في جعل المالك وتصرّفه في ملكه إلاّ كونه ملكاً له حال التصرّف ، نظير الشرائط في ضمن العقد ، فلو شرط على المشتري عدم بيعه ، أو شرط إجارته في رأس السنة الآتية ، صحّ وإن لم يكن ملكاً له في رأسها ، وهو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الوقف ليس نفس الممنوعية عن التصرّف ، بل هي من أحكامه ، فلو كان المنع أو الممنوعية نفس ماهيته ، جاز إيقاع الوقف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جعلتك ممنوعاً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ممنوع من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والضرورة قاضية بأنّ هذا ليس وقفاً ، ولا موجباً لدرّ المنافع على الموقوف عليه ، وليس ذلك إلاّ لأنّ الحبس أو الوقف ، ليس هو الممنوعية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الوقف ليست له حقيقة شرعية ، بل هو أمر عقلائي رائج بين منتحلي سائر الملل ، بل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متعارف عند غير منتحلي الأديان أيضاً ، والمفهوم العقلائي منه ليس هو الممنوعية ، وسيأتي توضيحه إن شاء اللّه تعالى</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الحبس هو قصر الملك على شخص أو جهة ؛ بحيث لا يتعدّاهما ، وحيث إنّ الملكية حقيقة واحدة ؛ لا تتفاوت في الوقف وغيره ، فحيثية عدم التعدّي عن موضوعها ، راجعة إلى عدم نفوذ التصرّف شرعاً ، فيكون تفاوت الملك في الوقف مع غيره ؛ بكونه محكوماً شرعاً بعدم الانتقال من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مرجع قصر العين ملكاً مثلاً ، قصر ملكيتها على شخص ، لا أنّ المنشأ والمتسبّب إليه نفس اعتبار الملكية ؛ فإنّه غير مناسب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 المنشأ في الوقف هو الملكية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 الحبس والقصر ملحوظاً للواقف ، وأنّ نظره إلى إنشاء الملك المقصور على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التسبّب إلى حصّة من طبيعي الملكية ، </w:t>
      </w:r>
    </w:p>
    <w:p>
      <w:pPr>
        <w:pStyle w:val="BookText"/>
        <w:rPr/>
      </w:pPr>
      <w:r>
        <w:rPr>
          <w:rFonts w:ascii="Amiri" w:hAnsi="Amiri" w:eastAsia="Amiri" w:cs="Amiri"/>
          <w:color w:val="111111"/>
          <w:sz w:val="28"/>
          <w:sz w:val="28"/>
          <w:szCs w:val="28"/>
          <w:rtl w:val="true"/>
          <w:lang w:bidi="ar-SA"/>
        </w:rPr>
        <w:t>الملازمة للحكم الشرعي بعدم الانتقال إلى غيره</w:t>
      </w:r>
      <w:r>
        <w:rPr>
          <w:rStyle w:val="FootnoteAnchor"/>
          <w:rtl w:val="true"/>
        </w:rPr>
        <w:footnoteReference w:id="33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ماهية الحبس إذا كانت قصر الملك على شخص أو جهة ، وأنّ تفاوت الملك الحاصل بالبيع ونحوه مع الحاصل بالوقف إنّما هو بأمر خارج ؛ هو عدم نفوذ التصرّف شرعاً ، ففي كلّ مورد لم يحصل قصر الملك بهذا المعنى ، لا بدّ من الالتزام بأحد أمرين فاسدين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الوقف على غير ما يصلح للمالكية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الوقف على الحيوانات ، أو على معنىً مصدري نظير الإحجاج والإرسال إلى المشاهد ، ووقف المسجد والمشعر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ماهية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الحيوان والحديقة والمعاني المصدرية ، تصير بالوقف مالكة ، فلو وقف شيء على الإحجاج ، يصير الإحجاج مالكاً ، أو على حديقة الحيوانات تصير الحديقة أو الحيوانات مالكة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حقيقة الوقف تختلف باختلاف الموارد ، له في كلّ مورد معنىً ، لا يقصر عن الالتزامين المتقدّمين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 موارد نظر ، بل تناقض ، لا يهمّنا البحث عنها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الأقسام التي ذكروها للوقف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كوقف المسجد ، والمشهد ، والقناطر ، والخانات ، والعامّ ، والخاصّ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أقساماً للوقف ، بل أقسام لمتعلّقه ، والوقف حقيقة واحدة في جميع الموارد ، والوقف على الجهة العامّة ليس في الوقفية ممتازاً عن الوقف الخاصّ ، بل امتيازهما بالمتعلّق ، بعد </w:t>
      </w:r>
      <w:bookmarkStart w:id="167" w:name="pg15209_203771"/>
    </w:p>
    <w:p>
      <w:pPr>
        <w:pStyle w:val="BookText"/>
        <w:rPr/>
      </w:pPr>
      <w:bookmarkEnd w:id="167"/>
      <w:r>
        <w:rPr>
          <w:rFonts w:ascii="Amiri" w:hAnsi="Amiri" w:eastAsia="Amiri" w:cs="Amiri"/>
          <w:color w:val="111111"/>
          <w:sz w:val="28"/>
          <w:sz w:val="28"/>
          <w:szCs w:val="28"/>
          <w:rtl w:val="true"/>
          <w:lang w:bidi="ar-SA"/>
        </w:rPr>
        <w:t xml:space="preserve">اشتراكهما في الحقيقة ، وكذا سائر الأقسام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بعض أقسامه ممّا لا يعقل فيه الملكية والمالكية كالأمثلة المتقدّمة ، نستكشف منه أنّ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تمليكاً ، ولا قصراً للملكية ، فلا بدّ من تعريفه بوجه يدخل فيه جميع موارده مع الغضّ عن متعلّقاته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الوقف قد يكون تحريراً ، وقد يكون تمليكاً </w:t>
      </w:r>
      <w:r>
        <w:rPr>
          <w:rStyle w:val="FootnoteAnchor"/>
          <w:rtl w:val="true"/>
        </w:rPr>
        <w:footnoteReference w:id="333"/>
      </w:r>
      <w:r>
        <w:rPr>
          <w:rFonts w:ascii="Amiri" w:hAnsi="Amiri" w:eastAsia="Amiri" w:cs="Amiri"/>
          <w:color w:val="111111"/>
          <w:sz w:val="28"/>
          <w:sz w:val="28"/>
          <w:szCs w:val="28"/>
          <w:rtl w:val="true"/>
          <w:lang w:bidi="ar-SA"/>
        </w:rPr>
        <w:t xml:space="preserve">لا ينبغي أن يصغى إليه </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2974407_2142443653"/>
      <w:bookmarkStart w:id="169" w:name="_Toc59"/>
      <w:bookmarkEnd w:id="168"/>
      <w:r>
        <w:rPr>
          <w:rtl w:val="true"/>
        </w:rPr>
        <w:t>المختار في تعريف الوقف</w:t>
      </w:r>
      <w:bookmarkEnd w:id="169"/>
    </w:p>
    <w:p>
      <w:pPr>
        <w:pStyle w:val="BookText"/>
        <w:rPr/>
      </w:pPr>
      <w:r>
        <w:rPr>
          <w:rFonts w:ascii="Amiri" w:hAnsi="Amiri" w:eastAsia="Amiri" w:cs="Amiri"/>
          <w:color w:val="111111"/>
          <w:sz w:val="28"/>
          <w:sz w:val="28"/>
          <w:szCs w:val="28"/>
          <w:rtl w:val="true"/>
          <w:lang w:bidi="ar-SA"/>
        </w:rPr>
        <w:t xml:space="preserve">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الوقف في جميع الموارد إيقاف الشيء على جهة ، أو شخص ، أو غيرهما ؛ لتدرّ المنافع منه عليها ، فبقوله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التعدية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للعلوّ ، كأ نّه جعل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الموقوف عليه لا تتعدّاه ، لتدرّ منافعها عليه ، ولا تتعدّى المنافع عنه ؛ تبعاً لعدم تعدّي نفس العين عن رأسه اعتباراً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مع كونه موافقاً للاعتبار العقلائي ، صادق في جميع الموارد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يبعد في المساجد والمعابد التي في سائر الأديان ، أن يكون اعتبارها غير اعتبار الوقف ، وهو اعتبار المسجدية والمعبدية ، وهو أمر آخر غير الوقف ، وإن اشترك معه في بعض الأحكام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 المكان لانتفاع المسلمين في عباداتهم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مسجداً ؛ تترتّب عليه 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مسجداً تترتّب عليه الآثار ولو كان غافلاً عن الوقف 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المسلمين ؛ ليكون مسجداً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مسجداً ، ويكون وقفاً موافقاً لسائر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مقابل الحركة واللاسكون ، فلا بدّ من لحاظ عدم الحركة ، وعدمها ليس في المكان ، بل في الاعتبار ، وهو عدم النقل ، كالبيع وغيره ، فيرجع الوقف إلى جعل الشيء ساكناً عن الانتقال ، وممتنعاً عن التصرّفات الناقلة والمعدِمة ، كما هو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الشخص أو الجهة ، مقابل التجاوز عنه ، فإذا وقف على شخص ، صار هو الموقوف عليه ؛ أي وقف عليه ، ولم يتعدّ عنه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سلّم لحاظ عدم الحركة والوقوف عن الحركة في الوقف ، ولكنّ الظاهر عدم لحاظها في الوقف ، فلا ينقدح في ذهن الواقف إلاّ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كذا</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ذكرناه ، ليس بين ماهية الوقف وجواز النقل أو نفس النقل ، مضادّة ومنافرة </w:t>
      </w:r>
      <w:r>
        <w:rPr>
          <w:rFonts w:eastAsia="Amiri" w:cs="Amiri" w:ascii="Amiri" w:hAnsi="Amiri"/>
          <w:color w:val="111111"/>
          <w:sz w:val="28"/>
          <w:szCs w:val="28"/>
          <w:rtl w:val="true"/>
          <w:lang w:bidi="ar-SA"/>
        </w:rPr>
        <w:t xml:space="preserve">. </w:t>
      </w:r>
      <w:bookmarkStart w:id="170" w:name="pg15209_203773"/>
    </w:p>
    <w:p>
      <w:pPr>
        <w:pStyle w:val="BookText"/>
        <w:rPr/>
      </w:pPr>
      <w:bookmarkEnd w:id="170"/>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الوقف الدائم والمؤبّد منافياً للنقل ؛ من أجل أنّ النقل ولو سلّم عدم منافاته لنفس الوقف لكنّه منافٍ لدوامه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وجيه ؛ لأنّ الدوام والانقطاع فيه كالدوام والانقطاع في باب النكاح ، فكما أنّ النكاح الدائم لا ينافي جواز الطلاق أو نفسه ، فمعنى دوامه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أمد له حتّى ينقضي في رأسه ، وإن أمكن وصحّ قطعه بالطلاق ، فكذلك الدوام في الوقف ، معناه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غير منقطع حتّى ينقضي في رأس أمده ، فما لم يكن سبب لفسخه فهو باقٍ ، بخلاف المنقطع الذي يكون اقتضاؤه قصيراً وإلى وقت محدود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الوقف بنفسه غير مانع عن النقل ، فلا بدّ من إقامة دليل على المنع </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2974409_2142443653"/>
      <w:bookmarkStart w:id="172" w:name="_Toc60"/>
      <w:bookmarkEnd w:id="171"/>
      <w:r>
        <w:rPr>
          <w:rtl w:val="true"/>
        </w:rPr>
        <w:t>أدلّة عدم جواز بيع الوقف</w:t>
      </w:r>
      <w:bookmarkEnd w:id="172"/>
    </w:p>
    <w:p>
      <w:pPr>
        <w:pStyle w:val="Heading5"/>
        <w:numPr>
          <w:ilvl w:val="4"/>
          <w:numId w:val="1"/>
        </w:numPr>
        <w:rPr/>
      </w:pPr>
      <w:bookmarkStart w:id="173" w:name="__RefHeading___Toc2974411_2142443653"/>
      <w:bookmarkStart w:id="174" w:name="_Toc61"/>
      <w:bookmarkEnd w:id="173"/>
      <w:r>
        <w:rPr>
          <w:rtl w:val="true"/>
        </w:rPr>
        <w:t>الاستدلال بعدم كون الوقف ملكاً للواقف ولا للموقوف عليه</w:t>
      </w:r>
      <w:bookmarkEnd w:id="17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كونه مملوكاً ؛ لا للواقف ، ولا للموقوف عليه ، بل هو تحرير وفكّ ملك ، فلا يصحّ بيعه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 ذلك ، يكون بطلان بيعه من جهة عدم الاقتضاء ، لا لوجود المانع ، أو لفقد الشرط ؛ وهو عدم الوقف ، ويتمّ ذلك لو ضمّ إليه عدم ثبوت ولاية وسلطنة لأحد على بيعه في غيرما استثني منه </w:t>
      </w:r>
      <w:r>
        <w:rPr>
          <w:rFonts w:eastAsia="Amiri" w:cs="Amiri" w:ascii="Amiri" w:hAnsi="Amiri"/>
          <w:color w:val="111111"/>
          <w:sz w:val="28"/>
          <w:szCs w:val="28"/>
          <w:rtl w:val="true"/>
          <w:lang w:bidi="ar-SA"/>
        </w:rPr>
        <w:t xml:space="preserve">. </w:t>
      </w:r>
      <w:bookmarkStart w:id="175" w:name="pg15209_203774"/>
    </w:p>
    <w:p>
      <w:pPr>
        <w:pStyle w:val="Heading5"/>
        <w:numPr>
          <w:ilvl w:val="4"/>
          <w:numId w:val="1"/>
        </w:numPr>
        <w:rPr/>
      </w:pPr>
      <w:bookmarkStart w:id="176" w:name="__RefHeading___Toc2974413_2142443653"/>
      <w:bookmarkStart w:id="177" w:name="_Toc62"/>
      <w:bookmarkEnd w:id="175"/>
      <w:bookmarkEnd w:id="176"/>
      <w:r>
        <w:rPr>
          <w:rtl w:val="true"/>
        </w:rPr>
        <w:t>وجه عدم كون الواقف مالكاً للوقف</w:t>
      </w:r>
      <w:bookmarkEnd w:id="177"/>
    </w:p>
    <w:p>
      <w:pPr>
        <w:pStyle w:val="BookText"/>
        <w:rPr/>
      </w:pPr>
      <w:r>
        <w:rPr>
          <w:rFonts w:ascii="Amiri" w:hAnsi="Amiri" w:eastAsia="Amiri" w:cs="Amiri"/>
          <w:color w:val="111111"/>
          <w:sz w:val="28"/>
          <w:sz w:val="28"/>
          <w:szCs w:val="28"/>
          <w:rtl w:val="true"/>
          <w:lang w:bidi="ar-SA"/>
        </w:rPr>
        <w:t xml:space="preserve">أمّا عدم ملك الواقف ، فلا شبهة فيه ، لا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الوقف تمليك خاصّ ، أو تمليك 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أو قصر الملكية ، ولازمه زوال ملكه</w:t>
      </w:r>
      <w:r>
        <w:rPr>
          <w:rStyle w:val="FootnoteAnchor"/>
          <w:rtl w:val="true"/>
        </w:rPr>
        <w:footnoteReference w:id="335"/>
      </w:r>
      <w:r>
        <w:rPr>
          <w:rFonts w:ascii="Amiri" w:hAnsi="Amiri" w:eastAsia="Amiri" w:cs="Amiri"/>
          <w:color w:val="111111"/>
          <w:sz w:val="28"/>
          <w:sz w:val="28"/>
          <w:szCs w:val="28"/>
          <w:rtl w:val="true"/>
          <w:lang w:bidi="ar-SA"/>
        </w:rPr>
        <w:t>؛ لما تقدّم ما فيه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هو المراد من إنشائه الذي شرع الشارع المعنى المتعارف فيه على نحو شرعه في باقي العقود ، وإن جعل لها شرائط صحّة ولزوم</w:t>
      </w:r>
      <w:r>
        <w:rPr>
          <w:rStyle w:val="FootnoteAnchor"/>
          <w:rtl w:val="true"/>
        </w:rPr>
        <w:footnoteReference w:id="337"/>
      </w:r>
      <w:r>
        <w:rPr>
          <w:rFonts w:ascii="Amiri" w:hAnsi="Amiri" w:eastAsia="Amiri" w:cs="Amiri"/>
          <w:color w:val="111111"/>
          <w:sz w:val="28"/>
          <w:sz w:val="28"/>
          <w:szCs w:val="28"/>
          <w:rtl w:val="true"/>
          <w:lang w:bidi="ar-SA"/>
        </w:rPr>
        <w:t>؛ فإنّه إن رجع إلى أ نّه من العقود ، وكلّ عقد يقتضي زوال ملك الموجب ، ففيه منع كلّية الكبرى ، بل منع الصغرى أيضاً ، على ما يأتي التنبيه عليه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رجع إلى أنّ إنشاء الوقف شرع لذلك ، ففيه أ نّه مصادرة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لأ نّه صدقة والصدقة اقتضاؤها زوال الملك</w:t>
      </w:r>
      <w:r>
        <w:rPr>
          <w:rStyle w:val="FootnoteAnchor"/>
          <w:rtl w:val="true"/>
        </w:rPr>
        <w:footnoteReference w:id="339"/>
      </w:r>
      <w:r>
        <w:rPr>
          <w:rFonts w:ascii="Amiri" w:hAnsi="Amiri" w:eastAsia="Amiri" w:cs="Amiri"/>
          <w:color w:val="111111"/>
          <w:sz w:val="28"/>
          <w:sz w:val="28"/>
          <w:szCs w:val="28"/>
          <w:rtl w:val="true"/>
          <w:lang w:bidi="ar-SA"/>
        </w:rPr>
        <w:t xml:space="preserve">؛ لمنع كلّية الكبرى ؛ لإمكان كونه صدقة باعتبار منافعه ، وسيأتي الكلام في منع كونه صدقة رأساً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للإجماع</w:t>
      </w:r>
      <w:r>
        <w:rPr>
          <w:rStyle w:val="FootnoteAnchor"/>
          <w:rtl w:val="true"/>
        </w:rPr>
        <w:footnoteReference w:id="341"/>
      </w:r>
      <w:r>
        <w:rPr>
          <w:rFonts w:ascii="Amiri" w:hAnsi="Amiri" w:eastAsia="Amiri" w:cs="Amiri"/>
          <w:color w:val="111111"/>
          <w:sz w:val="28"/>
          <w:sz w:val="28"/>
          <w:szCs w:val="28"/>
          <w:rtl w:val="true"/>
          <w:lang w:bidi="ar-SA"/>
        </w:rPr>
        <w:t xml:space="preserve">، بل الظاهر كونه ضرورياً عند المتشرّعة ، بل التنافي بين كون </w:t>
      </w:r>
      <w:bookmarkStart w:id="178" w:name="pg15209_203775"/>
    </w:p>
    <w:p>
      <w:pPr>
        <w:pStyle w:val="BookText"/>
        <w:rPr/>
      </w:pPr>
      <w:bookmarkEnd w:id="178"/>
      <w:r>
        <w:rPr>
          <w:rFonts w:ascii="Amiri" w:hAnsi="Amiri" w:eastAsia="Amiri" w:cs="Amiri"/>
          <w:color w:val="111111"/>
          <w:sz w:val="28"/>
          <w:sz w:val="28"/>
          <w:szCs w:val="28"/>
          <w:rtl w:val="true"/>
          <w:lang w:bidi="ar-SA"/>
        </w:rPr>
        <w:t xml:space="preserve">الشيء وقفاً ، وكونه ملكاً للواقف ، كأ نّه ضروري عند العوامّ ، فضلاً عن الخواصّ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اعتبار الملك عند العقلاء ، إنّما هو فيما له أثر ولو في الجملة ، والواقف بعد تمام الوقف لا مساس له به ؛ لا في المنافع ، ولا في التصرّف في العين مطلقاً ، فلا يكون ملكاً بعد ما كان الملك وسائر الاعتبارات العقلائية في العقود والإيقاعات وغيرهما ، من الاعتبارات المستتبعة للعمل ، والاعتبار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زوال الأثر مطلقاً ممنوع ؛ لإمكان كونه ملكاً لأجل رجوعه إليه عند انقراض الموقوف عليه ، وصحّة بيعه عند مجوّزاته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زوال ملك الواقف </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2974415_2142443653"/>
      <w:bookmarkStart w:id="180" w:name="_Toc63"/>
      <w:bookmarkEnd w:id="179"/>
      <w:r>
        <w:rPr>
          <w:rtl w:val="true"/>
        </w:rPr>
        <w:t>ما قيل لدخول الوقف في ملك الموقوف عليه</w:t>
      </w:r>
      <w:bookmarkEnd w:id="180"/>
    </w:p>
    <w:p>
      <w:pPr>
        <w:pStyle w:val="BookText"/>
        <w:rPr/>
      </w:pPr>
      <w:r>
        <w:rPr>
          <w:rFonts w:ascii="Amiri" w:hAnsi="Amiri" w:eastAsia="Amiri" w:cs="Amiri"/>
          <w:color w:val="111111"/>
          <w:sz w:val="28"/>
          <w:sz w:val="28"/>
          <w:szCs w:val="28"/>
          <w:rtl w:val="true"/>
          <w:lang w:bidi="ar-SA"/>
        </w:rPr>
        <w:t xml:space="preserve">وأمّا الدخول في ملك الموقوف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فائدة الملك موجودة ؛ فإنّ النماء للموقوف عليه ، فالملك له ، ولو أتلفه متلف ضمن له</w:t>
      </w:r>
      <w:r>
        <w:rPr>
          <w:rStyle w:val="FootnoteAnchor"/>
          <w:rtl w:val="true"/>
        </w:rPr>
        <w:footnoteReference w:id="342"/>
      </w:r>
      <w:r>
        <w:rPr>
          <w:rFonts w:ascii="Amiri" w:hAnsi="Amiri" w:eastAsia="Amiri" w:cs="Amiri"/>
          <w:color w:val="111111"/>
          <w:sz w:val="28"/>
          <w:sz w:val="28"/>
          <w:szCs w:val="28"/>
          <w:rtl w:val="true"/>
          <w:lang w:bidi="ar-SA"/>
        </w:rPr>
        <w:t xml:space="preserve">، وهو ملازم للملكية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ضرورة عدم الملازمة بين ملكية النماء وملكية العين ، كما في العين المستأجرة ، وملازمة كون النماء دائماً له ، للملكية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الكلام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الضمان بقاعدة الإتلاف ، فلا يلازم الملكية أيضاً ؛ فإنّ قاعدة الإتلاف </w:t>
      </w:r>
      <w:bookmarkStart w:id="181" w:name="pg15209_203776"/>
    </w:p>
    <w:p>
      <w:pPr>
        <w:pStyle w:val="BookText"/>
        <w:rPr/>
      </w:pPr>
      <w:bookmarkEnd w:id="181"/>
      <w:r>
        <w:rPr>
          <w:rFonts w:ascii="Amiri" w:hAnsi="Amiri" w:eastAsia="Amiri" w:cs="Amiri"/>
          <w:color w:val="111111"/>
          <w:sz w:val="28"/>
          <w:sz w:val="28"/>
          <w:szCs w:val="28"/>
          <w:rtl w:val="true"/>
          <w:lang w:bidi="ar-SA"/>
        </w:rPr>
        <w:t xml:space="preserve">قاعدة عقلائية ، ليست من مؤسّسات الشريعة ، وما عند العقلاء أوسع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أتلف مال الغير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ما يستفاد منه القاعدة ، فلو أتلف العين المرهونة ضمن للمرتهن ، كما يضمن للراهن ، وصار المضمون بعد أخذه رهناً ، بل لو أتلفها الراهن ، كان ضامناً مع كونها ملكاً له ، دون المضمون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 العقلائي متحقّق في الأوقاف العامّة والخاصّة ، فلو أخرب القنطرة اُجبر على تعميرها ، أو أخذت قيمتها منه ، وصرفت في تعميرها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ضمان الإتلاف محقّق حتّى في الوقف على الحيوانات وعلى الاُمور المصدرية كالإحجاج ، فلا بدّ للضامن من جبران الخسارة ، وإعطاء قيمة المتلف ليبتاع نحوه ، ويكون وقفاً على الموقوف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غصب الموقوف غاصب ، ضمن ضمان اليد في مطلق الوقف ، ولا بدّ من إرجاعه ، ولو تلف ضمن الخسارة ، وصارت الخسارة وقفاً </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2974417_2142443653"/>
      <w:bookmarkStart w:id="183" w:name="_Toc64"/>
      <w:bookmarkEnd w:id="182"/>
      <w:r>
        <w:rPr>
          <w:rtl w:val="true"/>
        </w:rPr>
        <w:t>حول كلام صاحب الجواهر في المقام</w:t>
      </w:r>
      <w:bookmarkEnd w:id="183"/>
    </w:p>
    <w:p>
      <w:pPr>
        <w:pStyle w:val="BookText"/>
        <w:rPr/>
      </w:pP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لزوال الملك عن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الوقف عقداً ؛ لا بدّ فيه من القبول</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كونه عقداً ، خروجه عن ملك الواقف ، ودخوله في ملك الموقوف عليه ، وإلاّ فلا وجه لقبوله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وحاصل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الوقف عقد ، والعقد مقتضاه خروج العين عن ملك الموجب ، ودخولها في ملك القابل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الصغرى ؛ فإنّ الوقف بالمعنى المشترك الحاصل في جميع موارده ، لا يعقل أن يكون عقداً ؛ ضرورة أنّ الوقف على حمام بيت اللّه ، أو على الوحوش في حرم اللّه مثلاً ، لا يعقل أن يكون عقداً بين الواقف والموقوف عليه ، ولا ثالث في مثله يقبل الوقف ، أو يكون قابلاً للتعاقد والتملّك ، فلا بدّ من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مثله ليس بوقف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بأنّ الوقف مختلف المعنى ، ففي مورد يكون إيقاعاً ، وفي مورد عقداً ، وهو أيضاً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بكون الوقف في مثله باطلاً ، وهو أيضاً مخالف لإطلاق الأدلّة بعد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بطلانه شرعاً لو فرض ، لا ينافي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فيتّضح منه أ نّه من الإيقاعات ، وهو موافق لاعتبار الوقف في تمام موارده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لم يتعارف في الوقوف على كثرتها ، قبول الموقوف عليه أو الحاكم ، فهل ترى في المساجد والخانات والقناطر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التي لا تعدّ في أقطار بلاد المسلمين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الإرجاع إلى المجتهد الجامع للشرائط أو وكيله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فالسيرة القطعية قائمة على خلاف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بكونه عقداً ، ثمّ التكلّف في بعض الفروع المتفرّعة عليه ، ممّا لا وجه معتدّ به له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الكبرى ؛ فإنّ استلزام القبول في كلّ مورد للملكية ، ممّا لا دليل عليه ، </w:t>
      </w:r>
    </w:p>
    <w:p>
      <w:pPr>
        <w:pStyle w:val="BookText"/>
        <w:rPr/>
      </w:pPr>
      <w:r>
        <w:rPr>
          <w:rFonts w:ascii="Amiri" w:hAnsi="Amiri" w:eastAsia="Amiri" w:cs="Amiri"/>
          <w:color w:val="111111"/>
          <w:sz w:val="28"/>
          <w:sz w:val="28"/>
          <w:szCs w:val="28"/>
          <w:rtl w:val="true"/>
          <w:lang w:bidi="ar-SA"/>
        </w:rPr>
        <w:t xml:space="preserve">بل الدليل على خلافه؛ فإنّ كثيراً من العقود المركّبة من الإيجاب والقبول، لا يكون متعلّقها ملكاً ، كعقد العارية ، والوديعة ، والنكاح ، وصلح الحقوق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قبول التمليك لازمه الملكية ، والوقف ليس اعتباره التمليك كما مرّ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خلال كلامه ، إلى دليل آخر على مقصوده ، وهو أنّ هذه الموقوفات أموال تضمن بالتلف ، وليس في الشرع مال بلا مالك ، والفرض خروج الواقف عنه ، وليس غير الموقوف عليه مالك ، فلا بدّ من مالكيته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كان مبنى الاستدلال أنّ كلّ مال له مالك ، ففيه ما لا يخفى ؛ فإنّ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كالكنوز والمعادن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بلا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في الشرع لا بدّ له من مالك ، حتّى يرجع إلى أنّ الشارع له اصطلاح خاصّ في المال ، فهو غير مستند إلى دليل ، بل لا شبهة في عدم اصطلاح خاصّ له في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مال مضمون في الشرع بلا مالك ، فقد مرّ ما فيه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في العرف يخالف الضمان في الشرع ، وأنّ الضمان في الشرع يساوق المالكية ، فهو أيضاً غير ظاهر ؛ فإنّ الحقوق مضمونة ، كحقّ الرهن ، فلو أتلف 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المرهونة ضمن قيمتها ، وتكون رهناً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ضمان إتلاف المال أعمّ من ضمان الملك ؛ فإنّ حقّ التحجير مال للمحجّر ، وضمان إتلاف المال شامل له ، وكذا سائر الحقوق التي لها 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مطلوبه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الوقف قسم من الصدقات ، فلا بدّ وأن يكون تمليكاً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استند في ذلك إلى بعض روايات ، دلّت على أنّ نفس الأعيان صدقة</w:t>
      </w:r>
      <w:r>
        <w:rPr>
          <w:rStyle w:val="FootnoteAnchor"/>
          <w:rtl w:val="true"/>
        </w:rPr>
        <w:footnoteReference w:id="348"/>
      </w:r>
      <w:r>
        <w:rPr>
          <w:rFonts w:ascii="Amiri" w:hAnsi="Amiri" w:eastAsia="Amiri" w:cs="Amiri"/>
          <w:color w:val="111111"/>
          <w:sz w:val="28"/>
          <w:sz w:val="28"/>
          <w:szCs w:val="28"/>
          <w:rtl w:val="true"/>
          <w:lang w:bidi="ar-SA"/>
        </w:rPr>
        <w:t xml:space="preserve">، كصحيحة عبد الرحمان بن الحجّاج ، الحاكية لوصيّة أبي الحسن الكاظم عليه السلام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دليل على كلّية الكبرى ؛ فإنّ جعل العين محرّرة ، موقوفة على المسلمين ، أو على سبل الخير ، صدقةٌ عليهم ، مع أ نّه ليس تمليكاً ، وإثبات أنّ الوقف كالزكاة وغيرها ممّا يتملّكه الآخذ ، يحتاج إلى دليل 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الوقف أعمّ من الحقيقة ، وأصالة الحقيقة إنّما تجري في الموارد التي شكّ في المراد بعد معلومية الموضوع له ، وأمّا مع العلم بالمراد والشكّ في الحقيقة ، أو في الإطلاق الحقيقي ، فلا مجرى لها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الوقف إذا لم تقصد به القربة ليس صدقة ، بل معنى الوقف غير معنى الصدقة لغة وعرفاً ؛ فإنّ الصدقة ما يقصد به اللّه ، والوقف لا يشترط فيه القربة ، فليس كلّ وقف صدقة ، والتفصيل بين ما كان صدقة وغيرها ، لا يرضى به القائل أيضاً ، مع ظهور فساده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تمامية البرهان موقوفة على أنّ كلّ وقف صدقة ، وكلّ صدقة </w:t>
      </w:r>
    </w:p>
    <w:p>
      <w:pPr>
        <w:pStyle w:val="BookText"/>
        <w:rPr/>
      </w:pPr>
      <w:r>
        <w:rPr>
          <w:rFonts w:ascii="Amiri" w:hAnsi="Amiri" w:eastAsia="Amiri" w:cs="Amiri"/>
          <w:color w:val="111111"/>
          <w:sz w:val="28"/>
          <w:sz w:val="28"/>
          <w:szCs w:val="28"/>
          <w:rtl w:val="true"/>
          <w:lang w:bidi="ar-SA"/>
        </w:rPr>
        <w:t xml:space="preserve">توجب الملكية ، مع أنّ كلّية الصغرى ممنوعة بلا إشكال ؛ لعدم اعتبار قصد القربة في الوقف ، مع اعتباره في الصدقات ، والتفصيل في الوقف الخاصّ أو العامّ بين القسمين ، باطل 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حصل الملك في الصدقة ، نستكشف الملكية في القسم الآخر ؛ للجزم بعدم 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العكس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قسم منه لا يوجب الملكية بحسب الاعتبار العقلائي وسائر ما تقدّم ، يستكشف منه عدم الملكية في القسم الذي هي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تمسّك بها من الروايات لإثبات الملكية ، تدلّ على عدمها ، ففي صحيحة عبد الرحمان بن الحجّاج الحاكية لوصيّة الكاظم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تصدّق موسى بن جعفر بصدقته هذه وهو حيّ صحيح صدقةً حبساً ، بتّاً بتلاً مبتوتة ، لا رجعة فيها ولا ردّ </w:t>
      </w:r>
      <w:r>
        <w:rPr>
          <w:rFonts w:eastAsia="Amiri" w:cs="Amiri" w:ascii="Amiri" w:hAnsi="Amiri"/>
          <w:color w:val="111111"/>
          <w:sz w:val="28"/>
          <w:szCs w:val="28"/>
          <w:rtl w:val="true"/>
          <w:lang w:bidi="ar-SA"/>
        </w:rPr>
        <w:t>. .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وصفها بأ نّها حبس ومنقطعة عن غيرها ؛ فإنّ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بتّاً بتلاً مبتوتة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بعد تأكيد بأنّ الوقف منقطع عن غيره ، ولا مالك له ، والحمل على الانقطاع عن الواقف كما حمل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351"/>
      </w:r>
      <w:r>
        <w:rPr>
          <w:rFonts w:ascii="IRNazanin" w:hAnsi="IRNazanin" w:eastAsia="IRNazanin"/>
          <w:color w:val="111111"/>
          <w:sz w:val="28"/>
          <w:sz w:val="28"/>
          <w:szCs w:val="28"/>
          <w:rtl w:val="true"/>
          <w:lang w:bidi="fa-IR"/>
        </w:rPr>
        <w:t xml:space="preserve">، لا وجه له ، مع أ نّه خلاف ظاهره وإطلاقه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هذه الأوصاف للامتياز بين هذه الصدقة وغيرها ؛ ممّا لا يكون محبوساً ولا مقطوعاً عن غيره بنحو الإطلاق ، وإلاّ فالمقطوعية عن المتصدّق تشترك فيها </w:t>
      </w:r>
    </w:p>
    <w:p>
      <w:pPr>
        <w:pStyle w:val="BookText"/>
        <w:rPr/>
      </w:pPr>
      <w:r>
        <w:rPr>
          <w:rFonts w:ascii="Amiri" w:hAnsi="Amiri" w:eastAsia="Amiri" w:cs="Amiri"/>
          <w:color w:val="111111"/>
          <w:sz w:val="28"/>
          <w:sz w:val="28"/>
          <w:szCs w:val="28"/>
          <w:rtl w:val="true"/>
          <w:lang w:bidi="ar-SA"/>
        </w:rPr>
        <w:t xml:space="preserve">جميع الصدقات ، وإنّما تمتاز هذه الصدقة عن غيرها بمقطوعيتها عن الغير مطلقاً ، فتدلّ الرواية على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صحيحة أيّوب بن 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عن أبي عبداللّه عليه السلام في كيفية وقف أمير المؤمنين عليه السلام عين ينبع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صدقة بتّة بتلاً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الظاهر من رواية عجلان أبي صالح ورواية ربعي بن عبداللّه أنّ الوقف ليس تمليكاً على الموقوف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هذا ما تصدّق به فلان بن فلان وهو حيّ سويّ ، بداره التي في بني فلان بحدودها ، صدقة لا تباع ولا توهب، حتّى يرثها وارث السماوات والأرض، وأ نّه قد أسكن صدقته هذه فلاناً وعقبه، فإذا انقرضوا فهي على ذوي الحاجة من المسلمين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 قريب منها في صدقة أمير المؤمنين عليه السلام ، فإنّه بعد جعل الصدقة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وأسكن هذه الصدقة خالاته </w:t>
      </w:r>
      <w:r>
        <w:rPr>
          <w:rFonts w:eastAsia="Amiri" w:cs="Amiri" w:ascii="Amiri" w:hAnsi="Amiri"/>
          <w:color w:val="111111"/>
          <w:sz w:val="28"/>
          <w:szCs w:val="28"/>
          <w:rtl w:val="true"/>
          <w:lang w:bidi="ar-SA"/>
        </w:rPr>
        <w:t>. . .»</w:t>
      </w:r>
      <w:r>
        <w:rPr>
          <w:rStyle w:val="FootnoteAnchor"/>
          <w:rtl w:val="true"/>
        </w:rPr>
        <w:footnoteReference w:id="354"/>
      </w:r>
      <w:r>
        <w:rPr>
          <w:rFonts w:ascii="Amiri" w:hAnsi="Amiri" w:eastAsia="Amiri" w:cs="Amiri"/>
          <w:color w:val="111111"/>
          <w:sz w:val="28"/>
          <w:sz w:val="28"/>
          <w:szCs w:val="28"/>
          <w:rtl w:val="true"/>
          <w:lang w:bidi="ar-SA"/>
        </w:rPr>
        <w:t xml:space="preserve">، فإنّ الظاهر منهما الذي لا ينبغي أن ينكر ، أنّ ما للموقوف عليه نفس السكنى أو منافع الوقف ، لا ملك العين </w:t>
      </w:r>
      <w:r>
        <w:rPr>
          <w:rFonts w:eastAsia="Amiri" w:cs="Amiri" w:ascii="Amiri" w:hAnsi="Amiri"/>
          <w:color w:val="111111"/>
          <w:sz w:val="28"/>
          <w:szCs w:val="28"/>
          <w:rtl w:val="true"/>
          <w:lang w:bidi="ar-SA"/>
        </w:rPr>
        <w:t xml:space="preserve">. </w:t>
      </w:r>
      <w:bookmarkStart w:id="184" w:name="pg15209_203782"/>
    </w:p>
    <w:p>
      <w:pPr>
        <w:pStyle w:val="Heading5"/>
        <w:numPr>
          <w:ilvl w:val="4"/>
          <w:numId w:val="1"/>
        </w:numPr>
        <w:rPr/>
      </w:pPr>
      <w:bookmarkStart w:id="185" w:name="__RefHeading___Toc2974419_2142443653"/>
      <w:bookmarkStart w:id="186" w:name="_Toc65"/>
      <w:bookmarkEnd w:id="184"/>
      <w:bookmarkEnd w:id="185"/>
      <w:r>
        <w:rPr>
          <w:rtl w:val="true"/>
        </w:rPr>
        <w:t>تقريب لملكية الموقوف عليهم</w:t>
      </w:r>
      <w:bookmarkEnd w:id="186"/>
    </w:p>
    <w:p>
      <w:pPr>
        <w:pStyle w:val="BookText"/>
        <w:rPr/>
      </w:pPr>
      <w:r>
        <w:rPr>
          <w:rFonts w:ascii="Amiri" w:hAnsi="Amiri" w:eastAsia="Amiri" w:cs="Amiri"/>
          <w:color w:val="111111"/>
          <w:sz w:val="28"/>
          <w:sz w:val="28"/>
          <w:szCs w:val="28"/>
          <w:rtl w:val="true"/>
          <w:lang w:bidi="ar-SA"/>
        </w:rPr>
        <w:t>ويمكن تقريب ملكية الموقوف عليهم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إشكال نصّاً وفتوى</w:t>
      </w:r>
      <w:r>
        <w:rPr>
          <w:rStyle w:val="FootnoteAnchor"/>
          <w:rtl w:val="true"/>
        </w:rPr>
        <w:footnoteReference w:id="355"/>
      </w:r>
      <w:r>
        <w:rPr>
          <w:rFonts w:ascii="Amiri" w:hAnsi="Amiri" w:eastAsia="Amiri" w:cs="Amiri"/>
          <w:color w:val="111111"/>
          <w:sz w:val="28"/>
          <w:sz w:val="28"/>
          <w:szCs w:val="28"/>
          <w:rtl w:val="true"/>
          <w:lang w:bidi="ar-SA"/>
        </w:rPr>
        <w:t>في جواز بيع الوقف في بعض الصور الآتية</w:t>
      </w:r>
      <w:r>
        <w:rPr>
          <w:rStyle w:val="FootnoteAnchor"/>
          <w:rtl w:val="true"/>
        </w:rPr>
        <w:footnoteReference w:id="356"/>
      </w:r>
      <w:r>
        <w:rPr>
          <w:rFonts w:ascii="Amiri" w:hAnsi="Amiri" w:eastAsia="Amiri" w:cs="Amiri"/>
          <w:color w:val="111111"/>
          <w:sz w:val="28"/>
          <w:sz w:val="28"/>
          <w:szCs w:val="28"/>
          <w:rtl w:val="true"/>
          <w:lang w:bidi="ar-SA"/>
        </w:rPr>
        <w:t xml:space="preserve">، فيستكشف من نفس الجواز والصحّة ملكيته؛ فإنّ البيع مبادلة مال بمال في الملكية،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فيما تملكه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ولا يعقل تبادل الملكية إلاّ مع كون الموقوف ملكاً ، فلا محالة يكون له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 أحد صالحاً للمالكية إلاّ الموقوف عليه ؛ ضرورة أنّ الواقف زال ملكه إجماعاً ، ولا مالك آخر ، فلا بدّ وأن يكون الموقوف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المشتري يملك الوقف بعد اشترائه ، وتتفرّع ملكيته على ملكية مالك الوقف ؛ لما ذكر من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المتصدّي للبيع هو الموقوف عليه ، فلا بدّ وأن يكون مالكاً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الثمن يدخل في ملكه في بعض الصور ، فلا بدّ وأن يكون المبيع خارجاً عن ملكه في مقابله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فإنّ صحّة البيع لا تتوقّف على ملكية المبيع ، وليس البيع مبادلة مال بمال في الملكية بهذا المعنى ؛ ضرورة أنّ بيع الكلّي بيع ، ولا يكون الكلّي ملكاً قبل البيع ، وبعده يصير ملكاً للمشتري ، وبيع بعض </w:t>
      </w:r>
    </w:p>
    <w:p>
      <w:pPr>
        <w:pStyle w:val="BookText"/>
        <w:rPr/>
      </w:pPr>
      <w:r>
        <w:rPr>
          <w:rFonts w:ascii="Amiri" w:hAnsi="Amiri" w:eastAsia="Amiri" w:cs="Amiri"/>
          <w:color w:val="111111"/>
          <w:sz w:val="28"/>
          <w:sz w:val="28"/>
          <w:szCs w:val="28"/>
          <w:rtl w:val="true"/>
          <w:lang w:bidi="ar-SA"/>
        </w:rPr>
        <w:t xml:space="preserve">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يعقل ملكيته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بعض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النظر في الوجه الثاني ، بل الثالث ؛ فإنّ المتصدّي لا يلزم أن يكون مالكاً ، مع أنّ تصدّي الموقوف عليه ممنوع ، وإنّما قال به من قال بمالكيته ، وهي ممنوعة ، وبالجملة جواز تصدّيه فرع مالكيته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ظاهر بعض النصوص جواز تصدّيه</w:t>
      </w:r>
      <w:r>
        <w:rPr>
          <w:rStyle w:val="FootnoteAnchor"/>
          <w:rtl w:val="true"/>
        </w:rPr>
        <w:footnoteReference w:id="358"/>
      </w:r>
      <w:r>
        <w:rPr>
          <w:rFonts w:ascii="Amiri" w:hAnsi="Amiri" w:eastAsia="Amiri" w:cs="Amiri"/>
          <w:color w:val="111111"/>
          <w:sz w:val="28"/>
          <w:sz w:val="28"/>
          <w:szCs w:val="28"/>
          <w:rtl w:val="true"/>
          <w:lang w:bidi="ar-SA"/>
        </w:rPr>
        <w:t>، وسيأتي الكلام فيه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 نّه لو فرض جوازه ، فلا يدلّ على مالكيته ؛ لإمكان صيرورته وليّاً شرعاً على النقل عند طروّ المجوّز ، فإنّه مع جواز البيع ، لا يكون أحد أمسّ بالعين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ملكية الثمن لا تدلّ على ملكية الوقف ، أمّا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الوقف عند طروّ المجوّز</w:t>
      </w:r>
      <w:r>
        <w:rPr>
          <w:rStyle w:val="FootnoteAnchor"/>
          <w:rtl w:val="true"/>
        </w:rPr>
        <w:footnoteReference w:id="360"/>
      </w:r>
      <w:r>
        <w:rPr>
          <w:rFonts w:ascii="IRNazanin" w:hAnsi="IRNazanin" w:eastAsia="IRNazanin"/>
          <w:color w:val="111111"/>
          <w:sz w:val="28"/>
          <w:sz w:val="28"/>
          <w:szCs w:val="28"/>
          <w:rtl w:val="true"/>
          <w:lang w:bidi="fa-IR"/>
        </w:rPr>
        <w:t xml:space="preserve">، فواضح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ببقائه وقفاً وبطلانه بنفس النقل</w:t>
      </w:r>
      <w:r>
        <w:rPr>
          <w:rStyle w:val="FootnoteAnchor"/>
          <w:rtl w:val="true"/>
        </w:rPr>
        <w:footnoteReference w:id="361"/>
      </w:r>
      <w:r>
        <w:rPr>
          <w:rFonts w:ascii="Amiri" w:hAnsi="Amiri" w:eastAsia="Amiri" w:cs="Amiri"/>
          <w:color w:val="111111"/>
          <w:sz w:val="28"/>
          <w:sz w:val="28"/>
          <w:szCs w:val="28"/>
          <w:rtl w:val="true"/>
          <w:lang w:bidi="ar-SA"/>
        </w:rPr>
        <w:t xml:space="preserve">، فلإمكان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لم يمكن أن يشتري بالثمن بدل الوقف ؛ لقلّته أو لمحذور آخر ، يكون دخول الثمن في ملك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 نّه نحو درّ للمنفعة في هذه الحال ، أو لكونه أمسّ بالعين من غيره ؛ فإنّ له حقّاً عليها ، ولعلّ ذلك صار موجباً لتمليك الشارع إيّاه ، بل لعلّ ذلك عقلائي عند طروّ المجوّز وتعذّر البدل </w:t>
      </w:r>
      <w:r>
        <w:rPr>
          <w:rFonts w:eastAsia="Amiri" w:cs="Amiri" w:ascii="Amiri" w:hAnsi="Amiri"/>
          <w:color w:val="111111"/>
          <w:sz w:val="28"/>
          <w:szCs w:val="28"/>
          <w:rtl w:val="true"/>
          <w:lang w:bidi="ar-SA"/>
        </w:rPr>
        <w:t xml:space="preserve">. </w:t>
      </w:r>
      <w:bookmarkStart w:id="187" w:name="pg15209_203784"/>
    </w:p>
    <w:p>
      <w:pPr>
        <w:pStyle w:val="Heading5"/>
        <w:numPr>
          <w:ilvl w:val="4"/>
          <w:numId w:val="1"/>
        </w:numPr>
        <w:rPr/>
      </w:pPr>
      <w:bookmarkStart w:id="188" w:name="__RefHeading___Toc2974421_2142443653"/>
      <w:bookmarkStart w:id="189" w:name="_Toc66"/>
      <w:bookmarkEnd w:id="187"/>
      <w:bookmarkEnd w:id="188"/>
      <w:r>
        <w:rPr>
          <w:rtl w:val="true"/>
        </w:rPr>
        <w:t>استدلال الشيخ الأعظم بمكاتبة الصفّار على عدم الجواز</w:t>
      </w:r>
      <w:bookmarkEnd w:id="189"/>
    </w:p>
    <w:p>
      <w:pPr>
        <w:pStyle w:val="BookText"/>
        <w:rPr/>
      </w:pPr>
      <w:r>
        <w:rPr>
          <w:rFonts w:ascii="Amiri" w:hAnsi="Amiri" w:eastAsia="Amiri" w:cs="Amiri"/>
          <w:color w:val="111111"/>
          <w:sz w:val="28"/>
          <w:sz w:val="28"/>
          <w:szCs w:val="28"/>
          <w:rtl w:val="true"/>
          <w:lang w:bidi="ar-SA"/>
        </w:rPr>
        <w:t xml:space="preserve">ثمّ إنّ الشيخ الأعظم قدّس سرّه قد استدلّ على عدم جواز بيع الوقف بمكاتبة الصفّار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كتب إلى أبي محمّد الحسن بن علي عليه السلام في الوقف وما روي فيه عن آبائه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 إن شاء اللّه‌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نحو ذلك في ذيل مكاتبة اُخرى للصفّار</w:t>
      </w:r>
      <w:r>
        <w:rPr>
          <w:rStyle w:val="FootnoteAnchor"/>
          <w:rtl w:val="true"/>
        </w:rPr>
        <w:footnoteReference w:id="364"/>
      </w:r>
      <w:r>
        <w:rPr>
          <w:rFonts w:ascii="Amiri" w:hAnsi="Amiri" w:eastAsia="Amiri" w:cs="Amiri"/>
          <w:color w:val="111111"/>
          <w:sz w:val="28"/>
          <w:sz w:val="28"/>
          <w:szCs w:val="28"/>
          <w:rtl w:val="true"/>
          <w:lang w:bidi="ar-SA"/>
        </w:rPr>
        <w:t>أيضاً مع صدر سيأتي الكلام فيه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 في بيان مفادها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الغضّ عن صدرها، يحتمل فيها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نفوذ الوقوف تابع لإيقاف الواقف ، من غير نظر إلى الجهات الخارجة عن نفس الإيقاف ؛ بمعنى أ نّه بصدد بيان كيفية الوقف في نفسه ، وأ نّه تابع لجعل الواقف وإيقافه ؛ فإن وقف على الجهات العامّة نفذ وصحّ ، أو على شخص أو أشخاص فكذلك ، فيكون الموقوف عليه على حسب إيقافه سعةً وضيقاً ، وإطلاقاً وتقييداً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كاشتراطه على الموقوف عليهم شيئاً ، أو اشتراطه </w:t>
      </w:r>
    </w:p>
    <w:p>
      <w:pPr>
        <w:pStyle w:val="BookText"/>
        <w:rPr/>
      </w:pPr>
      <w:r>
        <w:rPr>
          <w:rFonts w:ascii="Amiri" w:hAnsi="Amiri" w:eastAsia="Amiri" w:cs="Amiri"/>
          <w:color w:val="111111"/>
          <w:sz w:val="28"/>
          <w:sz w:val="28"/>
          <w:szCs w:val="28"/>
          <w:rtl w:val="true"/>
          <w:lang w:bidi="ar-SA"/>
        </w:rPr>
        <w:t xml:space="preserve">رجوع الوقف إليه أو إلى غيره عند الاحتياج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غير ذلك من القيود والشروط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فمسكوت عنها ؛ فإنّها خارجة عن نفس الإيقاف بما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الوقف تابع لجعل الواقف في أصله ، ومتعلّقاته ، وشرائطه ، فيشمل الشرائط المتقدّمة والقيود اللاحقة بالوقف ، وأمّا المنع عن بيعه أو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تجويزه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فمسكوت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الشمول لذلك أيضاً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الوقوف على حسب قرار الواقف في تعيين الموقوف عليه ، وفي كلّ قيد وشرط ، وفي جواز البيع ولا جوازه ، 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وقفاً لا يباع ولا يوهب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وقفاً يباع عند طروّ حاجة ، أو كون البيع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 كما ورد في وقف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تباع ، ولا توهب ، ولا تورث</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وقف الكاظم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رجعة فيها ولا 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يحلّ لمؤمن يؤمن باللّه واليوم الآخر أن يبيعها </w:t>
      </w:r>
      <w:r>
        <w:rPr>
          <w:rFonts w:eastAsia="Amiri" w:cs="Amiri" w:ascii="Amiri" w:hAnsi="Amiri"/>
          <w:color w:val="111111"/>
          <w:sz w:val="28"/>
          <w:szCs w:val="28"/>
          <w:rtl w:val="true"/>
          <w:lang w:bidi="ar-SA"/>
        </w:rPr>
        <w:t>. . .»</w:t>
      </w:r>
      <w:r>
        <w:rPr>
          <w:rStyle w:val="FootnoteAnchor"/>
          <w:rtl w:val="true"/>
        </w:rPr>
        <w:footnoteReference w:id="367"/>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أمثالها هو أ نّها من تتمّة الجعل ، لا بيان الحكم الشرعي ؛ فإنّه خارج عن وظيفة الجاعل والواقف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الاحتمال ، تدلّ الرواية على أنّ الوقف من حيث ذاته لا يقتضي عدم النقل ، بل هو غير مقتضٍ للنقل وعدمه ، وإنّما الصحّة واللاصحّة تابعة لجعل </w:t>
      </w:r>
    </w:p>
    <w:p>
      <w:pPr>
        <w:pStyle w:val="BookText"/>
        <w:rPr/>
      </w:pPr>
      <w:r>
        <w:rPr>
          <w:rFonts w:ascii="Amiri" w:hAnsi="Amiri" w:eastAsia="Amiri" w:cs="Amiri"/>
          <w:color w:val="111111"/>
          <w:sz w:val="28"/>
          <w:sz w:val="28"/>
          <w:szCs w:val="28"/>
          <w:rtl w:val="true"/>
          <w:lang w:bidi="ar-SA"/>
        </w:rPr>
        <w:t xml:space="preserve">الواقف وقراره ، ومع عدم قراره يصحّ بيعه على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الأظهر من بين الاحتمالات مع الجمود على الظاهر ، هو الاحتمال الأوّل ، إن كانت الجهات الاُخر خارجة عن وقفه وإيقافه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ناظرة إلى نفس الإيقاف من غير نظر إلى الجهات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استظهار الاحتمال الثاني بل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بمناسبات عرفية مغروسة في الأذهان ، فتكون ناظرة إلى جميع ما قرّره الواقف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قرّره الواقف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فرض استقلال تلك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ملاحظة صدر الرواية ، لولا الصحيحة الآتية المفصّلة ، فمن المحتمل أن يكون المراد من السؤال عن الوقف وما روي فيه عن آبائه ، هو السؤال عن الروايات المتنافية في الظاهر ؛ فإنّ في بعضها عدم جواز شراء الوقف ،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راشد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أخذ عدم البيع والهبة في ضمن جعل الوقف ، كصحيحة أيّوب بن عطيّة</w:t>
      </w:r>
      <w:r>
        <w:rPr>
          <w:rStyle w:val="FootnoteAnchor"/>
          <w:rtl w:val="true"/>
        </w:rPr>
        <w:footnoteReference w:id="369"/>
      </w:r>
      <w:r>
        <w:rPr>
          <w:rFonts w:ascii="Amiri" w:hAnsi="Amiri" w:eastAsia="Amiri" w:cs="Amiri"/>
          <w:color w:val="111111"/>
          <w:sz w:val="28"/>
          <w:sz w:val="28"/>
          <w:szCs w:val="28"/>
          <w:rtl w:val="true"/>
          <w:lang w:bidi="ar-SA"/>
        </w:rPr>
        <w:t>ورواية ربعي بن عبداللّه‌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 جواز البيع بمجرّد الاحتياج وكون البيع خيراً لهم ، كرواية جعفر بن حيّان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بعضها التفصيل بين الوقف على إمام المسلمين فلا يجوز ، وعلى قوم من المسلمين فيجوز عند الاحتياج</w:t>
      </w:r>
      <w:r>
        <w:rPr>
          <w:rStyle w:val="FootnoteAnchor"/>
          <w:rtl w:val="true"/>
        </w:rPr>
        <w:footnoteReference w:id="37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الاختلافات ، فأراد السائل معرفة الوجه في الاختلاف ، وطريق الجمع فيها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الوقوف على حسب ما يوقفها أهلها ، وأنّ اختلاف الروايات بحسب اختلاف جعل الواقف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وإن لم يكن جمعاً عرفياً لو خلّينا وأنفسنا ، لكن مع تلك الصحيحة نحمل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يكون المراد من السؤال عن الوقف وما روي فيه ، الاستفهام عن ورود رواية في الوقف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روي هو ذلك ، وأراد تكذيب سائر الروايات ، فمقطوع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الاحتمال المتقدّم أيضاً لا يستند إلى ركن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ذلك إجمال لما فصّل في صحيحة اُخرى للصفّار ، عن أبي محمّد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 أسأله عن الوقف الذي يصحّ كيف هو ؟ فقد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الوقف إذا كان غير موقّت فهو باطل مردود على الورثة ، وإذا كان موقّتاً فهو صحيح ممضىً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الموقّت هو الذي يذكر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وقف على فلان وعقبه ، فإذا انقرضوا فهو للفقراء والمساكين ، إلى أن يرث اللّه الأرض ومن عليها</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موقّت إذا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لفلان وعقبه ما 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والمساكين إلى أن يرث اللّه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w:t>
      </w:r>
    </w:p>
    <w:p>
      <w:pPr>
        <w:pStyle w:val="BookText"/>
        <w:rPr/>
      </w:pPr>
      <w:r>
        <w:rPr>
          <w:rFonts w:ascii="Amiri" w:hAnsi="Amiri" w:eastAsia="Amiri" w:cs="Amiri"/>
          <w:color w:val="111111"/>
          <w:sz w:val="28"/>
          <w:sz w:val="28"/>
          <w:szCs w:val="28"/>
          <w:rtl w:val="true"/>
          <w:lang w:bidi="ar-SA"/>
        </w:rPr>
        <w:t xml:space="preserve">غير موقّت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يصحّ من ذلك ، وما الذي يبطل ؟</w:t>
      </w:r>
    </w:p>
    <w:p>
      <w:pPr>
        <w:pStyle w:val="BookText"/>
        <w:rPr/>
      </w:pP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بحسب ما يوقفها إن شاء اللّه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قوله هذا، أنّ الوقف صحيح في جميع الفروض، وأنّ صحّته تابعة لجعل الواقف وإيقافه، سواء كان مؤبّداً أو غير مؤبّد، كالموقّت الذي ذكره آخرون، أو الموقّت بوقت محدود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 على فلان عشرين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الظاهر الصحّة إذا لم يذكر الموقوف عليه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صدقة جارية ، لا تباع ، ولا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يفيد جعل الوقف ، وفي هذه الصورة تجعل المنافع في سبل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ما يوقفها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أ نّه لا بدّ فيه من الموقوف عليه ؛ لاقتضاء الإيقاف للموقوف عليه</w:t>
      </w:r>
      <w:r>
        <w:rPr>
          <w:rStyle w:val="FootnoteAnchor"/>
          <w:rtl w:val="true"/>
        </w:rPr>
        <w:footnoteReference w:id="374"/>
      </w:r>
      <w:r>
        <w:rPr>
          <w:rFonts w:ascii="Amiri" w:hAnsi="Amiri" w:eastAsia="Amiri" w:cs="Amiri"/>
          <w:color w:val="111111"/>
          <w:sz w:val="28"/>
          <w:sz w:val="28"/>
          <w:szCs w:val="28"/>
          <w:rtl w:val="true"/>
          <w:lang w:bidi="ar-SA"/>
        </w:rPr>
        <w:t xml:space="preserve">، فبقي سائر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صحيحة علي بن مهزيار ما ينافي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مواليك ، عن آبائك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وقف إلى وقت معلوم فهو واجب على الورثة ، وكلّ وقف إلى غير وقت جهل مجهول فهو باطل ، مردود على الورثة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أعلم بقول آبائك عليهم السلام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هو عندي</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الظاهر منها التفصيل بين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الواقف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يفيد ذلك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الفقراء إلى أن يرث اللّه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من الوقت المعلوم وإن لم يكن محدوداً ، 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عشرين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الوقت المجهول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فلان وعقبه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فلان إلى قدوم الحاجّ</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يذكر شيئاً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يكون إلى غير 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بينهما بحمل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وقت جهل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الواقف وقتاً غير معلوم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فلان إلى وقت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قدوم الحاجّ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الوقف على فلان وعقبه ممّا لم يذكر فيه الوقت ، فهو خارج عن الوقف إلى وقت مجهول ؛ لعدم كون ما ذكر وقفاً إلى وقت ، فبقي الباقي تحت إطلاق رواية الصفّار ، وللمسألة محلّ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توجيه الرواية بما وجّهها شيخ الطائفة قدّس سرّه ، فهو خارج عن فهم العرف ، ومخالف لظاهرها ، بل ظاهرها مخالف لدعواه كون الوقت كان اصطلاحاً في الموقوف عليه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عدم جواز بيعها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فرض شموله لجواز النقل ولا جوازه فواضح ، بل على هذا يدلّ على </w:t>
      </w:r>
    </w:p>
    <w:p>
      <w:pPr>
        <w:pStyle w:val="BookText"/>
        <w:rPr/>
      </w:pPr>
      <w:r>
        <w:rPr>
          <w:rFonts w:ascii="Amiri" w:hAnsi="Amiri" w:eastAsia="Amiri" w:cs="Amiri"/>
          <w:color w:val="111111"/>
          <w:sz w:val="28"/>
          <w:sz w:val="28"/>
          <w:szCs w:val="28"/>
          <w:rtl w:val="true"/>
          <w:lang w:bidi="ar-SA"/>
        </w:rPr>
        <w:t xml:space="preserve">عدم كون الوقف مقتضياً للنقل ولا لعدمه ، وعلى أ نّهما يتبعان جعل الواقف ، ومع عدم اقتضائه عدم النقل يصحّ بالأدلّة العامّة الدالّة على صحّة 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سائر الاحتمالات ؛ فلأ نّه بصدد بيان أ نّه تابع في الإيقاف أو في سائر المتعلّقات لجعله ؛ أي لا يتجاوز عنه ، وأمّا النقل وعدمه فخارجان عن مفاده ، ولا تعرّض فيه لهما ، ومقتضيات ماهية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 ماهيته والأحكام الشرعية المترتّبة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مفاده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الامتناع عن النقل داخلاً فيها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التشبّث بها </w:t>
      </w:r>
      <w:r>
        <w:rPr>
          <w:rStyle w:val="FootnoteAnchor"/>
          <w:rtl w:val="true"/>
        </w:rPr>
        <w:footnoteReference w:id="378"/>
      </w:r>
      <w:r>
        <w:rPr>
          <w:rFonts w:ascii="Amiri" w:hAnsi="Amiri" w:eastAsia="Amiri" w:cs="Amiri"/>
          <w:color w:val="111111"/>
          <w:sz w:val="28"/>
          <w:sz w:val="28"/>
          <w:szCs w:val="28"/>
          <w:rtl w:val="true"/>
          <w:lang w:bidi="ar-SA"/>
        </w:rPr>
        <w:t xml:space="preserve">، خروج عن طريق الاستدلال واستقلال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التشبّث بمخالفة النقل لأبدية الوقف النافذة بمثل الرواية</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خروج عن طريق الاستدلال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 لأنّ غاية ذلك أنّ الوقف في الأبدية والانقطاع تابع لإيقاف الواقف ، وهو لا يقتضي إلاّ أ نّه مع عدم سبب للنقل يكون باقياً ، مقابل المنقطع الذي يكون له أمد ، كالعقد الدائم مقابل المنقطع ، فلا دليل على لزوم الوقف وعدم جواز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كالهبة أو كالوصيّة حال حياة الموصي ، فلو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الهبة على حسب ما جعلها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النكاح على حسب ما يعقده الزوجان في الدوام والانقطاع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 ذلك على عدم جواز الفسخ أو النقل أو الطلاق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مقابل الانقطاع ، لا مقابل عدم النقل بسبب حادث </w:t>
      </w:r>
      <w:r>
        <w:rPr>
          <w:rFonts w:eastAsia="Amiri" w:cs="Amiri" w:ascii="Amiri" w:hAnsi="Amiri"/>
          <w:color w:val="111111"/>
          <w:sz w:val="28"/>
          <w:szCs w:val="28"/>
          <w:rtl w:val="true"/>
          <w:lang w:bidi="ar-SA"/>
        </w:rPr>
        <w:t xml:space="preserve">. </w:t>
      </w:r>
      <w:bookmarkStart w:id="190" w:name="pg15209_203791"/>
    </w:p>
    <w:p>
      <w:pPr>
        <w:pStyle w:val="BookText"/>
        <w:rPr/>
      </w:pPr>
      <w:bookmarkEnd w:id="190"/>
      <w:r>
        <w:rPr>
          <w:rFonts w:ascii="Amiri" w:hAnsi="Amiri" w:eastAsia="Amiri" w:cs="Amiri"/>
          <w:color w:val="111111"/>
          <w:sz w:val="28"/>
          <w:sz w:val="28"/>
          <w:szCs w:val="28"/>
          <w:rtl w:val="true"/>
          <w:lang w:bidi="ar-SA"/>
        </w:rPr>
        <w:t>مضافاً إلى أ نّه لو سلّمت دلالته على عدم جواز النقل ، لم يسلّم شموله لمنع نقل الواقف ، بل الظاهر منه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ليس لأحد تغيير ما وقفه الواقف ، وأمّا عدم الجواز بالنسبة إليه فلا ، بل الظاهر أنّ هذا لمراعاة حال الواقف ، لا الوقف ، فتدبّر </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2974423_2142443653"/>
      <w:bookmarkStart w:id="192" w:name="_Toc67"/>
      <w:bookmarkEnd w:id="191"/>
      <w:r>
        <w:rPr>
          <w:rtl w:val="true"/>
        </w:rPr>
        <w:t xml:space="preserve">الاستدلال على عدم الجواز بالروايات الحاكية لوقف الأئمّة </w:t>
      </w:r>
      <w:r>
        <w:rPr>
          <w:rtl w:val="true"/>
        </w:rPr>
        <w:t>(</w:t>
      </w:r>
      <w:r>
        <w:rPr>
          <w:rtl w:val="true"/>
        </w:rPr>
        <w:t>عليهم السلام</w:t>
      </w:r>
      <w:r>
        <w:rPr>
          <w:rtl w:val="true"/>
        </w:rPr>
        <w:t>)</w:t>
      </w:r>
      <w:bookmarkEnd w:id="192"/>
    </w:p>
    <w:p>
      <w:pPr>
        <w:pStyle w:val="BookText"/>
        <w:rPr/>
      </w:pPr>
      <w:r>
        <w:rPr>
          <w:rFonts w:ascii="Amiri" w:hAnsi="Amiri" w:eastAsia="Amiri" w:cs="Amiri"/>
          <w:color w:val="111111"/>
          <w:sz w:val="28"/>
          <w:sz w:val="28"/>
          <w:szCs w:val="28"/>
          <w:rtl w:val="true"/>
          <w:lang w:bidi="ar-SA"/>
        </w:rPr>
        <w:t xml:space="preserve">واستدلّوا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حكاية وقف الأئمّ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Style w:val="FootnoteAnchor"/>
          <w:rtl w:val="true"/>
        </w:rPr>
        <w:footnoteReference w:id="380"/>
      </w:r>
      <w:r>
        <w:rPr>
          <w:rFonts w:ascii="Amiri" w:hAnsi="Amiri" w:eastAsia="Amiri" w:cs="Amiri"/>
          <w:color w:val="111111"/>
          <w:sz w:val="28"/>
          <w:sz w:val="28"/>
          <w:szCs w:val="28"/>
          <w:rtl w:val="true"/>
          <w:lang w:bidi="ar-SA"/>
        </w:rPr>
        <w:t xml:space="preserve">، ففي بعضها حكاية وقف أمير المؤمنين عليه السلام ، كصحيحة أيّوب بن عطيّة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صدقة بتّة بتلاً في حجيج بيت اللّه وعابري سبيله ، لا تباع ، ولا توهب ، ولا تورث ، فمن باعها أو وهبها فعليه لعنة اللّه والملائكة والناس أجمعين ، لا يقبل اللّه منه صرفاً ولا عدلاً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حكاية كتابة أمير المؤمنين عليه السلام بعد ما تصدّق ، كصحيحة ربعي بن عبداللّه ،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تصدّق أمير المؤمنين عليه السلام بدار له في المدينة في بني زريق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تصدّق به علي بن أبي طالب وهو حيّ سويّ ، تصدّق بداره التي في بني زريق صدقة لا تباع ولا توهب ، حتّى يرثها اللّه الذي يرث السماوات </w:t>
      </w:r>
    </w:p>
    <w:p>
      <w:pPr>
        <w:pStyle w:val="BookText"/>
        <w:rPr/>
      </w:pPr>
      <w:r>
        <w:rPr>
          <w:rFonts w:ascii="Amiri" w:hAnsi="Amiri" w:eastAsia="Amiri" w:cs="Amiri"/>
          <w:color w:val="111111"/>
          <w:sz w:val="28"/>
          <w:sz w:val="28"/>
          <w:szCs w:val="28"/>
          <w:rtl w:val="true"/>
          <w:lang w:bidi="ar-SA"/>
        </w:rPr>
        <w:t>والأرض ، وأسكن هذه الصدقة خالاته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حكاية إملاء أبي عبداللّه عليه السلام ، كرواية عجلان</w:t>
      </w:r>
      <w:r>
        <w:rPr>
          <w:rStyle w:val="FootnoteAnchor"/>
          <w:rtl w:val="true"/>
        </w:rPr>
        <w:footnoteReference w:id="383"/>
      </w:r>
      <w:r>
        <w:rPr>
          <w:rFonts w:ascii="Amiri" w:hAnsi="Amiri" w:eastAsia="Amiri" w:cs="Amiri"/>
          <w:color w:val="111111"/>
          <w:sz w:val="28"/>
          <w:sz w:val="28"/>
          <w:szCs w:val="28"/>
          <w:rtl w:val="true"/>
          <w:lang w:bidi="ar-SA"/>
        </w:rPr>
        <w:t xml:space="preserve">وهي موثّقة على رواية الكليني قدّس سرّه إن كان الراوي عن أبان أحمد بن إدريس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إن كان أحمد بن عديس</w:t>
      </w:r>
      <w:r>
        <w:rPr>
          <w:rStyle w:val="FootnoteAnchor"/>
          <w:rtl w:val="true"/>
        </w:rPr>
        <w:footnoteReference w:id="385"/>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النجف</w:t>
      </w:r>
      <w:r>
        <w:rPr>
          <w:rStyle w:val="FootnoteAnchor"/>
          <w:rtl w:val="true"/>
        </w:rPr>
        <w:footnoteReference w:id="388"/>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حكاية صدقة أبي الحسن عليه السلام ، كصحيحة ابن الحجّاج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تصدّق موسى بن جعفر عليه السلام بصدقته هذه وهو حيّ صحيح ، صدقةً حبساً بتّاً بتلا مبتوتة ، لا رجعة فيها ولا ردّ ، ابتغاء وجه اللّه والدار الآخرة ، لا يحلّ لمؤمن يؤمن باللّه واليوم الآخر أن يبيعها أو يبتاعها ، ولا يهبها ، ولا ينحلها ، ولا يغيّر شيئاً ممّا وصفته عليها حتّى يرث اللّه الأرض ومن عليها </w:t>
      </w:r>
      <w:r>
        <w:rPr>
          <w:rFonts w:eastAsia="Amiri" w:cs="Amiri" w:ascii="Amiri" w:hAnsi="Amiri"/>
          <w:color w:val="111111"/>
          <w:sz w:val="28"/>
          <w:szCs w:val="28"/>
          <w:rtl w:val="true"/>
          <w:lang w:bidi="ar-SA"/>
        </w:rPr>
        <w:t>. .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استدلّ ببعضها الشيخ الأعظم قدّس سرّه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الوصف كونها صفة لنوع الصدقة ، لا لشخصها ، ويبعد كونها شرطاً خارجاً عن النوع مأخوذاً في الشخص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سياق الاشتراط يقتضي تأخّره عن ركن العقد ؛ أعني الموقوف عليهم ، خصوصاً مع كونه اشتراطاً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لو جاز البيع في بعض الأحيان ، كان اشتراط عدمه على الإطلاق فاسداً ، بل مفسداً ؛ لمخالفته للشرع </w:t>
      </w:r>
      <w:r>
        <w:rPr>
          <w:rFonts w:eastAsia="Amiri" w:cs="Amiri" w:ascii="Amiri" w:hAnsi="Amiri"/>
          <w:color w:val="111111"/>
          <w:sz w:val="28"/>
          <w:szCs w:val="28"/>
          <w:rtl w:val="true"/>
          <w:lang w:bidi="ar-SA"/>
        </w:rPr>
        <w:t>. . .</w:t>
      </w:r>
      <w:r>
        <w:rPr>
          <w:rStyle w:val="FootnoteAnchor"/>
          <w:rtl w:val="true"/>
        </w:rPr>
        <w:footnoteReference w:id="39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مبنيّ على 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الوقف من العقود ، وأنّ الموقوف عليهم ركن العقد ، وأنّ ما ذكر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 ، ولا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ضمن العقد على الموقوف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من الإيقاعات لا العقود</w:t>
      </w:r>
      <w:r>
        <w:rPr>
          <w:rStyle w:val="FootnoteAnchor"/>
          <w:rtl w:val="true"/>
        </w:rPr>
        <w:footnoteReference w:id="391"/>
      </w:r>
      <w:r>
        <w:rPr>
          <w:rFonts w:ascii="Amiri" w:hAnsi="Amiri" w:eastAsia="Amiri" w:cs="Amiri"/>
          <w:color w:val="111111"/>
          <w:sz w:val="28"/>
          <w:sz w:val="28"/>
          <w:szCs w:val="28"/>
          <w:rtl w:val="true"/>
          <w:lang w:bidi="ar-SA"/>
        </w:rPr>
        <w:t>، وهذه الروايات أيضاً شاهدة على ما ذكرناه بالتأمّل والتدبّر فيها ، وعليه يسقط جميع ما أفاده قدّس سرّه من الشواهد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 نّه لو سلّم جميع ما أفاده ، فلا يفيد في تأسيس قاعدة كلّية لعدم جواز بيع الوقف مطلقاً كما هو المدّعى ، فإنّ بين الوقف والصدقة عموماً من وجه ؛ لاعتبار قصد القربة في الصدقات وقفاً كانت أو غيرها ، كالزكاة والصدقات المندوبة ، وعدم اعتباره في الوقوف حتّى الوقوف العامّة ، فلو وقف على </w:t>
      </w:r>
    </w:p>
    <w:p>
      <w:pPr>
        <w:pStyle w:val="BookText"/>
        <w:rPr/>
      </w:pPr>
      <w:r>
        <w:rPr>
          <w:rFonts w:ascii="Amiri" w:hAnsi="Amiri" w:eastAsia="Amiri" w:cs="Amiri"/>
          <w:color w:val="111111"/>
          <w:sz w:val="28"/>
          <w:sz w:val="28"/>
          <w:szCs w:val="28"/>
          <w:rtl w:val="true"/>
          <w:lang w:bidi="ar-SA"/>
        </w:rPr>
        <w:t xml:space="preserve">أولاده أو على الفقراء بلا قصد القربة 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إثبات عدم جواز بيع الوقوف مطلقاً بتلك الروايات لو فرض أ نّها دالّة على المطلوب ، واحتمال إلغاء الخصوصية غير مسموع ؛ فإنّ للصدقات خصوصيات ليست لغيرها ، ولعلّ الوقوف إذا كانت من قبيل الصدقات ، لا يجوز بيعها ونقلها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النظر في دلالتها ؛ فإنّ ما حكت عن إنشاء الإمام عليه السلام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صحيحة أيّوب بن عطيّة الحاكية عن إنشاء أمير المؤمنين عليه السلام وصحيحة ابن الحجّاج الحاكية عن إنشاء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فيهما في أنّ ما ذكر وصف للصدقة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منهما ولا سيّما الثانية خلافه ؛ فإنّ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تمامية الوقف وذكر الموقوف عليهم كما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كونه وصفاً مع الفصل بالأجنبيّ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شبهة في أنّ ذلك جملة إخبارية في مقام الإنشاء ، والمقصود الجدّي هو الزجر عن بيعه وهبته ، والظاهر من ذلك أنّ الزجر والنهي من الواقف ، لا أ نّه حكاية عن الزجر التشريعي من اللّه تعالى ، وهو المناسب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باعها أو وهبها فعليه لعنة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هو المتعارف في أمثال ذلك عند الناس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ملاحظة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الاحتمالات المتقدّمة</w:t>
      </w:r>
      <w:r>
        <w:rPr>
          <w:rStyle w:val="FootnoteAnchor"/>
          <w:rtl w:val="true"/>
        </w:rPr>
        <w:footnoteReference w:id="393"/>
      </w:r>
      <w:r>
        <w:rPr>
          <w:rFonts w:ascii="Amiri" w:hAnsi="Amiri" w:eastAsia="Amiri" w:cs="Amiri"/>
          <w:color w:val="111111"/>
          <w:sz w:val="28"/>
          <w:sz w:val="28"/>
          <w:szCs w:val="28"/>
          <w:rtl w:val="true"/>
          <w:lang w:bidi="ar-SA"/>
        </w:rPr>
        <w:t xml:space="preserve">، وصحيحة عبد الرحمان بن </w:t>
      </w:r>
    </w:p>
    <w:p>
      <w:pPr>
        <w:pStyle w:val="BookText"/>
        <w:rPr/>
      </w:pPr>
      <w:r>
        <w:rPr>
          <w:rFonts w:ascii="Amiri" w:hAnsi="Amiri" w:eastAsia="Amiri" w:cs="Amiri"/>
          <w:color w:val="111111"/>
          <w:sz w:val="28"/>
          <w:sz w:val="28"/>
          <w:szCs w:val="28"/>
          <w:rtl w:val="true"/>
          <w:lang w:bidi="ar-SA"/>
        </w:rPr>
        <w:t xml:space="preserve">الحجّاج الحاكية عن وقف أمير المؤمنين عليه السلام </w:t>
      </w:r>
      <w:r>
        <w:rPr>
          <w:rStyle w:val="FootnoteAnchor"/>
          <w:rtl w:val="true"/>
        </w:rPr>
        <w:footnoteReference w:id="394"/>
      </w:r>
      <w:r>
        <w:rPr>
          <w:rFonts w:ascii="Amiri" w:hAnsi="Amiri" w:eastAsia="Amiri" w:cs="Amiri"/>
          <w:color w:val="111111"/>
          <w:sz w:val="28"/>
          <w:sz w:val="28"/>
          <w:szCs w:val="28"/>
          <w:rtl w:val="true"/>
          <w:lang w:bidi="ar-SA"/>
        </w:rPr>
        <w:t xml:space="preserve">وفي مواضع منها أجاز بيع الوقف لقضاء الدين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تقوية احتمال 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 ولا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جعله وقراره على عدم البيع ، مقابل جعله لجوازه، كما في صحيحة ابن الحجّاج</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فيستفاد من المجموع أنّ الوقف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يوقفه الواقف ويقيّده بعدم جواز بيعه ، وقسم يقيّده بالجواز ، ويكون الوقف في الجواز واللاجواز تابعاً لجعله ، وعلى حسب ما يوقفه أهله ، ولو لم يذكر في الوقف شيئاً من الجواز وعدمه ، فلا بدّ من التماس دليل آخر على ذلك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فرق في عدم استفادة بطلان بيعه من الرواية ، بين 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 ولا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للصدقة ، وبين عدمه كما استظهرناه</w:t>
      </w:r>
      <w:r>
        <w:rPr>
          <w:rStyle w:val="FootnoteAnchor"/>
          <w:rtl w:val="true"/>
        </w:rPr>
        <w:footnoteReference w:id="396"/>
      </w:r>
      <w:r>
        <w:rPr>
          <w:rFonts w:ascii="Amiri" w:hAnsi="Amiri" w:eastAsia="Amiri" w:cs="Amiri"/>
          <w:color w:val="111111"/>
          <w:sz w:val="28"/>
          <w:sz w:val="28"/>
          <w:szCs w:val="28"/>
          <w:rtl w:val="true"/>
          <w:lang w:bidi="ar-SA"/>
        </w:rPr>
        <w:t xml:space="preserve">؛ فإنّ الوصف مردّد بين كونه وصفاً معهوداً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هذه الصدقة لا تباع ولا توهب في الشرع ، كناية عن الوقف وإنشاءً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كونه وصفاً وصفه إيّاه من قبل نفسه ، والمراد أ نّها صدقة لا اُجيز بيعها وهبتها ؛ فإنّ الجملة الإخبارية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إخباراً حقيقة ؛ فإنّ كثيراً من الأوقاف بيعت خارجاً ، فلا يكون الإخبار موافقاً للواقع ، فلا بدّ وأن يكون في مقام الإنشاء ، لا بمعنى استعمال الإخبار في الإنشاء ، بل الإخبار على حاله استعمالاً ، وجعل كناية عن </w:t>
      </w:r>
    </w:p>
    <w:p>
      <w:pPr>
        <w:pStyle w:val="BookText"/>
        <w:rPr/>
      </w:pPr>
      <w:r>
        <w:rPr>
          <w:rFonts w:ascii="Amiri" w:hAnsi="Amiri" w:eastAsia="Amiri" w:cs="Amiri"/>
          <w:color w:val="111111"/>
          <w:sz w:val="28"/>
          <w:sz w:val="28"/>
          <w:szCs w:val="28"/>
          <w:rtl w:val="true"/>
          <w:lang w:bidi="ar-SA"/>
        </w:rPr>
        <w:t xml:space="preserve">الزجر والإنشاء ، فالجملة الإخبارية صفة للصدقة ، والمعنى الواقعي أ نّها صدقة لا يجوز بيعها وهبتها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الترديد بين الاحتمالين المتقدّمين ، لا يصحّ الاستدلال ، مع أنّ الاحتمال الثاني أقرب ولو بمناسبة روايات اُخر</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الرواية الحاكية عن صدقة موسى بن جعفر سلام اللّه عليهما ، فلا ينبغي احتمال 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لمؤمن يؤمن باللّه واليوم الآخر أن يبيعها </w:t>
      </w:r>
      <w:r>
        <w:rPr>
          <w:rFonts w:eastAsia="Amiri" w:cs="Amiri" w:ascii="Amiri" w:hAnsi="Amiri"/>
          <w:color w:val="111111"/>
          <w:sz w:val="28"/>
          <w:szCs w:val="28"/>
          <w:rtl w:val="true"/>
          <w:lang w:bidi="ar-SA"/>
        </w:rPr>
        <w:t>. . .»</w:t>
      </w:r>
      <w:r>
        <w:rPr>
          <w:rStyle w:val="FootnoteAnchor"/>
          <w:rtl w:val="true"/>
        </w:rPr>
        <w:footnoteReference w:id="398"/>
      </w:r>
      <w:r>
        <w:rPr>
          <w:rFonts w:ascii="Amiri" w:hAnsi="Amiri" w:eastAsia="Amiri" w:cs="Amiri"/>
          <w:color w:val="111111"/>
          <w:sz w:val="28"/>
          <w:sz w:val="28"/>
          <w:szCs w:val="28"/>
          <w:rtl w:val="true"/>
          <w:lang w:bidi="ar-SA"/>
        </w:rPr>
        <w:t xml:space="preserve">، صفة للصدقة ، بل الأمر دائر بين الاحتمالين المتقدّمين ، والثاني أقرب كما يظهر بالتأمّل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ربعي بن عبداللّه‌</w:t>
      </w:r>
      <w:r>
        <w:rPr>
          <w:rStyle w:val="FootnoteAnchor"/>
          <w:rtl w:val="true"/>
        </w:rPr>
        <w:footnoteReference w:id="399"/>
      </w:r>
      <w:r>
        <w:rPr>
          <w:rFonts w:ascii="Amiri" w:hAnsi="Amiri" w:eastAsia="Amiri" w:cs="Amiri"/>
          <w:color w:val="111111"/>
          <w:sz w:val="28"/>
          <w:sz w:val="28"/>
          <w:szCs w:val="28"/>
          <w:rtl w:val="true"/>
          <w:lang w:bidi="ar-SA"/>
        </w:rPr>
        <w:t xml:space="preserve">التي تمسّك بها الشيخ رحمه الله عليه </w:t>
      </w:r>
      <w:r>
        <w:rPr>
          <w:rStyle w:val="FootnoteAnchor"/>
          <w:rtl w:val="true"/>
        </w:rPr>
        <w:footnoteReference w:id="400"/>
      </w:r>
      <w:r>
        <w:rPr>
          <w:rFonts w:ascii="Amiri" w:hAnsi="Amiri" w:eastAsia="Amiri" w:cs="Amiri"/>
          <w:color w:val="111111"/>
          <w:sz w:val="28"/>
          <w:sz w:val="28"/>
          <w:szCs w:val="28"/>
          <w:rtl w:val="true"/>
          <w:lang w:bidi="ar-SA"/>
        </w:rPr>
        <w:t xml:space="preserve">، فهي حكاية كتابة الوقف ، لا إنشائه اللفظي ، فلا يظهر منها موافقة الكتابة للإنشاء اللفظي في جميع الخصوصيات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أ نّه عليه السلام قال في مقام الإنشاء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داري هذه وقف ابتغاء وجه اللّه على فلان ، وقد شرطت أن لا تباع ولا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تباع ولا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في مقام الكتابة أن يكتب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نّها صدقة لا تباع ، ولا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أن تكون ألفاظ الكتابة موافقة للإنشاء اللفظي ، بل الغالب على الخلاف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بدّ من موافقتهما في النتيجة ، وهي حاصلة على ما قلناه </w:t>
      </w:r>
      <w:r>
        <w:rPr>
          <w:rFonts w:eastAsia="Amiri" w:cs="Amiri" w:ascii="Amiri" w:hAnsi="Amiri"/>
          <w:color w:val="111111"/>
          <w:sz w:val="28"/>
          <w:szCs w:val="28"/>
          <w:rtl w:val="true"/>
          <w:lang w:bidi="ar-SA"/>
        </w:rPr>
        <w:t xml:space="preserve">. </w:t>
      </w:r>
      <w:bookmarkStart w:id="193" w:name="pg15209_203797"/>
    </w:p>
    <w:p>
      <w:pPr>
        <w:pStyle w:val="BookText"/>
        <w:rPr/>
      </w:pPr>
      <w:bookmarkEnd w:id="193"/>
      <w:r>
        <w:rPr>
          <w:rFonts w:ascii="Amiri" w:hAnsi="Amiri" w:eastAsia="Amiri" w:cs="Amiri"/>
          <w:color w:val="111111"/>
          <w:sz w:val="28"/>
          <w:sz w:val="28"/>
          <w:szCs w:val="28"/>
          <w:rtl w:val="true"/>
          <w:lang w:bidi="ar-SA"/>
        </w:rPr>
        <w:t>ومنه يظهر الكلام في رواية عجلان أبي صالح</w:t>
      </w:r>
      <w:r>
        <w:rPr>
          <w:rStyle w:val="FootnoteAnchor"/>
          <w:rtl w:val="true"/>
        </w:rPr>
        <w:footnoteReference w:id="401"/>
      </w:r>
      <w:r>
        <w:rPr>
          <w:rFonts w:ascii="Amiri" w:hAnsi="Amiri" w:eastAsia="Amiri" w:cs="Amiri"/>
          <w:color w:val="111111"/>
          <w:sz w:val="28"/>
          <w:sz w:val="28"/>
          <w:szCs w:val="28"/>
          <w:rtl w:val="true"/>
          <w:lang w:bidi="ar-SA"/>
        </w:rPr>
        <w:t xml:space="preserve">، حيث إنّها إملاء ، لا حكاية لإنشائه اللفظي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بهذه الطائفة لجواز بيع قسم من الوقف ، أولى من الاستدلال بها للمنع ؛ فإنّ الوصف ظاهر في الاحتراز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صحيحة أيّوب إنّما وصف الوقف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 ولا توهب</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بعد ذكر قرائن الوقف ، وهي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بتّة 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هذا من قرائن كون الصدقة وقفاً ، بل احتراز عن وقف يباع ويوهب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ذلك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إنشاء الوقف بقرائنه ، وذكر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ظهوره في الاحتراز عن الوقف الذي يباع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الاستدلال بهذه الطائفة </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2974425_2142443653"/>
      <w:bookmarkStart w:id="195" w:name="_Toc68"/>
      <w:bookmarkEnd w:id="194"/>
      <w:r>
        <w:rPr>
          <w:rtl w:val="true"/>
        </w:rPr>
        <w:t>الاستدلال على عدم جواز بيع الوقف برواية أبي علي بن راشد</w:t>
      </w:r>
      <w:bookmarkEnd w:id="195"/>
    </w:p>
    <w:p>
      <w:pPr>
        <w:pStyle w:val="BookText"/>
        <w:rPr/>
      </w:pPr>
      <w:r>
        <w:rPr>
          <w:rFonts w:ascii="Amiri" w:hAnsi="Amiri" w:eastAsia="Amiri" w:cs="Amiri"/>
          <w:color w:val="111111"/>
          <w:sz w:val="28"/>
          <w:sz w:val="28"/>
          <w:szCs w:val="28"/>
          <w:rtl w:val="true"/>
          <w:lang w:bidi="ar-SA"/>
        </w:rPr>
        <w:t xml:space="preserve">بقيت رواية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اشتريت أرضاً إلى جنب ضيعتي بألفي درهم ، فلمّا وفّرت المال خبّرت أنّ الأرض 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الوقوف ، ولا تدخل الغلّة في ملكك ، ادفعها إلى من اُوقفت عليه</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لها ربّاً </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رواية معتمدة سنداً </w:t>
      </w:r>
      <w:r>
        <w:rPr>
          <w:rStyle w:val="FootnoteAnchor"/>
          <w:rtl w:val="true"/>
        </w:rPr>
        <w:footnoteReference w:id="405"/>
      </w:r>
      <w:r>
        <w:rPr>
          <w:rFonts w:ascii="Amiri" w:hAnsi="Amiri" w:eastAsia="Amiri" w:cs="Amiri"/>
          <w:color w:val="111111"/>
          <w:sz w:val="28"/>
          <w:sz w:val="28"/>
          <w:szCs w:val="28"/>
          <w:rtl w:val="true"/>
          <w:lang w:bidi="ar-SA"/>
        </w:rPr>
        <w:t xml:space="preserve">، بل صحيحة بسند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واستدلّ لعدم جواز بيع الوقف بجميع أنواعه ومصاديقه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المحلّى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المفيد للعموم، وبإطلاق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الغلّة في ملكك</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الاستدلال بعدم استفصاله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خبّرت أ نّه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وبإطلاق المادّة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وبإطلاق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ادفعها إلى من اُوقفت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للاستدلال ، فلو قال في 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ادفعها إلى من اُوقفت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الإطلاق يقتضي بطلان شراء مطلق الوقف ، وهكذا سائر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هنا كلام ، وهو أنّ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شراء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لو كان الشكّ في جواز شراء مصداق أو نوع من الوقوف ، كما لو شكّ في جواز شراء الوقف على الأولاد ، أو على بعض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الشكّ في جوازه في بعض الأحوال العارضة على الفرد أو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كالاختلاف بين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التمسّك بالعموم لرفعه ؛ لأنّ حالات أفراد العامّ ليست داخلة في العموم ، وإخراجها ليس تخصيصاً فيه ، بل تقييد لإطلاق أفراده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عموم لفظي ، له دلالة لغوية غير محتاجة إلى كون المتكلّم في مقام البيان ؛ ضرورة عدم توقّف دلالة اللفظ على شيء إلاّ الوضع ، وألفاظ العموم موضوعة لإفادته ، وهو إنّما يدفع الشكّ في التخصيص واحتمال خروج فرد من </w:t>
      </w:r>
    </w:p>
    <w:p>
      <w:pPr>
        <w:pStyle w:val="BookText"/>
        <w:rPr/>
      </w:pPr>
      <w:r>
        <w:rPr>
          <w:rFonts w:ascii="Amiri" w:hAnsi="Amiri" w:eastAsia="Amiri" w:cs="Amiri"/>
          <w:color w:val="111111"/>
          <w:sz w:val="28"/>
          <w:sz w:val="28"/>
          <w:szCs w:val="28"/>
          <w:rtl w:val="true"/>
          <w:lang w:bidi="ar-SA"/>
        </w:rPr>
        <w:t xml:space="preserve">العامّ ، ولا يدفع به الشكّ في جواز الشراء عند عروض عارض كخراب الوقف ؛ لأنّ خروج الفرد في حال ليس تخصيصاً للعامّ ، ولا العامّ دالاًّ عليه وشاملاً له ، وإنّما هو تقييد للإطلاق إن كان له 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والتمسّك بالإطلاقات للمطلوب ، إنّما يصحّ لو كان المجيب في مقام بيان عدم جواز شراء الوقف ، وهو محلّ إشكال ؛ لأنّ الظاهر من سؤاله أ نّه كان عالماً بعدم جواز شراء الوقف ، إذ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وفّرت المال خبّرت أنّ الأرض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شراءه لذلك من أجل جهله بالواقعة ، وإلاّ لم يقدم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بطلان شراء الوقف ، لم يكن أمراً مجهولاً لمثل ابن راشد الوكيل للناحية المقدّسة ، كيف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جوازه كان أمراً معلوماً معروفاً في صدر الإسلام ، فضلاً عن عصر الهادي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 نّه بصدد السؤال عن علاج الواقعة التي وقع فيها ، وهي شراء الوقف الذي كان لا يعلم بالموقوف عليه ، ووقعت الأرض تحت يده بعد توفير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قبل تمام ذكر الواقعة ، أجابه عليه السلام بوجوب ردّ الغلّة إلى الموقوف عليهم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لها ربّاً</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الشكوك في الصور الآتية في جواز بيع الوقف وشرائه ، ليست في خروج فرد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يصحّ التمسّك به لرفعها ، بل في جواز بيعه وشرائه عند عروض عارض للوقف كالخراب ، أو للموقوف عليهم ، كالاحتياج إلى بيعه ، وكالاختلاف بينهم ، أو عند اشتراط الواقف بيعه في حال من الأحوال ، وفي شيء ممّا ذكر لا يكون المرجع هو العامّ ، بل المرجع ترك الاستفصال ، أو إطلاق العامّ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سائر الإطلاقات التي أشرنا إليها ، فهي متفرّعة على ما ذكر ، وليست إطلاقاً برأسها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استفادة عموم السلب من العموم الواقع عقيب حرف السلب كلاماً ؛ لاحتمال توجّه السلب إلى العموم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القول بالفرق عرفاً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الجمع المحلّى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 xml:space="preserve">في أبواب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التمسّك بالإطلاق من إحراز كونه في مقام البيان ، وهو مشكل بل ممنوع ؛ لما ذكرناه ، ولأنّ الظاهر من السؤال أنّ القضيّة كانت محلّ ابتلاء ابن راشد ، فسأل ليعمل على طبق الجواب ، ولم يكن سؤاله كأسئلة أمثال أصحاب الاُصول والكتب ؛ من فرض قضيّة لأخذ القواعد الكلّية وضبطها في كتبهم ، من غير أن يكون مورد السؤال محلّ ابتلائهم ، حيث إنّ إلقاء القواعد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 أو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كان متعارفاً في التشريع أو الفتوى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إلقاء المطلقات في الموارد التي كان السؤال للعمل ، فلا يصحّ ولا يجوز </w:t>
      </w:r>
    </w:p>
    <w:p>
      <w:pPr>
        <w:pStyle w:val="BookText"/>
        <w:rPr/>
      </w:pPr>
      <w:r>
        <w:rPr>
          <w:rFonts w:ascii="Amiri" w:hAnsi="Amiri" w:eastAsia="Amiri" w:cs="Amiri"/>
          <w:color w:val="111111"/>
          <w:sz w:val="28"/>
          <w:sz w:val="28"/>
          <w:szCs w:val="28"/>
          <w:rtl w:val="true"/>
          <w:lang w:bidi="ar-SA"/>
        </w:rPr>
        <w:t xml:space="preserve">إلاّ إذا لم يكن تقييد في المطلق ، وكان باقياً على إطلاقه ، أو لم يكن الإطلاق موجباً لوقوع السائل في خلاف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كون المطلق مقيّداً بحسب الشرع ، وكون الجواب بنحو الإطلاق موجباً لوقوع السائل في خلاف الواقع ، فلا يعقل صدوره الموجب للإغراء بالجهل ، والوقوع في خلاف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 الاستفصال في مثله ، يدلّ على أنّ القضيّة كانت معهودة ومعلومة الجهات عند السائل والمجيب ، كما فيما نحن بصدده ؛ ممّا هو ظاهر جدّاً في كون ابن راشد سأل عمّا هو محلّ ابتلائه ، والحمل 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أسئلة أصحاب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لم يكن من أصحاب الكتب والاُصول ظاهراً ، والرواية عنه في موارد لا تدلّ على ذلك ، فلو لم تكن القضيّة معهودة ، والإمام عليه السلام عالماً بأنّ الوقف الذي ابتلي به كان غير جائز النقل ، لا يعقل صدور مثل هذا الكلام الموجب لوقوعه في خلاف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بردّ الغلّة على الموقوف عليه ، أو التصدّق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النهي عن إدخال الغلّة في ماله ، كما في أكثر النسخ ؛ ممّا هو ظاهر في أنّ المراد هو الغلّة الخارجية ، لا منافع الأرض واُجرة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الواقعة كانت معهودة ، وإلاّ فلم يكن يأمره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كون الغلّة نماء بذره ، فإذا كانت القضيّة معهودة بينهما ، لا يمكن إحراز الإطلاق ، كما هو واضح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الغلّةُ في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الأرض ، فيكون الفعل مجرّداً ، والمراد أنّ الأرض الموقوفة </w:t>
      </w:r>
      <w:bookmarkStart w:id="196" w:name="pg15209_203804"/>
    </w:p>
    <w:p>
      <w:pPr>
        <w:pStyle w:val="BookText"/>
        <w:rPr/>
      </w:pPr>
      <w:bookmarkEnd w:id="196"/>
      <w:r>
        <w:rPr>
          <w:rFonts w:ascii="Amiri" w:hAnsi="Amiri" w:eastAsia="Amiri" w:cs="Amiri"/>
          <w:color w:val="111111"/>
          <w:sz w:val="28"/>
          <w:sz w:val="28"/>
          <w:szCs w:val="28"/>
          <w:rtl w:val="true"/>
          <w:lang w:bidi="ar-SA"/>
        </w:rPr>
        <w:t xml:space="preserve">لا تدخل في ملكك ، وادفعها إلى الموقوف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منافع الأرض ، والأمر بالتصدّق على خلاف القاعدة في مجهول المالك ؛ لأنّ التصدّق إنّما هو بعد الفحص واليأس ، ولعلّه لم يكن بصدد بيان تمام المقصود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بين الوقف وغيره من المجهول المالك ، بعيد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النسخ الاُخر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الغلّةَ في مالك</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فالظاهر منه هو الغلّة الخارجية ؛ من الزرع ، أو ثمر الأشجار ، والمراد النهي عن إدخال مال الوقف في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لا تدلّ على عدم جواز بيع الوقف في موارد عروض العوارض </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2974427_2142443653"/>
      <w:bookmarkStart w:id="198" w:name="_Toc69"/>
      <w:bookmarkEnd w:id="197"/>
      <w:r>
        <w:rPr>
          <w:rtl w:val="true"/>
        </w:rPr>
        <w:t>التشبّث لبطلان بيع الوقف بالحقوق الثلاثة</w:t>
      </w:r>
      <w:bookmarkEnd w:id="198"/>
    </w:p>
    <w:p>
      <w:pPr>
        <w:pStyle w:val="BookText"/>
        <w:rPr/>
      </w:pPr>
      <w:r>
        <w:rPr>
          <w:rFonts w:ascii="Amiri" w:hAnsi="Amiri" w:eastAsia="Amiri" w:cs="Amiri"/>
          <w:color w:val="111111"/>
          <w:sz w:val="28"/>
          <w:sz w:val="28"/>
          <w:szCs w:val="28"/>
          <w:rtl w:val="true"/>
          <w:lang w:bidi="ar-SA"/>
        </w:rPr>
        <w:t xml:space="preserve">وأمّا التشبّث في بطلان بيع الوقف بالحقوق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 اللّه ، وحقّ</w:t>
      </w:r>
    </w:p>
    <w:p>
      <w:pPr>
        <w:pStyle w:val="BookText"/>
        <w:rPr/>
      </w:pPr>
      <w:r>
        <w:rPr>
          <w:rFonts w:ascii="Amiri" w:hAnsi="Amiri" w:eastAsia="Amiri" w:cs="Amiri"/>
          <w:color w:val="111111"/>
          <w:sz w:val="28"/>
          <w:sz w:val="28"/>
          <w:szCs w:val="28"/>
          <w:rtl w:val="true"/>
          <w:lang w:bidi="ar-SA"/>
        </w:rPr>
        <w:t>الواقف ، وحقّ الموقوف عليه ؛ أي البطون المتأخّرة</w:t>
      </w:r>
      <w:r>
        <w:rPr>
          <w:rStyle w:val="FootnoteAnchor"/>
          <w:rtl w:val="true"/>
        </w:rPr>
        <w:footnoteReference w:id="413"/>
      </w:r>
      <w:r>
        <w:rPr>
          <w:rFonts w:ascii="Amiri" w:hAnsi="Amiri" w:eastAsia="Amiri" w:cs="Amiri"/>
          <w:color w:val="111111"/>
          <w:sz w:val="28"/>
          <w:sz w:val="28"/>
          <w:szCs w:val="28"/>
          <w:rtl w:val="true"/>
          <w:lang w:bidi="ar-SA"/>
        </w:rPr>
        <w:t xml:space="preserve">، فيمكن تقريره </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2974429_2142443653"/>
      <w:bookmarkStart w:id="200" w:name="_Toc70"/>
      <w:bookmarkEnd w:id="199"/>
      <w:r>
        <w:rPr>
          <w:rtl w:val="true"/>
        </w:rPr>
        <w:t>تقريب البطلان لأجل حقّ اللّه</w:t>
      </w:r>
      <w:bookmarkEnd w:id="200"/>
    </w:p>
    <w:p>
      <w:pPr>
        <w:pStyle w:val="BookText"/>
        <w:rPr/>
      </w:pPr>
      <w:r>
        <w:rPr>
          <w:rFonts w:ascii="Amiri" w:hAnsi="Amiri" w:eastAsia="Amiri" w:cs="Amiri"/>
          <w:color w:val="111111"/>
          <w:sz w:val="28"/>
          <w:sz w:val="28"/>
          <w:szCs w:val="28"/>
          <w:rtl w:val="true"/>
          <w:lang w:bidi="ar-SA"/>
        </w:rPr>
        <w:t xml:space="preserve">أمّا في حقّ اللّه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للّه تعالى في الأعيان الموقوفة حقّ أن يعبد ، نظير المشاعر </w:t>
      </w:r>
    </w:p>
    <w:p>
      <w:pPr>
        <w:pStyle w:val="BookText"/>
        <w:rPr/>
      </w:pPr>
      <w:r>
        <w:rPr>
          <w:rFonts w:ascii="Amiri" w:hAnsi="Amiri" w:eastAsia="Amiri" w:cs="Amiri"/>
          <w:color w:val="111111"/>
          <w:sz w:val="28"/>
          <w:sz w:val="28"/>
          <w:szCs w:val="28"/>
          <w:rtl w:val="true"/>
          <w:lang w:bidi="ar-SA"/>
        </w:rPr>
        <w:t>والمساجد ، فلو وقف شيئاً لصلاة طائفة من المسلمين ليكون المصلّى لهم ، فكما</w:t>
      </w:r>
    </w:p>
    <w:p>
      <w:pPr>
        <w:pStyle w:val="BookText"/>
        <w:rPr/>
      </w:pPr>
      <w:r>
        <w:rPr>
          <w:rFonts w:ascii="Amiri" w:hAnsi="Amiri" w:eastAsia="Amiri" w:cs="Amiri"/>
          <w:color w:val="111111"/>
          <w:sz w:val="28"/>
          <w:sz w:val="28"/>
          <w:szCs w:val="28"/>
          <w:rtl w:val="true"/>
          <w:lang w:bidi="ar-SA"/>
        </w:rPr>
        <w:t>أنّ لتلك الطائفة حقّ أن يعبدوا اللّه فيه ، كذلك للّه تعالى حقّ أن يعبد فيه ، فهو</w:t>
      </w:r>
    </w:p>
    <w:p>
      <w:pPr>
        <w:pStyle w:val="BookText"/>
        <w:rPr/>
      </w:pPr>
      <w:r>
        <w:rPr>
          <w:rFonts w:ascii="Amiri" w:hAnsi="Amiri" w:eastAsia="Amiri" w:cs="Amiri"/>
          <w:color w:val="111111"/>
          <w:sz w:val="28"/>
          <w:sz w:val="28"/>
          <w:szCs w:val="28"/>
          <w:rtl w:val="true"/>
          <w:lang w:bidi="ar-SA"/>
        </w:rPr>
        <w:t xml:space="preserve">متعلّق لحقّ الناس ، وحقّ اللّه ، وكذا الحال في المشاعر والمساجد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في التصدّق على الذرّية بنحو الاستمرار والبقاء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نحو عبادة مستمرّة من الواقف ، فللّه تعالى حقّ أن يعبد به مستمرّاً ، والجزاء المستمرّ لأجل العبادة المستمرّة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الآخذ للصدقات هو اللّه تعالى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يَعْلَمُوا أَنَّ اللّه‌َ هُوَ يَقبَلُ ا لتَّوْبَةَ عَنْ عِبَادِهِ وَيَأْخُذُ ا لصَّدَقَاتِ</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الروايات الشريفة عن رسول اللّه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تقع صدقة المؤمن في يد السائل حتّى تقع في 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الآية</w:t>
      </w:r>
      <w:r>
        <w:rPr>
          <w:rStyle w:val="FootnoteAnchor"/>
          <w:rtl w:val="true"/>
        </w:rPr>
        <w:footnoteReference w:id="415"/>
      </w:r>
      <w:r>
        <w:rPr>
          <w:rFonts w:ascii="Amiri" w:hAnsi="Amiri" w:eastAsia="Amiri" w:cs="Amiri"/>
          <w:color w:val="111111"/>
          <w:sz w:val="28"/>
          <w:sz w:val="28"/>
          <w:szCs w:val="28"/>
          <w:rtl w:val="true"/>
          <w:lang w:bidi="ar-SA"/>
        </w:rPr>
        <w:t xml:space="preserve">فالصدقة تكون للّه أوّلاً ، ثمّ للمتصدّق عليه ، فهو يتلقّى الصدقة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بعض الروايات ، كرواية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والدي تصدّق عليّ بدار ، ثمّ بدا له أن يرجع فيها ، وإنّ قضاتنا يقضون لي بها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ما قضت به قضاتكم ، وبئسما صنع والدك ، إنّما الصدقة للّه عزّ وجلّ ، فما جعل للّه عزّ وجلّ فلا رجعة له فيه </w:t>
      </w:r>
      <w:r>
        <w:rPr>
          <w:rFonts w:eastAsia="Amiri" w:cs="Amiri" w:ascii="Amiri" w:hAnsi="Amiri"/>
          <w:color w:val="111111"/>
          <w:sz w:val="28"/>
          <w:szCs w:val="28"/>
          <w:rtl w:val="true"/>
          <w:lang w:bidi="ar-SA"/>
        </w:rPr>
        <w:t>. .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للّه فلا رجعة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لعدم الرجعة ، لكن يستفاد منه أنّ للّه تعالى حقّاً في الصدقات ، فما كانت منها بوجودها الحدوثي صدقة لا يجوز هدمها ؛ بأن يرجع فيها المتصدّق ، وأمّا تصرّفات المتصدّق عليه فليست هدماً لها ، وما كانت بوجودها المستمرّ صدقة ، فلا يجوز هدمها بالرجعة ، ولا بالبيع والنقل ونحوهما ؛ فإنّها للّه تعالى ، ولا يجوز هدم ما جعل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الإنصاف عدم تمامية شيء ممّا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حديث حقّه تعالى بأن يعبد ؛ فلأ نّه مضافاً إلى عدم الدليل على أنّ ذلك حقّ حتّى في المشاعر والمساجد ، أنّ انتفاع طبقات الموقوف عليهم ليست عبادة للّه تعالى ، ولا بقاء الوقف عبادة من الواقف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أخذه تعالى للصدقات ، ووقوعها في يده قبل وقوعها في يد السائل ؛ فلأ نّه أمر تشريفي ، لا يستفاد منه حكم فقهي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لو فرض وقوعها في يده ، أو التعبّد بوقوعها فيها ، فلا يوجب ذلك حدوث ملك أو حقّ له تعالى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لإيصال الصدقة إلى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التعليل الوارد في الخبر ؛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للغاية ، لا للملك ، فالمتصدّق</w:t>
      </w:r>
    </w:p>
    <w:p>
      <w:pPr>
        <w:pStyle w:val="BookText"/>
        <w:rPr/>
      </w:pPr>
      <w:r>
        <w:rPr>
          <w:rFonts w:ascii="Amiri" w:hAnsi="Amiri" w:eastAsia="Amiri" w:cs="Amiri"/>
          <w:color w:val="111111"/>
          <w:sz w:val="28"/>
          <w:sz w:val="28"/>
          <w:szCs w:val="28"/>
          <w:rtl w:val="true"/>
          <w:lang w:bidi="ar-SA"/>
        </w:rPr>
        <w:t>يعطي الصدقة للفقير ويملّكه ؛ لأجل التقرّب إليه تعالى ، ومن الواضح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يملّك اللّه تعالى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ما وقع في صدقات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صدقة من فلان ؛ </w:t>
      </w:r>
      <w:bookmarkStart w:id="201" w:name="pg15209_203807"/>
    </w:p>
    <w:p>
      <w:pPr>
        <w:pStyle w:val="BookText"/>
        <w:rPr/>
      </w:pPr>
      <w:bookmarkEnd w:id="201"/>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ليولجني به الجنّة</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وعدم الرجعة في الصدقات أمر تعبّدي ، لا لتعلّق حقّ منه تعالى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عدم الطرد ؛ لأنّ الوقف مطلقاً لا تعتبر فيه القربة ، ولا يكون من الصدقات ، نعم لو قصد فيه التقرّب يكون منها </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2974431_2142443653"/>
      <w:bookmarkStart w:id="203" w:name="_Toc71"/>
      <w:bookmarkEnd w:id="202"/>
      <w:r>
        <w:rPr>
          <w:rtl w:val="true"/>
        </w:rPr>
        <w:t>تقريب بطلان البيع لأجل حقّ الواقف</w:t>
      </w:r>
      <w:bookmarkEnd w:id="203"/>
    </w:p>
    <w:p>
      <w:pPr>
        <w:pStyle w:val="BookText"/>
        <w:rPr/>
      </w:pPr>
      <w:r>
        <w:rPr>
          <w:rFonts w:ascii="Amiri" w:hAnsi="Amiri" w:eastAsia="Amiri" w:cs="Amiri"/>
          <w:color w:val="111111"/>
          <w:sz w:val="28"/>
          <w:sz w:val="28"/>
          <w:szCs w:val="28"/>
          <w:rtl w:val="true"/>
          <w:lang w:bidi="ar-SA"/>
        </w:rPr>
        <w:t xml:space="preserve">وأمّا في حقّ الواقف 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الواقف جعل الوقف ؛ لدرّ المنافع المادّية على الموقوف عليهم ، والمنافع المعنوية على نفسه ، فكما أنّ للموقوف عليهم حقّ استيفاء المنافع المادّية من الأعيان الموقوفة ، ولأجله ثبت لهم حقّ على الأعيان ، كذلك للواقف حقّ الاستيفاء ، ولا فرق بين النفع المادّي والمعنوي من ثواب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الكلّية والاطّراد كما أشرنا إليه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ومضافاً إلى أنّ غاية ذلك على فرض التسليم ، توقّف صحّة البيع على إذن الواقف أو إجازته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إلى أنّ الثواب ليس كمنافع الدار قائماً بها ، ولا استيفاء الواقف للثواب كاستيفاء الموقوف عليهم للسكنى ، أو ثمرات الأعيان الموقوفة ، بل </w:t>
      </w:r>
    </w:p>
    <w:p>
      <w:pPr>
        <w:pStyle w:val="BookText"/>
        <w:rPr/>
      </w:pPr>
      <w:r>
        <w:rPr>
          <w:rFonts w:ascii="Amiri" w:hAnsi="Amiri" w:eastAsia="Amiri" w:cs="Amiri"/>
          <w:color w:val="111111"/>
          <w:sz w:val="28"/>
          <w:sz w:val="28"/>
          <w:szCs w:val="28"/>
          <w:rtl w:val="true"/>
          <w:lang w:bidi="ar-SA"/>
        </w:rPr>
        <w:t xml:space="preserve">الثواب أمر خارج بتفضّل اللّه تعالى ، ومثله لا يوجب حقّاً في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أنّ إعطاء الثواب حتّى في العبادات المعروفة ، ليس لاستحقاق العبد ، بل تفضّل منه تعالى ، فضلاً عن المقام ؛ فإنّ ما هو فعل الواقف ليس إلاّ جعل الشيء صدقة ، وهو موجب للثواب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بالاستحقاق ، يكون مستحقّاً لأجل تصدّقه به ، وأمّا إعطاء الثواب له بإزاء انتفاع البطون السابقة واللاحقة ، فليس إلاّ تفضّلاً محضاً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الشيء صدقة جارية من فعل الواقف ، وله أجر بمجرّد جعله ، سواء استفاد الموقوف عليهم منه ، أم لا ، ولو اُعطي أجراً لأجل استفادتهم ، فليس ذلك جزاءً لفعله ؛ لعدم فعل منه ، بل هو تفضّل 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الواقف إنّما ينتفع من انتفاع الموقوف عليهم ، لا من العين الموقوفة ، ولا من منافعها ، فله ثواب أصل الوقف ، يزيد وينقص حسب صدقته قلّة وكثرة ، وانقطاعاً ودواماً ، من غير فرق بين كون المستفيد منه حسب الاتّفاق قليلاً أو كثيراً ، ولا بين بقاء الوقف على حاله ، وبين خرابه وبيعه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فالخراب أو النقل لا ينقص من ثواب عمله شيئاً ، ولا يكون البيع مبطلاً لثوابه ولحقّه لو كان الثواب حقّاً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 له ثواباً حسب استفادة الموقوف عليهم ، وكلّما كثر المستفيد كثر ثوابه ، لم يوجب ذلك تعلّق حقّ له بالعين ، ولا بمنافعها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تفرّع ثوابه على انتفاعهم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شخص خيّر ، يعطي الفقراء من منافع داره شيئاً على فرض إجارتها وأخذ اُجرتها ، لم يتعلّق حقّ لهم بالدار ، ولا بمنافعها ، بل لو جعل لهم بعقد لازم </w:t>
      </w:r>
      <w:bookmarkStart w:id="204" w:name="pg15209_203809"/>
    </w:p>
    <w:p>
      <w:pPr>
        <w:pStyle w:val="BookText"/>
        <w:rPr/>
      </w:pPr>
      <w:bookmarkEnd w:id="204"/>
      <w:r>
        <w:rPr>
          <w:rFonts w:ascii="Amiri" w:hAnsi="Amiri" w:eastAsia="Amiri" w:cs="Amiri"/>
          <w:color w:val="111111"/>
          <w:sz w:val="28"/>
          <w:sz w:val="28"/>
          <w:szCs w:val="28"/>
          <w:rtl w:val="true"/>
          <w:lang w:bidi="ar-SA"/>
        </w:rPr>
        <w:t xml:space="preserve">شيئاً من منافعها على فرض إجارتها ، لم يتعلّق حقّ لهم بالدار ، وليس لهم إلزامه بالإجارة ؛ لأنّ حقّهم متفرّع ومعلّق على الإجارة ، وفي مثله لا يعقل تعلّق حقّ بالعين ، ولا باستئجاره ، فضلاً عن المقام الذي يكون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على التفضّل زائداً على أجر عمله </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2974433_2142443653"/>
      <w:bookmarkStart w:id="206" w:name="_Toc72"/>
      <w:bookmarkEnd w:id="205"/>
      <w:r>
        <w:rPr>
          <w:rtl w:val="true"/>
        </w:rPr>
        <w:t>تقريب بطلان البيع لأجل حقّ البطون اللاحقة</w:t>
      </w:r>
      <w:bookmarkEnd w:id="206"/>
    </w:p>
    <w:p>
      <w:pPr>
        <w:pStyle w:val="BookText"/>
        <w:rPr/>
      </w:pPr>
      <w:r>
        <w:rPr>
          <w:rFonts w:ascii="Amiri" w:hAnsi="Amiri" w:eastAsia="Amiri" w:cs="Amiri"/>
          <w:color w:val="111111"/>
          <w:sz w:val="28"/>
          <w:sz w:val="28"/>
          <w:szCs w:val="28"/>
          <w:rtl w:val="true"/>
          <w:lang w:bidi="ar-SA"/>
        </w:rPr>
        <w:t xml:space="preserve">وأمّا منع حقّ البطون اللاحقة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الوقف تمليك فعلي لجميع البطون عرضاً وإن كانت المنافع تدرّ عليهم طبقة بعد طبقة ، ولا مانع في مالكية الطبقات المتأخّرة للعين الموقوفة مسلوبة المنافع إلى زمان وجودهم ، كالعين المستأجرة إذا بيعت ، فالبطلان لأجل كون العين مشتركة بين الحاضرين وغيرهم ، فلا يجوز بيع الجميع ، ولا بيع ملك الحاضر مشاعاً؛ للجهالة بالمقدار المشاع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بيع الجميع ؛ دفعاً للجهالة ، ويكون بالنسبة إلى الطبقات المتأخّرة فضولياً ، والفرض أنّ جميع المنافع للطبقة الحاضرة عند وجودهم ، وجواز أنحاء التصرّفات الانتفاعية في العين ، كالإجارة ، وتسليم العين إلى المستأجر لاستيفاء المنافع ، فلهم بيعها وتسليمها ، وبعد تلك الطبقة إن أجازت المتأخّرة صحّ بالنسبة إليهم ، وإلاّ بطل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الوقف تمليك للبطون الموجودة فعلاً ، وللبطون المتأخّرة بعد انقراض البطن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تمليك طبقة بعد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صحّة البيع على فرض صحّة البيع المحدود إلى انقراض الطبقة الحاضرة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يصحّ التمليك المحدود في الوقف ، يصحّ بيعه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يصحّ البيع ؛ لذلك أو للغرر ، يمكن النقل بمثل الصلح أو البيع بلا حدّ ، مع اشتراط الانفساخ عند انقراض الطبقة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ببطلانه أيضاً ؛ لأدائه إلى الغرر ، يمكن البيع بلا شرط وحدّ ، فيكون فضولياً بالنسبة إلى الطبقة المتأخّرة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تمليك المعدوم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تمليك المعدوم غير ممكن كمالكيته ، فإنّ المعدوم لا يمكن الإشارة إليه ، ولا جعله طرف الإضافة ، وإنّما الوقف إنشاء تمليك متعلّق بعنوان الطبقات ،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بعد 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لعنوان واحد منطبق على كلّ طبقة في حال وجودها ، أو لعناوين عديدة حسب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الوقف ليس تمليكاً ، فالإيقاف لعنوان واحد ، أو عناوين عديدة ، كلّ في حال وجود الطبقة ، ولا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لأفراد الطبقات الموجودة والمعدومة حقّ متعلّق بالعين الموقوفة ، وإنّما هم مصرف المنافع ، كالفقراء والسادة في الزكاة والخمس على احتمال موافق للاعتبار</w:t>
      </w:r>
      <w:r>
        <w:rPr>
          <w:rStyle w:val="FootnoteAnchor"/>
          <w:rtl w:val="true"/>
        </w:rPr>
        <w:footnoteReference w:id="420"/>
      </w:r>
      <w:r>
        <w:rPr>
          <w:rFonts w:ascii="Amiri" w:hAnsi="Amiri" w:eastAsia="Amiri" w:cs="Amiri"/>
          <w:color w:val="111111"/>
          <w:sz w:val="28"/>
          <w:sz w:val="28"/>
          <w:szCs w:val="28"/>
          <w:rtl w:val="true"/>
          <w:lang w:bidi="ar-SA"/>
        </w:rPr>
        <w:t>، فهل ملكية العنوان أو الوقف عليه مانع عن البيع أو أنّ عدم الجواز ليس للحقّ ، بل لأنّ الطبقة الحاضرة غير مالكة للعين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احتمال آخر في الوقف مطلقاً ، وهو أ نّه فكّ ملك ، وجعل شيء محبوساً </w:t>
      </w:r>
    </w:p>
    <w:p>
      <w:pPr>
        <w:pStyle w:val="BookText"/>
        <w:rPr/>
      </w:pPr>
      <w:r>
        <w:rPr>
          <w:rFonts w:ascii="Amiri" w:hAnsi="Amiri" w:eastAsia="Amiri" w:cs="Amiri"/>
          <w:color w:val="111111"/>
          <w:sz w:val="28"/>
          <w:sz w:val="28"/>
          <w:szCs w:val="28"/>
          <w:rtl w:val="true"/>
          <w:lang w:bidi="ar-SA"/>
        </w:rPr>
        <w:t xml:space="preserve">وموقوفاً ؛ لتدرّ منافعه على الموقوف عليهم ، لا بمعنى إيقافها عليهم كما في الاحتمال المنصور ، بل بمعنى الإيقاف والحبس بلا إضافة ، وجعل المنافع للطبقات وتسبيلها عليهم ، وإنّما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هذا الدرّ ، لا لأجل الإيقاف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الإيقاف لهم ؛ بأن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 فتكون ماهية الوقف حبس العين عن النقل ، وتسبيل المنافع ، فتكون الطبقات موقوفاً لهم ، لا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أقوى من سائر الاحتمالات بعد الاحتمال المنصور ، الموافق لاعتبار الوقف في جميع الموارد ، وعليه يكون عدم النقل مقتضى ماهية الوقف ،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421"/>
      </w:r>
      <w:r>
        <w:rPr>
          <w:rFonts w:ascii="Amiri" w:hAnsi="Amiri" w:eastAsia="Amiri" w:cs="Amiri"/>
          <w:color w:val="111111"/>
          <w:sz w:val="28"/>
          <w:sz w:val="28"/>
          <w:szCs w:val="28"/>
          <w:rtl w:val="true"/>
          <w:lang w:bidi="ar-SA"/>
        </w:rPr>
        <w:t>تبعاً لغيره</w:t>
      </w:r>
      <w:r>
        <w:rPr>
          <w:rStyle w:val="FootnoteAnchor"/>
          <w:rtl w:val="true"/>
        </w:rPr>
        <w:footnoteReference w:id="422"/>
      </w:r>
      <w:r>
        <w:rPr>
          <w:rFonts w:ascii="Amiri" w:hAnsi="Amiri" w:eastAsia="Amiri" w:cs="Amiri"/>
          <w:color w:val="111111"/>
          <w:sz w:val="28"/>
          <w:sz w:val="28"/>
          <w:szCs w:val="28"/>
          <w:rtl w:val="true"/>
          <w:lang w:bidi="ar-SA"/>
        </w:rPr>
        <w:t xml:space="preserve">، فيكون عدم جواز البيع ؛ لاقتضاء ماهية الوقف ، لا لأجل تعلّق حقّ الموقوف لهم بالعين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الجعل كافٍ في المنع ؛ بمعنى أنّ الطبقة اللاحقة التي تصير المنافع لهم ، يكون لهم حقّ الانتفاع في ظرفهم ، وهذا كافٍ في المنع ، نظير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بعين بعد سنة من موته لزيد ، فإنّها تصير ملكاً للورثة ، ولهم منافعها ، لكن ليس لهم إتلافها ونقلها ؛ فإنّ نفس الجعل له في ظرفه مانع عنه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حقّ البطون اللاحقة ، مبنيّة على بعض الاحتمالات غير الصحيحة ، بل غير المعقولة ؛ من كون الوقف ملكاً للمعدوم</w:t>
      </w:r>
      <w:r>
        <w:rPr>
          <w:rStyle w:val="FootnoteAnchor"/>
          <w:rtl w:val="true"/>
        </w:rPr>
        <w:footnoteReference w:id="423"/>
      </w:r>
      <w:r>
        <w:rPr>
          <w:rFonts w:ascii="Amiri" w:hAnsi="Amiri" w:eastAsia="Amiri" w:cs="Amiri"/>
          <w:color w:val="111111"/>
          <w:sz w:val="28"/>
          <w:sz w:val="28"/>
          <w:szCs w:val="28"/>
          <w:rtl w:val="true"/>
          <w:lang w:bidi="ar-SA"/>
        </w:rPr>
        <w:t xml:space="preserve">، أو حقّاً له ، ويكون </w:t>
      </w:r>
    </w:p>
    <w:p>
      <w:pPr>
        <w:pStyle w:val="BookText"/>
        <w:rPr/>
      </w:pPr>
      <w:r>
        <w:rPr>
          <w:rFonts w:ascii="Amiri" w:hAnsi="Amiri" w:eastAsia="Amiri" w:cs="Amiri"/>
          <w:color w:val="111111"/>
          <w:sz w:val="28"/>
          <w:sz w:val="28"/>
          <w:szCs w:val="28"/>
          <w:rtl w:val="true"/>
          <w:lang w:bidi="ar-SA"/>
        </w:rPr>
        <w:t xml:space="preserve">المعدوم مالكاً وذا حقّ ، وهو أمر غير معقول ؛ لأنّ ثبوت شيء لشيء ، فرع ثبوت المثبت له ولو كان ثبوت أمر اعتباري ؛ فإنّ كون الثابت اعتبارياً ، لا ينافي أن يكون الثبوت حقيقياً ، فالملكية صفة حقيقية للأعيان ، وإن كانت نفسها اعتبارية ، ففرق بين كون شيء ملكاً لأحد اعتباراً ، وبين كونه ملكاً له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اعتبار الشيء للأعدام بما هي ، أيضاً محال ؛ فإنّ الاعتبار لها متقوّم بالتصوّر والإشارة العقلية ، والتصديق بكون الاعتبار ثابتاً لها ولو ثبوتاً اعتبارياً ، وكلّ ذلك ممتنع في الأعدام ، وما يتصوّر منها إنّما هي عناوين وجودية ذهناً ، لا يعقل كاشفيتها عن الأعدام ، ولا منكشفيتها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القضايا الحقيقية من قبيل الحكم على الأفراد الأعمّ من الموجودة والمعدومة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كانت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مقصورة على الأفراد الموجودة لكانت خارجية ، فلا بدّ من شمولها للأعدام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ففساده أوضح من أن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مسلك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القضايا بمنزلة الشرطيات في عقد الوضع</w:t>
      </w:r>
      <w:r>
        <w:rPr>
          <w:rStyle w:val="FootnoteAnchor"/>
          <w:rtl w:val="true"/>
        </w:rPr>
        <w:footnoteReference w:id="424"/>
      </w:r>
      <w:r>
        <w:rPr>
          <w:rFonts w:ascii="Amiri" w:hAnsi="Amiri" w:eastAsia="Amiri" w:cs="Amiri"/>
          <w:color w:val="111111"/>
          <w:sz w:val="28"/>
          <w:sz w:val="28"/>
          <w:szCs w:val="28"/>
          <w:rtl w:val="true"/>
          <w:lang w:bidi="ar-SA"/>
        </w:rPr>
        <w:t xml:space="preserve">فواضح ؛ لأنّ الحكم على الأفراد المقدّرة الوجود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مسلكنا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تلك القضايا بتّية ، لا تقدير فيها ، ولا شرط في عقد الوضع ، ولا في عقد الحمل</w:t>
      </w:r>
      <w:r>
        <w:rPr>
          <w:rStyle w:val="FootnoteAnchor"/>
          <w:rtl w:val="true"/>
        </w:rPr>
        <w:footnoteReference w:id="425"/>
      </w:r>
      <w:r>
        <w:rPr>
          <w:rFonts w:ascii="Amiri" w:hAnsi="Amiri" w:eastAsia="Amiri" w:cs="Amiri"/>
          <w:color w:val="111111"/>
          <w:sz w:val="28"/>
          <w:sz w:val="28"/>
          <w:szCs w:val="28"/>
          <w:rtl w:val="true"/>
          <w:lang w:bidi="ar-SA"/>
        </w:rPr>
        <w:t xml:space="preserve">؛ فلأنّ الحكم على كلّ فرد من النار وإن لم يكن مقصوراً على أفراد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تكن القضيّة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يلزم منه شموله لغير أفراد الطبيعة ، والأعدام ليست بنارٍ ، ولا شيء آخر ؛ إذ مصداقية </w:t>
      </w:r>
    </w:p>
    <w:p>
      <w:pPr>
        <w:pStyle w:val="BookText"/>
        <w:rPr/>
      </w:pPr>
      <w:r>
        <w:rPr>
          <w:rFonts w:ascii="Amiri" w:hAnsi="Amiri" w:eastAsia="Amiri" w:cs="Amiri"/>
          <w:color w:val="111111"/>
          <w:sz w:val="28"/>
          <w:sz w:val="28"/>
          <w:szCs w:val="28"/>
          <w:rtl w:val="true"/>
          <w:lang w:bidi="ar-SA"/>
        </w:rPr>
        <w:t xml:space="preserve">الشيء للطبيعة إنّما تتحقّق بالوجود ، فعدم شمول القضيّة للأعدام لأجل عدم إمكان شمول القضيّة لغير مصاديق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كلّ فرد فرد من النار ، فهي إخبار عن كلّ فرد يكون ناراً ، لا بمعنى الاشتراط والتعليق ، ولا بمعنى الشمول لما ليس بنار كالأعدام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 أنّ الوقف ملك للطبقة المتأخّرة ، أو أنّ لهم حقّاً فعلياً متعلّقاً به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الوقف للعنوان ، أو الوقف تمليك فعلي للطبقة الحاضرة ، ومشروط للمتأخّرة ، أو تمليك العين في قطعة من الزمان لهذه الطبقة ، وفي قطعة اُخرى لطبقة اُخرى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لم يمنع شيء ممّا ذكر عن البيع كما عرفت ، حتّى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تمام العين ملك للطبقة الحاضرة ، وتمامها ملك للطبقة المتأخّرة ، على فرض تصوّر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باشتراك الطبقات فيها فعلاً ؛ لأنّ المفروض أنّ للطبقة الحاضرة جميع أنحاء التصرّفات الانتفاعية في الوقف ، فلهم إجارتها ، والصلح على منافعها ، والانتفاع بها بأنحائه إذا كان وقف منفعة ، لا وقف انتفاع فقط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لو باعتها الطبقة الحاضرة ، يكون البيع بالنسبة إليها فعلياً ، وبالنسبة إلى سائر الطبقات فضولياً ، لكن يكون للمشتري جميع التصرّفات في العين ؛ فإنّها وإن كانت ملكاً لكلّ منهما ، أو مشتركة بينهما ، لكن تكون المنافع مطلقاً للطبقة الحاضرة ما دامت موجودة ، والبيع يوجب نقل العين بتمامها إلى المشتري على فرض ملكية التمام للطبقة الحاضرة ، وملكية التمام للمتأخّرة ، ونقل حصّة الحاضرة إليه على فرض الاشتراك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التصرّف فيها بأنحاء التصرّفات ، حتّى التصرّف النقلي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ليس له إتلافها وإعدامها ؛ لتعلّقها بالغير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انقرضت هذه الطبقة ، فإن أجازت الطبقة اللاحقة صارت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الذي 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 فله المنافع إلى انقراضهم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ردّت اللاحقة ، تردّ العين إليهم وإن كانت مشتركة بينهم وبين المشتري ؛ لأنّ المنافع مجعولة بحسب جعل الواقف للطبقة المتأخّرة في زمانهم ، فكما أ نّها ملك لجميع الطبقات مع اختصاص كلّ طبقة بمنافعها في زمانها ، وكانت العين لسائر الطبقات ساقطة المنافع ، فكذلك الحال بالنسبة إلى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دليل معتمد على بطلان بيع الوقف غير الإجماع ، وارتكاز المتشرّعة من كلّ ملّة ، بل ارتكاز العقلاء ، إلاّ ما ذكرناه واخترناه</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الوقف عن ملك الواقف والموقوف عليه ، وأنّ اعتبار الوقف هو فكّ الملك ، لا التمليك للموقوف عليه حتّى في الوقف الخاصّ ، فلا بدّ في صحّة بيعه من ثبوت سلطنة عليه للموقوف عليه أو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الارتكاز الضروري للمسلمين بل لغيرهم في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الموقوفات ، يوجب ظهور الروايات المتقدّمة في المنع ، 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الوقوف</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والروايات الحاكية عن وقوف الأئمّة </w:t>
      </w:r>
      <w:r>
        <w:rPr>
          <w:rStyle w:val="FootnoteAnchor"/>
          <w:rtl w:val="true"/>
        </w:rPr>
        <w:footnoteReference w:id="428"/>
      </w:r>
      <w:bookmarkStart w:id="207" w:name="pg15209_203815"/>
    </w:p>
    <w:p>
      <w:pPr>
        <w:pStyle w:val="BookText"/>
        <w:rPr/>
      </w:pPr>
      <w:bookmarkEnd w:id="207"/>
      <w:r>
        <w:rPr>
          <w:rFonts w:ascii="Amiri" w:hAnsi="Amiri" w:eastAsia="Amiri" w:cs="Amiri"/>
          <w:color w:val="111111"/>
          <w:sz w:val="28"/>
          <w:sz w:val="28"/>
          <w:szCs w:val="28"/>
          <w:rtl w:val="true"/>
          <w:lang w:bidi="ar-SA"/>
        </w:rPr>
        <w:t xml:space="preserve">وغيرها </w:t>
      </w:r>
      <w:r>
        <w:rPr>
          <w:rStyle w:val="FootnoteAnchor"/>
          <w:rtl w:val="true"/>
        </w:rPr>
        <w:footnoteReference w:id="429"/>
      </w:r>
      <w:r>
        <w:rPr>
          <w:rFonts w:ascii="Amiri" w:hAnsi="Amiri" w:eastAsia="Amiri" w:cs="Amiri"/>
          <w:color w:val="111111"/>
          <w:sz w:val="28"/>
          <w:sz w:val="28"/>
          <w:szCs w:val="28"/>
          <w:rtl w:val="true"/>
          <w:lang w:bidi="ar-SA"/>
        </w:rPr>
        <w:t xml:space="preserve">، ولا يصغى إلى المناقشات العلمية بعد تلك المعهودية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المرتكز والمعهود ، عدم جواز بيع الوقف وشرائه في الجملة ، لا على نحو الإطلاق ، فلا يكون في الموارد المختلف فيها أو المسلّم جواز بيعها مرتكزاً ، فلا يكون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وقع اختلاف شديد بين الموقوف عليهم ، يوجب تعطيل الوقف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مرتكزاً معهوداً ، وكذا فيما إذا خرب بحيث لا يمكن الانتفاع به ، وكذا في غيرهما من الموارد ، ومع عدم معهودية تلك الموارد ، لا تكون المناقشات المتقدّمة مخالفة لارتكازهم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مقتضى القاعدة ، عدم جواز بيع الوقف مطلقاً ، ولا بدّ في الخروج عنها من التماس دليل </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2974435_2142443653"/>
      <w:bookmarkStart w:id="209" w:name="_Toc73"/>
      <w:bookmarkEnd w:id="208"/>
      <w:r>
        <w:rPr>
          <w:rtl w:val="true"/>
        </w:rPr>
        <w:t>بحث في بطلان الوقف بمجرّد جواز بيعه</w:t>
      </w:r>
      <w:bookmarkEnd w:id="209"/>
    </w:p>
    <w:p>
      <w:pPr>
        <w:pStyle w:val="BookText"/>
        <w:rPr/>
      </w:pPr>
      <w:r>
        <w:rPr>
          <w:rFonts w:ascii="Amiri" w:hAnsi="Amiri" w:eastAsia="Amiri" w:cs="Amiri"/>
          <w:color w:val="111111"/>
          <w:sz w:val="28"/>
          <w:sz w:val="28"/>
          <w:szCs w:val="28"/>
          <w:rtl w:val="true"/>
          <w:lang w:bidi="ar-SA"/>
        </w:rPr>
        <w:t xml:space="preserve">ثمّ إنّه قد وقع الكلام بين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الوقف في موارد جواز البيع ، هل يبطل بمجرّد الجواز أو لا ؟</w:t>
      </w:r>
    </w:p>
    <w:p>
      <w:pPr>
        <w:pStyle w:val="BookText"/>
        <w:rPr/>
      </w:pPr>
      <w:r>
        <w:rPr>
          <w:rFonts w:ascii="Amiri" w:hAnsi="Amiri" w:eastAsia="Amiri" w:cs="Amiri"/>
          <w:color w:val="111111"/>
          <w:sz w:val="28"/>
          <w:sz w:val="28"/>
          <w:szCs w:val="28"/>
          <w:rtl w:val="true"/>
          <w:lang w:bidi="ar-SA"/>
        </w:rPr>
        <w:t xml:space="preserve">وتفصيل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يحتمل بطلانه بمجرّد الجواز ، وبالجواز المتعقّب بالبيع ؛ أي الجواز الذي يتعقّبه البيع ، لا الجواز المطلق ، وبالبيع مطلقاً ، لا الجواز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يبطل بالبيع من جهة دون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لا يبطل رأساً ، حتّى بالبيع مطلقاً ؟ وجوه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القول بأنّ الوقف عبارة عن الحبس الذي هو الممنوعية عن </w:t>
      </w:r>
    </w:p>
    <w:p>
      <w:pPr>
        <w:pStyle w:val="BookText"/>
        <w:rPr/>
      </w:pPr>
      <w:r>
        <w:rPr>
          <w:rFonts w:ascii="Amiri" w:hAnsi="Amiri" w:eastAsia="Amiri" w:cs="Amiri"/>
          <w:color w:val="111111"/>
          <w:sz w:val="28"/>
          <w:sz w:val="28"/>
          <w:szCs w:val="28"/>
          <w:rtl w:val="true"/>
          <w:lang w:bidi="ar-SA"/>
        </w:rPr>
        <w:t>النقل ، يكون جواز النقل مضادّاً له ، ومع فرض فعلية الجواز يبطل الوقف ؛ لامتناع اجتماع الضدّين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عن أنّ المضادّة في المقام خلاف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الممنوعية التي تتصوّر هاهنا ، هي الممنوعية الجعلية من قبل الواقف ؛ لأنّ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حبساً عن التقلّبات ، يكون إيجاد تلك الماهية وإيقاعها بيد الواقف ، فلا يعقل جعل الممنوعية الشرعية ؛ لأ نّها ليست باختياره ، فالتحبيس من الواقف ، لا من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الممنوعية ليست مضادّة لجواز بيع الوقف ؛ لأنّ جوازه شرعي لا مالكي ، والمنع المالكي لا يضادّ الجواز الشرعي بوجه ، كما أنّ أمر الوالد ولده بشيء ، لا يضادّ نهي الوالدة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فالتضادّ لو كان ، إنّما هو بين أمر شخص بشيء مع نهيه عنه بعد فرض وحدة الجهات ، لا بين أمر شخص ونهي شخص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فالممنوعية المالكية لا تضادّ الجواز الشرعي ، بل هما مجتمعان في المقام ، وإن كان يقدّم الجواز الشرعي على الممنوعية من قبل المالك ، ويجوز بيع الوقف شرعاً مع كونه وقفاً ؛ أي يجوز تخلّف منع المالك ، وبيع ما جعله حبساً ممنوعاً عن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فبطلان الوقف قبل البيع وحال الجواز ، يحتاج إلى دليل غير قضيّة التضادّ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التضادّ بين عدم ردع الشارع لجعل الواقف الكاشف عن إمضائه </w:t>
      </w:r>
    </w:p>
    <w:p>
      <w:pPr>
        <w:pStyle w:val="BookText"/>
        <w:rPr/>
      </w:pPr>
      <w:r>
        <w:rPr>
          <w:rFonts w:ascii="Amiri" w:hAnsi="Amiri" w:eastAsia="Amiri" w:cs="Amiri"/>
          <w:color w:val="111111"/>
          <w:sz w:val="28"/>
          <w:sz w:val="28"/>
          <w:szCs w:val="28"/>
          <w:rtl w:val="true"/>
          <w:lang w:bidi="ar-SA"/>
        </w:rPr>
        <w:t xml:space="preserve">له ، وبين تجويزه للبيع ، أو بينه وبين رضاه بجعل الواقف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دليل 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دليل تجويز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التضادّ بين عدم الردع وبين الجواز ، لا وجه له ؛ فإنّ عدمه ليس حكماً ثابتاً مضادّاً للحكم الآخر ، وهكذا في الرضا مع الجواز ، فإنّه متعلّق بالامتناع المالكي ، وليس جعلاً للامتناع الشرعي ، ودليل الإمضاء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المبنى ، ليس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إمضاء ما أنشأ الواقف ، لا حكماً مستقلاًّ شرعياً ، مع ما عرفت من المناقشة في إطلاقه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التضادّ ، فإنّما هو بين دليل 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ودليل الجواز ، لا بينه وبين وقف الواقف وإنشائه ، وهذا لا يوجب بطلان الوقف ، إلاّ أن يحمل دليل الجواز على الردع عن الوقف ، لا على تجويز بيعه ، وهو كما ترى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اُورد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بطلان الوقف ، خروج العين الموقوفة عن ملك الموقوف عليه، إلى ملك الواقف، وهو خلاف الإجماع</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دعوى الإجماع في مثل المسألة ، غير وجيهة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عن ملك الموقوف عليه غير متّجه ؛ لأنّ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التمليك مع خصوصية زائدة ؛ هي ممنوعية المعاوضات ، فهو من الحقائق المركّبة ، والتضادّ إنّما هو بين الجواز والممنوعية ، لا بينه وبين ملك الموقوف عليه ، ومقتضى ذلك رفع حيثية الممنوعية ، لا الملكية ؛ لعدم دليل على بطلان الوقف إلاّ التضادّ المذكور ، ولا يعقل أن يكون المرفوع بالتضادّ إلاّ ما هو 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والمنشأ بالوقف ليس بسيطاً غير قابل للتجزئة ؛ فإنّ الوقف إمّا أن يكون تمليكاً فقط ، وهو خلاف هذا المبنى وخلاف الواقع ، أو ممنوعية المعاوضات فقط فكذلك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لا يلزم على ذلك ، الخروج عن ملك الموقوف عليه ، بل يلزم إمّا عدم الخروج من أوّل الأمر عن ملك الواقف ، أو عدم الملكية رأساً لا للواقف ولا للموقوف عليه ، أو يكون تمليكاً بوصف الممنوعية أو معها ، فيكون الوقف من الماهيات المقيّدة أو المركّبة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فالواقف أوجد بإنشائه التمليك المتّصف بالممنوعية ، أو التمليك مع الممنوعية ، وما يرتفع بالجواز هي الممنوعية فقط ؛ لأنّ التضادّ بينهما لا يعقل أن يوجب نفي ما هو غير مضادّ ، ولا ملازمة بين رفع الممنوعية ورفع الملكية ، وليست حيثية الملكية عين حيثيتها ، والإنشاء وإن كان واحداً بسيطاً ، إلاّ أنّ المنشأ مركّب أو مقيّد ، والرافع إنّما يرفع وصف المنشأ أو جزءه ، لا الإنشاء ؛ لعدم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بقائه اعتباراً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ويمكن الإشكال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ذلك عدم عود الوقفية حتّى مع زوال العارض ، فإذا خرب الوقف ، أو وقع الاختلاف بين أربابه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ببطلانه عند طروّ المجوّز ، لكن لم يتّفق بيعه حتّى زال الطارئ ، فلازمه عدم عود الوقف ؛ لعدم سبب له ، وهو خلاف الواقع ، ولا أظنّ التزامه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مشترك الورود بوجه ؛ فإنّ الوقف إذا عرضه المجوّز فجاز بيعه ، ثمّ زال الطارئ ، بقي الجواز ؛ لعدم سبب لرفعه ، وعدم الدليل على إناطة البقاء ببقاء العلّة المحدثة ، ومع احتمال ذلك ، يستصحب الجواز مع كونه وقفاً ، وهو أصعب ممّا ورد على القول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رفع الإشكال عن الأوّل أهون منه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إذا كان هو التمليك مع ممنوعية المعاوضة ، وقد أنشأ الواقف تلك الماهية ، فلا شبهة في أنّ الممنوعية المنشأة أبدية إذا كان الوقف مؤبّداً ، وإلى زمان الانقطاع إذا كان منقطعاً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شبهة في أنّ الممنوعية ليست متعلّقة بموضوعها على نحو العامّ المجموعي ؛ بمعنى كونها ممنوعية متعلّقة بالموضوع إلى الأبد بنحو الاجتماع اللحاظي ؛ فإنّ لازم ذلك بطلان الوقف من الأوّل إذا عرض المجوّز في الأثناء ، بل تتعلّق بموضوعها بنحو الإطلاق من غير قيد ، فيكون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لممنوعية المعاوضة ، 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يفيد التأبيد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طبقة بعد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لإفهام كون الممنوعية مؤبّدة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فإطلاق الممنوعية الممضاة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 جواز البيع في جميع الأحوال والأزمنة ، لا بمعنى </w:t>
      </w:r>
    </w:p>
    <w:p>
      <w:pPr>
        <w:pStyle w:val="BookText"/>
        <w:rPr/>
      </w:pPr>
      <w:r>
        <w:rPr>
          <w:rFonts w:ascii="Amiri" w:hAnsi="Amiri" w:eastAsia="Amiri" w:cs="Amiri"/>
          <w:color w:val="111111"/>
          <w:sz w:val="28"/>
          <w:sz w:val="28"/>
          <w:szCs w:val="28"/>
          <w:rtl w:val="true"/>
          <w:lang w:bidi="ar-SA"/>
        </w:rPr>
        <w:t>لحاظ الكثرات كما توهّم في باب الإطلاق</w:t>
      </w:r>
      <w:r>
        <w:rPr>
          <w:rStyle w:val="FootnoteAnchor"/>
          <w:rtl w:val="true"/>
        </w:rPr>
        <w:footnoteReference w:id="435"/>
      </w:r>
      <w:r>
        <w:rPr>
          <w:rFonts w:ascii="Amiri" w:hAnsi="Amiri" w:eastAsia="Amiri" w:cs="Amiri"/>
          <w:color w:val="111111"/>
          <w:sz w:val="28"/>
          <w:sz w:val="28"/>
          <w:szCs w:val="28"/>
          <w:rtl w:val="true"/>
          <w:lang w:bidi="ar-SA"/>
        </w:rPr>
        <w:t xml:space="preserve">، بل بمعنى أنّ كون المتعلّق تمام الموضوع بلا قيد ، يقتضي ذلك ، فجواز البيع في حال ينافي إطلاق المنع ، ولو شكّ في جوازه حال عروض عارض ، يدفع بالإطلاق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الدليل على جواز البيع عند اختلاف الموقوف عليهم ، أو عند خراب الوقف ، لأوجب ذلك رفع الممنوعية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بتقييد الإطلاق ، أو بالمزاحمة وكون المزاحم أقوى ، ولمّا كانت الممنوعية داخلة في ماهية الوقف ، بطل في زمان عروض المجوّز ، وإذا زال وشكّ في بقاء الجواز حال الزوال ، يرفع الشكّ بإطلاق الوقف الممضى من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البيع بعد زوال الطارئ ، موجب لتقييد زائد في إطلاق الوقف ، وهو يدفعه ، فالممنوعية الثابتة في حال زوال العذر ، متمّمة لماهية الوقف ، فيكون بمنزلة الوقف المنقطع الوسط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الغضّ عمّا تقدّم إيراداً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الممنوعية المالكية ، لا تنافي ولا تضادّ الجواز الشرعي</w:t>
      </w:r>
      <w:r>
        <w:rPr>
          <w:rStyle w:val="FootnoteAnchor"/>
          <w:rtl w:val="true"/>
        </w:rPr>
        <w:footnoteReference w:id="436"/>
      </w:r>
      <w:r>
        <w:rPr>
          <w:rFonts w:ascii="Amiri" w:hAnsi="Amiri" w:eastAsia="Amiri" w:cs="Amiri"/>
          <w:color w:val="111111"/>
          <w:sz w:val="28"/>
          <w:sz w:val="28"/>
          <w:szCs w:val="28"/>
          <w:rtl w:val="true"/>
          <w:lang w:bidi="ar-SA"/>
        </w:rPr>
        <w:t xml:space="preserve">، فالجواز متعلّق بما هو ممنوع من قبل المالك ، وهو بيع الوقف ، والشارع الأقدس أجاز مخالفة الواقف عند عروض بعض العوارض ، هذا على مذهبه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مذهب غيره ممّن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الوقف عند طروّ المجوّز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الوقف تمليك للبطون</w:t>
      </w:r>
      <w:r>
        <w:rPr>
          <w:rStyle w:val="FootnoteAnchor"/>
          <w:rtl w:val="true"/>
        </w:rPr>
        <w:footnoteReference w:id="437"/>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فكّ للملك وإيقاف على الموقوف عليهم</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رفع اليد عن استصحاب حكم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الطارئ من إطلاق دليل ، وقد تقدّم منّا عند التعرّض للأدلّة ، التشكيك في إطلاق الأدلّة ؛ بحيث يمكن الاتّكال عليه لتأسيس قاعدة كلّية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أنّ الوقوف تابعة لكيفية إيقاف الواقف ، فمع عدم كون المنع من متمّمات إيقافه وجعله ، لا يشمله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ذلك على عدم جواز بيع الوقف ، بعد كون ماهية الوقف هو التمليك ، أو الإيقاف على الموقوف عليهم ؛ بمعنى عدم التجاوز عنهم ، لا بمعنى الإيقاف عن النقل ، كما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فيما ورد في وقف بعض الأئمّة عليهم السلام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لا تباع ولا توهب</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فلأ نّه يحتمل أن يكون المراد منه بيان الحكم الشرعي ، كما يحتمل أن يكون حكماً من الواقف ؛ بأن أخذه شرطاً في عقد الوقف ، وجعله من متمّماته وكيفياته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الإطلاق في قسم خاصّ من الوقف ، وهو الذي نوى </w:t>
      </w:r>
      <w:bookmarkStart w:id="210" w:name="pg15209_203822"/>
    </w:p>
    <w:p>
      <w:pPr>
        <w:pStyle w:val="BookText"/>
        <w:rPr/>
      </w:pPr>
      <w:bookmarkEnd w:id="210"/>
      <w:r>
        <w:rPr>
          <w:rFonts w:ascii="Amiri" w:hAnsi="Amiri" w:eastAsia="Amiri" w:cs="Amiri"/>
          <w:color w:val="111111"/>
          <w:sz w:val="28"/>
          <w:sz w:val="28"/>
          <w:szCs w:val="28"/>
          <w:rtl w:val="true"/>
          <w:lang w:bidi="ar-SA"/>
        </w:rPr>
        <w:t xml:space="preserve">الواقف فيه القربة حتّى يصير صدقة ، وشرط فيه عدم البيع والهبة، ففي هذا القسم يؤخذ بالإطلاق ، ويدفع الشكّ بعد زوال العارض ، ويقدّم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أيضاً في قسم منه ، وهو ما نوى فيه القربة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المدّعى إلاّ على قول من اعتبر في مطلق الوقف القربة</w:t>
      </w:r>
      <w:r>
        <w:rPr>
          <w:rStyle w:val="FootnoteAnchor"/>
          <w:rtl w:val="true"/>
        </w:rPr>
        <w:footnoteReference w:id="442"/>
      </w:r>
      <w:r>
        <w:rPr>
          <w:rFonts w:ascii="Amiri" w:hAnsi="Amiri" w:eastAsia="Amiri" w:cs="Amiri"/>
          <w:color w:val="111111"/>
          <w:sz w:val="28"/>
          <w:sz w:val="28"/>
          <w:szCs w:val="28"/>
          <w:rtl w:val="true"/>
          <w:lang w:bidi="ar-SA"/>
        </w:rPr>
        <w:t>، ومع التردّد بين الاحتمالين لا يثبت به إلاّ الصدقة المشروطة ، بل قد تقدّم رجحان الاحتمال الثاني</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الوقوف</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فلأ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قد تقدّم الإشكال في إطلاقه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لو قيل بإطلاقه فهو وافٍ لإثبات القاعدة الكلّية ، والظاهر تسالمهم على عدم الجواز عند زوال العارض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بطلان الوقف بمجرّد جواز البيع </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2974437_2142443653"/>
      <w:bookmarkStart w:id="212" w:name="_Toc74"/>
      <w:bookmarkEnd w:id="211"/>
      <w:r>
        <w:rPr>
          <w:rtl w:val="true"/>
        </w:rPr>
        <w:t>هل يبطل الوقف ببيعه مطلقاً أم لا ؟</w:t>
      </w:r>
      <w:bookmarkEnd w:id="21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بطلانه بالبيع مطلقاً ، أو عدمه مطلقاً ، أو بطلانه من حيث ، وبقائه من حيث ، فمحصّل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الوقف بحسب التصوّر إمّا أن يتعلّق بشخص العين من غير لحاظ ماليتها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مع لحاظها بجهة تعليلية ، كما أنّ الأمر كذلك في البيع ، فإنّه يتعلّق بنفس العين ، وماليتها ليست قيداً ، بل لو لوحظت لكان بجهة تعليلية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 لحاظ المالية بجهة تقييدية ، ويكون متعلّق الوقف العين بماليتها العريضة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يتعلّق بمالية العين المتقيّدة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بماليتها المرسلة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بالعين والمالية على نعت التركيب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بالعين وبدلها بلا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بها وببدلها بشرط طروّ عارض موجب لبيعها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التصوّرات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بطلان الوقف بالبيع فيما عدا احتمال التعلّق بماليتها المرسلة من المحتملات ، حتّى فيما إذا تعلّق بالعين وبدلها مطلقاً أو بالشرط ؛ فإنّ البدل يصير وقفاً ، ويبطل وقف المبدل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لازم تعلّقه بالعين بقيد المالية أو بماليتها الضمنية ، بطلانه بطروّ عارض يسقط العين عن المالية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كون العين والمالية وقفاً على سبيل التركيب بطلانه من جهة دون جهة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التصوّرات لا وقع لها ولا واقعية ؛ ضرورة أنّ من شرائط الوقف ، تعلّقه بالأعيان التي لها منفعة محلّلة تدرّ على الموقوف عليهم ، والمالية ليست من الأعيان ، ولا تكون لها منفعة وثمرة ، والمنافع كلّها إنّما هي للأعيان ، بل كانت ثابتة لها قبل اعتبار المالية للأشياء ؛ فإنّ اعتبارها إنّما حدث </w:t>
      </w:r>
    </w:p>
    <w:p>
      <w:pPr>
        <w:pStyle w:val="BookText"/>
        <w:rPr/>
      </w:pPr>
      <w:r>
        <w:rPr>
          <w:rFonts w:ascii="Amiri" w:hAnsi="Amiri" w:eastAsia="Amiri" w:cs="Amiri"/>
          <w:color w:val="111111"/>
          <w:sz w:val="28"/>
          <w:sz w:val="28"/>
          <w:szCs w:val="28"/>
          <w:rtl w:val="true"/>
          <w:lang w:bidi="ar-SA"/>
        </w:rPr>
        <w:t xml:space="preserve">بعد تمدّن ما ، وكانت للأعيان ثمرات ونتائج قبل وجود التمدّن والاحتياجات الموجبة لاعتبار المالية ، فوقف المالية ممّا لا صحّة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الأوقاف المتداولة ، لم تتعلّق في مورد من الموارد بمالية الأشياء ؛ لا مستقلاًّ ، ولا بنحو التركيب ، أو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لو فرض التعلّق بالمالية ، لا تنبغي الشبهة في البطلان بالبيع أيضاً ؛ لأنّ نقل العين نقلها بماليتها ، ولا يعقل حفظ مالية العين مع بيعها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ماليتها بعد بيع العين في ضمن البدل</w:t>
      </w:r>
      <w:r>
        <w:rPr>
          <w:rStyle w:val="FootnoteAnchor"/>
          <w:rtl w:val="true"/>
        </w:rPr>
        <w:footnoteReference w:id="446"/>
      </w:r>
      <w:r>
        <w:rPr>
          <w:rFonts w:ascii="Amiri" w:hAnsi="Amiri" w:eastAsia="Amiri" w:cs="Amiri"/>
          <w:color w:val="111111"/>
          <w:sz w:val="28"/>
          <w:sz w:val="28"/>
          <w:szCs w:val="28"/>
          <w:rtl w:val="true"/>
          <w:lang w:bidi="ar-SA"/>
        </w:rPr>
        <w:t xml:space="preserve">، فاسد ؛ فإنّ ما هو في ضمن البدل مالية خاصّة به ، لا منتقلة من المبدل إليه ؛ إذ المبادلة بين المالين معناها نقل المال بماليته إلى الطرف ، في مقابل نقل ماله بماليته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المالية المرسلة ممّا لا أصل لها ؛ فإنّ مالية عين شخصية ، لا يعقل أن تكون قابلة للتطبيق على مالية عين اُخرى ، فالوقف يبطل بالبيع على أيّ 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تعلّقه بالعين وببدلها عند طروّ عارض ؛ بدعوى تعدّد المطلوب</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الوحداني ، لا يعقل أن يكون متكفّلاً لوقف العين ما دام لم يعرض لها عارض موجب للبيع ، ولوقف البدل عند عروضه الكذائي ؛ ضرورة كون الثاني مترتّباً على الأوّل ، ولا يعقل إنشاء شيء وما يترتّب عليه بلفظ واحد ، والإنشاء بلفظين ممكن ، لكنّه خارج عن الفرض هاهنا ، وستأتي تتمّة لذلك</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213" w:name="pg15209_203825"/>
    </w:p>
    <w:p>
      <w:pPr>
        <w:pStyle w:val="Heading5"/>
        <w:numPr>
          <w:ilvl w:val="4"/>
          <w:numId w:val="1"/>
        </w:numPr>
        <w:rPr/>
      </w:pPr>
      <w:bookmarkStart w:id="214" w:name="__RefHeading___Toc2974439_2142443653"/>
      <w:bookmarkStart w:id="215" w:name="_Toc75"/>
      <w:bookmarkEnd w:id="213"/>
      <w:bookmarkEnd w:id="214"/>
      <w:r>
        <w:rPr>
          <w:rtl w:val="true"/>
        </w:rPr>
        <w:t>أقسام الوقف وأحكامها</w:t>
      </w:r>
      <w:bookmarkEnd w:id="215"/>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الوقوف على أقسام ، وإن كان الكلّ مشتركاً في معنىً واحد ، هو الإيقاف لدرّ النفع أو الانتفاع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تعقل فيها البدلية بوجه من الوجوه ، وهي التي جعلت بشخصها موضوع أثر وحكم شرعي ، كعرفات ، والمشعر ، ومنى ، والمطاف ، والمسعى ، بناءً على وقفية تلك المشاعر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المساجد الأربعة ، بناءً على اختصاصها بأحكام ، كجواز الاعتكاف فيها ؛ فإنّ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لمحو المشاعر ، لا تبديلها ، فلا معنى لبيع</w:t>
      </w:r>
    </w:p>
    <w:p>
      <w:pPr>
        <w:pStyle w:val="BookText"/>
        <w:rPr/>
      </w:pPr>
      <w:r>
        <w:rPr>
          <w:rFonts w:ascii="Amiri" w:hAnsi="Amiri" w:eastAsia="Amiri" w:cs="Amiri"/>
          <w:color w:val="111111"/>
          <w:sz w:val="28"/>
          <w:sz w:val="28"/>
          <w:szCs w:val="28"/>
          <w:rtl w:val="true"/>
          <w:lang w:bidi="ar-SA"/>
        </w:rPr>
        <w:t xml:space="preserve">عرفات ، والشراء من ثمنها محلاًّ بدلها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غيرها ممّا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الجواز في أمثالها ؛ إنّما هو لامتناع البدل فيها ، وكذا في المشاهد المشرّفة ؛ فإنّها لا تعقل فيها البدلية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مطلق المساجد كذلك ؛ فإنّ البدلية فيها أيضاً لا معنى لها ، لأنّ الثمن أو ما يشترى بالثمن ، لا يصير مسجداً بمجرّد المعاوضة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الثمن فظاهر </w:t>
      </w:r>
      <w:r>
        <w:rPr>
          <w:rFonts w:eastAsia="IRNazanin" w:cs="IRNazanin"/>
          <w:color w:val="111111"/>
          <w:sz w:val="28"/>
          <w:szCs w:val="28"/>
          <w:rtl w:val="true"/>
          <w:lang w:bidi="fa-IR"/>
        </w:rPr>
        <w:t xml:space="preserve">. </w:t>
      </w:r>
      <w:bookmarkStart w:id="216" w:name="pg15209_203826"/>
    </w:p>
    <w:p>
      <w:pPr>
        <w:pStyle w:val="BookText"/>
        <w:rPr/>
      </w:pPr>
      <w:bookmarkEnd w:id="216"/>
      <w:r>
        <w:rPr>
          <w:rFonts w:ascii="Amiri" w:hAnsi="Amiri" w:eastAsia="Amiri" w:cs="Amiri"/>
          <w:color w:val="111111"/>
          <w:sz w:val="28"/>
          <w:sz w:val="28"/>
          <w:szCs w:val="28"/>
          <w:rtl w:val="true"/>
          <w:lang w:bidi="ar-SA"/>
        </w:rPr>
        <w:t xml:space="preserve">وأمّا المكان المشترى به ؛ فلأنّ المسجدية متقوّمة بجعل العنوان ، فبدل المسجد لا يصير بمجرّد البدلية مسجداً ، ولا تترتّب عليه أحكامه ، ولو جعل مسجداً ، لم يكن ترتّب الأحكام عليه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مستقلّ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آثار المسجد لا تنتقل ببيعه إلى مسجد آخر ، بل إخراجه عن المسجدية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 لآثاره ومشعريته ، لا مبادلة مشعر بمشعر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الحكم في أمثالها واضح ، لا يحتاج إلى التجشّم ، هذا بالنسبة إلى أصل المشاهد والمساجد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أجزاء أبنيتها ، كالأحجار ، والأخشاب ، وما يوقف عليها ، كالفرش ، والقناديل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ونحو ذلك ، فالبدلية فيها معقولة ، فلو فرض عدم الجواز فيها ، فلا بدّ وأن يكون لوجه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الموقوفات العامّة ، سواء كانت مثل المدارس ، والخانات ، والقناطر ، وما أشبهها ؛ ممّا وقفت للانتفاع بها بالسكنى فيها ، أو المرور عليها ، أو كانت مثل الوقف على الجهات أو العناوين العامّة ، ومن قبيلها الوقف لتأسيس المدارس ، وبناء القناطر ، وتعمير الطرق والشوارع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الأوقاف الخاصّة ، كالوقف على الذرّية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على الموقوفات، كالوقف على المشاهد المشرّفة والمساجد</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2974441_2142443653"/>
      <w:bookmarkStart w:id="218" w:name="_Toc76"/>
      <w:bookmarkEnd w:id="217"/>
      <w:r>
        <w:rPr>
          <w:rtl w:val="true"/>
        </w:rPr>
        <w:t>مقتضى الأصل في المقام</w:t>
      </w:r>
      <w:bookmarkEnd w:id="21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الأصل في كلّ وقف كان فكّاً للملك وتحريراً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كالمشاهد ، والمساجد ، والخانات ، والقناطر ،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البيع ؛ </w:t>
      </w:r>
    </w:p>
    <w:p>
      <w:pPr>
        <w:pStyle w:val="BookText"/>
        <w:rPr/>
      </w:pPr>
      <w:r>
        <w:rPr>
          <w:rFonts w:ascii="Amiri" w:hAnsi="Amiri" w:eastAsia="Amiri" w:cs="Amiri"/>
          <w:color w:val="111111"/>
          <w:sz w:val="28"/>
          <w:sz w:val="28"/>
          <w:szCs w:val="28"/>
          <w:rtl w:val="true"/>
          <w:lang w:bidi="ar-SA"/>
        </w:rPr>
        <w:t xml:space="preserve">لخروجها عن الملكية ، وتلف ماليتها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لم يحرّر ، وكان تمليكاً لجهة ، أو عنوان ، أو أشخاص ، فالأصل فيها جواز البيع إذا لم يمكن الانتفاع بها ؛ لأنّ الواقف وإن أوقف عين الرقبات ، ولكن حيث إنّها ممّا تزول خصوصيتها الشخصية ، فكأ نّه وقفها بمراتبها ، وتعلّق نظره أوّلاً بشخصيتها ، ثمّ بماليتها ، فإذا لم يمكن الانتفاع بشخصيتها الخاصّة ، فيتعلّق بماليتها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فللحاكم أو المتولّي تبديلها ، ويصير بدلها وقفاً ، كما تقدّم نظير ذلك في باب اليد ؛ فإنّ العين المضمونة ما دامت موجودة يجب ردّها بشخصها ، وإذا تلفت يردّ ماليتها </w:t>
      </w:r>
      <w:r>
        <w:rPr>
          <w:rStyle w:val="FootnoteAnchor"/>
          <w:rtl w:val="true"/>
        </w:rPr>
        <w:footnoteReference w:id="44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 بعد الغضّ عمّا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الوقف هو التحرير في جميع الموارد ، وليس تمليكاً في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ذكره في القسم الأوّل ؛ فلأنّ الخروج عن الملك غير كافٍ لبطلان البيع ، بل لا بدّ فيه من إثبات عدم سلطنة أحد على البيع ؛ فإنّ المعتبر في صحّته هو السلطنة عليه وإن لم يكن المبيع ملكاً ، ولا شبهة في أنّ الحاكم في الاُمور العامّة وليّ الأمر ، وله سلطنة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الجواز في مثل المشاعر والمساجد والمشاهد ، ليس لفكّ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عرفت</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الخانات والمدارس والقناطر ، والأوقاف على الجهات العامّة ، أو </w:t>
      </w:r>
    </w:p>
    <w:p>
      <w:pPr>
        <w:pStyle w:val="BookText"/>
        <w:rPr/>
      </w:pPr>
      <w:r>
        <w:rPr>
          <w:rFonts w:ascii="Amiri" w:hAnsi="Amiri" w:eastAsia="Amiri" w:cs="Amiri"/>
          <w:color w:val="111111"/>
          <w:sz w:val="28"/>
          <w:sz w:val="28"/>
          <w:szCs w:val="28"/>
          <w:rtl w:val="true"/>
          <w:lang w:bidi="ar-SA"/>
        </w:rPr>
        <w:t xml:space="preserve">العناوين كذلك ، فلا شبهة في أنّ أمرها موكول إلى الحاكم المتولّي للاُمور العامّة ، سواء قلنا في الأوقاف على الجهات والعناوين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فكّ ملك وتحرير كما هو الحقّ ،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خربت أمثالها ، ولم يرجَ العود ، كان له تبديلها وبيعها ، وأخذ ثمنها ، والصرف في أمثالها ، ومع عدم الإمكان يصرفها في سائر مصالح المسلمين ؛ على حسب ما تقتضيه المصالح ، وما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تلف ماليتها شرعاً ، لا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فالخانات والمدارس والمساجد وغيرها لها مالية ، ولم يدلّ دليل على سقوطها شرعاً ، وما دلّ على عدم جواز شراء الوقف</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وارد في الأوقاف الخاصّة ، التي هي على مسلكه ملك للموقوف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سقوط ماليتها ،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 على عدم السقوط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أموال عرفاً ، ولم يرد تعبّد من الشرع في البناء على عدم ماليتها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قرّره في تأسيس الأصل في الأوقاف ، التي هي تمليك على زعمه ؛ فلأ نّه بعد الاعتراف بأنّ الواقف أوقف عين الرقبات ، لا مجال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زوال الخصوصية الشخصية ، يجعل ما تعلّق بالرقبات كأ نّه تعلّق بمراتبها ، ولا أدري كيف ينتج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 نّه 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بالتعلّق ، ولا سيّما تعلّقاً أوّلياً بشخصيتها ، وفي الرتبة الثانية بماليتها ، والثالثة بعوض ماليتها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النحو من التعلّق الترتيبي ، لا يعقل تحقّقه بإنشاء </w:t>
      </w:r>
      <w:bookmarkStart w:id="219" w:name="pg15209_203829"/>
    </w:p>
    <w:p>
      <w:pPr>
        <w:pStyle w:val="BookText"/>
        <w:rPr/>
      </w:pPr>
      <w:bookmarkEnd w:id="219"/>
      <w:r>
        <w:rPr>
          <w:rFonts w:ascii="IRNazanin" w:hAnsi="IRNazanin" w:eastAsia="IRNazanin"/>
          <w:color w:val="111111"/>
          <w:sz w:val="28"/>
          <w:sz w:val="28"/>
          <w:szCs w:val="28"/>
          <w:rtl w:val="true"/>
          <w:lang w:bidi="fa-IR"/>
        </w:rPr>
        <w:t>واحد</w:t>
      </w:r>
      <w:r>
        <w:rPr>
          <w:rStyle w:val="FootnoteAnchor"/>
          <w:rtl w:val="true"/>
        </w:rPr>
        <w:footnoteReference w:id="452"/>
      </w:r>
      <w:r>
        <w:rPr>
          <w:rFonts w:ascii="Amiri" w:hAnsi="Amiri" w:eastAsia="Amiri" w:cs="Amiri"/>
          <w:color w:val="111111"/>
          <w:sz w:val="28"/>
          <w:sz w:val="28"/>
          <w:szCs w:val="28"/>
          <w:rtl w:val="true"/>
          <w:lang w:bidi="ar-SA"/>
        </w:rPr>
        <w:t xml:space="preserve">، والمفروض أ نّه ليس في الوقف إلاّ إنشاء واحد ،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ذلك على 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وأعجب من ذلك تنظيره بما قاله في باب ضمان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تعلّقه بالمراتب ؛ فإنّه مع الغضّ عن ضعف ما ذكره هناك على ما تقدّم</w:t>
      </w:r>
      <w:r>
        <w:rPr>
          <w:rStyle w:val="FootnoteAnchor"/>
          <w:rtl w:val="true"/>
        </w:rPr>
        <w:footnoteReference w:id="453"/>
      </w:r>
      <w:r>
        <w:rPr>
          <w:rFonts w:ascii="Amiri" w:hAnsi="Amiri" w:eastAsia="Amiri" w:cs="Amiri"/>
          <w:color w:val="111111"/>
          <w:sz w:val="28"/>
          <w:sz w:val="28"/>
          <w:szCs w:val="28"/>
          <w:rtl w:val="true"/>
          <w:lang w:bidi="ar-SA"/>
        </w:rPr>
        <w:t xml:space="preserve">، يرد أنّ الفارق بينهما ظاهر ؛ فإنّ اليد قد تعلّقت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بالشخصية ، والنوعية ، والمالية ، ومقتضى ضمانها بجميع الجهات هو الفراغ عنها ، وعند تعذّر جهة أو جهتين يجب الفراغ عن الاُخرى ، فلا يكون وقوع اليد عليها رتبة بعد رتبة ، ولا الضمان كذلك ، بل هي بوقوعها على المأخوذ ، وقعت على الجهات المتّحدة في الوجود عرضاً بوقوع واحد ، فأين ذلك ممّا نحن فيه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تشبّث بعض أهل التدقيق للمقصود بوجه قريب منه</w:t>
      </w:r>
      <w:r>
        <w:rPr>
          <w:rStyle w:val="FootnoteAnchor"/>
          <w:rtl w:val="true"/>
        </w:rPr>
        <w:footnoteReference w:id="454"/>
      </w:r>
      <w:r>
        <w:rPr>
          <w:rFonts w:ascii="Amiri" w:hAnsi="Amiri" w:eastAsia="Amiri" w:cs="Amiri"/>
          <w:color w:val="111111"/>
          <w:sz w:val="28"/>
          <w:sz w:val="28"/>
          <w:szCs w:val="28"/>
          <w:rtl w:val="true"/>
          <w:lang w:bidi="ar-SA"/>
        </w:rPr>
        <w:t>، سيأتي عند التعرّض للأوقاف الخاصّة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2974443_2142443653"/>
      <w:bookmarkStart w:id="221" w:name="_Toc77"/>
      <w:bookmarkEnd w:id="220"/>
      <w:r>
        <w:rPr>
          <w:rtl w:val="true"/>
        </w:rPr>
        <w:t>بيع الأوقاف العامّة من شؤون ولاية الفقيه</w:t>
      </w:r>
      <w:bookmarkEnd w:id="22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جواز البيع في الأوقاف العامّة لمصالح المسلمين أو لطائفة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كالمدارس ، والخانات ، والوقف على الجهات والعناوين الكلّية مع عروض بعض العوارض ، كخراب الموقوفة ، أو عدم إمكان الانتفاع الخاصّ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 </w:t>
      </w:r>
    </w:p>
    <w:p>
      <w:pPr>
        <w:pStyle w:val="BookText"/>
        <w:rPr/>
      </w:pPr>
      <w:r>
        <w:rPr>
          <w:rFonts w:ascii="Amiri" w:hAnsi="Amiri" w:eastAsia="Amiri" w:cs="Amiri"/>
          <w:color w:val="111111"/>
          <w:sz w:val="28"/>
          <w:sz w:val="28"/>
          <w:szCs w:val="28"/>
          <w:rtl w:val="true"/>
          <w:lang w:bidi="ar-SA"/>
        </w:rPr>
        <w:t xml:space="preserve">أهون من الأوقاف الخاصّة ، ولا يحتاج إلى كثرة تجشّم ؛ ضرورة أنّ ذلك داخل في شؤون ولاية الفقيه ، وهو من الحسبيات التي أمرها إلى الوالي لحفظ مصالح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فالخانات والمدارس وغيرهما ممّا جعلت لمصالح طائفة من المسلمين ، وكذا الأوقاف على الجهات ، أو على العناوين العامّة ، كالفقراء ، أو عامّة المسلمين ، إذا آل أمرها إلى الخراب ، فللوالي أو عليه حفظ منافعهم فيها ، وعدم إهمالها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أو عليه أن يبيعها ويستبدلها ، لا لأنّ الواقف وقفها بمراتبها ؛ فإنّه بمكان من الضعف كما عرفت</w:t>
      </w:r>
      <w:r>
        <w:rPr>
          <w:rStyle w:val="FootnoteAnchor"/>
          <w:rtl w:val="true"/>
        </w:rPr>
        <w:footnoteReference w:id="456"/>
      </w:r>
      <w:r>
        <w:rPr>
          <w:rFonts w:ascii="IRNazanin" w:hAnsi="IRNazanin" w:eastAsia="IRNazanin"/>
          <w:color w:val="111111"/>
          <w:sz w:val="28"/>
          <w:sz w:val="28"/>
          <w:szCs w:val="28"/>
          <w:rtl w:val="true"/>
          <w:lang w:bidi="fa-IR"/>
        </w:rPr>
        <w:t>وتعرفه</w:t>
      </w:r>
      <w:r>
        <w:rPr>
          <w:rStyle w:val="FootnoteAnchor"/>
          <w:rtl w:val="true"/>
        </w:rPr>
        <w:footnoteReference w:id="457"/>
      </w:r>
      <w:r>
        <w:rPr>
          <w:rFonts w:ascii="Amiri" w:hAnsi="Amiri" w:eastAsia="Amiri" w:cs="Amiri"/>
          <w:color w:val="111111"/>
          <w:sz w:val="28"/>
          <w:sz w:val="28"/>
          <w:szCs w:val="28"/>
          <w:rtl w:val="true"/>
          <w:lang w:bidi="ar-SA"/>
        </w:rPr>
        <w:t xml:space="preserve">، ولا لأنّ ذلك أقرب إلى نظره ؛ فإنّ نظره غير دخيل في ذلك ، وهو أجنبيّ عنه بعد 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الأوقاف لم تخرج عن الوقفية ، فإذا كانت وقفاً على المسلمين ، وآل أمرها إلى الاضمحلال والتضييع ، فللوالي أو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بسط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يستبدلها بما ينتفع به المسلمون ، كانتفاعهم بالأعيان الموقوفة ، فلو خربت مدرسة أو خان ، يبيعهما ويشتري مكاناً آخر يجعله مدرسة أو خاناً ؛ حفظاً للمصالح العامّة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عدم الإمكان ، يجعل مكانهما ما هو الأقرب إلى تلك المصلحة ، أو ما يرى أ نّه الأصلح ، ومع عدم الإمكان يصرف الأثمان في مصالح الموقوف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الحال في أجزاء المشاعر ، والمشاهد ، والمساجد ، فإنّ أمرها إلى الفقيه في هذا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في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دليل على عدم جواز بيع الوقف عند عروض مثل تلك العوارض ؛ لعدم الدلالة رأساً في بعض الروايات</w:t>
      </w:r>
      <w:r>
        <w:rPr>
          <w:rStyle w:val="FootnoteAnchor"/>
          <w:rtl w:val="true"/>
        </w:rPr>
        <w:footnoteReference w:id="458"/>
      </w:r>
      <w:r>
        <w:rPr>
          <w:rFonts w:ascii="Amiri" w:hAnsi="Amiri" w:eastAsia="Amiri" w:cs="Amiri"/>
          <w:color w:val="111111"/>
          <w:sz w:val="28"/>
          <w:sz w:val="28"/>
          <w:szCs w:val="28"/>
          <w:rtl w:val="true"/>
          <w:lang w:bidi="ar-SA"/>
        </w:rPr>
        <w:t>، وعدم الإطلاق في الآخر</w:t>
      </w:r>
      <w:r>
        <w:rPr>
          <w:rStyle w:val="FootnoteAnchor"/>
          <w:rtl w:val="true"/>
        </w:rPr>
        <w:footnoteReference w:id="459"/>
      </w:r>
      <w:r>
        <w:rPr>
          <w:rFonts w:ascii="Amiri" w:hAnsi="Amiri" w:eastAsia="Amiri" w:cs="Amiri"/>
          <w:color w:val="111111"/>
          <w:sz w:val="28"/>
          <w:sz w:val="28"/>
          <w:szCs w:val="28"/>
          <w:rtl w:val="true"/>
          <w:lang w:bidi="ar-SA"/>
        </w:rPr>
        <w:t xml:space="preserve">، ومع الغضّ عنه فالإطلاق منصرف عن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لمتولّي الأوقاف الاستبداد ببيعها ؟</w:t>
      </w:r>
    </w:p>
    <w:p>
      <w:pPr>
        <w:pStyle w:val="BookText"/>
        <w:rPr/>
      </w:pPr>
      <w:r>
        <w:rPr>
          <w:rFonts w:ascii="Amiri" w:hAnsi="Amiri" w:eastAsia="Amiri" w:cs="Amiri"/>
          <w:color w:val="111111"/>
          <w:sz w:val="28"/>
          <w:sz w:val="28"/>
          <w:szCs w:val="28"/>
          <w:rtl w:val="true"/>
          <w:lang w:bidi="ar-SA"/>
        </w:rPr>
        <w:t xml:space="preserve">فيه إشكال ؛ لأنّ المتولّي إذا كان من قبل الواقف ، تكون حدود ولايته على الأوقاف ، حفظها وصرف منافعها في المصارف المقرّرة ، وأمّا حفظ مصالح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الوقف ، واشتراء البدل من ثمنه ، وجعله وقفاً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حدود التولية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شرط الواقف ذلك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بنفوذ شرطه جاز ، لكنّه خارج عن الفرض في المقام ؛ إذ المفروض جعل شيء وقفاً ، وجعل شخص متولّياً عليه ، وليس من حدود التولية إبطال الوقف ، ولا وقف شيء بدله ، هذا على ما هو التحقيق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الوقف تعلّق بالمالية ، أو بالبدل عند عدم إمكان الانتفاع بالعين</w:t>
      </w:r>
      <w:r>
        <w:rPr>
          <w:rStyle w:val="FootnoteAnchor"/>
          <w:rtl w:val="true"/>
        </w:rPr>
        <w:footnoteReference w:id="460"/>
      </w:r>
      <w:r>
        <w:rPr>
          <w:rFonts w:ascii="Amiri" w:hAnsi="Amiri" w:eastAsia="Amiri" w:cs="Amiri"/>
          <w:color w:val="111111"/>
          <w:sz w:val="28"/>
          <w:sz w:val="28"/>
          <w:szCs w:val="28"/>
          <w:rtl w:val="true"/>
          <w:lang w:bidi="ar-SA"/>
        </w:rPr>
        <w:t xml:space="preserve">، فالظاهر أنّ للمتولّي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يشترط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على التبديل وعلى المبدل ، على تأمّل في التبديل </w:t>
      </w:r>
      <w:r>
        <w:rPr>
          <w:rFonts w:eastAsia="Amiri" w:cs="Amiri" w:ascii="Amiri" w:hAnsi="Amiri"/>
          <w:color w:val="111111"/>
          <w:sz w:val="28"/>
          <w:szCs w:val="28"/>
          <w:rtl w:val="true"/>
          <w:lang w:bidi="ar-SA"/>
        </w:rPr>
        <w:t xml:space="preserve">. </w:t>
      </w:r>
      <w:bookmarkStart w:id="222" w:name="pg15209_203832"/>
    </w:p>
    <w:p>
      <w:pPr>
        <w:pStyle w:val="Heading5"/>
        <w:numPr>
          <w:ilvl w:val="4"/>
          <w:numId w:val="1"/>
        </w:numPr>
        <w:rPr/>
      </w:pPr>
      <w:bookmarkStart w:id="223" w:name="__RefHeading___Toc2974445_2142443653"/>
      <w:bookmarkStart w:id="224" w:name="_Toc78"/>
      <w:bookmarkEnd w:id="222"/>
      <w:bookmarkEnd w:id="223"/>
      <w:r>
        <w:rPr>
          <w:rtl w:val="true"/>
        </w:rPr>
        <w:t>كلام كاشف الغطاء في عدم صحّة بيع الوقف العامّ</w:t>
      </w:r>
      <w:bookmarkEnd w:id="224"/>
    </w:p>
    <w:p>
      <w:pPr>
        <w:pStyle w:val="BookText"/>
        <w:rPr/>
      </w:pPr>
      <w:r>
        <w:rPr>
          <w:rFonts w:ascii="Amiri" w:hAnsi="Amiri" w:eastAsia="Amiri" w:cs="Amiri"/>
          <w:color w:val="111111"/>
          <w:sz w:val="28"/>
          <w:sz w:val="28"/>
          <w:szCs w:val="28"/>
          <w:rtl w:val="true"/>
          <w:lang w:bidi="ar-SA"/>
        </w:rPr>
        <w:t>ثمّ إنّ المنقول</w:t>
      </w:r>
      <w:r>
        <w:rPr>
          <w:rStyle w:val="FootnoteAnchor"/>
          <w:rtl w:val="true"/>
        </w:rPr>
        <w:footnoteReference w:id="461"/>
      </w:r>
      <w:r>
        <w:rPr>
          <w:rFonts w:ascii="Amiri" w:hAnsi="Amiri" w:eastAsia="Amiri" w:cs="Amiri"/>
          <w:color w:val="111111"/>
          <w:sz w:val="28"/>
          <w:sz w:val="28"/>
          <w:szCs w:val="28"/>
          <w:rtl w:val="true"/>
          <w:lang w:bidi="ar-SA"/>
        </w:rPr>
        <w:t xml:space="preserve">عن الشيخ كاشف الغطاء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يصحّ بيع الوقف العامّ ؛ لعدم الملك ، لرجوعه إلى اللّه ، ودخوله في مشاعره ، لكن مع اليأس عن الانتفاع به في الجهة المقصودة ، يؤجر للزراعة ونحوها ، مع المحافظة على الآداب اللازمة إن كان مسجداً ، وعلى إحكام السجلاّت ، وتصرف فائدتها فيما يماثلها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ووجّهه بعض الأجلّة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للمسجد حيثيتين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حيثية المسجدية ، ولها أحكام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وحيثية كونه وقفاً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المسجد بما هو مسجد ، وأمّا بعض الأحكام الاُخر الثابت للوقف العامّ الذي لا يكون منافياً للمسجدية ، فالمقتضي له موجود ، والمانع عنه مفقود ، كإجارته للزراعة ، وصرف اُجرته في تعميره ، أو إحداث مسجد آخر ، والمفروض عدم منافاته للمسجدية ؛ لعدم التمكّن من الانتفاع به في الصلاة وعبادة اُخرى</w:t>
      </w:r>
      <w:r>
        <w:rPr>
          <w:rStyle w:val="FootnoteAnchor"/>
          <w:rtl w:val="true"/>
        </w:rPr>
        <w:footnoteReference w:id="463"/>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أدري هل أنّ مراد كاشف الغطاء قدّس سرّه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العامّة المصطلحة في مقابل الأوقاف الخاصّة ، أو المراد منها هي المساجد والمشاهد ؟ </w:t>
      </w:r>
    </w:p>
    <w:p>
      <w:pPr>
        <w:pStyle w:val="BookText"/>
        <w:rPr/>
      </w:pPr>
      <w:r>
        <w:rPr>
          <w:rFonts w:ascii="Amiri" w:hAnsi="Amiri" w:eastAsia="Amiri" w:cs="Amiri"/>
          <w:color w:val="111111"/>
          <w:sz w:val="28"/>
          <w:sz w:val="28"/>
          <w:szCs w:val="28"/>
          <w:rtl w:val="true"/>
          <w:lang w:bidi="ar-SA"/>
        </w:rPr>
        <w:t xml:space="preserve">فإن كان الأوّل ، فلا وجه لدخولها في المشاعر ، ورجوعها إلى اللّه تعالى ؛ فإنّ الخانات والمدارس والأوقاف على الجهات والعناوين ، ليس شيء منها من مشاعر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في مثل المساجد والمشاهد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مخالفة ذلك لارتكاز المتشرّعة ، أنّ الواقف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وتلحق بها الخانات ، والمدارس ، وما جعلها لانتفاع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جميع آثار الملك في ذلك ، والشارع الأقدس أنفذه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أنّ الوقف على جهة أو عنوان ؛ بجعل الواقف ، وإنفاذ الشرع ، لا يتعدّى إلى غير المجعول ، كذلك قصر المنافع على منفعة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كسكنى الطلبة ، ونزول المارّة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وإنفاذ الشارع الأقدس يسقط سائر المنافع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منفعة للمسجد غير العبادة فيها ، والانتفاعات المتداولة منها ، كالقضاء ، ونشر الأحكام ، بل والسكنى بنحو لا تزاحم الصلاة ؛ ممّا جرت السيرة عليها ، ودلّت الأدلّة على جوازها ، وأمّا المنافع الاُخر فساقطة عنها وعن أشباهها ؛ من المدارس والخانات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قصر الانتفاع الخاصّ للموقوف عليهم ، بقاء سائر المنافع منحازة للواقف ؛ فإنّ ذلك ضروري البطلان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وقف محلاًّ للتدريس أو للمكتبة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نحو ذلك ، فكما لا يجوز التعدّي عن جعله ، لا يجوز إجارته ولو مع عدم الانتفاع الخاصّ وتعذّره ؛ لأنّ اختصاص الوقف بجهة خاصّة ، يجعل العين مسلوبة المنفعة بحسب جعله وإنفاذ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ممّا ذكر التوجيه المتقدّم ؛ فإنّ ضعفه ممّا لا يخفى ، ضرورة أنّ جهة المسجدية في المساجد ، ليست في الخارج غير حيثية الوقف ؛ فإنّ المسجد بما هو مسجد وقف ، لا مسجد ووقف ، فالمسجد أحد مصاديق الوقف ، والمصداق عين العنوان في الخارج ، لا أمر منحاز عنه له حكم خاصّ ، والانحلال العقلي غير 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الأمر كما زعمه ، لزم منه جواز إجارة بيت اللّه الحرام والمساجد مع عدم المزاحمة للحاجّ والمصلّي ؛ فإنّ الإجارة واقعة على الوقف العامّ ، والمقتضي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مانع ، وإلاّ لم تجز الإجارة حتّى مع عدم إمكان الانتفاع ما دام العنوان باقياً ، وإنّما المانع المزاحمة للحاجّ والمصلّي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بدّ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إجارتهما عند عدم المزاحمة ، أو بنحو لا تزاحمهما ، كالإجارة لوضع الأمتعة على رفوفهما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ينبغي التفوّه به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المتروك ، غير مانع ، بخلاف غيره ، رجم بالغيب ، والتحقيق ما عرفت </w:t>
      </w:r>
      <w:r>
        <w:rPr>
          <w:rFonts w:eastAsia="Amiri" w:cs="Amiri" w:ascii="Amiri" w:hAnsi="Amiri"/>
          <w:color w:val="111111"/>
          <w:sz w:val="28"/>
          <w:szCs w:val="28"/>
          <w:rtl w:val="true"/>
          <w:lang w:bidi="ar-SA"/>
        </w:rPr>
        <w:t xml:space="preserve">. </w:t>
      </w:r>
      <w:bookmarkStart w:id="225" w:name="pg15209_203835"/>
    </w:p>
    <w:p>
      <w:pPr>
        <w:pStyle w:val="Heading5"/>
        <w:numPr>
          <w:ilvl w:val="4"/>
          <w:numId w:val="1"/>
        </w:numPr>
        <w:rPr/>
      </w:pPr>
      <w:bookmarkStart w:id="226" w:name="__RefHeading___Toc2974447_2142443653"/>
      <w:bookmarkStart w:id="227" w:name="_Toc79"/>
      <w:bookmarkEnd w:id="225"/>
      <w:bookmarkEnd w:id="226"/>
      <w:r>
        <w:rPr>
          <w:rtl w:val="true"/>
        </w:rPr>
        <w:t>مسوّغات بيع الوقف الخاصّ</w:t>
      </w:r>
      <w:bookmarkEnd w:id="227"/>
    </w:p>
    <w:p>
      <w:pPr>
        <w:pStyle w:val="Heading6"/>
        <w:numPr>
          <w:ilvl w:val="5"/>
          <w:numId w:val="1"/>
        </w:numPr>
        <w:rPr/>
      </w:pPr>
      <w:bookmarkStart w:id="228" w:name="__RefHeading___Toc2974449_2142443653"/>
      <w:bookmarkStart w:id="229" w:name="_Toc80"/>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وأمّا الأوقاف الخاصّة ،</w:t>
      </w:r>
    </w:p>
    <w:p>
      <w:pPr>
        <w:pStyle w:val="Heading6"/>
        <w:numPr>
          <w:ilvl w:val="5"/>
          <w:numId w:val="1"/>
        </w:numPr>
        <w:rPr/>
      </w:pPr>
      <w:bookmarkStart w:id="230" w:name="__RefHeading___Toc2974451_2142443653"/>
      <w:bookmarkStart w:id="231" w:name="_Toc81"/>
      <w:bookmarkEnd w:id="230"/>
      <w:r>
        <w:rPr>
          <w:rtl w:val="true"/>
        </w:rPr>
        <w:t xml:space="preserve">و فيها صور نتعرّض لمهمّاتها </w:t>
      </w:r>
      <w:r>
        <w:rPr>
          <w:rtl w:val="true"/>
        </w:rPr>
        <w:t>:</w:t>
      </w:r>
      <w:bookmarkEnd w:id="231"/>
    </w:p>
    <w:p>
      <w:pPr>
        <w:pStyle w:val="Heading6"/>
        <w:numPr>
          <w:ilvl w:val="5"/>
          <w:numId w:val="1"/>
        </w:numPr>
        <w:rPr/>
      </w:pPr>
      <w:bookmarkStart w:id="232" w:name="__RefHeading___Toc2974453_2142443653"/>
      <w:bookmarkStart w:id="233" w:name="_Toc82"/>
      <w:bookmarkEnd w:id="232"/>
      <w:r>
        <w:rPr>
          <w:rtl w:val="true"/>
        </w:rPr>
        <w:t>الصورة الاُولى</w:t>
      </w:r>
      <w:r>
        <w:rPr>
          <w:rtl w:val="true"/>
        </w:rPr>
        <w:t xml:space="preserve">: </w:t>
      </w:r>
      <w:r>
        <w:rPr>
          <w:rtl w:val="true"/>
        </w:rPr>
        <w:t>ما إذا خرب الوقف</w:t>
      </w:r>
      <w:bookmarkEnd w:id="233"/>
    </w:p>
    <w:p>
      <w:pPr>
        <w:pStyle w:val="Heading6"/>
        <w:numPr>
          <w:ilvl w:val="5"/>
          <w:numId w:val="1"/>
        </w:numPr>
        <w:rPr/>
      </w:pPr>
      <w:bookmarkStart w:id="234" w:name="__RefHeading___Toc2974455_2142443653"/>
      <w:bookmarkStart w:id="235" w:name="_Toc83"/>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بحيث لا يمكن الانتفاع به ، أو بالوجه الذي وقفه الواقف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فيها يقع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المقتضي لبيعه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الموانع على فرض ثبوت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كما عن المحقّق الخراساني قدّس سرّه </w:t>
      </w:r>
      <w:r>
        <w:rPr>
          <w:rStyle w:val="FootnoteAnchor"/>
          <w:rtl w:val="true"/>
        </w:rPr>
        <w:footnoteReference w:id="465"/>
      </w:r>
      <w:r>
        <w:rPr>
          <w:rFonts w:ascii="Amiri" w:hAnsi="Amiri" w:eastAsia="Amiri" w:cs="Amiri"/>
          <w:color w:val="111111"/>
          <w:sz w:val="28"/>
          <w:sz w:val="28"/>
          <w:szCs w:val="28"/>
          <w:rtl w:val="true"/>
          <w:lang w:bidi="ar-SA"/>
        </w:rPr>
        <w:t>وغيره</w:t>
      </w:r>
      <w:r>
        <w:rPr>
          <w:rStyle w:val="FootnoteAnchor"/>
          <w:rtl w:val="true"/>
        </w:rPr>
        <w:footnoteReference w:id="466"/>
      </w:r>
      <w:r>
        <w:rPr>
          <w:rFonts w:ascii="Amiri" w:hAnsi="Amiri" w:eastAsia="Amiri" w:cs="Amiri"/>
          <w:color w:val="111111"/>
          <w:sz w:val="28"/>
          <w:sz w:val="28"/>
          <w:szCs w:val="28"/>
          <w:rtl w:val="true"/>
          <w:lang w:bidi="ar-SA"/>
        </w:rPr>
        <w:t xml:space="preserve">في فرض ثبوت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الوقف أوّلاً بالعين ، وثانياً بالبدل ، أو بماليتها ، وقد تقدّم مع ما فيه</w:t>
      </w:r>
      <w:r>
        <w:rPr>
          <w:rStyle w:val="FootnoteAnchor"/>
          <w:rtl w:val="true"/>
        </w:rPr>
        <w:footnoteReference w:id="467"/>
      </w:r>
      <w:r>
        <w:rPr>
          <w:rFonts w:ascii="Amiri" w:hAnsi="Amiri" w:eastAsia="Amiri" w:cs="Amiri"/>
          <w:color w:val="111111"/>
          <w:sz w:val="28"/>
          <w:sz w:val="28"/>
          <w:szCs w:val="28"/>
          <w:rtl w:val="true"/>
          <w:lang w:bidi="ar-SA"/>
        </w:rPr>
        <w:t xml:space="preserve">، فلا نعيده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يتضمّن حبس العين وتسبيل المنفعة ، والثاني موسّع لدائرة الموقوفة ؛ بمعنى أنّ العين بشخصها محبوسة ما دام إلى الانتفاع بها سبيل ، وبما هي مال محبوسة إذا لم يمكن الانتفاع بها مع بقائها بشخصها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فالعين وإن سقطت عن الوقفية بنفسها وبشخصها ، لكنّها بما هي مال محبوسة ، والانتفاع بها بما هي مال ، يتوقّف على تبديلها ، وحفظ المالية الموقوفة في ضمن البدل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 الواقف وإن كان دوام الانتفاع ، لكن لا دليل على اتّباع غرضه ، بعد ما كان الحبس متعلّقاً بالعين والمالية القائمة بها حتّى يلزم التبديل لحفظه ، مع أنّ البدل ليس عين مالية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لمّا كان عقدياً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جعل الوقف حقيقة مركّبة من حبس العين ، وتسبيل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نفوذ الوقف دليل على اتّباعه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الانتفاع بالمال الذي هو غرض يتّبع من الواقف ، يقضي بالتبديل ؛ فلأجل أنّ الانتفاع بشخص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تبديل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العدم ، فلا بدّ من حفظ المال بتبديله بما يماثله في المالية ؛ فإنّ إقامة مماثله في نظر العقلاء من أنحاء حفظه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فالتسليط على الانتفاع إلى الأبد ، يوجب سعة دائرة الوقف ، وحفظ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بالجهة التي هي موقوفة في نظر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بتبديله بالمماثل ، لا أنّ المماثل موقوف بوقف المالك وإنشائه</w:t>
      </w:r>
      <w:r>
        <w:rPr>
          <w:rStyle w:val="FootnoteAnchor"/>
          <w:rtl w:val="true"/>
        </w:rPr>
        <w:footnoteReference w:id="468"/>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مواقع للنظر ، نكتفي بمهمّاتها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فرض تسليم كون الوقف من الماهيات المركّبة ، لا يلزم منه أن يكون كلّ جزء منه تحت الإنشاء ، حتّى يكون إنشاء الوقف إنشاء حبس مستقلّ ، وإنشاء تسبيل مستقلّ ، بل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ينشئ إلاّ الوقف على الذرّية مثلاً ، وهو ينحلّ إلى الحبس والتسبيل ، لا أنّ الإنشاء تعلّق بالحبس والتسبيل معاً ، حتّى يكون أحدهما بمنزلة العلّة ، ويوسّع دائرة الوقف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فرض إنشاؤه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 وسبّلت 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صحّته ، يكون ذلك من الألفاظ الدالّة على الوقف نحو الكنايات ، لا أنّ كلاًّ إنشاء مستقلّ ، ويكون الوقف متقوّماً بإنشاءين مستقلّين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سلّمنا ذلك ، لكن لا يعقل في باب المعاملات المتقوّمة بالإنشاء والجعل ، التوسعة والتضييق ، وإنّما يقال بهما في باب الأوامر والنواهي ، لا لأنّ التعليل يوسّع متعلّق الأمر أو النهي ؛ فإنّه 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 لأ نّها مسكرة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التعليل فيه موسّعاً لدائرة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متعلّقه الخمر ، ولا يعقل التجاوز عنه ، ولا يكون المراد بذلك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المسكر بقرينة التعليل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قبيل التوسعة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كاشف عن إرادة المولى ، وحجّة من قبله على العبد ، فمن هذا التعليل يفهم أنّ إرادة المولى تعلّقت بمطلق المسكر ، وهي حجّة قاطعة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ورد مثل هذا التعليل في باب العقود والإيقاعات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الدار ؛ لأ نّها غير محتاج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 بستاني للاحتياج إلى 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الخمر ؛ لأ نّها مسكرة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لتوسعة التعليل ، والحكم ببيع كلّ ما كان غير محتاج إليه ، وإجارة كلّ ما يحتاج إلى اُجرته ، وبيع مطلق المسكر ؛ ضرورة أنّ الإنشاء لا يتجاوز عن متعلّقه ، والإرادة والرضا القلبي لا دخل لهما بالمعاملات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حبست داري ؛ لأجل درّ منفعتها إلى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الثاني علّة ، </w:t>
      </w:r>
    </w:p>
    <w:p>
      <w:pPr>
        <w:pStyle w:val="BookText"/>
        <w:rPr/>
      </w:pPr>
      <w:r>
        <w:rPr>
          <w:rFonts w:ascii="Amiri" w:hAnsi="Amiri" w:eastAsia="Amiri" w:cs="Amiri"/>
          <w:color w:val="111111"/>
          <w:sz w:val="28"/>
          <w:sz w:val="28"/>
          <w:szCs w:val="28"/>
          <w:rtl w:val="true"/>
          <w:lang w:bidi="ar-SA"/>
        </w:rPr>
        <w:t xml:space="preserve">فلا يعقل أن يوسّع دائرة الإنشاء ، ويتعلّق الإنشاء الفعلي المتعلّق بالدار ، بأمر أوسع منها ، وإرادة درّ منفعتها دائماً على الذرّية ، لا تجعل الإنشاء متعلّقاً بأمر أعمّ من العين وماليتها ، وصرف الإرادة لا يفيد في الإيقاعات والعقود ، فالتوسعة والتضييق في بابهما ممّا 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بطلان ذلك ، لا وجه لما ذكره من التمسّك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الوقوف تكون على حسب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بل لنا التمسّك به لإثبات قصر الوقف على العين ، دون غيرها من ماليتها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وجه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حفظ المال بتبديله بما يماثله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وغير ذلك ممّا يتفرّع على هذا الأصل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الغرض إذا كان غرضاً عقدياً موجباً لكون الوقف مركّباً من الحبس وتسبيل الثمرة ، فدليل نفوذه دليل على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لم يتّضح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الغرض العقدي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تعلّق بالمالية ، وتسبيل الثمرة إلى الأبد قرينة عليه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التعبير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الغرض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المالية على هذا تكون متعلّق العقد ، لا أ نّها الغرض 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ماهية الوقف ؛ فإنّ المالية لا ثمرة لها ولا منفعة ، وإنّما الثمرة والنفع للعين ، لا لماليتها ، فلازم ذلك بطلان إنشائه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منظور حال العقد ، فمن وقف شيئاً ، يكون تسبيل المنفعة إلى الأبد محطّ نظره ، وتسبيلها إلى الأبد لا يمكن إلاّ مع توسعة دائرة الوقف إلى المالية ، فتكون هي محبوسة بعد ما لا يمكن الانتفاع بالعين ، </w:t>
      </w:r>
    </w:p>
    <w:p>
      <w:pPr>
        <w:pStyle w:val="BookText"/>
        <w:rPr/>
      </w:pPr>
      <w:r>
        <w:rPr>
          <w:rFonts w:ascii="Amiri" w:hAnsi="Amiri" w:eastAsia="Amiri" w:cs="Amiri"/>
          <w:color w:val="111111"/>
          <w:sz w:val="28"/>
          <w:sz w:val="28"/>
          <w:szCs w:val="28"/>
          <w:rtl w:val="true"/>
          <w:lang w:bidi="ar-SA"/>
        </w:rPr>
        <w:t xml:space="preserve">فيرجع ذلك إلى ما تقدّم من بعض الأعاظم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العين محبوسة في الرتبة المتقدّمة ، والمالية في الرتبة المتأخّرة</w:t>
      </w:r>
      <w:r>
        <w:rPr>
          <w:rStyle w:val="FootnoteAnchor"/>
          <w:rtl w:val="true"/>
        </w:rPr>
        <w:footnoteReference w:id="469"/>
      </w:r>
      <w:r>
        <w:rPr>
          <w:rFonts w:ascii="Amiri" w:hAnsi="Amiri" w:eastAsia="Amiri" w:cs="Amiri"/>
          <w:color w:val="111111"/>
          <w:sz w:val="28"/>
          <w:sz w:val="28"/>
          <w:szCs w:val="28"/>
          <w:rtl w:val="true"/>
          <w:lang w:bidi="ar-SA"/>
        </w:rPr>
        <w:t>، وتقدّم ما فيه من امتناع ذلك بلفظ واحد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التوسعة إن كانت بعد الإنشاء المتعلّق بحبس العين ، فلا تعقل جزماً ؛ لأنّ الإنشاء من الإيجاديات التي لا يعقل فيها التوسعة بعد الوجود والإيجاد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قبله ؛ بمعنى كشف غرضه عن تعلّق الوقف بعنوان أعمّ ، فمضافاً إلى الجزم بأنّ الوقف في الأوقاف المتداولة لم يتعلّق إلاّ بالأعيان ، ليس التعلّق بنفس المالية القائمة بالعين من التعلّق بالأعمّ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بالتعلّق بالأعيان ما دامت ذوات منفعة ، وبماليتها بعد فقدها ، كما هو صريح بعض كلامه</w:t>
      </w:r>
      <w:r>
        <w:rPr>
          <w:rStyle w:val="FootnoteAnchor"/>
          <w:rtl w:val="true"/>
        </w:rPr>
        <w:footnoteReference w:id="471"/>
      </w:r>
      <w:r>
        <w:rPr>
          <w:rFonts w:ascii="Amiri" w:hAnsi="Amiri" w:eastAsia="Amiri" w:cs="Amiri"/>
          <w:color w:val="111111"/>
          <w:sz w:val="28"/>
          <w:sz w:val="28"/>
          <w:szCs w:val="28"/>
          <w:rtl w:val="true"/>
          <w:lang w:bidi="ar-SA"/>
        </w:rPr>
        <w:t>، فيه ما تقدّم من الامتناع إن كان المراد تعلّق الإنشاء بها كذلك</w:t>
      </w:r>
      <w:r>
        <w:rPr>
          <w:rStyle w:val="FootnoteAnchor"/>
          <w:rtl w:val="true"/>
        </w:rPr>
        <w:footnoteReference w:id="472"/>
      </w:r>
      <w:r>
        <w:rPr>
          <w:rFonts w:ascii="Amiri" w:hAnsi="Amiri" w:eastAsia="Amiri" w:cs="Amiri"/>
          <w:color w:val="111111"/>
          <w:sz w:val="28"/>
          <w:sz w:val="28"/>
          <w:szCs w:val="28"/>
          <w:rtl w:val="true"/>
          <w:lang w:bidi="ar-SA"/>
        </w:rPr>
        <w:t>، وعدم التأثير إن كان غرض الواقف ذلك مع عدم إنشائه إلاّ على الأعيان</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الغضّ عن كلّ ما تقدّم ، فمقتضى التوسعة هو التوسعة إلى ما يشابه المعلول ويناسبه ، لا إلى ما هو مخالف له في الذات والآثار ، فقوله </w:t>
      </w:r>
      <w:r>
        <w:rPr>
          <w:rFonts w:eastAsia="Amiri" w:cs="Amiri" w:ascii="Amiri" w:hAnsi="Amiri"/>
          <w:color w:val="111111"/>
          <w:sz w:val="28"/>
          <w:szCs w:val="28"/>
          <w:rtl w:val="true"/>
          <w:lang w:bidi="ar-SA"/>
        </w:rPr>
        <w:t xml:space="preserve">: </w:t>
      </w:r>
      <w:bookmarkStart w:id="236" w:name="pg15209_203840"/>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 ؛ لأ نّها مسكرة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دائرة الحرمة إلى كلّ مسكر ، وهو مناسب للخمر ومشابه لها في خاصّية الإسكار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المقام مفقودة ؛ لأنّ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بالعين لدرّ المنفعة ، والمالية لا منفعة لها ولا ثمرة ، فالتوسعة إليها توسعة إلى ما ينافي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ويخالف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رجع قوله هذا إلى أنّ غرض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يستفيد الموقوف عليه من ثمرة الوقف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التوسعة ، فقد عرفت ما فيه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المتّبع هو إنشاء الواقف وجعله ، ولا تعقل التوسعة فيه بعد تعلّقه بالأعيان </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2974457_2142443653"/>
      <w:bookmarkStart w:id="238" w:name="_Toc84"/>
      <w:bookmarkEnd w:id="237"/>
      <w:r>
        <w:rPr>
          <w:rtl w:val="true"/>
        </w:rPr>
        <w:t xml:space="preserve">تقرير مقتضي بيع الوقف على مبنى صاحب </w:t>
      </w:r>
      <w:r>
        <w:rPr>
          <w:rtl w:val="true"/>
        </w:rPr>
        <w:t>«</w:t>
      </w:r>
      <w:r>
        <w:rPr>
          <w:rtl w:val="true"/>
        </w:rPr>
        <w:t>الجواهر</w:t>
      </w:r>
      <w:r>
        <w:rPr>
          <w:rtl w:val="true"/>
        </w:rPr>
        <w:t xml:space="preserve">» </w:t>
      </w:r>
      <w:r>
        <w:rPr>
          <w:rtl w:val="true"/>
        </w:rPr>
        <w:t>وغيره</w:t>
      </w:r>
      <w:bookmarkEnd w:id="238"/>
    </w:p>
    <w:p>
      <w:pPr>
        <w:pStyle w:val="BookText"/>
        <w:rPr/>
      </w:pPr>
      <w:r>
        <w:rPr>
          <w:rFonts w:ascii="Amiri" w:hAnsi="Amiri" w:eastAsia="Amiri" w:cs="Amiri"/>
          <w:color w:val="111111"/>
          <w:sz w:val="28"/>
          <w:sz w:val="28"/>
          <w:szCs w:val="28"/>
          <w:rtl w:val="true"/>
          <w:lang w:bidi="ar-SA"/>
        </w:rPr>
        <w:t xml:space="preserve">ويمكن أن يقرّر وجود المقتضي على مبنى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الوقف متضمّن للمنع المالكي عن البيع وسائر النواقل ، وهو تمليك للموقوف عليهم ، ومتقوّم بالامتناع المالكي</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المنع المالكي منصرف عن مورد عدم إمكان الانتفاع به ؛ فإنّ المنع إنّما هو لغرض الإبقاء للانتفاع به ، ومع عدم إمكانه لا منع منه ، فيبطل الوقف ، وتبقى ملكية الموقوف عليهم بلا مانع من النقل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بدّ من إذن الفقيه باعتبار مالكية الطبقات المتأخّرة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مبنى غيره 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بملكيته لجميع البطون</w:t>
      </w:r>
      <w:r>
        <w:rPr>
          <w:rStyle w:val="FootnoteAnchor"/>
          <w:rtl w:val="true"/>
        </w:rPr>
        <w:footnoteReference w:id="476"/>
      </w:r>
      <w:r>
        <w:rPr>
          <w:rFonts w:ascii="Amiri" w:hAnsi="Amiri" w:eastAsia="Amiri" w:cs="Amiri"/>
          <w:color w:val="111111"/>
          <w:sz w:val="28"/>
          <w:sz w:val="28"/>
          <w:szCs w:val="28"/>
          <w:rtl w:val="true"/>
          <w:lang w:bidi="ar-SA"/>
        </w:rPr>
        <w:t xml:space="preserve">،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 المنفعة من مقوّماته ، فكما لا يجوز وقف ما ليست له منفعة رأساً ؛ لأنّ درّ المنفعة داخل في ماهية الوقف ، أو لازم لها ، ولا ينفكّ عنها ، كذلك إذا خرب على وجه لا منفعة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الخراب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الوقف ؛ لفقد ركنه ، وبقي الملك ؛ لعدم وجه لزواله ، ومقتضى القاعدة جواز بيعه مع اجتماع الموقوف عليهم والفقيه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قد عرفت ما في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من الإشكال في المبنى</w:t>
      </w:r>
      <w:r>
        <w:rPr>
          <w:rStyle w:val="FootnoteAnchor"/>
          <w:rtl w:val="true"/>
        </w:rPr>
        <w:footnoteReference w:id="477"/>
      </w:r>
      <w:r>
        <w:rPr>
          <w:rFonts w:ascii="IRNazanin" w:hAnsi="IRNazanin" w:eastAsia="IRNazanin"/>
          <w:color w:val="111111"/>
          <w:sz w:val="28"/>
          <w:sz w:val="28"/>
          <w:szCs w:val="28"/>
          <w:rtl w:val="true"/>
          <w:lang w:bidi="fa-IR"/>
        </w:rPr>
        <w:t>والبناء</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التقريب الآخر ، فهو أيضاً غير وجيه ؛ لأنّ ما يتقوّم به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تسبيل المنفعة ، لا درّها خارجاً ، والتسبيل لا يعقل في الابتداء إذا كانت العين مسلوبة المنفعة رأساً ، بل إنشاء الوقف من الملتفت إلى الواقعة غير معقول ، ومع الغفلة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لها منفعة ، فإنشاء الحبس وتسبيل المنفعة ممكن وصحيح ، ولا يلزم أن يكون التسبيل مستمرّاً باستمرار الثمرة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تسبيل الثمرة ممّا يتقوّم به الوقف ، ولا يتوقّف على وجود الثمرة في كلّ حال ، بل يكفي في الصحّة وجود المنفعة إلى زمان الخراب </w:t>
      </w:r>
      <w:r>
        <w:rPr>
          <w:rFonts w:eastAsia="Amiri" w:cs="Amiri" w:ascii="Amiri" w:hAnsi="Amiri"/>
          <w:color w:val="111111"/>
          <w:sz w:val="28"/>
          <w:szCs w:val="28"/>
          <w:rtl w:val="true"/>
          <w:lang w:bidi="ar-SA"/>
        </w:rPr>
        <w:t xml:space="preserve">. </w:t>
      </w:r>
      <w:bookmarkStart w:id="239" w:name="pg15209_203842"/>
    </w:p>
    <w:p>
      <w:pPr>
        <w:pStyle w:val="Heading6"/>
        <w:numPr>
          <w:ilvl w:val="5"/>
          <w:numId w:val="1"/>
        </w:numPr>
        <w:rPr/>
      </w:pPr>
      <w:bookmarkStart w:id="240" w:name="__RefHeading___Toc2974459_2142443653"/>
      <w:bookmarkStart w:id="241" w:name="_Toc85"/>
      <w:bookmarkEnd w:id="239"/>
      <w:bookmarkEnd w:id="240"/>
      <w:r>
        <w:rPr>
          <w:rtl w:val="true"/>
        </w:rPr>
        <w:t>تقريب المقتضي على المسلك الحقّ</w:t>
      </w:r>
      <w:bookmarkEnd w:id="241"/>
    </w:p>
    <w:p>
      <w:pPr>
        <w:pStyle w:val="BookText"/>
        <w:rPr/>
      </w:pPr>
      <w:r>
        <w:rPr>
          <w:rFonts w:ascii="Amiri" w:hAnsi="Amiri" w:eastAsia="Amiri" w:cs="Amiri"/>
          <w:color w:val="111111"/>
          <w:sz w:val="28"/>
          <w:sz w:val="28"/>
          <w:szCs w:val="28"/>
          <w:rtl w:val="true"/>
          <w:lang w:bidi="ar-SA"/>
        </w:rPr>
        <w:t xml:space="preserve">وعلى مسلكنا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إيقاف العين لدرّ المنفعة</w:t>
      </w:r>
      <w:r>
        <w:rPr>
          <w:rStyle w:val="FootnoteAnchor"/>
          <w:rtl w:val="true"/>
        </w:rPr>
        <w:footnoteReference w:id="479"/>
      </w:r>
      <w:r>
        <w:rPr>
          <w:rFonts w:ascii="Amiri" w:hAnsi="Amiri" w:eastAsia="Amiri" w:cs="Amiri"/>
          <w:color w:val="111111"/>
          <w:sz w:val="28"/>
          <w:sz w:val="28"/>
          <w:szCs w:val="28"/>
          <w:rtl w:val="true"/>
          <w:lang w:bidi="ar-SA"/>
        </w:rPr>
        <w:t xml:space="preserve">، ويكون الدرّ غاية للوقف ، لا مقوّماً له ، وهذا لا ينافي البطلان إذا كان مسلوب المنفعة مطلقاً ؛ لكونه لغواً لا يترتّب عليه الأثر ، ولا يعقل من الملتفت إيقاعه ، ولا من الشرع إنفاذه على فرض عدم التفات المنشئ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تقريب تحقّق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لا يبطل بالخراب وعدم النفع ، والمتصوّر منه عقلاً أن يكون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طبقة بعد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 ذكوراً وإناثاً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المعدومات ؛ لعدم تعقّل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معدومات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الجعل والإشارة حتّى العقلية ، فالوقف في الأوقاف الخاصّة والعامّة على العناوين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العامّ على عنوان عامّ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 على عنوان خاصّ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الخالات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ونحوها ، ولا يعقل جعلها للأفراد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أفراد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مصاديق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أيضاً على عنوان مصاديق الذرّية ؛ فإنّ المعدوم لا يكون مصداقاً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وقف على زيد وعلى ولده ، يكون الثاني عنواناً قابلاً للانطباق على ولده بعد الولادة ، لا عنواناً للمعدوم ؛ فإنّه محال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المتصوّر في الوقف على البطون اللاحقة المعدومة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الجعل للعنوان ، أو على العنوان ، أو إنشاؤه على نحو القضيّة الشرطية ؛ بأن يقف على كلّ </w:t>
      </w:r>
    </w:p>
    <w:p>
      <w:pPr>
        <w:pStyle w:val="BookText"/>
        <w:rPr/>
      </w:pPr>
      <w:r>
        <w:rPr>
          <w:rFonts w:ascii="Amiri" w:hAnsi="Amiri" w:eastAsia="Amiri" w:cs="Amiri"/>
          <w:color w:val="111111"/>
          <w:sz w:val="28"/>
          <w:sz w:val="28"/>
          <w:szCs w:val="28"/>
          <w:rtl w:val="true"/>
          <w:lang w:bidi="ar-SA"/>
        </w:rPr>
        <w:t xml:space="preserve">طبقة إذا وجدت ، أو في حال وجودها ؛ بأن يكون الوقف فعلياً بالنسبة إلى الطبقة الموجودة ، وشأنياً وإنشائياً بالنسبة إلى الطبقة المتأخّرة ، فإذا وجدت صار فعلياً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الثاني مخالفاً لنوع الأوقاف ؛ ضرورة أنّ الإنشاء الفعلي في الطبقة الموجودة ، والمشروط في سائر الطبقات ، أمر يحتاج إلى عناية زائدة ، مغفول عنها نوعاً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بعد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لإفهام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وجيه ، بل الظاهر أ نّه لبيان درّ المنفعة ، وأ نّها للطبقة الموجودة ، وبعدها للطبقة المتأخّرة ، والوقف فعلاً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 المنفعة</w:t>
      </w:r>
    </w:p>
    <w:p>
      <w:pPr>
        <w:pStyle w:val="BookText"/>
        <w:rPr/>
      </w:pPr>
      <w:r>
        <w:rPr>
          <w:rFonts w:ascii="Amiri" w:hAnsi="Amiri" w:eastAsia="Amiri" w:cs="Amiri"/>
          <w:color w:val="111111"/>
          <w:sz w:val="28"/>
          <w:sz w:val="28"/>
          <w:szCs w:val="28"/>
          <w:rtl w:val="true"/>
          <w:lang w:bidi="ar-SA"/>
        </w:rPr>
        <w:t xml:space="preserve">على طبقة بعد طبقة ،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لأولادي ؛ للذكر مثل حظّ الاُنثيين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فالتقسيم للنفع لا للوقف ، كما هو الظاهر من أوقاف الأئمّة عليهم السلام ، بل صريح بعضها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لازم ذلك أ نّهم لو أرادوا التقسيم ، يكون ذلك بحسب نسبة النفع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الوقف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وقفاً فعلياً ، يكون حاله كالأوقاف العامّة التي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أمرها راجع إلى الحاكم الشرعي والوالي ؛ فإنّ أمر الأوقاف الخاصّة أيضاً راجع إليه ، ووظيفته حفظ مصالح الطبقات المتأخّرة ، كحفظ مصالح المسلمين ، ومصالح الصغار والمجانين ، فإذا كان حفظ مصالح الطبقات المتأخّرة ببيع الوقف وتبديله ، فعلى الحاكم ذلك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الولاية على البيع وسائر النواقل مختصّة بالحاكم ، ولا دخل للموقوف عليهم في ذلك ؛ لعدم كونهم مالكين له ، وعدم ولايتهم على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قد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متولّي الوقف من قبل الواقف في الأوقاف المتعارفة المطلقة ، لا ولاية له على البيع وإبطال الوقف وتبديله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الأوقاف الخاصّة والعامّة موكول إلى الوالي ، وهو وليّ الأمر لحفظ مصالح الموقوف عليهم ؛ من المسلمين ، والطبقات المتأخّرة في الأوقاف الخاصّة ، فعليه أن يبيعها ، ويحفظ مصالحهم بالتبديل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من إرجاع الأوقاف الخاصّة نوعاً إلى العناوين ، لا يلزم منه جواز صرف المنافع إلى بعض الأولاد ، كما يجوز في الأوقاف العامّة ؛ فإنّ لزوم التوزيع وعدمه ، ليس من جهة الوقف على العنوان وعدمه ، بل تابع عرفاً لمحصورية المعنون وعدمها ، فلو وقف على الفقراء ، وكان الفقير منحصراً في عدد محصور ، يجب التوزيع ، ولو وقف على ذرّيته وصارت غير محصورة ، لا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هاشم عليه السلام على ذرّيته ، لا يجب التوزيع فعلاً على جميع أولاد هاشم ، وهذا حكم عرفي عقلائي مؤيّد بالنصّ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التوزيع على المحصورين حكم عقلائي ، يتبعه الواقف عند وقفه ولو ارتكازاً ، فإذا وقف على فقراء البلد ، ولم يكن فيه إلاّ عدد محصور ، يجب التوزيع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الوقف العامّ والخاصّ بيد الحاكم ؛ لحفظ مصالح الموقوف عليهم من المسلمين ونحوهم ، ومن الطبقات اللاحقة في الأوقاف </w:t>
      </w:r>
      <w:bookmarkStart w:id="242" w:name="pg15209_203845"/>
    </w:p>
    <w:p>
      <w:pPr>
        <w:pStyle w:val="BookText"/>
        <w:rPr/>
      </w:pPr>
      <w:bookmarkEnd w:id="242"/>
      <w:r>
        <w:rPr>
          <w:rFonts w:ascii="Amiri" w:hAnsi="Amiri" w:eastAsia="Amiri" w:cs="Amiri"/>
          <w:color w:val="111111"/>
          <w:sz w:val="28"/>
          <w:sz w:val="28"/>
          <w:szCs w:val="28"/>
          <w:rtl w:val="true"/>
          <w:lang w:bidi="ar-SA"/>
        </w:rPr>
        <w:t>الخاصّة ، إلاّ أن يدلّ دليل على عدم الجواز حتّى مع التضييع ، وهو مفقود جزماً ؛ لما عرفت مفصّلاً</w:t>
      </w:r>
      <w:r>
        <w:rPr>
          <w:rStyle w:val="FootnoteAnchor"/>
          <w:rtl w:val="true"/>
        </w:rPr>
        <w:footnoteReference w:id="482"/>
      </w:r>
      <w:r>
        <w:rPr>
          <w:rFonts w:ascii="Amiri" w:hAnsi="Amiri" w:eastAsia="Amiri" w:cs="Amiri"/>
          <w:color w:val="111111"/>
          <w:sz w:val="28"/>
          <w:sz w:val="28"/>
          <w:szCs w:val="28"/>
          <w:rtl w:val="true"/>
          <w:lang w:bidi="ar-SA"/>
        </w:rPr>
        <w:t xml:space="preserve">، ولانصراف نحو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مع فرض الإطلاق </w:t>
      </w:r>
      <w:r>
        <w:rPr>
          <w:rFonts w:eastAsia="IRNazanin" w:cs="IRNazanin"/>
          <w:color w:val="111111"/>
          <w:sz w:val="28"/>
          <w:szCs w:val="28"/>
          <w:rtl w:val="true"/>
          <w:lang w:bidi="fa-IR"/>
        </w:rPr>
        <w:t>.</w:t>
      </w:r>
    </w:p>
    <w:p>
      <w:pPr>
        <w:pStyle w:val="Heading6"/>
        <w:numPr>
          <w:ilvl w:val="5"/>
          <w:numId w:val="1"/>
        </w:numPr>
        <w:rPr/>
      </w:pPr>
      <w:bookmarkStart w:id="243" w:name="__RefHeading___Toc2974461_2142443653"/>
      <w:bookmarkStart w:id="244" w:name="_Toc86"/>
      <w:bookmarkEnd w:id="243"/>
      <w:r>
        <w:rPr>
          <w:rtl w:val="true"/>
        </w:rPr>
        <w:t>بيان أنحاء الوقف</w:t>
      </w:r>
      <w:bookmarkEnd w:id="244"/>
    </w:p>
    <w:p>
      <w:pPr>
        <w:pStyle w:val="BookText"/>
        <w:rPr/>
      </w:pPr>
      <w:r>
        <w:rPr>
          <w:rFonts w:ascii="Amiri" w:hAnsi="Amiri" w:eastAsia="Amiri" w:cs="Amiri"/>
          <w:color w:val="111111"/>
          <w:sz w:val="28"/>
          <w:sz w:val="28"/>
          <w:szCs w:val="28"/>
          <w:rtl w:val="true"/>
          <w:lang w:bidi="ar-SA"/>
        </w:rPr>
        <w:t xml:space="preserve">ثمّ إنّ ما ذكرناه يتمّ في الأوقاف العامّة والخاصّة ، على فرض تحقّق الوقف فعلاً على العناوين ، وإن كانت جملة من مصاديقها متحقّقة في الاستقبال ، وأمّا في غيره فمحلّ تأمّل وإشكال ؛ فإنّ الوقف يتصوّر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عنوان وحداني ،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الأوقاف العامّة ،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الخاصّة ، فالموقوف عليه عنوان منطبق على المصاديق الموجودة في الحال ، وعلى الموجودة في الاستقبال حال وجودهم ، ولا يصدق على غير الموجود ، ولا يعقل صدقه عليه ، فمصداق الموقوف عليه في الحال هو الموجود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الصورة ، يمكن أن يجعل المنافع لطبقة بعد طبقة ، فيقدّم الطبقة المتقدّمة على المتأخّرة ، كما هو كذلك في نوع الأوقاف الخاصّة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خلافه ، فتصير الطبقة المتأخّرة شريكة للمتقدّمة ؛ بمعنى عدم الاختصاص بالمتقدّمة ، كما هو كذلك في الأوقاف العامّة ، وقد يكون كذلك في الخاصّة أيضاً ، ولازمه شركة الموجود مع الطبقة المتأخّرة ، لا إسراء الحكم إلى </w:t>
      </w:r>
    </w:p>
    <w:p>
      <w:pPr>
        <w:pStyle w:val="BookText"/>
        <w:rPr/>
      </w:pPr>
      <w:r>
        <w:rPr>
          <w:rFonts w:ascii="Amiri" w:hAnsi="Amiri" w:eastAsia="Amiri" w:cs="Amiri"/>
          <w:color w:val="111111"/>
          <w:sz w:val="28"/>
          <w:sz w:val="28"/>
          <w:szCs w:val="28"/>
          <w:rtl w:val="true"/>
          <w:lang w:bidi="ar-SA"/>
        </w:rPr>
        <w:t>المعدومين ؛ فإنّه محال ولو في الاعتباريات كما تقدّم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عناوين عديدة ؛ بأن يكون الوقف على الطبقة المتقدّمة ، وعلى المتأخّرة بعد انقراض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على نحو الواجب المعلّق، فيكون الوقف على المتأخّرة فعلياً ، لكن الموقوف عليه عنوان لا ينطبق على الطبقة المتأخّرة إلاّ بعد انقراض المتقدّمة ، فالوقف فعلي ، والموقوف عليه استقبالي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الطبقة الاُولى فعلاً ، وعلى الطبقة الثانية بشرط وجودهم ؛ على نعت الواجب المشروط ، فلا يصير الوقف بالنسبة إلى الطبقة الثانية فعلياً إلاّ عند وجودهم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فقبل وجودهم لا يكون إلاّ إنشاءً محضاً مشروطاً بوجود الموقوف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الوقف على العناوين العامّة ، أو على الجهات العامّة ، أو على العناوين الخاصّة ، يصير بعد تحقّقه من مصالح عامّة المسلمين ، أو طائفة منهم ، أو من مصالح الذرّية ، أو طبقاتهم</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الفرضين الأوّلين ، حيث كان الوقف على العناوين فعلياً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الفرض الأخير الذي يكون بالنسبة إلى الطبقات المتأخّرة غير فعلي ، بل مشروطاً بالوجود ، ففيه إشكال ، ناشئ من احتمال أن يكون هذا المعنى الإنشائي الذي سيصير فعلياً بتحقّق الطبقة المتأخّرة ، كافياً عرفاً في صيرورة الوقف من المصالح التي على الحاكم حفظها ، نظير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مقدّمة </w:t>
      </w:r>
      <w:bookmarkStart w:id="245" w:name="pg15209_203847"/>
    </w:p>
    <w:p>
      <w:pPr>
        <w:pStyle w:val="BookText"/>
        <w:rPr/>
      </w:pPr>
      <w:bookmarkEnd w:id="245"/>
      <w:r>
        <w:rPr>
          <w:rFonts w:ascii="Amiri" w:hAnsi="Amiri" w:eastAsia="Amiri" w:cs="Amiri"/>
          <w:color w:val="111111"/>
          <w:sz w:val="28"/>
          <w:sz w:val="28"/>
          <w:szCs w:val="28"/>
          <w:rtl w:val="true"/>
          <w:lang w:bidi="ar-SA"/>
        </w:rPr>
        <w:t>الواجب المشروط الذي علم بتحقّق شرطه قبل تحقّقه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أنّ المفروض عدم تحقّق الوقف الذي هو من المصالح ، وليس على الحاكم إلاّ حفظ المصالح ، ولا حفظ مع فقد موضوع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الأوّل أقرب إلى الاعتبار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الغضّ عنه ، هل يجوز للطبقة الموجودة إهمال الوقف حتّى يضيع ، أو يجب عليهم بيعه ، أو الأمر يرجع إلى الحاكم ، وعليه بيعه حتّى لا يضيع ؟</w:t>
      </w:r>
    </w:p>
    <w:p>
      <w:pPr>
        <w:pStyle w:val="BookText"/>
        <w:rPr/>
      </w:pPr>
      <w:r>
        <w:rPr>
          <w:rFonts w:ascii="Amiri" w:hAnsi="Amiri" w:eastAsia="Amiri" w:cs="Amiri"/>
          <w:color w:val="111111"/>
          <w:sz w:val="28"/>
          <w:sz w:val="28"/>
          <w:szCs w:val="28"/>
          <w:rtl w:val="true"/>
          <w:lang w:bidi="ar-SA"/>
        </w:rPr>
        <w:t xml:space="preserve">لا يبعد الأخير على ما سلكناه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الوقف فكّ ملك ، وليس ملكاً للموقوف عليهم</w:t>
      </w:r>
      <w:r>
        <w:rPr>
          <w:rStyle w:val="FootnoteAnchor"/>
          <w:rtl w:val="true"/>
        </w:rPr>
        <w:footnoteReference w:id="487"/>
      </w:r>
      <w:r>
        <w:rPr>
          <w:rFonts w:ascii="Amiri" w:hAnsi="Amiri" w:eastAsia="Amiri" w:cs="Amiri"/>
          <w:color w:val="111111"/>
          <w:sz w:val="28"/>
          <w:sz w:val="28"/>
          <w:szCs w:val="28"/>
          <w:rtl w:val="true"/>
          <w:lang w:bidi="ar-SA"/>
        </w:rPr>
        <w:t xml:space="preserve">، وإنّما لهم عدم قبول منافع الوقف والاستفادة منه ، لا تضييعه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بجوازه في الأملاك الشخصية </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2974463_2142443653"/>
      <w:bookmarkStart w:id="247" w:name="_Toc87"/>
      <w:bookmarkEnd w:id="246"/>
      <w:r>
        <w:rPr>
          <w:rtl w:val="true"/>
        </w:rPr>
        <w:t>استدلال الشيخ الأعظم على جواز البيع عند طروّ الخراب</w:t>
      </w:r>
      <w:bookmarkEnd w:id="247"/>
    </w:p>
    <w:p>
      <w:pPr>
        <w:pStyle w:val="BookText"/>
        <w:rPr/>
      </w:pPr>
      <w:r>
        <w:rPr>
          <w:rFonts w:ascii="Amiri" w:hAnsi="Amiri" w:eastAsia="Amiri" w:cs="Amiri"/>
          <w:color w:val="111111"/>
          <w:sz w:val="28"/>
          <w:sz w:val="28"/>
          <w:szCs w:val="28"/>
          <w:rtl w:val="true"/>
          <w:lang w:bidi="ar-SA"/>
        </w:rPr>
        <w:t xml:space="preserve">ثمّ إنّ الشيخ الأعظم قدّس سرّه ، تمسّك لجواز البيع بأنّ الأمر دائر بين تعطيله حتّى يتلف بنفسه ، وهو تضييع منافٍ لحقّ اللّه ، وحقّ الواقف ، والموقوف عليهم ، وبين انتفاع البطن الموجود به بالإتلاف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منافياً لحقّ سائر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جواز بيع البطن الأوّل ، ومع بطلانهما يثبت المطلوب</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إشكال يظهر ممّا مرّ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المحرّم هو التضييع ، وما يلزم من تعطيله حتّى يتلف هو الضياع</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المال الذي تحت سلطان شخص حتّى يتلف ويفسد ، تضييع عرفاً ، فمن ترك الحيوان المذبوح الذي هو ملكه أو تحت سلطنته حتّى يفسد ، يعدّ مضيّعاً له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مبغوضية ضياع المال المحترم ولا سيّما ما هو من مصالح المسلمين أو طائفة منهم ، يفهم من دليل منع التضييع ؛ فإنّ النهي المتعلّق به ، إنّما هو آلة لحفظ المال وعدم ضياعه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يدّعى ذلك في الأوامر والنواهي مطلقاً ، إلاّ أن تقوم قرينة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ضياع الوقف هنا مبغوض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التعارض بين دليل عدم جواز بيع الوقف ، ودليل حرمة التضييع ، بالعموم من وجه ، فلا بدّ من موجب لتقديم دليل حرمة التضييع في مورد الاجتماع</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مبنيّ على دعوى إطلاق الأدلّة لمورد الاجتماع ، وإنكار انصرافها عنه ، وقد مرّ الكلام في الإطلاق</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تسليمه ، لا ينبغي الإشكال في الانصراف ، لا لأنّ مورد الخراب </w:t>
      </w:r>
      <w:bookmarkStart w:id="248" w:name="pg15209_203849"/>
    </w:p>
    <w:p>
      <w:pPr>
        <w:pStyle w:val="BookText"/>
        <w:rPr/>
      </w:pPr>
      <w:bookmarkEnd w:id="248"/>
      <w:r>
        <w:rPr>
          <w:rFonts w:ascii="Amiri" w:hAnsi="Amiri" w:eastAsia="Amiri" w:cs="Amiri"/>
          <w:color w:val="111111"/>
          <w:sz w:val="28"/>
          <w:sz w:val="28"/>
          <w:szCs w:val="28"/>
          <w:rtl w:val="true"/>
          <w:lang w:bidi="ar-SA"/>
        </w:rPr>
        <w:t xml:space="preserve">نادر ، والانصراف يكون من جهة الندرة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عين موقوفة مآلها عادة إلى الخراب ، وإنّ مصير أغلبها إلى الخراب غير قابل للإنكار</w:t>
      </w:r>
      <w:r>
        <w:rPr>
          <w:rStyle w:val="FootnoteAnchor"/>
          <w:rtl w:val="true"/>
        </w:rPr>
        <w:footnoteReference w:id="493"/>
      </w:r>
      <w:r>
        <w:rPr>
          <w:rFonts w:ascii="Amiri" w:hAnsi="Amiri" w:eastAsia="Amiri" w:cs="Amiri"/>
          <w:color w:val="111111"/>
          <w:sz w:val="28"/>
          <w:sz w:val="28"/>
          <w:szCs w:val="28"/>
          <w:rtl w:val="true"/>
          <w:lang w:bidi="ar-SA"/>
        </w:rPr>
        <w:t xml:space="preserve">، بل لغاية بعد حكم الشارع ببقاء الوقف حتّى يفسد ويهلك ، وهذا مبنى الانصراف على فرض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ذكرنا فيما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 ولا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 نهياً مالكياً ، ينصرف عن مورد فساد الوقف وضياعه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على فرض الإطلاق وعدم الانصراف ، يقدّم دليل حرمة التضييع في مورد الاجتماع ، إن كان المستند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 لْمُبَذِّرِينَ كَانُوا إخْوَانَ ا لشَّيَاطِينِ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لعدم صلاحية معارضة الخبر للكتاب الكريم ، مع أنّ لسانه آبٍ عن التخصيص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دليل حرمة التضييع محكّماً ؛ إمّا لعدم إطلاق لدليل حرمة بيع الوقف ، أو لانصرافه ، أو لرجحان معارضه ، أو لعدم صلاحيته للمعارضة ، وبه يندفع استصحاب المنع </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2974465_2142443653"/>
      <w:bookmarkStart w:id="250" w:name="_Toc88"/>
      <w:bookmarkEnd w:id="249"/>
      <w:r>
        <w:rPr>
          <w:rtl w:val="true"/>
        </w:rPr>
        <w:t>تأييد الشيخ الأعظم لجواز البيع ودفعه</w:t>
      </w:r>
      <w:bookmarkEnd w:id="25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الشيخ الأعظم قدّس 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 المنع السابق في ضمن وجوب العمل بمقتضى الوقف ، وهو انتفاع جميع البطون بعينها ، وقد ارتفع قطعاً ، </w:t>
      </w:r>
    </w:p>
    <w:p>
      <w:pPr>
        <w:pStyle w:val="BookText"/>
        <w:rPr/>
      </w:pPr>
      <w:r>
        <w:rPr>
          <w:rFonts w:ascii="Amiri" w:hAnsi="Amiri" w:eastAsia="Amiri" w:cs="Amiri"/>
          <w:color w:val="111111"/>
          <w:sz w:val="28"/>
          <w:sz w:val="28"/>
          <w:szCs w:val="28"/>
          <w:rtl w:val="true"/>
          <w:lang w:bidi="ar-SA"/>
        </w:rPr>
        <w:t>فلا يبقى ما كان في ضمنه</w:t>
      </w:r>
      <w:r>
        <w:rPr>
          <w:rStyle w:val="FootnoteAnchor"/>
          <w:rtl w:val="true"/>
        </w:rPr>
        <w:footnoteReference w:id="496"/>
      </w:r>
      <w:r>
        <w:rPr>
          <w:rFonts w:ascii="Amiri" w:hAnsi="Amiri" w:eastAsia="Amiri" w:cs="Amiri"/>
          <w:color w:val="111111"/>
          <w:sz w:val="28"/>
          <w:sz w:val="28"/>
          <w:szCs w:val="28"/>
          <w:rtl w:val="true"/>
          <w:lang w:bidi="ar-SA"/>
        </w:rPr>
        <w:t xml:space="preserve">ففيه وجوه من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في ضمن الوجوب بالمعنى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الضمني للأجزاء في الواجبات المركّبة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يعقل كما لا يخفى ، فليس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المنع في ضمن الوجوب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بمقتضى الوقف 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انتفاع البطون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واجب ، فلو وقف شيئاً على ذرّيته لا يجب عليهم الانتفاع به ، فهل يحتمل وجوب السكن في البيت الموقوف على سكنى شخص وعقبه ، أو وجوب السكنى على الطلبة ولو كفائياً ، لو وقف مدرسة عليهم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مقتضى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وجوب الانتفاع من الموقوفة وحرمة تركه ، بل مقتضاه عدم جواز تغييرها عمّا هي عليه ، فإن وقف مدرسة على الطلبة ، لا يجوز صرفها إلى غيرهم ، ولا يجوز للغير الانتفاع بها ، وكذا في سائر الموقوفات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المنع السابق كان في ضمن حرمة التبديل ، لكان للضمنية وجه ، لكن لا يتمّ المطلوب ؛ لأنّ حرمة التبديل لم يعلم ارتفاعها ، فيصحّ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بالوجوب الضمني لو كان الوجوب التبعي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بمقتضى الوقف واجب ، فيجب حفظ الوقف لذلك ، فيحرم البيع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 ومضافاً إلى عدم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مبنيّ </w:t>
      </w:r>
    </w:p>
    <w:p>
      <w:pPr>
        <w:pStyle w:val="BookText"/>
        <w:rPr/>
      </w:pPr>
      <w:r>
        <w:rPr>
          <w:rFonts w:ascii="Amiri" w:hAnsi="Amiri" w:eastAsia="Amiri" w:cs="Amiri"/>
          <w:color w:val="111111"/>
          <w:sz w:val="28"/>
          <w:sz w:val="28"/>
          <w:szCs w:val="28"/>
          <w:rtl w:val="true"/>
          <w:lang w:bidi="ar-SA"/>
        </w:rPr>
        <w:t xml:space="preserve">على استلزام وجوب الشيء لحرمة ضدّه ، وهو فاسد حتّى في الضدّ العامّ ، فضلاً عن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بيان كون المورد من استصحاب القسم الثالث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المنع الناشئ من قبل وجوب العمل بمقتضى الوقف ، مرتفع قطعاً ، ويحتمل حدوث منع مقارناً لرفع المنع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المورد من الاستصحاب الشخصي لا الكلّي ؛ فإنّ الوجوب كما عرفت تبعي على فرض التسليم ، ويحتمل بقاؤه وبقاء لازمه شخصاً ؛ لاحتمال كونه من قبيل اللازم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المنع هو الوقف الذي ينتفع به ، وهو مرتفع قطعاً ، وارتفع المنع بارتفاعه ، ولعلّ ذلك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في الدليل الاجتهادي هو الوقف ،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بانصرافه عن الوقف الذي خرب وانقطع النفع منه ، لم يلزم منه تقييد الموضوع ، بل غاية الأمر خروج الخراب ، لا تقييد الوقف بقيد مقابله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ذلك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بتقييد الدليل الاجتهادي ، لكن لا يمنع ذلك عن الاستصحاب ؛ لأنّ موضوع القضيّة المستصحبة غير موضوع الدليل الاجتهادي ، والمعتبر في الاستصحاب وحدة القضيّة المتيقّنة والمشكوك فيها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ثبت حكم كوجوب الإكرام على عنوان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وانطبق على الخارج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واجب الإكرام ؛ لأ نّه عالم ، تكون القضيّة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كان واجب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زال علمه ، وشكّ في بقاء الحكم ؛ لاحتمال كون العلم من قبيل الواسطة في الثبوت ، لا ينبغي الإشكال في جريان </w:t>
      </w:r>
    </w:p>
    <w:p>
      <w:pPr>
        <w:pStyle w:val="BookText"/>
        <w:rPr/>
      </w:pPr>
      <w:r>
        <w:rPr>
          <w:rFonts w:ascii="Amiri" w:hAnsi="Amiri" w:eastAsia="Amiri" w:cs="Amiri"/>
          <w:color w:val="111111"/>
          <w:sz w:val="28"/>
          <w:sz w:val="28"/>
          <w:szCs w:val="28"/>
          <w:rtl w:val="true"/>
          <w:lang w:bidi="ar-SA"/>
        </w:rPr>
        <w:t>الاستصحاب ؛ لاتّحاد القضيّ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تين ، فأخذ القيود المعتبرة في الدليل الاجتهادي في موضوع القضيّة المستصحبة ، خلط فاحش ، لا ينبغي صدوره من أهل التحصيل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استصحاب عدم جواز البيع على جميع المباني في الوقف ، حتّى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الوقف عند عروض العوارض الموجبة لجواز البيع</w:t>
      </w:r>
      <w:r>
        <w:rPr>
          <w:rStyle w:val="FootnoteAnchor"/>
          <w:rtl w:val="true"/>
        </w:rPr>
        <w:footnoteReference w:id="498"/>
      </w:r>
      <w:r>
        <w:rPr>
          <w:rFonts w:ascii="Amiri" w:hAnsi="Amiri" w:eastAsia="Amiri" w:cs="Amiri"/>
          <w:color w:val="111111"/>
          <w:sz w:val="28"/>
          <w:sz w:val="28"/>
          <w:szCs w:val="28"/>
          <w:rtl w:val="true"/>
          <w:lang w:bidi="ar-SA"/>
        </w:rPr>
        <w:t xml:space="preserve">؛ إذ بعد ما انطبق عنوان الوقف في الخارج على العين الموقوفة ، يتعلّق بها عدم جواز الشراء ، وقبل عروض البطلان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الدار لا يجوز بيعها وشراؤها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بطلانه يجري الاستصحاب ؛ لاحتمال كون الوقف من قبيل الواسطة في الثبوت ، وبقاء المنع بعد بطلان الوقف ؛ لأنّ الدار كانت ممنوعة عن البيع في زمان ، وشكّ فيه بعده ، والقضيّ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تان متّحدتان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بذلك لو لم نقل ببطلانه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الوقف حال البيع ، كما هو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استشكل في جريان الأصل في أمثال المقام ، خلط بين أخذ موضوع القضيّة المستصحبة من العرف ، وبين أخذه من الدليل الاجتهادي ، وهو واضح الفساد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ذكرناه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المستند لعدم جواز بيع الوقف في جميع الصور ، وجميع أقسام الأوقاف ، هو استصحاب المنع ، ولا بدّ في رفع اليد عنه من قيام دليل اجتهادي ؛ من إجماع أو غيره ، ومع فقده فالأصل متّبع </w:t>
      </w:r>
      <w:r>
        <w:rPr>
          <w:rFonts w:eastAsia="Amiri" w:cs="Amiri" w:ascii="Amiri" w:hAnsi="Amiri"/>
          <w:color w:val="111111"/>
          <w:sz w:val="28"/>
          <w:szCs w:val="28"/>
          <w:rtl w:val="true"/>
          <w:lang w:bidi="ar-SA"/>
        </w:rPr>
        <w:t xml:space="preserve">. </w:t>
      </w:r>
      <w:bookmarkStart w:id="251" w:name="pg15209_203853"/>
    </w:p>
    <w:p>
      <w:pPr>
        <w:pStyle w:val="Heading6"/>
        <w:numPr>
          <w:ilvl w:val="5"/>
          <w:numId w:val="1"/>
        </w:numPr>
        <w:rPr/>
      </w:pPr>
      <w:bookmarkStart w:id="252" w:name="__RefHeading___Toc2974467_2142443653"/>
      <w:bookmarkStart w:id="253" w:name="_Toc89"/>
      <w:bookmarkEnd w:id="251"/>
      <w:bookmarkEnd w:id="252"/>
      <w:r>
        <w:rPr>
          <w:rtl w:val="true"/>
        </w:rPr>
        <w:t>وجوب تبديل الوقف إلى ما يقبل البقاء</w:t>
      </w:r>
      <w:bookmarkEnd w:id="253"/>
    </w:p>
    <w:p>
      <w:pPr>
        <w:pStyle w:val="BookText"/>
        <w:rPr/>
      </w:pPr>
      <w:r>
        <w:rPr>
          <w:rFonts w:ascii="Amiri" w:hAnsi="Amiri" w:eastAsia="Amiri" w:cs="Amiri"/>
          <w:color w:val="111111"/>
          <w:sz w:val="28"/>
          <w:sz w:val="28"/>
          <w:szCs w:val="28"/>
          <w:rtl w:val="true"/>
          <w:lang w:bidi="ar-SA"/>
        </w:rPr>
        <w:t xml:space="preserve">ثمّ إنّه يتفرّع على ما سلكناه في ماهية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فكّ ملك وإيقافاً على الموقوف عليهم ؛ لغرض درّ النفع عليهم</w:t>
      </w:r>
      <w:r>
        <w:rPr>
          <w:rStyle w:val="FootnoteAnchor"/>
          <w:rtl w:val="true"/>
        </w:rPr>
        <w:footnoteReference w:id="499"/>
      </w:r>
      <w:r>
        <w:rPr>
          <w:rFonts w:ascii="Amiri" w:hAnsi="Amiri" w:eastAsia="Amiri" w:cs="Amiri"/>
          <w:color w:val="111111"/>
          <w:sz w:val="28"/>
          <w:sz w:val="28"/>
          <w:szCs w:val="28"/>
          <w:rtl w:val="true"/>
          <w:lang w:bidi="ar-SA"/>
        </w:rPr>
        <w:t>، وأنّ الوقف سواء كان عامّاً أو خاصّاً بعد تحقّقه ، يصير من المصالح لعموم المسلمين ، أو لطائفة منهم ، وأنّ من وظائف الوالي حفظ مصالحهم ، وليس له الإهمال حتّى يضيع</w:t>
      </w:r>
      <w:r>
        <w:rPr>
          <w:rStyle w:val="FootnoteAnchor"/>
          <w:rtl w:val="true"/>
        </w:rPr>
        <w:footnoteReference w:id="500"/>
      </w:r>
      <w:r>
        <w:rPr>
          <w:rFonts w:ascii="Amiri" w:hAnsi="Amiri" w:eastAsia="Amiri" w:cs="Amiri"/>
          <w:color w:val="111111"/>
          <w:sz w:val="28"/>
          <w:sz w:val="28"/>
          <w:szCs w:val="28"/>
          <w:rtl w:val="true"/>
          <w:lang w:bidi="ar-SA"/>
        </w:rPr>
        <w:t>، وأنّ الوقف في جميع الأوقاف تعلّق بالعناوين بالنسبة إلى الطبقات المتأخّرة ، ولا يعقل تعلّقه بالمعدومين بما هم معدومون ؛ لامتناع الإشارة إليهم</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الوقف سواء كان عامّاً أو خاصّاً ، إذا لم يكن له استعداد بقاء إلى الطبقات المتأخّرة ذاتاً أو منفعةً ، يجب على الوالي تبديله بما يكون له استعداد البقاء ذاتاً ومنفعةً ، لا لأجل تعلّق حقّ من المعدومين به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أ نّه لا يبقى إلى عصرهم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لأ نّه صار من المصالح العامّة في الأوقاف العامّة ، ومن المصالح اللازمة الحفظ للطبقات المتأخّرة في الأوقاف الخاصّة ، ومن الضروري أنّ الواقف لا يختلف وقفه وإيقافه على العناوين بحسب اختلاف الأعيان الموقوفة في استعداد البقاء ، فمن جعل محلاًّ مسجداً ، لم يختلف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w:t>
      </w:r>
    </w:p>
    <w:p>
      <w:pPr>
        <w:pStyle w:val="BookText"/>
        <w:rPr/>
      </w:pPr>
      <w:r>
        <w:rPr>
          <w:rFonts w:ascii="Amiri" w:hAnsi="Amiri" w:eastAsia="Amiri" w:cs="Amiri"/>
          <w:color w:val="111111"/>
          <w:sz w:val="28"/>
          <w:sz w:val="28"/>
          <w:szCs w:val="28"/>
          <w:rtl w:val="true"/>
          <w:lang w:bidi="ar-SA"/>
        </w:rPr>
        <w:t xml:space="preserve">المسجدية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يبقى بحسب استعداده إلى الأبد ، وبين غيره ، فلا تقييد في جعل المسجدية ، وكذا الحال في سائر الأوقاف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الأوقاف التي لم يتعرّض الواقف فيها لحال عروض العوارض ، وأمّا فيما تعرّض فالحكم تابع لجعله ، وليس الكلام هنا فيها ، فإذا صارت قرية بحسب الوقف من مصالح المسلمين ، لا يجوز للوالي إهمالها إلى أن تضيع ، ولا تبديلها بما لا يبقى إلاّ بمقدار بقاء الأصل ، بل لا بدّ من لحاظ ما هو الأصلح لهم أو لطائفة منهم ، كالأوقاف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إنشاء الوقف تعلّق بشخص العين ؛ لأجل انتفاع جميع الطبقات على فرض بقائها إلى زمانهم ، فإنّ غيره غير معقول ؛ إذ حبسها لهذا الغرض لا يعقل انفكاكه عن هذا الغرض ، فينتهي أمد الوقف بانتهاء الغرض ، فلا ملك للمعدومين لا فعلاً ولا شأناً ، فلا حقّ لهم حتّى يجب مراعاته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تسبيل المنفعة موسّع لدائرة الوقف كما مرّ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الغرض لم يؤخذ في دائرة الإنشاء ، وليس الوقف مركّباً من إنشاءين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الحبس ، وإنشاء تسبيل المنفعة ، بل هو عنوان وحداني ، يتعلّق به إنشاء واحد</w:t>
      </w:r>
      <w:r>
        <w:rPr>
          <w:rStyle w:val="FootnoteAnchor"/>
          <w:rtl w:val="true"/>
        </w:rPr>
        <w:footnoteReference w:id="504"/>
      </w:r>
      <w:r>
        <w:rPr>
          <w:rFonts w:ascii="Amiri" w:hAnsi="Amiri" w:eastAsia="Amiri" w:cs="Amiri"/>
          <w:color w:val="111111"/>
          <w:sz w:val="28"/>
          <w:sz w:val="28"/>
          <w:szCs w:val="28"/>
          <w:rtl w:val="true"/>
          <w:lang w:bidi="ar-SA"/>
        </w:rPr>
        <w:t xml:space="preserve">، وإنّما يفسّر في مقام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حبس الأصل ، وتسبيل المنفعة ، كما أ نّه لو أخبر مخبر عن الجسم ، لا يخبر إلاّ خبراً واحداً ، وإن انحلّ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الجسم إلى مادّة وصورة مثلاً </w:t>
      </w:r>
      <w:r>
        <w:rPr>
          <w:rFonts w:eastAsia="Amiri" w:cs="Amiri" w:ascii="Amiri" w:hAnsi="Amiri"/>
          <w:color w:val="111111"/>
          <w:sz w:val="28"/>
          <w:szCs w:val="28"/>
          <w:rtl w:val="true"/>
          <w:lang w:bidi="ar-SA"/>
        </w:rPr>
        <w:t xml:space="preserve">. </w:t>
      </w:r>
      <w:bookmarkStart w:id="254" w:name="pg15209_203855"/>
    </w:p>
    <w:p>
      <w:pPr>
        <w:pStyle w:val="BookText"/>
        <w:rPr/>
      </w:pPr>
      <w:bookmarkEnd w:id="254"/>
      <w:r>
        <w:rPr>
          <w:rFonts w:ascii="Amiri" w:hAnsi="Amiri" w:eastAsia="Amiri" w:cs="Amiri"/>
          <w:color w:val="111111"/>
          <w:sz w:val="28"/>
          <w:sz w:val="28"/>
          <w:szCs w:val="28"/>
          <w:rtl w:val="true"/>
          <w:lang w:bidi="ar-SA"/>
        </w:rPr>
        <w:t xml:space="preserve">فالواقف في جعله وإنشائه لا يحدّد الوقف ، وإلاّ تصير كلّ الموقوفات من قبيل منقطع الآخر ، ولم يكن وقف فيه تأبيد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التأبيد والانقطاع تابعان لكيفية الجعل ، لا لبقاء العين وعدم بقائها ، فما لم يكن متقيّداً بما يجعله منقطعاً فهو مؤبّد ، ولا يلزم ذكر التأبيد في الإنشاء ، فالوقف على المسلمين أو على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تأبيد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أمد الوقف ينتهي بانتهاء الغرض ، ما كان جوابه بما أفاد مقنعاً ، لا لفساد المبنى كما تقدّم</w:t>
      </w:r>
      <w:r>
        <w:rPr>
          <w:rStyle w:val="FootnoteAnchor"/>
          <w:rtl w:val="true"/>
        </w:rPr>
        <w:footnoteReference w:id="505"/>
      </w:r>
      <w:r>
        <w:rPr>
          <w:rFonts w:ascii="Amiri" w:hAnsi="Amiri" w:eastAsia="Amiri" w:cs="Amiri"/>
          <w:color w:val="111111"/>
          <w:sz w:val="28"/>
          <w:sz w:val="28"/>
          <w:szCs w:val="28"/>
          <w:rtl w:val="true"/>
          <w:lang w:bidi="ar-SA"/>
        </w:rPr>
        <w:t xml:space="preserve">، بل لأنّ مالية الوقف أيضاً قد تكون محدودة بحدّ ، وليس لها استعداد بقاء إلى الطبقة المتأخّرة ، فيكون الوقف إلى أمد المالية بعين ما ذكره ، فلا تجب مراعاة تلك الطبقة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لزوم ذلك لأجل حفظ مصالح الذرّية أو المسلمين ، ولا يكون الوقف على المعدومين ، ولا يدور مدار مالكيتهم أو تعلّق حقّهم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ملاحظة صلاح الموقوف عليهم في بدل الأوقاف </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2974469_2142443653"/>
      <w:bookmarkStart w:id="256" w:name="_Toc90"/>
      <w:bookmarkEnd w:id="255"/>
      <w:r>
        <w:rPr>
          <w:rtl w:val="true"/>
        </w:rPr>
        <w:t>عدم اختصاص البدل بالطبقة الموجودة</w:t>
      </w:r>
      <w:bookmarkEnd w:id="25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اتّضح بما ذكرنا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فكّ ملك ، لا تمليك</w:t>
      </w:r>
      <w:r>
        <w:rPr>
          <w:rStyle w:val="FootnoteAnchor"/>
          <w:rtl w:val="true"/>
        </w:rPr>
        <w:footnoteReference w:id="5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البدل لا يختصّ بالطبقة الموجودة ، سواء كان الوقف على عنوان وحداني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عناوين متعدّدة على نعت الوجوب المعلّق ، فيكون وقفاً فعلاً </w:t>
      </w:r>
    </w:p>
    <w:p>
      <w:pPr>
        <w:pStyle w:val="BookText"/>
        <w:rPr/>
      </w:pPr>
      <w:r>
        <w:rPr>
          <w:rFonts w:ascii="Amiri" w:hAnsi="Amiri" w:eastAsia="Amiri" w:cs="Amiri"/>
          <w:color w:val="111111"/>
          <w:sz w:val="28"/>
          <w:sz w:val="28"/>
          <w:szCs w:val="28"/>
          <w:rtl w:val="true"/>
          <w:lang w:bidi="ar-SA"/>
        </w:rPr>
        <w:t xml:space="preserve">على الطبقات ، بل وكذا لو كان على نعت الوجوب المشروط ، وأغمضنا عن اعتبار التنجيز في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غير الأخير فواضح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عليه ، فلما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ذلك في صدق كونه من المصالح للطبقات المتأخّرة ، بعد العلم بأ نّه تصل النوبة إليهم فيما بعد</w:t>
      </w:r>
      <w:r>
        <w:rPr>
          <w:rStyle w:val="FootnoteAnchor"/>
          <w:rtl w:val="true"/>
        </w:rPr>
        <w:footnoteReference w:id="507"/>
      </w:r>
      <w:r>
        <w:rPr>
          <w:rFonts w:ascii="Amiri" w:hAnsi="Amiri" w:eastAsia="Amiri" w:cs="Amiri"/>
          <w:color w:val="111111"/>
          <w:sz w:val="28"/>
          <w:sz w:val="28"/>
          <w:szCs w:val="28"/>
          <w:rtl w:val="true"/>
          <w:lang w:bidi="ar-SA"/>
        </w:rPr>
        <w:t xml:space="preserve">، نظير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مقدّمة الواجب المشروط مع العلم بتحقّق شرطه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فرض المناقشة في ذلك لا نبالي ؛ لأنّ الأوقاف لا تكون من قبيله ، بل الفتوى على البطلان وإن كان فيه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الخاصّ</w:t>
      </w:r>
      <w:r>
        <w:rPr>
          <w:rStyle w:val="FootnoteAnchor"/>
          <w:rtl w:val="true"/>
        </w:rPr>
        <w:footnoteReference w:id="509"/>
      </w:r>
      <w:r>
        <w:rPr>
          <w:rFonts w:ascii="Amiri" w:hAnsi="Amiri" w:eastAsia="Amiri" w:cs="Amiri"/>
          <w:color w:val="111111"/>
          <w:sz w:val="28"/>
          <w:sz w:val="28"/>
          <w:szCs w:val="28"/>
          <w:rtl w:val="true"/>
          <w:lang w:bidi="ar-SA"/>
        </w:rPr>
        <w:t>أو الوقف مطلقاً تمليك للموقوف عليهم</w:t>
      </w:r>
      <w:r>
        <w:rPr>
          <w:rStyle w:val="FootnoteAnchor"/>
          <w:rtl w:val="true"/>
        </w:rPr>
        <w:footnoteReference w:id="510"/>
      </w:r>
      <w:r>
        <w:rPr>
          <w:rFonts w:ascii="Amiri" w:hAnsi="Amiri" w:eastAsia="Amiri" w:cs="Amiri"/>
          <w:color w:val="111111"/>
          <w:sz w:val="28"/>
          <w:sz w:val="28"/>
          <w:szCs w:val="28"/>
          <w:rtl w:val="true"/>
          <w:lang w:bidi="ar-SA"/>
        </w:rPr>
        <w:t xml:space="preserve">، فلازمه عدم صحّته إلاّ على عنوان واحد ، أو على الأفراد الموجودة والمعدومة في عرض واحد بناءً على عدم امتناعه ؛ فإنّ مالكية الواقف قبل وقفه للأعيان ، ليست على نحو التدرّج الزماني كالمنافع المتدرّجة تحقّقاً ووجوداً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فعدم جواز بيع الأعيان في قطعات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يبيعها في هذه السنة من </w:t>
      </w:r>
    </w:p>
    <w:p>
      <w:pPr>
        <w:pStyle w:val="BookText"/>
        <w:rPr/>
      </w:pPr>
      <w:r>
        <w:rPr>
          <w:rFonts w:ascii="Amiri" w:hAnsi="Amiri" w:eastAsia="Amiri" w:cs="Amiri"/>
          <w:color w:val="111111"/>
          <w:sz w:val="28"/>
          <w:sz w:val="28"/>
          <w:szCs w:val="28"/>
          <w:rtl w:val="true"/>
          <w:lang w:bidi="ar-SA"/>
        </w:rPr>
        <w:t xml:space="preserve">زيد ، وفي السنة التالية من عمرو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لأجل عدم كونها ملكاً له كذلك ؛ لأنّ الأعيان مملوكة باعتبار نفسها مع قطع النظر عن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فالدابّة بنفسها مملوكة واحدة ، لا تكثّر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 ولا في الملكية ، وليست مملوكة في هذه السنة ، ومملوكة اُخرى في السنة الاُخرى ، بل اعتبار الملك فوق الزمان ، فلو فرض زوال الزمان لا تنقطع الملكية ، ولا تبطل ، ومع عدم تكثّر المالكية بلحاظ قطعات الزمان ، لا يعقل بيعها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والوقف إذا كان تمليكاً ، لا يقصر في ذلك عن البيع وسائر النواقل ، والخصوصية الزائدة لا دخل لها في ذلك ، فالواقف حال تمليكه لا بدّ من كونه مالكاً ، وهو مالك للعين ملكية واحدة ، تستمرّ باستمرار الزمان ، كسائر الزمانيات ، ولا تتكثّر بتكثّره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فالوقف على عنوان واحد ، أو على عناوين متعدّدة ، أو الأفراد المتكثّرة في عرض واحد ، 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العناوين المتعدّدة طولاً ، أو الأفراد كذلك ، فلا يصحّ ، وكذا الحال في الصورة الثالثة ؛ أي الوقف المشروط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لازمه اختصاص الطبقة الموجودة بالبدل ؛ لأنّ الوقف وهو التمليك على أفراد الطبقات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مالكيتهم ، والإنشاء المحض لا يفيد شيئاً للمعدوم ، ومعه يكون الموجودون مالكين بلا مزاحم ملكي ، ولا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 ولا اختصاصي ، ومقتضى المبادلة حصول البدل لهم لا لغيرهم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من الشيخ الأعظم قدّس سرّه ، حيث ذهب إلى أنّ المعدوم يملك شأناً لا فعلاً ؛ لعدم تعقّل مالكيته فعلاً ، ومع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الشأني أمر موجود محقّق</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لامتناع ثبوت وصف موجود محقّق للمعدوم ، فلو جاز ذلك لجاز ثبوت الملكية الفعلية لهم ؛ إذ دليل الامتناع فيه هو الدليل على الامتناع في ذلك أيضاً ، والملكية الشأنية إذا كانت اعتبار أمر موجود في الخارج ، تكون كالملكية الفعلية ؛ فإنّها أيضاً ليست إلاّ اعتبار أمر في الخارج ، فالاعتبار في العقل ، والمعتبر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تتّصف الأعيان الخارجية بالمملوكية والملكية ، فالدابّة موصوفة في الخارج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والاتّصاف في الخارج لا يعقل للمعدوم خارجاً ، فالملكية الشأنية إذا كانت موجودة محقّقة ، لا بدّ وأن تتّصف الأعدام بها في الخارج ، وهو مستحيل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ضعف 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ثبوت اختصاصات للبطون ، موجب لاشتراك المعدومين مع الموجودين في الثمن ؛ للزوم دخوله في ملكهم ، كما خرج المثمن عن ملكهم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أدري ما المراد من الملكية الشأنية المقابلة بالثمن ، والمتّصفة بالدخول في ملك المعدوم والخروج عنه ، وحينئذٍ ما الفرق بين الشأنية والفعلية مع </w:t>
      </w:r>
      <w:bookmarkStart w:id="257" w:name="pg15209_203859"/>
    </w:p>
    <w:p>
      <w:pPr>
        <w:pStyle w:val="BookText"/>
        <w:rPr/>
      </w:pPr>
      <w:bookmarkEnd w:id="257"/>
      <w:r>
        <w:rPr>
          <w:rFonts w:ascii="Amiri" w:hAnsi="Amiri" w:eastAsia="Amiri" w:cs="Amiri"/>
          <w:color w:val="111111"/>
          <w:sz w:val="28"/>
          <w:sz w:val="28"/>
          <w:szCs w:val="28"/>
          <w:rtl w:val="true"/>
          <w:lang w:bidi="ar-SA"/>
        </w:rPr>
        <w:t xml:space="preserve">تحقّقهما ومقابلتهما للبدل ، حيث ذهب إلى امتناع ثبوت إحداهما للمعدوم ، وجواز ثبوت الاُخرى 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ممّا سبق ذكره ، النظر في إثباته الاختصاص الموقّت والاختصاصات للطبقات ؛ لعدم معنىً له إلاّ الاختصاص الملكي ، وقد مرّ بطلان الملك الموقّت ، والأملاك المتعدّدة المتكثّرة بحسب الزمان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هذا المبنى ، يكون البدل مختصّاً بالطبقة الحاضرة ؛ قضاءً لحقّ المبادلة ، وإن كان المبنى غير وجيه </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2974471_2142443653"/>
      <w:bookmarkStart w:id="259" w:name="_Toc91"/>
      <w:bookmarkEnd w:id="258"/>
      <w:r>
        <w:rPr>
          <w:rtl w:val="true"/>
        </w:rPr>
        <w:t>عدم صيرورة بدل الموقوفة وقفاً بالتبديل</w:t>
      </w:r>
      <w:bookmarkEnd w:id="259"/>
    </w:p>
    <w:p>
      <w:pPr>
        <w:pStyle w:val="BookText"/>
        <w:rPr/>
      </w:pPr>
      <w:r>
        <w:rPr>
          <w:rFonts w:ascii="Amiri" w:hAnsi="Amiri" w:eastAsia="Amiri" w:cs="Amiri"/>
          <w:color w:val="111111"/>
          <w:sz w:val="28"/>
          <w:sz w:val="28"/>
          <w:szCs w:val="28"/>
          <w:rtl w:val="true"/>
          <w:lang w:bidi="ar-SA"/>
        </w:rPr>
        <w:t>ثمّ إنّ بدل الموقوفة هل يصير وقفاً بنفس التبديل ؛ بدعوى أنّ ذلك مقتضى نفس البدلية ، أو لا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مسلك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مجرّد جواز البيع ، يخرج العين عن الوقف</w:t>
      </w:r>
      <w:r>
        <w:rPr>
          <w:rStyle w:val="FootnoteAnchor"/>
          <w:rtl w:val="true"/>
        </w:rPr>
        <w:footnoteReference w:id="514"/>
      </w:r>
      <w:r>
        <w:rPr>
          <w:rFonts w:ascii="Amiri" w:hAnsi="Amiri" w:eastAsia="Amiri" w:cs="Amiri"/>
          <w:color w:val="111111"/>
          <w:sz w:val="28"/>
          <w:sz w:val="28"/>
          <w:szCs w:val="28"/>
          <w:rtl w:val="true"/>
          <w:lang w:bidi="ar-SA"/>
        </w:rPr>
        <w:t xml:space="preserve">، فلا ينبغي الإشكال في لزوم صيغة الوقف ؛ ضرورة أنّ المبادلة وقعت بين العين غير الموقوفة والثمن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بطلان الوقف بالبيع</w:t>
      </w:r>
      <w:r>
        <w:rPr>
          <w:rStyle w:val="FootnoteAnchor"/>
          <w:rtl w:val="true"/>
        </w:rPr>
        <w:footnoteReference w:id="515"/>
      </w:r>
      <w:r>
        <w:rPr>
          <w:rFonts w:ascii="Amiri" w:hAnsi="Amiri" w:eastAsia="Amiri" w:cs="Amiri"/>
          <w:color w:val="111111"/>
          <w:sz w:val="28"/>
          <w:sz w:val="28"/>
          <w:szCs w:val="28"/>
          <w:rtl w:val="true"/>
          <w:lang w:bidi="ar-SA"/>
        </w:rPr>
        <w:t xml:space="preserve">،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البطلان لأجل المضادّة بين الوقف وملكية المشتري كما هو التحقيق ، وأنّ مع عدم المسوّغ للبيع يقع البيع باطلاً ؛ للمضادّة ، ويقدّم جانب الوقف ، ومع عروض المسوّغ يصحّ البيع ، </w:t>
      </w:r>
    </w:p>
    <w:p>
      <w:pPr>
        <w:pStyle w:val="BookText"/>
        <w:rPr/>
      </w:pPr>
      <w:r>
        <w:rPr>
          <w:rFonts w:ascii="Amiri" w:hAnsi="Amiri" w:eastAsia="Amiri" w:cs="Amiri"/>
          <w:color w:val="111111"/>
          <w:sz w:val="28"/>
          <w:sz w:val="28"/>
          <w:szCs w:val="28"/>
          <w:rtl w:val="true"/>
          <w:lang w:bidi="ar-SA"/>
        </w:rPr>
        <w:t xml:space="preserve">ويبطل الوقف ؛ لتقدّم جانب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عدم كون البدلية مقتضية لصيرورة البدل وقفاً ؛ فإنّ المبدل على ذلك ، هو العين المنفكّة عنها الوقفية ، فالمبدل نفس العين ، لا العين الموقوفة ، ومقتضى البدلية هو انتقال العوض بلا 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الذي تمسّكوا به للوقفية</w:t>
      </w:r>
      <w:r>
        <w:rPr>
          <w:rStyle w:val="FootnoteAnchor"/>
          <w:rtl w:val="true"/>
        </w:rPr>
        <w:footnoteReference w:id="516"/>
      </w:r>
      <w:r>
        <w:rPr>
          <w:rFonts w:ascii="Amiri" w:hAnsi="Amiri" w:eastAsia="Amiri" w:cs="Amiri"/>
          <w:color w:val="111111"/>
          <w:sz w:val="28"/>
          <w:sz w:val="28"/>
          <w:szCs w:val="28"/>
          <w:rtl w:val="true"/>
          <w:lang w:bidi="ar-SA"/>
        </w:rPr>
        <w:t xml:space="preserve">، ينتج عكس مطلوبهم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ما في كلام بعض أهل التحقيق ، حيث قال في خلال كلام لا يخلو من إشكال أو 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المبيع وقفاً ، فحيث قطعت إضافاته الخاصّة ، واُضيفت إلى المشتري ، صار ملكاً طلقاً له ، وحيث إنّ البدل يقوم مقامه في تلك الإضافات الخاصّة المتخصّصة بالمحبوسية ، يصير وقفاً ، فلا حاجة في صيرورة البدل ملكاً وقفياً بل وقفاً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الأوقاف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أزيد من البيع </w:t>
      </w:r>
      <w:r>
        <w:rPr>
          <w:rFonts w:eastAsia="Amiri" w:cs="Amiri" w:ascii="Amiri" w:hAnsi="Amiri"/>
          <w:color w:val="111111"/>
          <w:sz w:val="28"/>
          <w:szCs w:val="28"/>
          <w:rtl w:val="true"/>
          <w:lang w:bidi="ar-SA"/>
        </w:rPr>
        <w:t>. . .</w:t>
      </w:r>
      <w:r>
        <w:rPr>
          <w:rStyle w:val="FootnoteAnchor"/>
          <w:rtl w:val="true"/>
        </w:rPr>
        <w:footnoteReference w:id="517"/>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ضرورة أنّ البدل ليس بدل الإضافات الخاصّة الساقطة ، بل بدل العين المضافة إلى المشتري ، فعلى المشتري الذي ملك العين ، أن يعطي بدل ما تملّك وأخذ ، وليس ذلك إلاّ نفس العين ساقطةً عنها الوقفية ، ومقتضى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برهانهم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جبر نفس العين ، لا العين الموقوفة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بطلان الوقف إنّما هو بعد تملّك المشتري ، فتكون العين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للمشتري آناً ما ، ثمّ يبطل الوقف ، كان لتوهّم </w:t>
      </w:r>
    </w:p>
    <w:p>
      <w:pPr>
        <w:pStyle w:val="BookText"/>
        <w:rPr/>
      </w:pPr>
      <w:r>
        <w:rPr>
          <w:rFonts w:ascii="Amiri" w:hAnsi="Amiri" w:eastAsia="Amiri" w:cs="Amiri"/>
          <w:color w:val="111111"/>
          <w:sz w:val="28"/>
          <w:sz w:val="28"/>
          <w:szCs w:val="28"/>
          <w:rtl w:val="true"/>
          <w:lang w:bidi="ar-SA"/>
        </w:rPr>
        <w:t xml:space="preserve">ما ذكر وجه ؛ قياساً على البيوع المتعارفة في غير الأعيان الموقوفة ، فكما أنّ مقتضى البيع فيها صيرورة الثمن ملكاً للبائع على نحو ما كان المبيع ملكاً له ، كذا في المقام ، لا بدّ من كون الثمن ملكاً للموقوف عليهم على وزان الوقف ، فيكون وقفاً أو بحكمه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وجيه ، مع فساد المبنى ، وعدم التزامهم به كما هو واضح ؛ لأنّ القياس مع الفارق ، فإنّ البيع في البيوع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مبادلة مال بمال في الملكية ، أو تمليك عين بعوض ، وهذا التمليك والتملّك من شؤون سلطنة البائع والمشتري على مالهما ، وتقع ملكيتهما لهما بفعل منهما بإعمال السلطنة على مالهما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التمليك الإيقافي ، فليس من شؤون سلطنة المشتري ، بل لا معنى له ؛ لأنّ الوقف بعد حصول الملكية للبائع ، ليس بيد المشتري ، وكذا التمليك الوقفي ، وما هو بيده إنّما هو التمليك ، فقياس تمليك بدل الموقوفة ، بتمليك العين غير الموقوفة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بدل الوقف لا بدّ وأن يصير وقفاً </w:t>
      </w:r>
      <w:r>
        <w:rPr>
          <w:rStyle w:val="FootnoteAnchor"/>
          <w:rtl w:val="true"/>
        </w:rPr>
        <w:footnoteReference w:id="518"/>
      </w:r>
      <w:r>
        <w:rPr>
          <w:rFonts w:ascii="Amiri" w:hAnsi="Amiri" w:eastAsia="Amiri" w:cs="Amiri"/>
          <w:color w:val="111111"/>
          <w:sz w:val="28"/>
          <w:sz w:val="28"/>
          <w:szCs w:val="28"/>
          <w:rtl w:val="true"/>
          <w:lang w:bidi="ar-SA"/>
        </w:rPr>
        <w:t xml:space="preserve">، لا دليل عليها ، بل الدليل على خلافها ؛ فإنّ العين الموقوفة التي في معرض الفساد ، إذا لم يكن لها مشترٍ إلاّ بالنقود أو الغلاّت ونحوها ؛ ممّا لا يصلح للوقفية ، هل يمكن فيها الالتزام بعدم البيع وإهمال العين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 أن يلتزم أحد بذلك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بيعت بما لا يصلح للوقفية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البيع ، يكون ذلك من أقوى </w:t>
      </w:r>
    </w:p>
    <w:p>
      <w:pPr>
        <w:pStyle w:val="BookText"/>
        <w:rPr/>
      </w:pPr>
      <w:r>
        <w:rPr>
          <w:rFonts w:ascii="Amiri" w:hAnsi="Amiri" w:eastAsia="Amiri" w:cs="Amiri"/>
          <w:color w:val="111111"/>
          <w:sz w:val="28"/>
          <w:sz w:val="28"/>
          <w:szCs w:val="28"/>
          <w:rtl w:val="true"/>
          <w:lang w:bidi="ar-SA"/>
        </w:rPr>
        <w:t xml:space="preserve">الشواهد على أنّ مقتضى البدلية ليس الوقفية ، والتفصيل بين كون العوض ثمناً وغلّة وبين غيرهما ،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ذلك ، فإنّما يصحّ على هذا المبنى ، ومع فساده كما عرفت ، لا يبقى وجه لصحّته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الثمن يصير ملكاً للموقوف عليهم على مبنى الشيخ قدّس سرّه </w:t>
      </w:r>
      <w:r>
        <w:rPr>
          <w:rStyle w:val="FootnoteAnchor"/>
          <w:rtl w:val="true"/>
        </w:rPr>
        <w:footnoteReference w:id="519"/>
      </w:r>
      <w:r>
        <w:rPr>
          <w:rFonts w:ascii="Amiri" w:hAnsi="Amiri" w:eastAsia="Amiri" w:cs="Amiri"/>
          <w:color w:val="111111"/>
          <w:sz w:val="28"/>
          <w:sz w:val="28"/>
          <w:szCs w:val="28"/>
          <w:rtl w:val="true"/>
          <w:lang w:bidi="ar-SA"/>
        </w:rPr>
        <w:t>وغيره</w:t>
      </w:r>
      <w:r>
        <w:rPr>
          <w:rStyle w:val="FootnoteAnchor"/>
          <w:rtl w:val="true"/>
        </w:rPr>
        <w:footnoteReference w:id="520"/>
      </w:r>
      <w:r>
        <w:rPr>
          <w:rFonts w:ascii="Amiri" w:hAnsi="Amiri" w:eastAsia="Amiri" w:cs="Amiri"/>
          <w:color w:val="111111"/>
          <w:sz w:val="28"/>
          <w:sz w:val="28"/>
          <w:szCs w:val="28"/>
          <w:rtl w:val="true"/>
          <w:lang w:bidi="ar-SA"/>
        </w:rPr>
        <w:t xml:space="preserve">، ومنفكّاً عن الملك على مسلكنا </w:t>
      </w:r>
      <w:r>
        <w:rPr>
          <w:rStyle w:val="FootnoteAnchor"/>
          <w:rtl w:val="true"/>
        </w:rPr>
        <w:footnoteReference w:id="521"/>
      </w:r>
      <w:r>
        <w:rPr>
          <w:rFonts w:ascii="Amiri" w:hAnsi="Amiri" w:eastAsia="Amiri" w:cs="Amiri"/>
          <w:color w:val="111111"/>
          <w:sz w:val="28"/>
          <w:sz w:val="28"/>
          <w:szCs w:val="28"/>
          <w:rtl w:val="true"/>
          <w:lang w:bidi="ar-SA"/>
        </w:rPr>
        <w:t xml:space="preserve">، لا منفكّاً مطلقاً ليصير كالمباحات ، بل منفكّاً متعلّقاً لحقّ الموقوف عليهم ، أو منفكّاً لا بدّ من صرفه في مصلحة خاصّة بهم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البدلية وقفية البدل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ماهية الوقف هي الحبس عن الانتقال</w:t>
      </w:r>
      <w:r>
        <w:rPr>
          <w:rStyle w:val="FootnoteAnchor"/>
          <w:rtl w:val="true"/>
        </w:rPr>
        <w:footnoteReference w:id="522"/>
      </w:r>
      <w:r>
        <w:rPr>
          <w:rFonts w:ascii="Amiri" w:hAnsi="Amiri" w:eastAsia="Amiri" w:cs="Amiri"/>
          <w:color w:val="111111"/>
          <w:sz w:val="28"/>
          <w:sz w:val="28"/>
          <w:szCs w:val="28"/>
          <w:rtl w:val="true"/>
          <w:lang w:bidi="ar-SA"/>
        </w:rPr>
        <w:t xml:space="preserve">،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قوله عليه السلام في بعض روايات الأوقاف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لا تباع ، ولا توهب</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كون الوصف للنوع ، كما ادّعاه الشيخ الأعظم قدّس سرّه </w:t>
      </w:r>
      <w:r>
        <w:rPr>
          <w:rStyle w:val="FootnoteAnchor"/>
          <w:rtl w:val="true"/>
        </w:rPr>
        <w:footnoteReference w:id="524"/>
      </w:r>
      <w:r>
        <w:rPr>
          <w:rFonts w:ascii="IRNazanin" w:hAnsi="IRNazanin" w:eastAsia="IRNazanin"/>
          <w:color w:val="111111"/>
          <w:sz w:val="28"/>
          <w:sz w:val="28"/>
          <w:szCs w:val="28"/>
          <w:rtl w:val="true"/>
          <w:lang w:bidi="fa-IR"/>
        </w:rPr>
        <w:t xml:space="preserve">، أو قلنا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شراء </w:t>
      </w:r>
      <w:bookmarkStart w:id="260" w:name="pg15209_203863"/>
    </w:p>
    <w:p>
      <w:pPr>
        <w:pStyle w:val="BookText"/>
        <w:rPr/>
      </w:pPr>
      <w:bookmarkEnd w:id="260"/>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 xml:space="preserve">لا يجوز بيعه إلاّ مع بعض المسوّغات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ناقشنا فيما ذكر بما تقدّم في محلّه تفصيلاً</w:t>
      </w:r>
      <w:r>
        <w:rPr>
          <w:rStyle w:val="FootnoteAnchor"/>
          <w:rtl w:val="true"/>
        </w:rPr>
        <w:footnoteReference w:id="527"/>
      </w:r>
      <w:r>
        <w:rPr>
          <w:rFonts w:ascii="Amiri" w:hAnsi="Amiri" w:eastAsia="Amiri" w:cs="Amiri"/>
          <w:color w:val="111111"/>
          <w:sz w:val="28"/>
          <w:sz w:val="28"/>
          <w:szCs w:val="28"/>
          <w:rtl w:val="true"/>
          <w:lang w:bidi="ar-SA"/>
        </w:rPr>
        <w:t xml:space="preserve">، فمقتضى القاعدة جواز البيع مع اقتضاء المصلحة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بملكية الوقف للموقوف عليهم ، أم لا </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2974473_2142443653"/>
      <w:bookmarkStart w:id="262" w:name="_Toc92"/>
      <w:bookmarkEnd w:id="261"/>
      <w:r>
        <w:rPr>
          <w:rtl w:val="true"/>
        </w:rPr>
        <w:t>التفصيل في وجوب شراء المماثل</w:t>
      </w:r>
      <w:bookmarkEnd w:id="262"/>
    </w:p>
    <w:p>
      <w:pPr>
        <w:pStyle w:val="BookText"/>
        <w:rPr/>
      </w:pPr>
      <w:r>
        <w:rPr>
          <w:rFonts w:ascii="Amiri" w:hAnsi="Amiri" w:eastAsia="Amiri" w:cs="Amiri"/>
          <w:color w:val="111111"/>
          <w:sz w:val="28"/>
          <w:sz w:val="28"/>
          <w:szCs w:val="28"/>
          <w:rtl w:val="true"/>
          <w:lang w:bidi="ar-SA"/>
        </w:rPr>
        <w:t xml:space="preserve">وهل اللازم حينئذٍ شراء المماثل للوقف مطلقاً مع الإمكان ، أو لا ، بل تلاحظ مصلحة الموقوف عليهم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يفصّل بين الأوقاف ، فلا تلزم المماثلة في وقف المنفعة بنحو الإطلاق ؛ بأن وقفه لمنفعة الموقوف عليهم ؛ بلا تعيين منفعة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بل جعل لهم المنفعة المطلقة ، فيلاحظ توفير المنفعة ، ولا تلزم المماثلة ، وتلزم في وقف الانتفاع ، كالمدارس للطلبة ، والخانات للمارّة ، والأوقاف الخاصّة لإسكان الموقوف عليهم ؟</w:t>
      </w:r>
    </w:p>
    <w:p>
      <w:pPr>
        <w:pStyle w:val="BookText"/>
        <w:rPr/>
      </w:pPr>
      <w:r>
        <w:rPr>
          <w:rFonts w:ascii="Amiri" w:hAnsi="Amiri" w:eastAsia="Amiri" w:cs="Amiri"/>
          <w:color w:val="111111"/>
          <w:sz w:val="28"/>
          <w:sz w:val="28"/>
          <w:szCs w:val="28"/>
          <w:rtl w:val="true"/>
          <w:lang w:bidi="ar-SA"/>
        </w:rPr>
        <w:t>وكذا وقف المنفعة الخاصّة ، كما لو وقف داراً للإجارة فقط مطلقاً ، وأخذ مال الإجارة للصرف ، أو للإجارة من العلماء والزوّار مثلاً ، وأخذ مال الإجارة ، فيلزم شراء المماثل ؟</w:t>
      </w:r>
    </w:p>
    <w:p>
      <w:pPr>
        <w:pStyle w:val="BookText"/>
        <w:rPr/>
      </w:pPr>
      <w:r>
        <w:rPr>
          <w:rFonts w:ascii="Amiri" w:hAnsi="Amiri" w:eastAsia="Amiri" w:cs="Amiri"/>
          <w:color w:val="111111"/>
          <w:sz w:val="28"/>
          <w:sz w:val="28"/>
          <w:szCs w:val="28"/>
          <w:rtl w:val="true"/>
          <w:lang w:bidi="ar-SA"/>
        </w:rPr>
        <w:t xml:space="preserve">وجوه ، أوجهها التفصيل المذكور ؛ لوجهين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وقف الانتفاع ، لا يكون الموقوف عليهم ملاّكاً للمنافع ، وتكون مالكيتهم للعين محدودة بحدّ الانتفاع ، فلا يجوز لهم إجارتها </w:t>
      </w:r>
    </w:p>
    <w:p>
      <w:pPr>
        <w:pStyle w:val="BookText"/>
        <w:rPr/>
      </w:pPr>
      <w:r>
        <w:rPr>
          <w:rFonts w:ascii="Amiri" w:hAnsi="Amiri" w:eastAsia="Amiri" w:cs="Amiri"/>
          <w:color w:val="111111"/>
          <w:sz w:val="28"/>
          <w:sz w:val="28"/>
          <w:szCs w:val="28"/>
          <w:rtl w:val="true"/>
          <w:lang w:bidi="ar-SA"/>
        </w:rPr>
        <w:t xml:space="preserve">ولا استيفاء منافعها ، بغير الانتفاع المجعول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الصورة التالية ، لا تكون المنافع المطلقة لهم ، وتكون ملكيتهم ناقصة ومحدودة بحدّ المنفعة الخاصّة ، فإذا بيع الوقف ، واُخذ العوض ، تكون ملكيتهم للعوض محدودة بحدّ المعوّض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البائع يبيع العين الموقوفة ؛ لأنّ الوقف باقٍ إلى حال تملّك المشتري ، وإذا وقع في ملك المشتري ، لا يعقل بقاء الوقف على وقفيته ؛ للتضادّ ، من غير أن يكون أحد الضدّين مع الآخر أو مع عدم الآخر في الرتبتين ، فضلاً عن أن يكون له تقدّم زماني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الضدّية تملّك المشتري المبيع غير موقوف ملكيةً مطلقة ، والمشتري إنّما يملّك البائع العوض من غير قيد وحدّ ، لكن مقتضى وقوعه في يد الموقوف عليهم المحدودية ؛ لأ نّه عوض عن ملك محدود بحدّ خاصّ ، فيكون الأخذ والإعطاء في الطرفين متعاكسين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فالبائع يملّك الوقف ، ويتلقّى المشتري العين مسلوبة عنها الوقفية بمقتضى التضادّ ، والمشتري يملّك الثمن والعوض بلا قيد وحدّ ، وإنّما يملك الموقوف عليهم محدوداً مقيّداً على طبق المعوّض ولازم ذلك عدم جواز شراء غير المماثل ؛ لعدم السلطنة والملكية بغير الوجه المذكور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الوقفية ، وعدم كون الثمن مقابلاً للوقف بما هو وقف</w:t>
      </w:r>
      <w:r>
        <w:rPr>
          <w:rStyle w:val="FootnoteAnchor"/>
          <w:rtl w:val="true"/>
        </w:rPr>
        <w:footnoteReference w:id="528"/>
      </w:r>
      <w:r>
        <w:rPr>
          <w:rFonts w:ascii="Amiri" w:hAnsi="Amiri" w:eastAsia="Amiri" w:cs="Amiri"/>
          <w:color w:val="111111"/>
          <w:sz w:val="28"/>
          <w:sz w:val="28"/>
          <w:szCs w:val="28"/>
          <w:rtl w:val="true"/>
          <w:lang w:bidi="ar-SA"/>
        </w:rPr>
        <w:t xml:space="preserve">؛ لأنّ سقوط الوقفية لأجل التضادّ أو عند جواز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الملكية المطلقة ؛ لأنّ التمليك كان بوجه خاصّ بجعل الواقف ، وسقوط الوقفية لا يوجب الملكية المطلقة غير المجعولة ، هذا إذا قلنا بملكية الموقوف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على مسلكنا ؛ من فكّ الملك</w:t>
      </w:r>
      <w:r>
        <w:rPr>
          <w:rStyle w:val="FootnoteAnchor"/>
          <w:rtl w:val="true"/>
        </w:rPr>
        <w:footnoteReference w:id="530"/>
      </w:r>
      <w:r>
        <w:rPr>
          <w:rFonts w:ascii="Amiri" w:hAnsi="Amiri" w:eastAsia="Amiri" w:cs="Amiri"/>
          <w:color w:val="111111"/>
          <w:sz w:val="28"/>
          <w:sz w:val="28"/>
          <w:szCs w:val="28"/>
          <w:rtl w:val="true"/>
          <w:lang w:bidi="ar-SA"/>
        </w:rPr>
        <w:t xml:space="preserve">، لأنّ خصوصية الفكّ لا بدّ وأن تراعى في العوض ؛ لعدم حقّ للموقوف عليهم بغير الوجه الذي جعل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أشرنا إليه سابقاً ؛ من أنّ الوقف بعد تماميته ، يصير من المصالح العامّة في الأوقاف العامّة ، ومن المصالح لطائفة من المسلمين في الخاصّة ، وفي مثل وقف الانتفاع أو المنفعة بوجه خاصّ ، يصير الوقف بعنوانه من المصالح ، وللناظر أو الحاكم حفظ تلك المصلحة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المدارس تكون سكنى الطلاّب من المصالح لهم ، وحفظ تلك المصلحة باشتراء المماثل ، فعلى الوالي حفظ تلك المصالح على نحو ما كانت ، لا العمل على طبق المصلحة ولو لم تكن نحو المصلحة الخاصّة ، فالمتّبع كيفية الجعل ، لا لأجل اتّباع غرض الواقف ؛ لما مرّ من أنّ الأغراض ما لم تقع تحت الإنشاء لا أثر لها </w:t>
      </w:r>
      <w:r>
        <w:rPr>
          <w:rStyle w:val="FootnoteAnchor"/>
          <w:rtl w:val="true"/>
        </w:rPr>
        <w:footnoteReference w:id="532"/>
      </w:r>
      <w:r>
        <w:rPr>
          <w:rFonts w:ascii="Amiri" w:hAnsi="Amiri" w:eastAsia="Amiri" w:cs="Amiri"/>
          <w:color w:val="111111"/>
          <w:sz w:val="28"/>
          <w:sz w:val="28"/>
          <w:szCs w:val="28"/>
          <w:rtl w:val="true"/>
          <w:lang w:bidi="ar-SA"/>
        </w:rPr>
        <w:t>، كما مرّ دفع توهّم أ نّه غرض عقدي</w:t>
      </w:r>
      <w:r>
        <w:rPr>
          <w:rStyle w:val="FootnoteAnchor"/>
          <w:rtl w:val="true"/>
        </w:rPr>
        <w:footnoteReference w:id="533"/>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لأجل أنّ الجعل تعلّق بالعين أوّلاً ، وبالمماثل ثانياً ، وبالمالية ثالثاً ؛ قياساً </w:t>
      </w:r>
      <w:bookmarkStart w:id="263" w:name="pg15209_203866"/>
    </w:p>
    <w:p>
      <w:pPr>
        <w:pStyle w:val="BookText"/>
        <w:rPr/>
      </w:pPr>
      <w:bookmarkEnd w:id="263"/>
      <w:r>
        <w:rPr>
          <w:rFonts w:ascii="Amiri" w:hAnsi="Amiri" w:eastAsia="Amiri" w:cs="Amiri"/>
          <w:color w:val="111111"/>
          <w:sz w:val="28"/>
          <w:sz w:val="28"/>
          <w:szCs w:val="28"/>
          <w:rtl w:val="true"/>
          <w:lang w:bidi="ar-SA"/>
        </w:rPr>
        <w:t xml:space="preserve">على باب الضمان ، حيث إنّ للخروج عنه مراتب ؛ لما تقدّم من امتناع الجعل المطلق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المنجّز والمعلّق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وإنشاء واحد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باطل ، والأمر في المقيس عليه ليس كما ذكر</w:t>
      </w:r>
      <w:r>
        <w:rPr>
          <w:rStyle w:val="FootnoteAnchor"/>
          <w:rtl w:val="true"/>
        </w:rPr>
        <w:footnoteReference w:id="535"/>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لزوم الاتّباع لكيفية الجعل ؛ لأجل تلقّي الموقوف عليه الوقف بالكيفية الخاصّة المجعولة ، فله الملكية المحدودة ، أو الحقّ المحدود ، والمصلحة الخاصّة في غير وقف المنفعة بنحو الإطلاق ، فإنّ فيه يملك ملكاً مطلقاً ، وله المنافع مطلقة ، فلا بدّ وأن يلاحظ مصلحته في حصول المنافع وتوفيرها </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2974475_2142443653"/>
      <w:bookmarkStart w:id="265" w:name="_Toc93"/>
      <w:bookmarkEnd w:id="264"/>
      <w:r>
        <w:rPr>
          <w:rtl w:val="true"/>
        </w:rPr>
        <w:t>بيع الأوقاف بيد الحاكم لا المتولّي المنصوب</w:t>
      </w:r>
      <w:bookmarkEnd w:id="265"/>
    </w:p>
    <w:p>
      <w:pPr>
        <w:pStyle w:val="BookText"/>
        <w:rPr/>
      </w:pPr>
      <w:r>
        <w:rPr>
          <w:rFonts w:ascii="Amiri" w:hAnsi="Amiri" w:eastAsia="Amiri" w:cs="Amiri"/>
          <w:color w:val="111111"/>
          <w:sz w:val="28"/>
          <w:sz w:val="28"/>
          <w:szCs w:val="28"/>
          <w:rtl w:val="true"/>
          <w:lang w:bidi="ar-SA"/>
        </w:rPr>
        <w:t>ثمّ إنّ المتصدّي للبيع في الأوقاف العامّة هو الحاكم ، سواء كان لها متولٍّ منصوب من قبل الواقف أم لا ؛ فإنّ الكلام هنا في الأوقاف التي لم يشترط فيها البيع عند عروض العارض ، بل صار العارض موجباً لجواز البيع ، وفي مثله ليس للمتولّي المنصوب التصرّف الناقل، لا لأجل الانصراف كما قالوا</w:t>
      </w:r>
      <w:r>
        <w:rPr>
          <w:rStyle w:val="FootnoteAnchor"/>
          <w:rtl w:val="true"/>
        </w:rPr>
        <w:footnoteReference w:id="536"/>
      </w:r>
      <w:r>
        <w:rPr>
          <w:rFonts w:ascii="Amiri" w:hAnsi="Amiri" w:eastAsia="Amiri" w:cs="Amiri"/>
          <w:color w:val="111111"/>
          <w:sz w:val="28"/>
          <w:sz w:val="28"/>
          <w:szCs w:val="28"/>
          <w:rtl w:val="true"/>
          <w:lang w:bidi="ar-SA"/>
        </w:rPr>
        <w:t xml:space="preserve">لأنّ المقامات مختلفة ، بل لأنّ بيعه ليس من اختيارات الواقف ، حتّى يجعل له المتولّي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قاصر ، واختيار الواقف محدود بحدّ ما وقّف عند </w:t>
      </w:r>
    </w:p>
    <w:p>
      <w:pPr>
        <w:pStyle w:val="BookText"/>
        <w:rPr/>
      </w:pPr>
      <w:r>
        <w:rPr>
          <w:rFonts w:ascii="Amiri" w:hAnsi="Amiri" w:eastAsia="Amiri" w:cs="Amiri"/>
          <w:color w:val="111111"/>
          <w:sz w:val="28"/>
          <w:sz w:val="28"/>
          <w:szCs w:val="28"/>
          <w:rtl w:val="true"/>
          <w:lang w:bidi="ar-SA"/>
        </w:rPr>
        <w:t xml:space="preserve">جعله ، بل لو صرّح في هذا القسم بتوليته لذلك ، ولوقف بدله ، لم يفد ، إلاّ أن يرجع إلى الاشتراط في الوقف ، وهو خارج عن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فيما ذكر من قصور نظارة الناظر ، بين الأوقاف العامّة والخاصّة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ثبوت الولاية للحاكم ؛ فلأنّ الأوقاف العامّة من المصالح العامّة للمسلمين ، أو لطائفة منهم ، وحفظ مصالحهم من وظائف الوالي ، فكما أ نّه لو لم يكن لها متولٍّ ، تكون ولاية حفظها ، وحفظ منافعها ، وصرفها في المصالح ، من وظائفه ، كذلك حفظها عند الخراب ؛ بتبديلها ، وشراء بدلها ، وإيصاله عيناً أو منفعة إلى الموقوف عليهم ، من وظائفه ؛ لأنّ ذلك من أوضح شؤون الوالي والحاكم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غريب الأمر ما وقع لبعض أهل الدقّة استدلالاً ونقداً ، قال في مقام الاستدلال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التصدّي للحاكم في العامّة ؛ لولايته على ما كان للّه ، فيكون لوليّه ، فيكون لنائبه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لا دليل على كونه ملكاً له تعالى بالملكية الاعتبارية ، كما أنّ الأمر كذلك في سائر الصدقات ، ولو سلّم ، فلا دليل على كونه لنبيه صلي الله عليه و آله وسلم ، أو وليّه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 فلا دليل على النيابة إلاّ فيما كان لهما من حيث النبوّة والإمامة ، لا في الملك الشخصي ، ولا دليل على أنّ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الولاية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ولاية على الأوقاف العامّة ، فإنّا نقول بتلك الولاية فيما كان من شأن رئيس المسلمين ، والوقف ليس كذلك ؛ لوضوح إمكان جعل التولية لآحاد الناس من قبل الواقف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من الاُمور التي لا بدّ من تصدّي الرئيس لها </w:t>
      </w:r>
      <w:r>
        <w:rPr>
          <w:rStyle w:val="FootnoteAnchor"/>
          <w:rtl w:val="true"/>
        </w:rPr>
        <w:footnoteReference w:id="53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ما لا يخفى ؛ فإنّ طريق الاستدلال للمطلوب ليس ما ذكره ، بل هو ما أشرنا إليه ؛ من صيرورة الوقف العامّ من مصالح المسلمين ، والحافظ لها هو الوالي</w:t>
      </w:r>
      <w:r>
        <w:rPr>
          <w:rStyle w:val="FootnoteAnchor"/>
          <w:rtl w:val="true"/>
        </w:rPr>
        <w:footnoteReference w:id="538"/>
      </w:r>
      <w:r>
        <w:rPr>
          <w:rFonts w:ascii="Amiri" w:hAnsi="Amiri" w:eastAsia="Amiri" w:cs="Amiri"/>
          <w:color w:val="111111"/>
          <w:sz w:val="28"/>
          <w:sz w:val="28"/>
          <w:szCs w:val="28"/>
          <w:rtl w:val="true"/>
          <w:lang w:bidi="ar-SA"/>
        </w:rPr>
        <w:t xml:space="preserve">، وليس أمثال هذه الاُمور من تأسيسات الإسلام ، بل أمر الحكومة ووظائف الوالي والحاكم ، مضبوطة في جميع أنحاء الحكومات ، وحفظ مصالح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لها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الولاة والحكّام ، وكون الوقف له تعالى ملكاً اعتبارياً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قال ، أجنبيّ عن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فالمهمّ هو النظر إلى أنّ حفظ مصالح الاُمّة ، من شؤون الوالي ، أم يكون لكلّ أحد التصدّي له ، فيلزم منه الهرج والمرج ، ومجرّد إمكان جعل التولية لآحاد الناس ، لا يدلّ على أ نّه ليس الوقف وشؤونه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المتولّي ، أو ترك جعل التولية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وظائف الحاكم ، كما أنّ إمكان جعل الأب قيّماً على الابن ، لا يدلّ على أن ليس أمره مع فقد القيّم بيد الوالي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ولاية النقل ، ليست ممّا يمكن جعلها لآحاد الناس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سلطنة الواقف قاصرة عنه</w:t>
      </w:r>
      <w:r>
        <w:rPr>
          <w:rStyle w:val="FootnoteAnchor"/>
          <w:rtl w:val="true"/>
        </w:rPr>
        <w:footnoteReference w:id="539"/>
      </w:r>
      <w:r>
        <w:rPr>
          <w:rFonts w:ascii="Amiri" w:hAnsi="Amiri" w:eastAsia="Amiri" w:cs="Amiri"/>
          <w:color w:val="111111"/>
          <w:sz w:val="28"/>
          <w:sz w:val="28"/>
          <w:szCs w:val="28"/>
          <w:rtl w:val="true"/>
          <w:lang w:bidi="ar-SA"/>
        </w:rPr>
        <w:t xml:space="preserve">، فتدخل 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الضابط الذي زعمه ؛ من كونه ميزاناً لكون الولاية للإمام عليه السلام ، ثمّ للفقيه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جميع ذلك ، فهل تترك هذه الأوقاف التي جاز أو لزم بيعها وتبديلها حتّى تضيع ، أو لا بدّ من تبديلها ؟ </w:t>
      </w:r>
      <w:bookmarkStart w:id="266" w:name="pg15209_203869"/>
    </w:p>
    <w:p>
      <w:pPr>
        <w:pStyle w:val="BookText"/>
        <w:rPr/>
      </w:pPr>
      <w:bookmarkEnd w:id="266"/>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يجوز له التصدّي لذلك غير الوالي ؟</w:t>
      </w:r>
    </w:p>
    <w:p>
      <w:pPr>
        <w:pStyle w:val="BookText"/>
        <w:rPr/>
      </w:pPr>
      <w:r>
        <w:rPr>
          <w:rFonts w:ascii="Amiri" w:hAnsi="Amiri" w:eastAsia="Amiri" w:cs="Amiri"/>
          <w:color w:val="111111"/>
          <w:sz w:val="28"/>
          <w:sz w:val="28"/>
          <w:szCs w:val="28"/>
          <w:rtl w:val="true"/>
          <w:lang w:bidi="ar-SA"/>
        </w:rPr>
        <w:t>ولا أظنّ التزامه بالأوّل إلاّ أن يلتزم بأنّ المتصدّي لذلك آحاد المسلمين ؛</w:t>
      </w:r>
    </w:p>
    <w:p>
      <w:pPr>
        <w:pStyle w:val="BookText"/>
        <w:rPr/>
      </w:pPr>
      <w:r>
        <w:rPr>
          <w:rFonts w:ascii="Amiri" w:hAnsi="Amiri" w:eastAsia="Amiri" w:cs="Amiri"/>
          <w:color w:val="111111"/>
          <w:sz w:val="28"/>
          <w:sz w:val="28"/>
          <w:szCs w:val="28"/>
          <w:rtl w:val="true"/>
          <w:lang w:bidi="ar-SA"/>
        </w:rPr>
        <w:t>حيث كان الانتفاع لهم ، كما زعم في الأوقاف الخاصّة</w:t>
      </w:r>
      <w:r>
        <w:rPr>
          <w:rStyle w:val="FootnoteAnchor"/>
          <w:rtl w:val="true"/>
        </w:rPr>
        <w:footnoteReference w:id="540"/>
      </w:r>
      <w:r>
        <w:rPr>
          <w:rFonts w:ascii="Amiri" w:hAnsi="Amiri" w:eastAsia="Amiri" w:cs="Amiri"/>
          <w:color w:val="111111"/>
          <w:sz w:val="28"/>
          <w:sz w:val="28"/>
          <w:szCs w:val="28"/>
          <w:rtl w:val="true"/>
          <w:lang w:bidi="ar-SA"/>
        </w:rPr>
        <w:t>، وسيأتي ضعفه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2974477_2142443653"/>
      <w:bookmarkStart w:id="268" w:name="_Toc94"/>
      <w:bookmarkEnd w:id="267"/>
      <w:r>
        <w:rPr>
          <w:rtl w:val="true"/>
        </w:rPr>
        <w:t>في المتصدّي لبيع الأوقاف الخاصّة</w:t>
      </w:r>
      <w:bookmarkEnd w:id="268"/>
    </w:p>
    <w:p>
      <w:pPr>
        <w:pStyle w:val="BookText"/>
        <w:rPr/>
      </w:pPr>
      <w:r>
        <w:rPr>
          <w:rFonts w:ascii="Amiri" w:hAnsi="Amiri" w:eastAsia="Amiri" w:cs="Amiri"/>
          <w:color w:val="111111"/>
          <w:sz w:val="28"/>
          <w:sz w:val="28"/>
          <w:szCs w:val="28"/>
          <w:rtl w:val="true"/>
          <w:lang w:bidi="ar-SA"/>
        </w:rPr>
        <w:t xml:space="preserve">وأمّا الأوقاف الخاصّة ، فإن قلنا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حصول الملك للموقوف عليهم ؛ فإنّ الوقف هو الإيقاف ، لا التمليك ، فلا إشكال في عدم صلاحيتهم للتصدّي للبيع ، ومجرّد كون المنافع وحقّ الاستيفاء لهم ، لا يصحّح بيع الأعيان ، كما أنّ مجرّد كون حفظ الأعيان لاستيفاء المنفعة لهم ما دامت موجودة ، لا يصحّح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فالتصدّي للفقيه، كما في الأوقاف العامّة ، وأمّا الناظر فقد عرفت قصور نظارته عن ذلك</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الوقف تمليك خاصّ ، فلا بدّ في تحقيق أنّ المتصدّي فيها هو الفقيه أيضاً ، أو الموقوف عليهم ، أو هما معاً ، من بيان أقسام الوقف الخاصّ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الوقف على عنوان وحداني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بعد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لتقسيم المنافع ، لا للوقف والتمليك ، فإن كان المأخوذ في موضوع التمليك ماهية الذرّية بلا شرط ، فلا شبهة في تحقّقها بأوّل وجود الذرّية ، ولازمه ملكية أوّل المصاديق ، ولازم كون ملكية تمام الوقف للماهية </w:t>
      </w:r>
    </w:p>
    <w:p>
      <w:pPr>
        <w:pStyle w:val="BookText"/>
        <w:rPr/>
      </w:pPr>
      <w:r>
        <w:rPr>
          <w:rFonts w:ascii="Amiri" w:hAnsi="Amiri" w:eastAsia="Amiri" w:cs="Amiri"/>
          <w:color w:val="111111"/>
          <w:sz w:val="28"/>
          <w:sz w:val="28"/>
          <w:szCs w:val="28"/>
          <w:rtl w:val="true"/>
          <w:lang w:bidi="ar-SA"/>
        </w:rPr>
        <w:t xml:space="preserve">بلا شرط ، حصول تمام الملكية للمصداق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وجد بعد ذلك مصداق آخر ، لا يعقل أن يصير مالكاً لتمام الوقف ، حتّى يكون شيء واحد مملوكاً بتمامه لهذا وذاك ؛ فإنّه ليس له اعتبار عند العقلاء ، بل 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يعقل تشريك الثاني مع الأوّل ؛ لأنّ الثاني وجد في وقت كان تمام الملك للأوّل ، ولا سبب لإزالة بعضه عنه ، وإثبات ذلك للثاني ؛ لأنّ المفروض أنّ الجعل واحد لواحد ؛ هو الطبيعة بلا شرط ، وهي بتمام ذاتها وجدت بأوّل مصداق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فتشريك الثاني في النصف إلى زمان وجود الثالث ، ثمّ تشريكهم أثلاثاً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وإرجاع التشريك الثلاثي إلى الثنائي بموت أحدهم ، وإلى ملكية التمام للباقي بموت الاثنين منهم ، ممّا لا سبب له ، ولا يعقل الجعل كذلك بجعل واحد ، كما أ نّه ليس من لوازم 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 ذلك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للعالم مصداق واحد ، ملكه بتمامه ، ولو وجد بعده عالم آخر ، لا يصير شريكاً معه ؛ لأنّ السبب أثّر أثره ، وعند وجود الثاني لا ملك للمالك حتّى يملكه ، ولا سبب آخر له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المثال والوقف إذا كان تمليكاً ، مع أنّ الضرورة قاضية بأنّ الوقف ليس كذلك ، كما أنّ القائل بالملكية لا يكاد يلتزم به ، بل مع وجود الأوّل يكون هو مالكاً ، وعند وجود الثاني يصير شريكاً معه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بحسب نسبة المالكين ، وتصوير جعل واحد على عنوان واحد تكون نتيجته ذلك ، معسور بل ممتنع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في هذا القسم على فرض صحّته ، أن يكون المالك للوقف هو العنوان بما هو عنوان ، فتخرج الماهية عن اللابشرطية وإمكان الانطباق على الخارج ، فيكون العنوان مالكاً ، كالجهات المالكة على القول به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يرد عليه إشكال آخر ، وهو أ نّه إذا كان الوقف على العنوان ، لا يعقل أن يكون الموقوف عليه الأشخاص بحكم التضايف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ملكية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ملكية المنافع دون العين ، فلا يلزم منها محذور ؛ لأنّ المنفعة حيث كانت تدريجية الوجود ، صار ما وجد منها في زمان وجود شخص أو أشخاص ، ملكاً له أو لهم ، وبعد ملكيتها له أو لهم ، إذا وجد مصداق آخر للموقوف عليه ، لا يصير شريكاً لهم في تلك المنفعة حال حصولها ، نعم هو شريك في المنافع الآتية ، وإذا مات أحدهم بعد التملّك صار إرثاً ، ولا يرجع إلى سائر الموقوف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ما ذكرناه في تصحيح هذا القسم ، عدم صلاحية الموقوف عليهم لبيعه ؛ لعدم كونه ملكاً لهم ، فالأمر إلى الوالي ، فإنّه من الحسبيات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يمكن الإشكال على الوقف على عناوين متعدّدة ،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 بعد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كلّ طبقة ؛ فإنّ النسل في كلّ طبقة ، إذا اُخذ بنحو اللابشرط ، يرد عليه الإشكال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تكفّل جعل واحد للملك الاستقلالي ، ثمّ التشريكي عند وجود الآخر ، والرجوع إلى الاستقلال إذا مات أحدهما </w:t>
      </w:r>
      <w:r>
        <w:rPr>
          <w:rStyle w:val="FootnoteAnchor"/>
          <w:rtl w:val="true"/>
        </w:rPr>
        <w:footnoteReference w:id="544"/>
      </w:r>
      <w:r>
        <w:rPr>
          <w:rFonts w:ascii="Amiri" w:hAnsi="Amiri" w:eastAsia="Amiri" w:cs="Amiri"/>
          <w:color w:val="111111"/>
          <w:sz w:val="28"/>
          <w:sz w:val="28"/>
          <w:szCs w:val="28"/>
          <w:rtl w:val="true"/>
          <w:lang w:bidi="ar-SA"/>
        </w:rPr>
        <w:t xml:space="preserve">، فلا بدّ من التمليك للعنوان أو للجهة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كون </w:t>
      </w:r>
    </w:p>
    <w:p>
      <w:pPr>
        <w:pStyle w:val="BookText"/>
        <w:rPr/>
      </w:pPr>
      <w:r>
        <w:rPr>
          <w:rFonts w:ascii="Amiri" w:hAnsi="Amiri" w:eastAsia="Amiri" w:cs="Amiri"/>
          <w:color w:val="111111"/>
          <w:sz w:val="28"/>
          <w:sz w:val="28"/>
          <w:szCs w:val="28"/>
          <w:rtl w:val="true"/>
          <w:lang w:bidi="ar-SA"/>
        </w:rPr>
        <w:t>الموقوف عليهم 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عن التصدّي للبيع ؛ لأنّ الأمر إلى الحاكم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وقف على زيد مثلاً ، ومن بعده على ذرّيته نسلاً بعد نسل ، صار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 وبالنسبة إلى ذرّيته يأتي الإشكال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 يكون الأمر إلى زيد والحاكم معاً ؛ لأنّ مالكية زيد محدودة ، ولا سلطان له في التمليك على نحو الإرسال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الطبقة الموجودة ، حيث إنّها المتسلّطة على العين الموقوفة فعلاً ، فحفظها في ضمن البدل ورعاية الحقوق فيها ، شأنها ، ولا يحتاج البيع إلى ملك الرقبة ملكية مرسلة ، بل إلى ملك التصرّف فقط</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لا ينبغي أن يصدر من قائله المدقّق ؛ فإنّ مقدار ثبوت التسلّط للطبقة ، هو التسلّط على استيفاء منفعة الوقف بالإجارة ونحوها ، وأمّا التسلّط على بيع الوقف وتبديله ، ووقف عوضه ، فليس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الكلام فيما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البيع لا يحتاج إلى ملكية مرسلة ، بل إلى ملك التصرّف ؛ لأنّ ملك التصرّف إنّما هو بمقدار الملك المحدود ، وكون الطبقة مالكة للتصرّف الكذائي أوّل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الواقف الملكية للموقوف عليهم استقلالاً ، كما هو ظاهر بعض التعبيرات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تمليك خاصّ</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ملكية الموقوف عليهم ليست بجعل الواقف ، بل ملكية </w:t>
      </w:r>
    </w:p>
    <w:p>
      <w:pPr>
        <w:pStyle w:val="BookText"/>
        <w:rPr/>
      </w:pPr>
      <w:r>
        <w:rPr>
          <w:rFonts w:ascii="Amiri" w:hAnsi="Amiri" w:eastAsia="Amiri" w:cs="Amiri"/>
          <w:color w:val="111111"/>
          <w:sz w:val="28"/>
          <w:sz w:val="28"/>
          <w:szCs w:val="28"/>
          <w:rtl w:val="true"/>
          <w:lang w:bidi="ar-SA"/>
        </w:rPr>
        <w:t xml:space="preserve">انتزاعية عن إيقافه على الموقوف عليهم في الأوقاف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الإيقاف على شخص أو أشخاص ؛ بحيث تكون المنافع لهم ، والأمر إليهم ، تنتزع منه الملكية</w:t>
      </w:r>
      <w:r>
        <w:rPr>
          <w:rStyle w:val="FootnoteAnchor"/>
          <w:rtl w:val="true"/>
        </w:rPr>
        <w:footnoteReference w:id="547"/>
      </w:r>
      <w:r>
        <w:rPr>
          <w:rFonts w:ascii="Amiri" w:hAnsi="Amiri" w:eastAsia="Amiri" w:cs="Amiri"/>
          <w:color w:val="111111"/>
          <w:sz w:val="28"/>
          <w:sz w:val="28"/>
          <w:szCs w:val="28"/>
          <w:rtl w:val="true"/>
          <w:lang w:bidi="ar-SA"/>
        </w:rPr>
        <w:t xml:space="preserve">،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لازم الجعل ، لا أنّ الجعل 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دفع الإشكال المتقدّم</w:t>
      </w:r>
      <w:r>
        <w:rPr>
          <w:rStyle w:val="FootnoteAnchor"/>
          <w:rtl w:val="true"/>
        </w:rPr>
        <w:footnoteReference w:id="548"/>
      </w:r>
      <w:r>
        <w:rPr>
          <w:rFonts w:ascii="Amiri" w:hAnsi="Amiri" w:eastAsia="Amiri" w:cs="Amiri"/>
          <w:color w:val="111111"/>
          <w:sz w:val="28"/>
          <w:sz w:val="28"/>
          <w:szCs w:val="28"/>
          <w:rtl w:val="true"/>
          <w:lang w:bidi="ar-SA"/>
        </w:rPr>
        <w:t xml:space="preserve">؛ فإنّ الإيقاف على الذرّية بلا شرط ، لازمه التوسعة والتضييق ؛ بحسب وجود الموقوف عليه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وقفاً على ما صدق عليه العنوان ، وإذا ضمّ إليه آخر ، يكون وقفاً عليه أيضاً ؛ لأ نّه ذرّية ، وإذا مات خرج عن العنوان ، فصار وقفاً على الباقي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مثل الملكية ، حيث لا يعقل فيها التمليك الاستقلالي لكلّ واحد ، ولا التشريكي والاستقلالي بجعل واحد ؛ فإنّ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سائر المضايفات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تكثير المضايف فيه تبديل مورد الإضافة من المضايف السابق ، وسلب الإضافة عنه ، وإثبات تلك الإضافة لغيره ، نظير الحكم على من كان تحت السماء ، فمن كان تحتها ثبت له الحكم ، فإذا ضمّ إليه الآخر ثبت الحكم لهما ؛ لأنّ كلاًّ منهما تحتها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والأحكام مختلفة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ثبوته لكلّ مستقلاًّ وبتمام المعنى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تحت السماء فهو واجب الإكرام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يمكن فيه ذلك ، كالملكية المنتزعة من الوقف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 للذرّية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الموجود منها واحداً ، تنتزع منه ملكيته ، وإذا وجد آخر كان الوقف عليهما ، ولا يعقل انتزاع تمام الملكية لهذا وذاك ، فتنتزع الملكية على نحو التشريك ، وإذا مات صار الإيقاف للباقي ، والملك المنتزع التابع للإيقاف له ، ولا يلزم منه إشكال ؛ لا في الجعل ، ولا في المجعول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تصوير ذلك على نحو القضيّة الحقيقية ؛ بأن يكون الوقف على كلّ الذرّية ، فكلّ من وجد من الذرّية انطبق عليه الوقف ، وانتزع بتبعه الملك ، والملك الانتزاعي التابع للإيقاف ، ليس تحت الجعل ، حتّى يأتي فيه الإشكال المتقدّم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سهل بعد ما كان المبنى غير وجيه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الوقف في جميع الموارد فكّ ملك</w:t>
      </w:r>
      <w:r>
        <w:rPr>
          <w:rStyle w:val="FootnoteAnchor"/>
          <w:rtl w:val="true"/>
        </w:rPr>
        <w:footnoteReference w:id="550"/>
      </w:r>
      <w:r>
        <w:rPr>
          <w:rFonts w:ascii="Amiri" w:hAnsi="Amiri" w:eastAsia="Amiri" w:cs="Amiri"/>
          <w:color w:val="111111"/>
          <w:sz w:val="28"/>
          <w:sz w:val="28"/>
          <w:szCs w:val="28"/>
          <w:rtl w:val="true"/>
          <w:lang w:bidi="ar-SA"/>
        </w:rPr>
        <w:t xml:space="preserve">، وانتزاع الملكية في الأوقاف الخاصّة ، ممّا لا دليل عليه ؛ لا من العرف ، ولا من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يتوهّم من بعض الأخبار الآتية ، ملكية الموقوف عليهم</w:t>
      </w:r>
      <w:r>
        <w:rPr>
          <w:rStyle w:val="FootnoteAnchor"/>
          <w:rtl w:val="true"/>
        </w:rPr>
        <w:footnoteReference w:id="551"/>
      </w:r>
      <w:r>
        <w:rPr>
          <w:rFonts w:ascii="Amiri" w:hAnsi="Amiri" w:eastAsia="Amiri" w:cs="Amiri"/>
          <w:color w:val="111111"/>
          <w:sz w:val="28"/>
          <w:sz w:val="28"/>
          <w:szCs w:val="28"/>
          <w:rtl w:val="true"/>
          <w:lang w:bidi="ar-SA"/>
        </w:rPr>
        <w:t>، وسيأتي الكلام فيه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المتصدّي في جميع موارد بيع الوقف ، هو الحاكم بحسب القاعدة ، إلاّ أن يدلّ دليل على خلافه </w:t>
      </w:r>
      <w:r>
        <w:rPr>
          <w:rFonts w:eastAsia="Amiri" w:cs="Amiri" w:ascii="Amiri" w:hAnsi="Amiri"/>
          <w:color w:val="111111"/>
          <w:sz w:val="28"/>
          <w:szCs w:val="28"/>
          <w:rtl w:val="true"/>
          <w:lang w:bidi="ar-SA"/>
        </w:rPr>
        <w:t xml:space="preserve">. </w:t>
      </w:r>
      <w:bookmarkStart w:id="269" w:name="pg15209_203875"/>
    </w:p>
    <w:p>
      <w:pPr>
        <w:pStyle w:val="Heading6"/>
        <w:numPr>
          <w:ilvl w:val="5"/>
          <w:numId w:val="1"/>
        </w:numPr>
        <w:rPr/>
      </w:pPr>
      <w:bookmarkStart w:id="270" w:name="__RefHeading___Toc2974479_2142443653"/>
      <w:bookmarkStart w:id="271" w:name="_Toc95"/>
      <w:bookmarkEnd w:id="269"/>
      <w:bookmarkEnd w:id="270"/>
      <w:r>
        <w:rPr>
          <w:rtl w:val="true"/>
        </w:rPr>
        <w:t>الواقف للبدل هو الحاكم لا غيره</w:t>
      </w:r>
      <w:bookmarkEnd w:id="271"/>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الواقف للبدل أيضاً هو الحاكم ، لا الناظر ، ولا الموقوف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وقف البدل على القول بأنّ الوقف إيقاف ، ولا تحصل منه الملكية</w:t>
      </w:r>
      <w:r>
        <w:rPr>
          <w:rStyle w:val="FootnoteAnchor"/>
          <w:rtl w:val="true"/>
        </w:rPr>
        <w:footnoteReference w:id="553"/>
      </w:r>
      <w:r>
        <w:rPr>
          <w:rFonts w:ascii="Amiri" w:hAnsi="Amiri" w:eastAsia="Amiri" w:cs="Amiri"/>
          <w:color w:val="111111"/>
          <w:sz w:val="28"/>
          <w:sz w:val="28"/>
          <w:szCs w:val="28"/>
          <w:rtl w:val="true"/>
          <w:lang w:bidi="ar-SA"/>
        </w:rPr>
        <w:t xml:space="preserve">، ولا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إيقاف ينتزع منه الملك</w:t>
      </w:r>
      <w:r>
        <w:rPr>
          <w:rStyle w:val="FootnoteAnchor"/>
          <w:rtl w:val="true"/>
        </w:rPr>
        <w:footnoteReference w:id="554"/>
      </w:r>
      <w:r>
        <w:rPr>
          <w:rFonts w:ascii="Amiri" w:hAnsi="Amiri" w:eastAsia="Amiri" w:cs="Amiri"/>
          <w:color w:val="111111"/>
          <w:sz w:val="28"/>
          <w:sz w:val="28"/>
          <w:szCs w:val="28"/>
          <w:rtl w:val="true"/>
          <w:lang w:bidi="ar-SA"/>
        </w:rPr>
        <w:t xml:space="preserve">، ولا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البدل يصير وقفاً بنفس المبادلة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تمليك خاصّ ، وأنّ البدل ملك للموقوف عليهم ، وأنّ وقفه يحتاج إلى الصيغة ، فيستشكل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وقف على النفس ، وفيه إشكال عقلي ؛ ضرورة أنّ تمليك ما هو ملك غير معقول ، ومن قبيل تحصيل الحاصل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فيجاب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مانع من تبديل ملكية بملكية اُخرى بنحو آخر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هنا من إجراء الصيغة ، ليس حصول الملك ؛ لحصوله بالبيع ، فما يترقّب من صيغة الوقف ، عنوان آخر غير ما هو حاصل بالبيع</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الغضّ عن عدم عقلائية تبديل الملكية بملكية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سبب للمبادلة ؛ فإنّ الوقف تمليك خاصّ ، لا تبديل ملكية بملكية ، ولا سبب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بين الملكيتين مماثلة ، وهي بحكم المضادّة ، ومع قيام الدليل على صحّة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التمليك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ذلك الملكية السابقة ؛ للمضادّة وتقديم جانب الوقف ، كما مرّ نظيره</w:t>
      </w:r>
      <w:r>
        <w:rPr>
          <w:rStyle w:val="FootnoteAnchor"/>
          <w:rtl w:val="true"/>
        </w:rPr>
        <w:footnoteReference w:id="558"/>
      </w:r>
      <w:r>
        <w:rPr>
          <w:rFonts w:ascii="Amiri" w:hAnsi="Amiri" w:eastAsia="Amiri" w:cs="Amiri"/>
          <w:color w:val="111111"/>
          <w:sz w:val="28"/>
          <w:sz w:val="28"/>
          <w:szCs w:val="28"/>
          <w:rtl w:val="true"/>
          <w:lang w:bidi="ar-SA"/>
        </w:rPr>
        <w:t xml:space="preserve">، لكان له وجه ، لكنّه من قبيل فرض في فرض ، وخيال في خيال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أنّ ماهية الوقف هي التمليك الخاصّ ، كما صرّح به القائل مراراً </w:t>
      </w:r>
      <w:r>
        <w:rPr>
          <w:rStyle w:val="FootnoteAnchor"/>
          <w:rtl w:val="true"/>
        </w:rPr>
        <w:footnoteReference w:id="559"/>
      </w:r>
      <w:r>
        <w:rPr>
          <w:rFonts w:ascii="Amiri" w:hAnsi="Amiri" w:eastAsia="Amiri" w:cs="Amiri"/>
          <w:color w:val="111111"/>
          <w:sz w:val="28"/>
          <w:sz w:val="28"/>
          <w:szCs w:val="28"/>
          <w:rtl w:val="true"/>
          <w:lang w:bidi="ar-SA"/>
        </w:rPr>
        <w:t xml:space="preserve">، ومع تحقّق الملكية لا يعقل إيقاع الوقف ، ولا معنى لترقّب غير الوقف من صيغة الوقف ؛ لعدم إمكان أن يترقّب منها إلاّ ما هو مفهوم الوقف وماهيته ، وإيقاع نفس الخصوصية ، لا دليل على وقوعها بعد عدم كونها عنوان الوقف ، مع أنّ ضمّ الخصوصية إلى الملك لا دليل على صيرورتها وقفاً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الوقف هو الإيقاف ، لا ندفع الإشكال ، لكنّه هدم للمبنى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في بقاء نظارة الناظر على البدل ، نظير ما تقدّم من الكلام في كون البدل وقفاً </w:t>
      </w:r>
      <w:r>
        <w:rPr>
          <w:rStyle w:val="FootnoteAnchor"/>
          <w:rtl w:val="true"/>
        </w:rPr>
        <w:footnoteReference w:id="560"/>
      </w:r>
      <w:r>
        <w:rPr>
          <w:rFonts w:ascii="Amiri" w:hAnsi="Amiri" w:eastAsia="Amiri" w:cs="Amiri"/>
          <w:color w:val="111111"/>
          <w:sz w:val="28"/>
          <w:sz w:val="28"/>
          <w:szCs w:val="28"/>
          <w:rtl w:val="true"/>
          <w:lang w:bidi="ar-SA"/>
        </w:rPr>
        <w:t xml:space="preserve">؛ فإنّ إنشاء النظارة على العين الموقوفة ، لا يعقل أن يكون إنشاءً للنظارة على بدلها عند سقوطها عن العين ، والمفروض أ نّه لم يكن في المقام إلاّ إنشاء وحداني متعلّق بخصوص العين ، ولا يعقل أن يكون ذلك إنشاءً تنجيزاً على العين ، وتعليقاً أو مشروطاً على بدلها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جعلها على عنوان كلّي قابل للانطباق على البدل ، لكنّه خارج عن الفرض والمورد ، بل الواقف بالنسبة إلى البدل في مفروض الصورة أجنبيّ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بقائها ؛ لتعلّق حقّه بالعين ، فيتعلّق ببدلها </w:t>
      </w:r>
      <w:r>
        <w:rPr>
          <w:rStyle w:val="FootnoteAnchor"/>
          <w:rtl w:val="true"/>
        </w:rPr>
        <w:footnoteReference w:id="561"/>
      </w:r>
      <w:r>
        <w:rPr>
          <w:rFonts w:ascii="Amiri" w:hAnsi="Amiri" w:eastAsia="Amiri" w:cs="Amiri"/>
          <w:color w:val="111111"/>
          <w:sz w:val="28"/>
          <w:sz w:val="28"/>
          <w:szCs w:val="28"/>
          <w:rtl w:val="true"/>
          <w:lang w:bidi="ar-SA"/>
        </w:rPr>
        <w:t xml:space="preserve">فغير وجيه ؛ لأنّ الناظر ليس له حقّ إلاّ بتبع جعل الواقف ، والمفروض أ نّه لخصوص العين ، ومع قصور الجعل ، لا حقّ له في غير مورده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ثمن المبدل إذا كان من النقدين ، أو ممّا لا ثمرة له ، لا يجوز دفعه إلى الموجودين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ملكاً لهم أم لا ، ومجرّد استحقاقهم بقاء العين تحت يدهم لاستيفاء الثمرة والمنفعة ، لا يوجب حقّاً لهم في البدل الذي لا ثمرة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الاتّجار بالثمن ، فإن كان الوقف وقف منفعة مطلقة بلا قيد ، فالظاهر جوازه إذا رأى الحاكم مصلحة فيه ، فيشتري به وبمنافعه ما يجعل وقفاً على الموقوف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على مسلك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في الرتبة المتأخّرة متعلّق بمالية العين</w:t>
      </w:r>
      <w:r>
        <w:rPr>
          <w:rStyle w:val="FootnoteAnchor"/>
          <w:rtl w:val="true"/>
        </w:rPr>
        <w:footnoteReference w:id="562"/>
      </w:r>
      <w:r>
        <w:rPr>
          <w:rFonts w:ascii="Amiri" w:hAnsi="Amiri" w:eastAsia="Amiri" w:cs="Amiri"/>
          <w:color w:val="111111"/>
          <w:sz w:val="28"/>
          <w:sz w:val="28"/>
          <w:szCs w:val="28"/>
          <w:rtl w:val="true"/>
          <w:lang w:bidi="ar-SA"/>
        </w:rPr>
        <w:t xml:space="preserve">، تكون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بالموجودين ، لكن المبنى 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وقف انتفاع ، كالمدارس ، والخانات ، وكالدار الموقوفة لسكنى الذرّية ، أو وقف منفعة خاصّة ، كما لو وقف الدار على الذرّية ؛ لإيجارها من الطلبة ، وأخذ الثمن لأنفسهم ، فلا يجوز الاتّجار به ؛ لأنّ الثمن ليس ملكاً مطلقاً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 بل هو على القول بالملكية ، ملك لهم لصرف خاصّ ، وعلى المذهب المنصور يكون لمصلحة خاصّة ، فلا بدّ من حفظه لشراء ما يجعل مدرسة أو داراً ؛ للإيجار من الطلبة </w:t>
      </w:r>
      <w:r>
        <w:rPr>
          <w:rFonts w:eastAsia="Amiri" w:cs="Amiri" w:ascii="Amiri" w:hAnsi="Amiri"/>
          <w:color w:val="111111"/>
          <w:sz w:val="28"/>
          <w:szCs w:val="28"/>
          <w:rtl w:val="true"/>
          <w:lang w:bidi="ar-SA"/>
        </w:rPr>
        <w:t xml:space="preserve">. </w:t>
      </w:r>
      <w:bookmarkStart w:id="272" w:name="pg15209_203878"/>
    </w:p>
    <w:p>
      <w:pPr>
        <w:pStyle w:val="BookText"/>
        <w:rPr/>
      </w:pPr>
      <w:bookmarkEnd w:id="272"/>
      <w:r>
        <w:rPr>
          <w:rFonts w:ascii="Amiri" w:hAnsi="Amiri" w:eastAsia="Amiri" w:cs="Amiri"/>
          <w:color w:val="111111"/>
          <w:sz w:val="28"/>
          <w:sz w:val="28"/>
          <w:szCs w:val="28"/>
          <w:rtl w:val="true"/>
          <w:lang w:bidi="ar-SA"/>
        </w:rPr>
        <w:t xml:space="preserve">نعم ، لو لم يمكن حفظ الثمن ، ولا شراء ما يجعل مماثل الوقف فعلاً ، يشترى بالثمن ما يمكن حفظه لهذا الغرض ، وهذا ليس اتّجاراً بالثمن ، بل هو حفظ المالية عند الاضطرار ؛ لغرض الصرف فيما هو مصلحة خاصّة ، نظير نفس ثمن الموقوفة ؛ فإنّ بيعها ليس اتّجاراً بالوقف كما لا يخفى </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2974481_2142443653"/>
      <w:bookmarkStart w:id="274" w:name="_Toc96"/>
      <w:bookmarkEnd w:id="273"/>
      <w:r>
        <w:rPr>
          <w:rtl w:val="true"/>
        </w:rPr>
        <w:t>حكم عروض الخراب على بعض الوقف</w:t>
      </w:r>
      <w:bookmarkEnd w:id="274"/>
    </w:p>
    <w:p>
      <w:pPr>
        <w:pStyle w:val="BookText"/>
        <w:rPr/>
      </w:pPr>
      <w:r>
        <w:rPr>
          <w:rFonts w:ascii="Amiri" w:hAnsi="Amiri" w:eastAsia="Amiri" w:cs="Amiri"/>
          <w:color w:val="111111"/>
          <w:sz w:val="28"/>
          <w:sz w:val="28"/>
          <w:szCs w:val="28"/>
          <w:rtl w:val="true"/>
          <w:lang w:bidi="ar-SA"/>
        </w:rPr>
        <w:t xml:space="preserve">ولو عرض الخراب على بعض الوقف ، فإن كان وقف منفعة مطلقة يباع وتراعى المصلحة في شراء بدله ، أو صرف ثمنه في تعمير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لا تجب فيه المماثلة ، بل تجب مراعاة المصلحة</w:t>
      </w:r>
      <w:r>
        <w:rPr>
          <w:rStyle w:val="FootnoteAnchor"/>
          <w:rtl w:val="true"/>
        </w:rPr>
        <w:footnoteReference w:id="563"/>
      </w:r>
      <w:r>
        <w:rPr>
          <w:rFonts w:ascii="Amiri" w:hAnsi="Amiri" w:eastAsia="Amiri" w:cs="Amiri"/>
          <w:color w:val="111111"/>
          <w:sz w:val="28"/>
          <w:sz w:val="28"/>
          <w:szCs w:val="28"/>
          <w:rtl w:val="true"/>
          <w:lang w:bidi="ar-SA"/>
        </w:rPr>
        <w:t xml:space="preserve">، حتّى لو اقتضت صرف ثمنه في وقف آخر لهم جاز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وقف الانتفاع ، كالمدارس والدار للإسكان ، ووقف المنفعة على وجه خاصّ بنحو ما مرّ</w:t>
      </w:r>
      <w:r>
        <w:rPr>
          <w:rStyle w:val="FootnoteAnchor"/>
          <w:rtl w:val="true"/>
        </w:rPr>
        <w:footnoteReference w:id="564"/>
      </w:r>
      <w:r>
        <w:rPr>
          <w:rFonts w:ascii="Amiri" w:hAnsi="Amiri" w:eastAsia="Amiri" w:cs="Amiri"/>
          <w:color w:val="111111"/>
          <w:sz w:val="28"/>
          <w:sz w:val="28"/>
          <w:szCs w:val="28"/>
          <w:rtl w:val="true"/>
          <w:lang w:bidi="ar-SA"/>
        </w:rPr>
        <w:t xml:space="preserve">،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صرف ثمنه في تحصيل المماثل ، فإن أمكن إحداث مدرسة اُخرى أو دار اُخرى للإسكان ، مع بقاء البعض المعمور قابلاً لسكنى الطلاّب أو الذرّية ، يصرف الثمن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احتاج البعض في بقائه إلى صرفه فيه ، يقدّم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يحتج إلى التعمير ، ولم يكن الثمن بمقدار إحداث وقف آخر ، يحفظ الثمن عند أمين إلى زمان الاحتياج ، أو يصرف في وقف آخر لهم مماثل له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دار الأمر بين مراعاة البطن الموجود ، ومراعاة البطون اللاحقة ، كما لو </w:t>
      </w:r>
    </w:p>
    <w:p>
      <w:pPr>
        <w:pStyle w:val="BookText"/>
        <w:rPr/>
      </w:pPr>
      <w:r>
        <w:rPr>
          <w:rFonts w:ascii="Amiri" w:hAnsi="Amiri" w:eastAsia="Amiri" w:cs="Amiri"/>
          <w:color w:val="111111"/>
          <w:sz w:val="28"/>
          <w:sz w:val="28"/>
          <w:szCs w:val="28"/>
          <w:rtl w:val="true"/>
          <w:lang w:bidi="ar-SA"/>
        </w:rPr>
        <w:t>خرب بعض الوقف ، واحتاج بعضه الآخر إلى عمارة لا يمكن بدونها انتفاع البطون اللاحقة ، فهل تقدّم مصلحة البطن الموجود ؛ لكونه ذا حقّ فعلاً ؟</w:t>
      </w:r>
    </w:p>
    <w:p>
      <w:pPr>
        <w:pStyle w:val="BookText"/>
        <w:rPr/>
      </w:pPr>
      <w:r>
        <w:rPr>
          <w:rFonts w:ascii="Amiri" w:hAnsi="Amiri" w:eastAsia="Amiri" w:cs="Amiri"/>
          <w:color w:val="111111"/>
          <w:sz w:val="28"/>
          <w:sz w:val="28"/>
          <w:szCs w:val="28"/>
          <w:rtl w:val="true"/>
          <w:lang w:bidi="ar-SA"/>
        </w:rPr>
        <w:t>أو مصلحة البطون اللاحقة ؛ لكثرتهم وأهمّية مراعاتهم ؟</w:t>
      </w:r>
    </w:p>
    <w:p>
      <w:pPr>
        <w:pStyle w:val="BookText"/>
        <w:rPr/>
      </w:pPr>
      <w:r>
        <w:rPr>
          <w:rFonts w:ascii="Amiri" w:hAnsi="Amiri" w:eastAsia="Amiri" w:cs="Amiri"/>
          <w:color w:val="111111"/>
          <w:sz w:val="28"/>
          <w:sz w:val="28"/>
          <w:szCs w:val="28"/>
          <w:rtl w:val="true"/>
          <w:lang w:bidi="ar-SA"/>
        </w:rPr>
        <w:t>أو أنّ المورد من موارد مزاحمة الحقوق ، فيقرع ويعمل على طبقها ؟</w:t>
      </w:r>
    </w:p>
    <w:p>
      <w:pPr>
        <w:pStyle w:val="BookText"/>
        <w:rPr/>
      </w:pPr>
      <w:r>
        <w:rPr>
          <w:rFonts w:ascii="Amiri" w:hAnsi="Amiri" w:eastAsia="Amiri" w:cs="Amiri"/>
          <w:color w:val="111111"/>
          <w:sz w:val="28"/>
          <w:sz w:val="28"/>
          <w:szCs w:val="28"/>
          <w:rtl w:val="true"/>
          <w:lang w:bidi="ar-SA"/>
        </w:rPr>
        <w:t xml:space="preserve">أو يفصّل بين الموارد ؛ فإن كان الثمن من النقود ، يكون المرجع هو القرعة ؛ بدعوى دوران الأمر بين تحصيل النفع للبطن الموجود ، وتحصيله للبطون اللاحقة عند وجودهم ، ولا حقّ فعلي للبطن الموجود على الثمن ؛ لأنّ حقّه إنّما يتعلّق بالوقف لاستيفاء منفعته ، ولا منفعة للثمن ، وكثرة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الأهمّية ، فيكون من قبيل مزاحمة مصلحة البطن الموجود ، ومصلحة البطون اللاحقة ، والمرجع هو 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غير النقود ؛ ممّا له قابلية الانتفاع ، تقدّم مراعاة الموجود ؛ لتعلّق حقّه فعلاً بالبدل لاستيفاء المنفعة ، وإن لم يكن وقفاً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الثمن أيضاً متعلّق حقّه ؛ ليشتري منه ما له نفع له ، أي له حقّ استيفاء المنفعة بوسط ، فيقدّم حقّه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الثمن سواء كان من النقود أم من غيرها ، مشترك بين الطبقات من حيث الملك بناءً على الملكية ، ومن حيث كونه بدل الوقف المتعلّق بهم جميعاً بناءً على الفكّ والتحرير ، وتمتاز الطبقة الموجودة ، بأنّ لها حقّاً فعلياً</w:t>
      </w:r>
    </w:p>
    <w:p>
      <w:pPr>
        <w:pStyle w:val="BookText"/>
        <w:rPr/>
      </w:pPr>
      <w:r>
        <w:rPr>
          <w:rFonts w:ascii="Amiri" w:hAnsi="Amiri" w:eastAsia="Amiri" w:cs="Amiri"/>
          <w:color w:val="111111"/>
          <w:sz w:val="28"/>
          <w:sz w:val="28"/>
          <w:szCs w:val="28"/>
          <w:rtl w:val="true"/>
          <w:lang w:bidi="ar-SA"/>
        </w:rPr>
        <w:t xml:space="preserve">لاستيفاء المنفعة من البدل بوسط ، أو بلا وسط ، وليس للطبقات اللاحقة ذلك الحقّ ، فلا يجوز سلب الحقّ الفعلي ؛ لأجل إيصال نفع إلى اللاحقة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الكلام فيما إذا احتاج إصلاح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يخرج عن قابلية </w:t>
      </w:r>
    </w:p>
    <w:p>
      <w:pPr>
        <w:pStyle w:val="BookText"/>
        <w:rPr/>
      </w:pPr>
      <w:r>
        <w:rPr>
          <w:rFonts w:ascii="Amiri" w:hAnsi="Amiri" w:eastAsia="Amiri" w:cs="Amiri"/>
          <w:color w:val="111111"/>
          <w:sz w:val="28"/>
          <w:sz w:val="28"/>
          <w:szCs w:val="28"/>
          <w:rtl w:val="true"/>
          <w:lang w:bidi="ar-SA"/>
        </w:rPr>
        <w:t xml:space="preserve">انتفاع البطون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صرف منفعته الحاضرة ، التي هي ملك طلق للبطن الموجود ، بل هو أوضح ؛ فإنّ الإضرار بالبطن الموجود لأجل إيصال النفع فيما بعد إلى البطن اللاحق ، ممّا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لا يبعد تقدّم التعمير ؛ حفظاً لبقاء الوقف ، وحملاً على الغالب ؛ من اشتراط الواقفين تقديم التعمير ، فينصرف إليه</w:t>
      </w:r>
      <w:r>
        <w:rPr>
          <w:rStyle w:val="FootnoteAnchor"/>
          <w:rtl w:val="true"/>
        </w:rPr>
        <w:footnoteReference w:id="565"/>
      </w:r>
      <w:r>
        <w:rPr>
          <w:rFonts w:ascii="Amiri" w:hAnsi="Amiri" w:eastAsia="Amiri" w:cs="Amiri"/>
          <w:color w:val="111111"/>
          <w:sz w:val="28"/>
          <w:sz w:val="28"/>
          <w:szCs w:val="28"/>
          <w:rtl w:val="true"/>
          <w:lang w:bidi="ar-SA"/>
        </w:rPr>
        <w:t xml:space="preserve">غير وجيه ؛ فإنّ وجوب حفظه بصرف المال المختصّ بالحاضرين فيه ، أوّل الكلام ، ولا دليل عليه ، والموقوف وإن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مصالح عامّة المسلمين أو طائفة منهم</w:t>
      </w:r>
      <w:r>
        <w:rPr>
          <w:rStyle w:val="FootnoteAnchor"/>
          <w:rtl w:val="true"/>
        </w:rPr>
        <w:footnoteReference w:id="566"/>
      </w:r>
      <w:r>
        <w:rPr>
          <w:rFonts w:ascii="Amiri" w:hAnsi="Amiri" w:eastAsia="Amiri" w:cs="Amiri"/>
          <w:color w:val="111111"/>
          <w:sz w:val="28"/>
          <w:sz w:val="28"/>
          <w:szCs w:val="28"/>
          <w:rtl w:val="true"/>
          <w:lang w:bidi="ar-SA"/>
        </w:rPr>
        <w:t xml:space="preserve">، لكن حفظه بما ذكر لا دليل على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دليل حرمة الإضرار بالمسلم ، وسلطنة الناس على أموالهم محكّم ، والغلبة على فرضها لا توجب الانصراف ؛ بحيث يصير المنشأ مقيّداً بمثل هذا القيد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تقريب تقديم التعمير على مسلك بعض أهل التحقيق ، حيث ذهب إلى أنّ تسبيل المنفعة أبداً ، موسّع لدائرة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العين بشخصها محبوسة ما دام إلى الانتفاع بها سبيل ، وبما هي مال محبوسة إذا لم يمكن الانتفاع بها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تسبيل المنفعة أبداً إذا كان موسّعاً للوقف ، فتأبيد الوقف مضيّق لدائرة الانتفاع ، فالمنافع للموقوف عليهم ما دامت العين باقية ولم تحتج في بقائها إلى التعمير ، ومع الاحتياج تصرف في التعمير لحفظه ، فالتأبيد في الوقف والتسبيل ، متعاكسان في التوسعة والتضييق </w:t>
      </w:r>
      <w:r>
        <w:rPr>
          <w:rFonts w:eastAsia="Amiri" w:cs="Amiri" w:ascii="Amiri" w:hAnsi="Amiri"/>
          <w:color w:val="111111"/>
          <w:sz w:val="28"/>
          <w:szCs w:val="28"/>
          <w:rtl w:val="true"/>
          <w:lang w:bidi="ar-SA"/>
        </w:rPr>
        <w:t xml:space="preserve">. </w:t>
      </w:r>
      <w:bookmarkStart w:id="275" w:name="pg15209_203881"/>
    </w:p>
    <w:p>
      <w:pPr>
        <w:pStyle w:val="BookText"/>
        <w:rPr/>
      </w:pPr>
      <w:bookmarkEnd w:id="275"/>
      <w:r>
        <w:rPr>
          <w:rFonts w:ascii="Amiri" w:hAnsi="Amiri" w:eastAsia="Amiri" w:cs="Amiri"/>
          <w:color w:val="111111"/>
          <w:sz w:val="28"/>
          <w:sz w:val="28"/>
          <w:szCs w:val="28"/>
          <w:rtl w:val="true"/>
          <w:lang w:bidi="ar-SA"/>
        </w:rPr>
        <w:t>لكن قد تقدّم بطلان المقيس عليه</w:t>
      </w:r>
      <w:r>
        <w:rPr>
          <w:rStyle w:val="FootnoteAnchor"/>
          <w:rtl w:val="true"/>
        </w:rPr>
        <w:footnoteReference w:id="568"/>
      </w:r>
      <w:r>
        <w:rPr>
          <w:rFonts w:ascii="Amiri" w:hAnsi="Amiri" w:eastAsia="Amiri" w:cs="Amiri"/>
          <w:color w:val="111111"/>
          <w:sz w:val="28"/>
          <w:sz w:val="28"/>
          <w:szCs w:val="28"/>
          <w:rtl w:val="true"/>
          <w:lang w:bidi="ar-SA"/>
        </w:rPr>
        <w:t xml:space="preserve">، مع أنّ في القياس أيضاً كلاماً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التعمير في الأملاك الشخصية على استفادة المنافع ، أمر عقلائي ؛ فإنّ في دوران الأمر بين هدم الملك ، وبين صرف منفعة سنة أو أكثر في بقائه ، يقدّم العقلاء التعمير ، فليكن الوقف أيضاً كذلك ، ولا أقلّ من صيرورة ذلك منشأً للانصراف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 ما لا يخفى ؛ فإنّ تقديم التعمير في الأملاك الشخصية ، إنّما هو لأجل صرف منفعة سنة مثلاً لاستيفاء المنافع الكثيرة في باقي السنوات ،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إذا توقّف استيفاء شخص آخر منافع كثيرة على صرف منفعة غيره فلا ، والمقام من هذا القبيل </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2974483_2142443653"/>
      <w:bookmarkStart w:id="277" w:name="_Toc97"/>
      <w:bookmarkEnd w:id="276"/>
      <w:r>
        <w:rPr>
          <w:rtl w:val="true"/>
        </w:rPr>
        <w:t>حكم الصور الباقية</w:t>
      </w:r>
      <w:bookmarkEnd w:id="277"/>
    </w:p>
    <w:p>
      <w:pPr>
        <w:pStyle w:val="BookText"/>
        <w:rPr/>
      </w:pPr>
      <w:r>
        <w:rPr>
          <w:rFonts w:ascii="Amiri" w:hAnsi="Amiri" w:eastAsia="Amiri" w:cs="Amiri"/>
          <w:color w:val="111111"/>
          <w:sz w:val="28"/>
          <w:sz w:val="28"/>
          <w:szCs w:val="28"/>
          <w:rtl w:val="true"/>
          <w:lang w:bidi="ar-SA"/>
        </w:rPr>
        <w:t xml:space="preserve">ثمّ إنّ هاهنا صوراً كثيرة ، تعرّض لجملة منها الشيخ الأعظم قدّس سرّه </w:t>
      </w:r>
      <w:r>
        <w:rPr>
          <w:rStyle w:val="FootnoteAnchor"/>
          <w:rtl w:val="true"/>
        </w:rPr>
        <w:footnoteReference w:id="569"/>
      </w:r>
      <w:r>
        <w:rPr>
          <w:rFonts w:ascii="Amiri" w:hAnsi="Amiri" w:eastAsia="Amiri" w:cs="Amiri"/>
          <w:color w:val="111111"/>
          <w:sz w:val="28"/>
          <w:sz w:val="28"/>
          <w:szCs w:val="28"/>
          <w:rtl w:val="true"/>
          <w:lang w:bidi="ar-SA"/>
        </w:rPr>
        <w:t>وغيره</w:t>
      </w:r>
      <w:r>
        <w:rPr>
          <w:rStyle w:val="FootnoteAnchor"/>
          <w:rtl w:val="true"/>
        </w:rPr>
        <w:footnoteReference w:id="570"/>
      </w:r>
      <w:r>
        <w:rPr>
          <w:rFonts w:ascii="Amiri" w:hAnsi="Amiri" w:eastAsia="Amiri" w:cs="Amiri"/>
          <w:color w:val="111111"/>
          <w:sz w:val="28"/>
          <w:sz w:val="28"/>
          <w:szCs w:val="28"/>
          <w:rtl w:val="true"/>
          <w:lang w:bidi="ar-SA"/>
        </w:rPr>
        <w:t xml:space="preserve">، وأشار إلى جملة اُخرى منها </w:t>
      </w:r>
      <w:r>
        <w:rPr>
          <w:rStyle w:val="FootnoteAnchor"/>
          <w:rtl w:val="true"/>
        </w:rPr>
        <w:footnoteReference w:id="571"/>
      </w:r>
      <w:r>
        <w:rPr>
          <w:rFonts w:ascii="Amiri" w:hAnsi="Amiri" w:eastAsia="Amiri" w:cs="Amiri"/>
          <w:color w:val="111111"/>
          <w:sz w:val="28"/>
          <w:sz w:val="28"/>
          <w:szCs w:val="28"/>
          <w:rtl w:val="true"/>
          <w:lang w:bidi="ar-SA"/>
        </w:rPr>
        <w:t xml:space="preserve">، ولم يتعرّض لجملة اُخرى ، ويلحق بعضها بالصورة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سقطت عن المنفعة مطلقاً من غير جهة الخراب ، ولم يرج العود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سقطت عن المنفعة عرفاً وإن كانت لها منفعة قليلة جدّاً ، لكنّها تعدّ ممّا لا منفعة لها في العرف ، سواء كان السقوط لأجل الخراب أو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الصور ملحقة بالصورة الاُولى في الحكم ، ولا ينبغي الإشكال في جواز البيع والتبديل بما ينتفع به ، على التفصيل الذي ذكرناه في أقسام الأوقاف في الصورة الاُولى</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الصور التي لا يعدّ الوقف فيها فاقد المنفعة ، بل قليل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لخراب الوقف ، أو لعوارض اُخر ، فربّما 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عدم جواز بيعه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البيع ينافي الوقف</w:t>
      </w:r>
      <w:r>
        <w:rPr>
          <w:rStyle w:val="FootnoteAnchor"/>
          <w:rtl w:val="true"/>
        </w:rPr>
        <w:footnoteReference w:id="574"/>
      </w:r>
      <w:r>
        <w:rPr>
          <w:rFonts w:ascii="Amiri" w:hAnsi="Amiri" w:eastAsia="Amiri" w:cs="Amiri"/>
          <w:color w:val="111111"/>
          <w:sz w:val="28"/>
          <w:sz w:val="28"/>
          <w:szCs w:val="28"/>
          <w:rtl w:val="true"/>
          <w:lang w:bidi="ar-SA"/>
        </w:rPr>
        <w:t xml:space="preserve">؛ فلأنّ الأصل بقاء الوقف مع الشكّ في عروض المجوّز ، ومع تحقّق الوقف تعبّداً يمتنع البيع ؛ لأ نّه عبارة اُخرى عن ممنوعيته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يبطل بالبيع</w:t>
      </w:r>
      <w:r>
        <w:rPr>
          <w:rStyle w:val="FootnoteAnchor"/>
          <w:rtl w:val="true"/>
        </w:rPr>
        <w:footnoteReference w:id="575"/>
      </w:r>
      <w:r>
        <w:rPr>
          <w:rFonts w:ascii="Amiri" w:hAnsi="Amiri" w:eastAsia="Amiri" w:cs="Amiri"/>
          <w:color w:val="111111"/>
          <w:sz w:val="28"/>
          <w:sz w:val="28"/>
          <w:szCs w:val="28"/>
          <w:rtl w:val="true"/>
          <w:lang w:bidi="ar-SA"/>
        </w:rPr>
        <w:t xml:space="preserve">، فمقتضى استصحاب الوقف إلى حال تحقّق البيع ، عدم حصول النقل ؛ للتضادّ بينهما ، ولا نحتاج إلى إثبات عدم حصول النقل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مثبت ، بل ثبوت الوقف كافٍ لامتناع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أحكام بقاء الوقف، عدم كونه ملكاً للمشتري، فتأمّل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البناء على عدم إطلاق لأدلّة بطلان بيع الوقف يشمل حال عروض العوارض ، كما مرّ مفصّلاً</w:t>
      </w:r>
      <w:r>
        <w:rPr>
          <w:rStyle w:val="FootnoteAnchor"/>
          <w:rtl w:val="true"/>
        </w:rPr>
        <w:footnoteReference w:id="5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مرجع الشكّ في صحّة البيع وعدمها ، إلى الشكّ في تقييد إطلاق أدلّة نفوذ البيع وعمومها ؛ ضرورة أنّ إطلاق نحو </w:t>
      </w:r>
      <w:bookmarkStart w:id="278" w:name="pg15209_203883"/>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 لْبَيْعَ</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على فرضه ، وعموم دليل وجوب الوفاء بالعقود</w:t>
      </w:r>
      <w:r>
        <w:rPr>
          <w:rStyle w:val="FootnoteAnchor"/>
          <w:rtl w:val="true"/>
        </w:rPr>
        <w:footnoteReference w:id="578"/>
      </w:r>
      <w:r>
        <w:rPr>
          <w:rFonts w:ascii="Amiri" w:hAnsi="Amiri" w:eastAsia="Amiri" w:cs="Amiri"/>
          <w:color w:val="111111"/>
          <w:sz w:val="28"/>
          <w:sz w:val="28"/>
          <w:szCs w:val="28"/>
          <w:rtl w:val="true"/>
          <w:lang w:bidi="ar-SA"/>
        </w:rPr>
        <w:t xml:space="preserve">وإطلاقه ، كما يدفعان الشكّ في اعتبار شيء في نفس البيع والعقد ، كالعربية ، وتقديم الإيجاب على القبول ، كذلك يدفعان الشكّ في اعتبار شيء في المتعاملين أو العوضين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فدليل عدم جواز شراء الوقف ، مقيّد لإطلاق حلّية البيع ، ومخصّص لعموم وجوب الوفاء بالعقد ، ومع عدم الإطلاق في المخصّص ، يؤخذ بالقدر المتيقّن ، ويعمل بالعامّ والمطلق في المورد المشكوك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لا مجال للتمسّك بالأصل حتّى أصالة بقاء الوقف على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فضلاً عمّا هو الحقّ ؛ من بقاء الوقف إلى زمان البيع ، فإنّ لازم دليل نفوذ البيع وحلّيته في مورد عروض العوارض ، بطلان الوقف على المسلكين ، وهو مقدّم على الأصل تقدّم لسان الأمارات عليه </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2974485_2142443653"/>
      <w:bookmarkStart w:id="280" w:name="_Toc98"/>
      <w:bookmarkEnd w:id="279"/>
      <w:r>
        <w:rPr>
          <w:rtl w:val="true"/>
        </w:rPr>
        <w:t>الصورة الثانية ما إذا كان البيع أنفع وأعود للموقوف عليه</w:t>
      </w:r>
      <w:bookmarkEnd w:id="280"/>
    </w:p>
    <w:p>
      <w:pPr>
        <w:pStyle w:val="Heading6"/>
        <w:numPr>
          <w:ilvl w:val="5"/>
          <w:numId w:val="1"/>
        </w:numPr>
        <w:rPr/>
      </w:pPr>
      <w:bookmarkStart w:id="281" w:name="__RefHeading___Toc2974487_2142443653"/>
      <w:bookmarkStart w:id="282" w:name="_Toc99"/>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واستدلّ لها ببعض روايات ، لو تمّت دلالتها تكون دليلاً على بعض صور اُخر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جعفر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 ، وقف غلّة </w:t>
      </w:r>
    </w:p>
    <w:p>
      <w:pPr>
        <w:pStyle w:val="BookText"/>
        <w:rPr/>
      </w:pPr>
      <w:r>
        <w:rPr>
          <w:rFonts w:ascii="Amiri" w:hAnsi="Amiri" w:eastAsia="Amiri" w:cs="Amiri"/>
          <w:color w:val="111111"/>
          <w:sz w:val="28"/>
          <w:sz w:val="28"/>
          <w:szCs w:val="28"/>
          <w:rtl w:val="true"/>
          <w:lang w:bidi="ar-SA"/>
        </w:rPr>
        <w:t xml:space="preserve">على قرابته من أبيه ، وقرابته من اُمّه ، وأوصى لرجل ولعقبه من تلك 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بينه وبينه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مائة درهم في كلّ سنة ، ويقسّم الباقي على قرابته من أبيه ، وقرابته من 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للذي اُوصي له بذلك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لم يخرج من غلّة الأرض التي وقفها إلاّ خمسمائة درهم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في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أن يعطى الذي اُوصي له من الغلّة ثلاثمائة درهم ، ويقسّم الباقي على قرابته من أبيه ، وقرابته من اُمّه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لقرابته أن يأخذوا من الغلّة شيئاً ، حتّى يوفّوا الموصى له ثلاثمائة درهم ، ثمّ لهم ما يبقى بعد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مات الذي اُوصي 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كانت الثلاثمائة درهم لورثته ، يتوارثونها بينهم ، فأ مّا إذا انقطع ورثته ولم يبقَ منهم أحد ، كانت الثلاثمائة درهم لقرابة الميّت ، تردّ إلى ما يخرج من الوقف ، ثمّ تقسّم بينهم ، يتوارثون ذلك ما بقوا وبقيت الغلّة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 أن يبيعوا الأرض إذا احتاجوا ، ولم يكفهم ما يخرج من الغلّة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إذا رضوا كلّهم وكان البيع خيراً لهم ، باعوا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الأسئلة والأجوبة ، أنّ شبهة السائل كانت في صحّة الوصيّة ، </w:t>
      </w:r>
    </w:p>
    <w:p>
      <w:pPr>
        <w:pStyle w:val="BookText"/>
        <w:rPr/>
      </w:pPr>
      <w:r>
        <w:rPr>
          <w:rFonts w:ascii="Amiri" w:hAnsi="Amiri" w:eastAsia="Amiri" w:cs="Amiri"/>
          <w:color w:val="111111"/>
          <w:sz w:val="28"/>
          <w:sz w:val="28"/>
          <w:szCs w:val="28"/>
          <w:rtl w:val="true"/>
          <w:lang w:bidi="ar-SA"/>
        </w:rPr>
        <w:t xml:space="preserve">لا الوقف ، ولا يبعد أن يكون المتفاهم من سؤاله ، أنّ الوصيّة كانت حال الوقف وفي ضمنه ، فترك الاستفصال عن كونها بعد تمامية الوقف أو في ضمنه ؛ لأجل الاتّكال على الظهور ، لا لعدم الفرق بين الفرضين ، حتّى تكون صحّة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تمامية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القاعدة وتُعدّ من موجبات اضطراب المتن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المصطلحة ، كما يحتمل أن يكون المراد المعنى اللغوي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بالوصيّة له ، جعل هذا المقدار له ولعقبه ، وجعل الباقي للموقوف عليهم ، أو يكون المراد اشتراط إعطاء الموقوف عليهم هذا المقدار ، ثمّ التقسيم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منفعة الأرض ، وإطلاقها على الأرض مبنيّ على التوسّع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هو الوقف المصطلح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فظهوره في الوقف محلّ تأمّل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 الوقف قليل</w:t>
      </w:r>
      <w:r>
        <w:rPr>
          <w:rStyle w:val="FootnoteAnchor"/>
          <w:rtl w:val="true"/>
        </w:rPr>
        <w:footnoteReference w:id="584"/>
      </w:r>
      <w:r>
        <w:rPr>
          <w:rFonts w:ascii="Amiri" w:hAnsi="Amiri" w:eastAsia="Amiri" w:cs="Amiri"/>
          <w:color w:val="111111"/>
          <w:sz w:val="28"/>
          <w:sz w:val="28"/>
          <w:szCs w:val="28"/>
          <w:rtl w:val="true"/>
          <w:lang w:bidi="ar-SA"/>
        </w:rPr>
        <w:t xml:space="preserve">، فدار الأمر في صدر الرواية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أوقف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غلّة على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ارتكاب خلاف الظاهر في </w:t>
      </w:r>
    </w:p>
    <w:p>
      <w:pPr>
        <w:pStyle w:val="BookText"/>
        <w:rPr/>
      </w:pPr>
      <w:r>
        <w:rPr>
          <w:rFonts w:ascii="Amiri" w:hAnsi="Amiri" w:eastAsia="Amiri" w:cs="Amiri"/>
          <w:color w:val="111111"/>
          <w:sz w:val="28"/>
          <w:sz w:val="28"/>
          <w:szCs w:val="28"/>
          <w:rtl w:val="true"/>
          <w:lang w:bidi="ar-SA"/>
        </w:rPr>
        <w:t xml:space="preserve">الغلّة والحمل على الأرض ، وبين ارتكابه في الوقف بحمله على المعنى اللغوي ؛ أي الإسكان والإيقاف عليهم لا يتجاوزهم ، وهو أمر تصحّ نسبته إلى الغلّة والمنفعة ،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 الغلّة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جعلها ثابتة لهم ، وواقفة عليهم لا تتجاوزهم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والموصول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إن لم تخرج من غلّة الأرض التي أوقفها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يحتمل أن يكون وصفاً للأرض ، ويحتمل أن يكون وصفاً للغلّة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إلى ما يخرج من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بيانية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أحد الاحتمالين ، يكون بيع الأرض على وفق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بدّ وأن يرجع الموصى له إلى المشتري في حقّه ، إذا جعل الواقف له من غلّة الوقف مقدار ثلاثمائة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الاحتمال الآخر لا بدّ ، وأن يشترط البائع على المشتري ذلك ، لكن الإنصاف أنّ هذا الاحتمال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المصطلح ، مقدّم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المنفعة ، ولا سيّما مع بعض القرائن التي في المتن ، كما 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البيان ، خلاف الظاهر ، فالمراد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المصطلح ،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دعوى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المعنى المصطلح ، مع أ نّه لا فرق فيما نحن بصدده بين حملها عليه ، أو على مطلق التوصية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ظاهرة في الوقف المنقطع ، سواء كان الوقف على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الصادقة على الطبقات المتأخّرة كلّ في حال وجودها ؛ لإمكان انقراضهم ، فلا تأبيد ، أو على الطبقة الموجودة ؛ بقرينة قوله في آخر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ولورثة قرابة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أنّ الطبقة المتأخّرة تتلقّى المنافع إرثاً ، لا من الواقف</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إمّا على كون الدوام والانقطاع في الوقف تابعين للموقوف عليهم بحسب الواقع ، فإن كان الموقوف عليهم عنواناً لا ينقرض كان دائماً ، وإلاّ كان منقطعاً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أنّ تحقّق الدوام والانقطاع تابع للذكر حال الإنشاء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كذا ، وإذا انقرض فعلى كذا إلى أن يرث اللّه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أوقاف المعصومين </w:t>
      </w:r>
      <w:r>
        <w:rPr>
          <w:rStyle w:val="FootnoteAnchor"/>
          <w:rtl w:val="true"/>
        </w:rPr>
        <w:footnoteReference w:id="586"/>
      </w:r>
      <w:r>
        <w:rPr>
          <w:rFonts w:ascii="Amiri" w:hAnsi="Amiri" w:eastAsia="Amiri" w:cs="Amiri"/>
          <w:color w:val="111111"/>
          <w:sz w:val="28"/>
          <w:sz w:val="28"/>
          <w:szCs w:val="28"/>
          <w:rtl w:val="true"/>
          <w:lang w:bidi="ar-SA"/>
        </w:rPr>
        <w:t xml:space="preserve">، أو تقوم قرينة على إرادة ذلك ، كما إذا وقف على عنوان معلوم البقاء ، والمنقطع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الوقف على طبقة خاصّة ، أو على عنوان ينقرض ، منقطعاً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أنّ الدوام والانقطاع هاهنا نظيرهما في النكاح ، وأنّ المراد بالانقطاع هو الوقف إلى مدّة ، وبالدوام خلافه ، سواء كان الموقوف عليه باقياً أم لا،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التقسيم باعتبار نفس الوقف ، لا الموقوف عليه ، فكما أنّ النكاح بلا ذكر الأجل يكون دائماً ، مع ضرورية عدم دوام الزوجين ، ومقابله ما ذكر فيه الأجل ، كذلك الوقف ، فلا يلاحظ دوام الموقوف عليه وعدمه ، </w:t>
      </w:r>
    </w:p>
    <w:p>
      <w:pPr>
        <w:pStyle w:val="BookText"/>
        <w:rPr/>
      </w:pPr>
      <w:r>
        <w:rPr>
          <w:rFonts w:ascii="Amiri" w:hAnsi="Amiri" w:eastAsia="Amiri" w:cs="Amiri"/>
          <w:color w:val="111111"/>
          <w:sz w:val="28"/>
          <w:sz w:val="28"/>
          <w:szCs w:val="28"/>
          <w:rtl w:val="true"/>
          <w:lang w:bidi="ar-SA"/>
        </w:rPr>
        <w:t xml:space="preserve">ولا ذكر الدوام وعدمه ، بل المعتبر في الدائم عدم التقييد بالأجل والمدّة ، فيكون الوقف على الطبقة الاُولى ، غير منقطع إذا لم يتقيّد بالمدّة ، وعلى عنوان باقٍ إلى الأبد ، منقطعاً إذا تقيّد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والفقهاء حيث عنونوا شرائط الوقف ، جعلوا منها الدوام ، وجعلوا مقابله ما اقترن بمدّة</w:t>
      </w:r>
      <w:r>
        <w:rPr>
          <w:rStyle w:val="FootnoteAnchor"/>
          <w:rtl w:val="true"/>
        </w:rPr>
        <w:footnoteReference w:id="587"/>
      </w:r>
      <w:r>
        <w:rPr>
          <w:rFonts w:ascii="Amiri" w:hAnsi="Amiri" w:eastAsia="Amiri" w:cs="Amiri"/>
          <w:color w:val="111111"/>
          <w:sz w:val="28"/>
          <w:sz w:val="28"/>
          <w:szCs w:val="28"/>
          <w:rtl w:val="true"/>
          <w:lang w:bidi="ar-SA"/>
        </w:rPr>
        <w:t>، ثمّ عنونوا مسألة اُخرى ، وهي أ نّه لو وقف على من ينقرض غالباً ، ولم يذكر المصرف</w:t>
      </w:r>
      <w:r>
        <w:rPr>
          <w:rStyle w:val="FootnoteAnchor"/>
          <w:rtl w:val="true"/>
        </w:rPr>
        <w:footnoteReference w:id="588"/>
      </w:r>
      <w:r>
        <w:rPr>
          <w:rFonts w:ascii="Amiri" w:hAnsi="Amiri" w:eastAsia="Amiri" w:cs="Amiri"/>
          <w:color w:val="111111"/>
          <w:sz w:val="28"/>
          <w:sz w:val="28"/>
          <w:szCs w:val="28"/>
          <w:rtl w:val="true"/>
          <w:lang w:bidi="ar-SA"/>
        </w:rPr>
        <w:t xml:space="preserve">، فاختلفوا في كونه وقفاً أو حبساً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ذلك ، أنّ الدوام المقابل لذكر المدّة من شرائط الوقف ، وادّعي عليه الإجماع ، وكذا على بطلان مقابله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الوقف على من ينقرض غالباً ، فمحلّ خلاف في أ نّه حبس ، أو وقف ، ونسب إلى المشهور أ نّه وقف</w:t>
      </w:r>
      <w:r>
        <w:rPr>
          <w:rStyle w:val="FootnoteAnchor"/>
          <w:rtl w:val="true"/>
        </w:rPr>
        <w:footnoteReference w:id="590"/>
      </w:r>
      <w:r>
        <w:rPr>
          <w:rFonts w:ascii="Amiri" w:hAnsi="Amiri" w:eastAsia="Amiri" w:cs="Amiri"/>
          <w:color w:val="111111"/>
          <w:sz w:val="28"/>
          <w:sz w:val="28"/>
          <w:szCs w:val="28"/>
          <w:rtl w:val="true"/>
          <w:lang w:bidi="ar-SA"/>
        </w:rPr>
        <w:t>، وأمّا البطلان فلم يعرف قائله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الظاهر من الوقف في الرواية ،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غير منقطع حتّى بناءً على الاحتمال الثاني ، مع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ضعيف ؛ لأنّ القرينة المدّعاة</w:t>
      </w:r>
      <w:r>
        <w:rPr>
          <w:rStyle w:val="FootnoteAnchor"/>
          <w:rtl w:val="true"/>
        </w:rPr>
        <w:footnoteReference w:id="592"/>
      </w:r>
      <w:r>
        <w:rPr>
          <w:rFonts w:ascii="Amiri" w:hAnsi="Amiri" w:eastAsia="Amiri" w:cs="Amiri"/>
          <w:color w:val="111111"/>
          <w:sz w:val="28"/>
          <w:sz w:val="28"/>
          <w:szCs w:val="28"/>
          <w:rtl w:val="true"/>
          <w:lang w:bidi="ar-SA"/>
        </w:rPr>
        <w:t xml:space="preserve">غير ظاهرة فيما ذكر ، لاحتمال أن يكون التوريث مربوطاً بالثلاثمائة ، لا بجميع المنافع ، </w:t>
      </w:r>
    </w:p>
    <w:p>
      <w:pPr>
        <w:pStyle w:val="BookText"/>
        <w:rPr/>
      </w:pPr>
      <w:r>
        <w:rPr>
          <w:rFonts w:ascii="Amiri" w:hAnsi="Amiri" w:eastAsia="Amiri" w:cs="Amiri"/>
          <w:color w:val="111111"/>
          <w:sz w:val="28"/>
          <w:sz w:val="28"/>
          <w:szCs w:val="28"/>
          <w:rtl w:val="true"/>
          <w:lang w:bidi="ar-SA"/>
        </w:rPr>
        <w:t xml:space="preserve">بل لعلّ هذا أظهر من لفظ الرواية عند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التوريث هاهنا كالتوريث في الموصى له ، لم يرد منه الوراثة المصطلحة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جعل العنوان موضوعاً للحكم ، أ نّه لم يكن مشيراً إلى الأفراد الموجودة في الخارج ، مثل القضيّة الخارجية على بعض المسالك</w:t>
      </w:r>
      <w:r>
        <w:rPr>
          <w:rStyle w:val="FootnoteAnchor"/>
          <w:rtl w:val="true"/>
        </w:rPr>
        <w:footnoteReference w:id="593"/>
      </w:r>
      <w:r>
        <w:rPr>
          <w:rFonts w:ascii="Amiri" w:hAnsi="Amiri" w:eastAsia="Amiri" w:cs="Amiri"/>
          <w:color w:val="111111"/>
          <w:sz w:val="28"/>
          <w:sz w:val="28"/>
          <w:szCs w:val="28"/>
          <w:rtl w:val="true"/>
          <w:lang w:bidi="ar-SA"/>
        </w:rPr>
        <w:t xml:space="preserve">، فيكون الموقوف عليهم قرابة الأب وقرابة الاُمّ من الواقف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 كونه من المنقطع حتّى على فرض كون الوقف على من ينقرض غالباً منقطعاً ، غير معلوم ؛ لأنّ انقراض قرابة أبيه واُمّه غير معلوم ، ولا دليل على كونها منقرضة غالباً ، لو لم يكن المعلوم أنّ الغالب في طائفة أو طائفتين عدم الانقراض ، فلم تكن الرواية ظاهرة في المنقطع حتّى على الاحتمال المرجوح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صدر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الجواب والأسئلة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بصدد بيان الوقف ، بل المقصود استفهام صحّة الوصيّة ، فلا إطلاق فيه ، فيحتمل أن يكون الوقف قد ذكر فيه التأبيد إلى أن يرث اللّه الأرض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هذا الاحتمال ، لو كان حكم المؤبّد والمنقطع مختلفين ، لكان على الإمام عليه السلام الاستفصال عند السؤال عن جواز البيع ، فالرواية ظاهرة في جوازه في خصوص الدائم ، أو في أعمّ منه ومن المنقطع </w:t>
      </w:r>
      <w:r>
        <w:rPr>
          <w:rFonts w:eastAsia="Amiri" w:cs="Amiri" w:ascii="Amiri" w:hAnsi="Amiri"/>
          <w:color w:val="111111"/>
          <w:sz w:val="28"/>
          <w:szCs w:val="28"/>
          <w:rtl w:val="true"/>
          <w:lang w:bidi="ar-SA"/>
        </w:rPr>
        <w:t xml:space="preserve">. </w:t>
      </w:r>
      <w:bookmarkStart w:id="283" w:name="pg15209_203890"/>
    </w:p>
    <w:p>
      <w:pPr>
        <w:pStyle w:val="BookText"/>
        <w:rPr/>
      </w:pPr>
      <w:bookmarkEnd w:id="283"/>
      <w:r>
        <w:rPr>
          <w:rFonts w:ascii="Amiri" w:hAnsi="Amiri" w:eastAsia="Amiri" w:cs="Amiri"/>
          <w:color w:val="111111"/>
          <w:sz w:val="28"/>
          <w:sz w:val="28"/>
          <w:szCs w:val="28"/>
          <w:rtl w:val="true"/>
          <w:lang w:bidi="ar-SA"/>
        </w:rPr>
        <w:t xml:space="preserve">نعم ، الظاهر منها أنّ الجواز مشروط بكون البيع خيراً لهم ، والمناقشة فيه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البيع ؛ لأجل احتياجهم إلى صرف ثمن أصل الوقف ، أو إلى تبديله بما يكفي لمصارفهم ، ويكون أنفع لهم ، فغير ظاهر منها ، وإن كان فرض تبديل ما لا يكفيهم بما هو كافٍ لهم من حيث المنفعة ، من الاُمور النادرة ، ولهذا لا يبعد أن يستظهر منه ، أنّ المراد صرف أصل الثمن ، أو الكسب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لهذه الرواية على جواز البيع بمجرّد كون البدل أنفع وأعود فقط ، بعد مسبوقيته بالاحتياج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الإطلاق </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2974489_2142443653"/>
      <w:bookmarkStart w:id="285" w:name="_Toc100"/>
      <w:bookmarkEnd w:id="284"/>
      <w:r>
        <w:rPr>
          <w:rtl w:val="true"/>
        </w:rPr>
        <w:t>الاستدلال بمكاتبة الحميري على جواز البيع عند الأنفعية</w:t>
      </w:r>
      <w:bookmarkEnd w:id="285"/>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الحميري ، عن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عليه السلام خبر مأثور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الوقف على قوم بأعيانهم وأعقابهم ، فاجتمع أهل الوقف على بيعه ، وكان ذلك أصلح ، لهم أن يبيعوه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يجوز أن يشترى من بعضهم إن لم يجتمعوا كلّهم على البيع ، أم لا يجوز إلاّ أن يجتمعوا كلّهم على ذلك ؟ وعن الوقف الذي لا يجوز بيعه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الوقف على إمام المسلمين ، فلا يجوز بيعه ، وإذا كان على قوم من المسلمين ، فليبع كلّ قوم ما يقدرون على بيعه ؛ مجتمعين ومتفرّقين إن شاء اللّه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من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الخاصّ حاله كالملك، يجوز بيعه بلا شرط وقيد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قيد الأصلح الذي في الصدر ، مفروض في الذيل أيضاً ، والكلام في الذيل مبنيّ على فرض القيد ، وإلاّ كان ردّاً للرواية ، وتكذيباً لها ، وعليه كان اللازم التنبيه على عدم صدورها عن الصادق عليه السلام بهذا القيد ، فيدلّ على جواز البيع بقيد الأصلح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لم يكن بصدد بيان خصوصيات الرواية المنقولة عن الصادق عليه السلام ، بل كان بصدد السؤال عن خصوصية واحدة فيها ، وهي جواز البيع حال الاجتماع ، وأنّ الاجتماع هل هو دخيل في الصحّة أو لا ؟ فترك بعض 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عروض مسوّغ 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بعد ما لم يكن في مقام نقل الرواية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خصوصية كون البيع 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دخالتها فيما هو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 نّه بصدد بيان خصوصيات الرواية ، وهو محتمل ، وإن كان لا يخلو من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عدم كونه في مقام نقلها بخصوصياتها ، لم يكن للذيل أيضاً إطلاق ؛ لكونها بصدد الجواب عن تلك الخصوصية ، فلا يدفع به احتمال كون جواز البيع موقوفاً على عروض بعض المسوّغات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الإطلاق في الذيل ، يقيّد بكونه أصلح لهم ؛ بمقتضى الصدر ،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حيّان ؛ بناءً على أنّ الخير بمعنى الأنفع والأعود ، فلا بدّ من لحاظ قيدين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الأصلحية ، والأنفعية ؛ فإنّ بين العنوانين عموماً من 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أعمّ من الأصلح والأنفع ، يقيّد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الميزان في الجواز هو الأصلحية ، لا الأنفعية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ذيل المكاتبة كان مبنيّاً على القيد الذي في صدرها ، فيكون متقيّداً بالأصلح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بين العنوانين عموماً من وجه ، فاللازم تقييد إطلاق كلّ من ذيلها وذيل رواية ابن حيّان بمفهوم الآخر ، فلا بدّ من اعتبار القيدين ، ولو كان الخير أعمّ كان الميزان الأصلحية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عليه السلام في المكاتبة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الوقف على قوم بأعيانهم وأعقابهم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أعقاب كلّ فرد من الأعيان ، حتّى يكون الوقف نسلاً بعد نسل ، وأن يكون المراد عقب كلّ فرد ، ويكون الجمع باعتبار المقابلة بالجمع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يحتمل أن يكون الوقف كالسابق ؛ بأن يراد جنس العقب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شخص العقب ، ويكون الوقف على قوم وعقبهم بلا 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ترجيح الاحتمال الأخير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فاجتمع أهل الوقف على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أنّ الموقوف عليهم منحصرون بهذا المجتمع ، فيكون الوقف على المنقرض قطعاً ، فحينئذٍ يكون المراد من قوله عليه السلام في الذيل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الموجودين ، لا عنواناً قابلاً للانطباق على أعيان آخرين حال وجودهم ، فتدلّ الرواية على جواز البيع في هذه الصورة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التفصيل بين إمام المسلمين وبين قوم من المسلمين ، تفصيل بين الوقف العامّ والخاصّ ، لكنّه غير معلوم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التفصيل بين الوقف على شخص الإمام عليه السلام ، وبين الوقف على قوم خاصّين حاضرين ؛ لأنّ المراد بإمام المسلمين إمّا عنوان الإمام ؛ أي الرئيس ، أعمّ من الإمام الأصل ، فيكون المقصود التفصيل بين الوقف العامّ والخاصّ ؛ بذكر مصداق من العامّ ، على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شخص الإمام عليه السلام ، فيكون التفصيل في الوقف الخاصّ بين ما إذا كان الموقوف عليه الإمام عليه السلام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جهات اُخر ، لا داعي للتعرّض لها بعد كون الروايتين ضعيفتين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فبجعفر بن حيّان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لم يعلم أنّ تلك المكاتبات كانت بواسطة واحدة هي أحد النوّاب أو وكلاء الناحية المقدّسة ، أو بوسائط مجهولة عندنا ، ولا يدلّ 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كاتب صاحب الأمر عليه السلام ، وسأله مسائل في أبواب الشريعة</w:t>
      </w:r>
      <w:r>
        <w:rPr>
          <w:rStyle w:val="FootnoteAnchor"/>
          <w:rtl w:val="true"/>
        </w:rPr>
        <w:footnoteReference w:id="595"/>
      </w:r>
      <w:r>
        <w:rPr>
          <w:rFonts w:ascii="Amiri" w:hAnsi="Amiri" w:eastAsia="Amiri" w:cs="Amiri"/>
          <w:color w:val="111111"/>
          <w:sz w:val="28"/>
          <w:sz w:val="28"/>
          <w:szCs w:val="28"/>
          <w:rtl w:val="true"/>
          <w:lang w:bidi="ar-SA"/>
        </w:rPr>
        <w:t xml:space="preserve">على شهادته بأنّ هذا الجواب منه روحي فداه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وقعت هذه المسائل إليّ في أصلها ، والتوقيعات بين السطور</w:t>
      </w:r>
      <w:r>
        <w:rPr>
          <w:rStyle w:val="FootnoteAnchor"/>
          <w:rtl w:val="true"/>
        </w:rPr>
        <w:footnoteReference w:id="596"/>
      </w:r>
      <w:r>
        <w:rPr>
          <w:rFonts w:ascii="Amiri" w:hAnsi="Amiri" w:eastAsia="Amiri" w:cs="Amiri"/>
          <w:color w:val="111111"/>
          <w:sz w:val="28"/>
          <w:sz w:val="28"/>
          <w:szCs w:val="28"/>
          <w:rtl w:val="true"/>
          <w:lang w:bidi="ar-SA"/>
        </w:rPr>
        <w:t xml:space="preserve">لم يتّضح منه أ نّها بخطّه المبارك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الاعتماد على الروايتين مع ضعفهما ، ومخالفتهما للقواعد المحكمة ، وعدم العامل بهما أو قلّته </w:t>
      </w:r>
      <w:r>
        <w:rPr>
          <w:rFonts w:eastAsia="Amiri" w:cs="Amiri" w:ascii="Amiri" w:hAnsi="Amiri"/>
          <w:color w:val="111111"/>
          <w:sz w:val="28"/>
          <w:szCs w:val="28"/>
          <w:rtl w:val="true"/>
          <w:lang w:bidi="ar-SA"/>
        </w:rPr>
        <w:t xml:space="preserve">. </w:t>
      </w:r>
      <w:bookmarkStart w:id="286" w:name="pg15209_203894"/>
    </w:p>
    <w:p>
      <w:pPr>
        <w:pStyle w:val="Heading6"/>
        <w:numPr>
          <w:ilvl w:val="5"/>
          <w:numId w:val="1"/>
        </w:numPr>
        <w:rPr/>
      </w:pPr>
      <w:bookmarkStart w:id="287" w:name="__RefHeading___Toc2974491_2142443653"/>
      <w:bookmarkStart w:id="288" w:name="_Toc101"/>
      <w:bookmarkEnd w:id="286"/>
      <w:bookmarkEnd w:id="287"/>
      <w:r>
        <w:rPr>
          <w:rtl w:val="true"/>
        </w:rPr>
        <w:t>الاستدلال بصحيحة ابن مهزيار وجوابه</w:t>
      </w:r>
      <w:bookmarkEnd w:id="288"/>
    </w:p>
    <w:p>
      <w:pPr>
        <w:pStyle w:val="BookText"/>
        <w:rPr/>
      </w:pPr>
      <w:r>
        <w:rPr>
          <w:rFonts w:ascii="Amiri" w:hAnsi="Amiri" w:eastAsia="Amiri" w:cs="Amiri"/>
          <w:color w:val="111111"/>
          <w:sz w:val="28"/>
          <w:sz w:val="28"/>
          <w:szCs w:val="28"/>
          <w:rtl w:val="true"/>
          <w:lang w:bidi="ar-SA"/>
        </w:rPr>
        <w:t>وربّما يتمسّك للمطلوب بصحيحة علي بن مهزيار</w:t>
      </w:r>
      <w:r>
        <w:rPr>
          <w:rStyle w:val="FootnoteAnchor"/>
          <w:rtl w:val="true"/>
        </w:rPr>
        <w:footnoteReference w:id="5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ابتاع ضيعة فأوقفها ، وجعل لك في الوقف الخمس ، ويسأل عن رأيك في بيع حصّتك من الأرض ، أو تقويمها على نفسه بما اشتراها ، أو يدعها موقفة ؟</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فلاناً أ نّي آمره ببيع حقّي من الضيعة ، وإيصال ثمن ذلك إليّ ، وأنّ ذلك رأيي إن شاء اللّه ، أو يقوّمها على نفسه إن كان ذلك أوفق له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 أ نّه جعل تمام الضيعة وقفاً ، وجعل خمسها وقفاً له ، ولمّا كانت إجازة البيع بلا عروض عارض خلاف الضرورة ، فلا محالة تكون لعارض ، ولا شيء إلاّ كون البيع أنفع وأعود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الشائع عدم الوقف لشخص خاصّ فقط ، كان الوقف عليه وعلى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بعده ، أو أنساله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 ، ومعه يجب الاستفصال مع اختلاف الحال ، وبدونه تدلّ على الجواز في غير المنقطع أيضاً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الدوام والانقطاع من حالات الوقف ، لا الموقوف عليه</w:t>
      </w:r>
      <w:r>
        <w:rPr>
          <w:rStyle w:val="FootnoteAnchor"/>
          <w:rtl w:val="true"/>
        </w:rPr>
        <w:footnoteReference w:id="599"/>
      </w:r>
      <w:r>
        <w:rPr>
          <w:rFonts w:ascii="Amiri" w:hAnsi="Amiri" w:eastAsia="Amiri" w:cs="Amiri"/>
          <w:color w:val="111111"/>
          <w:sz w:val="28"/>
          <w:sz w:val="28"/>
          <w:szCs w:val="28"/>
          <w:rtl w:val="true"/>
          <w:lang w:bidi="ar-SA"/>
        </w:rPr>
        <w:t xml:space="preserve">، فما لم يقيّد بوقت فهو دائم ولو كان الموقوف عليه ممّن ينقرض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الوقف غير تامّ ؛ لعدم القبول المعتبر في الأوقاف الخاصّة أوّلاً ، وعدم تحقّق القبض ثانياً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عدم اعتبار القبول مطلقاً ، كما تقدّم</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إجازة البيع قبول للوقف ، وإجازة كون من وكّله في البيع مستولياً على الوقف قبل بيعه ، قبض منه مع الوسط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إجازته للبيع غير معلوم ، فربّما كان ذلك لأجل كون الضيعة أو خمسها له بحسب الواقع ، وكانت تحت يد الغير غصباً ، وعدم ذكره لذلك لعلّه لمصلحة ، أو لمفسدة في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لأجل ضرورة شديدة ، أو لكون الضيعة في معرض الخراب ، أو لعدم إمكان الانتفاع بحصّته في جهة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لاحتماله عليه السلام حصول مخالفة شديدة بينه وبين سائر الشركاء ؛ بما تستباح منها الدماء ، أو علمه بذلك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لكون مجرّد مخالفتهم معه ، إزراء بمقام الإمامة الذي يجب حفظه كيفما كان ، أو لكونه أعود وأنفع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فلا ينحصر الاحتمال في الأخير الذي هو مبنى الاستدلال ، فما لم يجمع جميع الاحتمالات لا يصحّ التمسّك بها للجواز ، ومع اجتماع الاحتمالات لا شبهة فيه </w:t>
      </w:r>
      <w:r>
        <w:rPr>
          <w:rFonts w:eastAsia="Amiri" w:cs="Amiri" w:ascii="Amiri" w:hAnsi="Amiri"/>
          <w:color w:val="111111"/>
          <w:sz w:val="28"/>
          <w:szCs w:val="28"/>
          <w:rtl w:val="true"/>
          <w:lang w:bidi="ar-SA"/>
        </w:rPr>
        <w:t xml:space="preserve">. </w:t>
      </w:r>
      <w:bookmarkStart w:id="289" w:name="pg15209_203896"/>
    </w:p>
    <w:p>
      <w:pPr>
        <w:pStyle w:val="Heading6"/>
        <w:numPr>
          <w:ilvl w:val="5"/>
          <w:numId w:val="1"/>
        </w:numPr>
        <w:rPr/>
      </w:pPr>
      <w:bookmarkStart w:id="290" w:name="__RefHeading___Toc2974493_2142443653"/>
      <w:bookmarkStart w:id="291" w:name="_Toc102"/>
      <w:bookmarkEnd w:id="289"/>
      <w:bookmarkEnd w:id="290"/>
      <w:r>
        <w:rPr>
          <w:rtl w:val="true"/>
        </w:rPr>
        <w:t>الصورة الثالثة أن يشترط الواقف بيعه لجهة من الجهات حسب ما يشترط</w:t>
      </w:r>
      <w:bookmarkEnd w:id="291"/>
    </w:p>
    <w:p>
      <w:pPr>
        <w:pStyle w:val="Heading6"/>
        <w:numPr>
          <w:ilvl w:val="5"/>
          <w:numId w:val="1"/>
        </w:numPr>
        <w:rPr/>
      </w:pPr>
      <w:bookmarkStart w:id="292" w:name="__RefHeading___Toc2974495_2142443653"/>
      <w:bookmarkStart w:id="293" w:name="_Toc103"/>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ويراد بالشرط في المقام ، معنىً أعمّ من الشرط المصطلح ؛ أي مطلق القرار والجعل ، فإنّ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الإيقاعات لا يحتاج إلى القبول</w:t>
      </w:r>
      <w:r>
        <w:rPr>
          <w:rStyle w:val="FootnoteAnchor"/>
          <w:rtl w:val="true"/>
        </w:rPr>
        <w:footnoteReference w:id="602"/>
      </w:r>
      <w:r>
        <w:rPr>
          <w:rFonts w:ascii="Amiri" w:hAnsi="Amiri" w:eastAsia="Amiri" w:cs="Amiri"/>
          <w:color w:val="111111"/>
          <w:sz w:val="28"/>
          <w:sz w:val="28"/>
          <w:szCs w:val="28"/>
          <w:rtl w:val="true"/>
          <w:lang w:bidi="ar-SA"/>
        </w:rPr>
        <w:t>، وإن كان مع نفوذ قراره لا يجوز للموقوف عليهم التخطّي عنه ، وليس دليل نفوذه أدلّة نفوذ الشرط إلاّ على بعض الوجوه ، بل الدليل هو قاعدة تسلّط الناس على أموالهم</w:t>
      </w:r>
      <w:r>
        <w:rPr>
          <w:rStyle w:val="FootnoteAnchor"/>
          <w:rtl w:val="true"/>
        </w:rPr>
        <w:footnoteReference w:id="603"/>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قد يقف على شخص أو أشخاص ، ويشترط عليهم أن يبيعوه عند عروض عارض ، ويعملوا في ثمنه بما اشترط ، فلا بدّ في نفوذه عليهم من القبول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الشرط في مثله عن كونه من الشروط الابتدائية كما لا يبعد ، وحينئذٍ يكون دليل النفوذ أدلّة الشروط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لازم عدّ هذه الصورة في قبال سائر المسوّغات ، أن يكون الشرط غير عروض بعض المسوّغات ، أو أعمّ منها ، وإلاّ كان المسوّغ هو العارض </w:t>
      </w:r>
      <w:bookmarkStart w:id="294" w:name="pg15209_203897"/>
    </w:p>
    <w:p>
      <w:pPr>
        <w:pStyle w:val="BookText"/>
        <w:rPr/>
      </w:pPr>
      <w:bookmarkEnd w:id="294"/>
      <w:r>
        <w:rPr>
          <w:rFonts w:ascii="Amiri" w:hAnsi="Amiri" w:eastAsia="Amiri" w:cs="Amiri"/>
          <w:color w:val="111111"/>
          <w:sz w:val="28"/>
          <w:sz w:val="28"/>
          <w:szCs w:val="28"/>
          <w:rtl w:val="true"/>
          <w:lang w:bidi="ar-SA"/>
        </w:rPr>
        <w:t xml:space="preserve">الكذائي ، لا الشرط ، ولو رجع إلى إلزام الغير بالبيع بواسطة الشرط ، لخرج عن صور مسوّغات بيع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يشترط بيعه ورجوع ثمنه إلى نفسه ، أو إلى بعض متعلّقيه غير الموقوف عليهم ، وقد يشترط رجوعه إلى الطبقة الاُولى ، أو بعض من فيها ، وقد يشترط شراء غيره بثمنه للموقوف عليهم </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2974497_2142443653"/>
      <w:bookmarkStart w:id="296" w:name="_Toc104"/>
      <w:bookmarkEnd w:id="295"/>
      <w:r>
        <w:rPr>
          <w:rtl w:val="true"/>
        </w:rPr>
        <w:t>عدم مخالفة الاشتراط لماهية الوقف</w:t>
      </w:r>
      <w:bookmarkEnd w:id="296"/>
    </w:p>
    <w:p>
      <w:pPr>
        <w:pStyle w:val="BookText"/>
        <w:rPr/>
      </w:pPr>
      <w:r>
        <w:rPr>
          <w:rFonts w:ascii="Amiri" w:hAnsi="Amiri" w:eastAsia="Amiri" w:cs="Amiri"/>
          <w:color w:val="111111"/>
          <w:sz w:val="28"/>
          <w:sz w:val="28"/>
          <w:szCs w:val="28"/>
          <w:rtl w:val="true"/>
          <w:lang w:bidi="ar-SA"/>
        </w:rPr>
        <w:t xml:space="preserve">فيقع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اشتراط البيع مطلقاً مخالف لماهية الوقف ومقتضاه الذاتي ، أم لا ؟</w:t>
      </w:r>
    </w:p>
    <w:p>
      <w:pPr>
        <w:pStyle w:val="BookText"/>
        <w:rPr/>
      </w:pPr>
      <w:r>
        <w:rPr>
          <w:rFonts w:ascii="Amiri" w:hAnsi="Amiri" w:eastAsia="Amiri" w:cs="Amiri"/>
          <w:color w:val="111111"/>
          <w:sz w:val="28"/>
          <w:sz w:val="28"/>
          <w:szCs w:val="28"/>
          <w:rtl w:val="true"/>
          <w:lang w:bidi="ar-SA"/>
        </w:rPr>
        <w:t>مقتضى ما قدّمناه من أنّ بيع الوقف ليس مخالفاً لمقتضاه</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ماهيته هي الإيقاف على الموقوف عليهم بحيث لا يتعدّاهم وهو المراد من حبس العين وتسبيل الثمرة ، وأمّا الحبس بمعنى الممنوعية عن البيع ، فليس مأخوذاً في الماهية ، وكذا التأبيد بمعنى تقييد الماهية به ، لا يعتبر فيها ، بل المؤبّد في مقابل المنقطع الذي له أمد ووقت ، كالنكاح المؤبّد الذي لا ينافيه الطلاق أو الفسخ ، فالوقف إذا لم يذكر فيه أمد يكون مؤبّداً ، وهو لا ينافي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الاشتراط أيضاً لا يكون مخالفاً لذاته ، ولا لمقتضاه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التأبيد قيد له ومأخوذ فيه ، والوقف ما يؤخذ فيه التأبيد إلى أن يرث اللّه الأرض كما قيل ، فشرط البيع منافٍ له في جميع الصور المتقدّمة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شرط رجوع الثمن إليه أو إلى غير الموقوف عليهم ؛ فلأنّ لازمه </w:t>
      </w:r>
    </w:p>
    <w:p>
      <w:pPr>
        <w:pStyle w:val="BookText"/>
        <w:rPr/>
      </w:pPr>
      <w:r>
        <w:rPr>
          <w:rFonts w:ascii="Amiri" w:hAnsi="Amiri" w:eastAsia="Amiri" w:cs="Amiri"/>
          <w:color w:val="111111"/>
          <w:sz w:val="28"/>
          <w:sz w:val="28"/>
          <w:szCs w:val="28"/>
          <w:rtl w:val="true"/>
          <w:lang w:bidi="ar-SA"/>
        </w:rPr>
        <w:t xml:space="preserve">أن يكون الوقف منقطعاً إلى زمان عروض العارض ، فلا يكون مؤبّداً ، فالشرط حينئذٍ مخالف لمقتضاه ، وموجب لبطلانه ؛ ضرورة أنّ المؤبّد لا يتحقّق ، والمنقطع ليس وقفاً على الفرض ، فهل يقع حبساً أو يبطل ؟ فيه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فيما إذا جعل الثمن للطبقة الاُولى ، أو بعض 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شرط شراء عين بدله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فيه ؛ لأنّ عقد الوقف لا يتعلّق بنفس الخصوصية العينية ، وإلاّ لما صحّ بيعها عند طروّ الخراب ، بل يتعلّق بأعمّ منها ومن ماليتها طولاً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اشترط التبديل ، فمرجعه إلى جعل الوقف متعلّقاً بالجامع بين المال وبدله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الجامع ليس ملكاً ، وما هو ملك له بالفعل هو العين ، والجامع الموجود بها المتحقّق بتحقّقها ، غير قابل للصدق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نفوذ الشرط في طول الوقف ، ولا يعقل أن يكون الجامع العرضي وقفاً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تعلّق بالعين ، وبدليل الشرط يتحقّق الوقف في البدل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خروج عن المبنى ؛ وهو تعلّق الوقف بالجامع ، مع أ نّه يصير بالنسبة إلى العين من الوقف المنقطع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الجامع بينهما إن كان المالية كما هو ظاهره ، فهي غير صالحة للوقفية ؛ لأنّ المالية ليست لها ثمرة للتسبيل ، بل هي أمر اعتباري عقلائي ، والأعيان هي التي لها ثمرة ومنفعة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يجاب عمّا ذكره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العين إذا كانت محبوسة بشخصها عند الإطلاق ، وبماليتها عند الاشتراط ، فالشرط منافٍ لإطلاق الوقف ، لا لذاته ، فالاشتراط قرينة على التوسعة في الحبس ، وأ نّه متعلّق بمالية العين ، لا بشخصها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إن كان المراد أنّ الوقف متعلّق بالمالية لا بالعين ، فهي غير صالحة للوقف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تعلّقه بالعين بما هي مال ، فالبدل وماليته غير العين عرفاً وعقلاً ، فعلى فرض تسليم ما ذكر ، تكون العين موقوفة إلى زمان البيع ، وبعده يكون البدل موقوفاً بدليل الشرط ، فيكون الوقف بالنسبة إلى العين من المنقطع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يرجع إلى حفظ الوقف عرفاً بما هو مال</w:t>
      </w:r>
      <w:r>
        <w:rPr>
          <w:rStyle w:val="FootnoteAnchor"/>
          <w:rtl w:val="true"/>
        </w:rPr>
        <w:footnoteReference w:id="608"/>
      </w:r>
      <w:r>
        <w:rPr>
          <w:rFonts w:ascii="Amiri" w:hAnsi="Amiri" w:eastAsia="Amiri" w:cs="Amiri"/>
          <w:color w:val="111111"/>
          <w:sz w:val="28"/>
          <w:sz w:val="28"/>
          <w:szCs w:val="28"/>
          <w:rtl w:val="true"/>
          <w:lang w:bidi="ar-SA"/>
        </w:rPr>
        <w:t xml:space="preserve">، لا يرجع إلى محصّل ؛ فإنّه إن تعلّق الوقف بالعين ، فهي لا تكون محفوظة ؛ لا عرفاً ، ولا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تعلّق بماليتها ، فهي وإن كانت محفوظة بوجه مسامحي ، لكن أصل الوقف باطل ، فلو قال الواقف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مالية هذا الشيء ،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باطلاً بلا شبهة وإشكال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بصحّة الوقف المنقطع الآخر ، يصحّ في جميع الصور ، وإلاّ فلا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الشرط والقرار إذا رجع إلى محدودية الوقف ، فلا إشكال في صحّته </w:t>
      </w:r>
    </w:p>
    <w:p>
      <w:pPr>
        <w:pStyle w:val="BookText"/>
        <w:rPr/>
      </w:pPr>
      <w:r>
        <w:rPr>
          <w:rFonts w:ascii="Amiri" w:hAnsi="Amiri" w:eastAsia="Amiri" w:cs="Amiri"/>
          <w:color w:val="111111"/>
          <w:sz w:val="28"/>
          <w:sz w:val="28"/>
          <w:szCs w:val="28"/>
          <w:rtl w:val="true"/>
          <w:lang w:bidi="ar-SA"/>
        </w:rPr>
        <w:t xml:space="preserve">بناءً على صحّة الوقف المنقطع ، كما هو الأقوى ، وكما لا يكون الشرط حينئذٍ مخالفاً لماهية الوقف ، لا يكون مخالفاً للشرع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شرط بيع الوقف ؛ بحيث يكون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سائر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مسوّغاً للبيع ، من غير أن يرجع إلى المحدودية ، فعلى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عقد بين الواقف والموقوف عليهم</w:t>
      </w:r>
      <w:r>
        <w:rPr>
          <w:rStyle w:val="FootnoteAnchor"/>
          <w:rtl w:val="true"/>
        </w:rPr>
        <w:footnoteReference w:id="609"/>
      </w:r>
      <w:r>
        <w:rPr>
          <w:rFonts w:ascii="Amiri" w:hAnsi="Amiri" w:eastAsia="Amiri" w:cs="Amiri"/>
          <w:color w:val="111111"/>
          <w:sz w:val="28"/>
          <w:sz w:val="28"/>
          <w:szCs w:val="28"/>
          <w:rtl w:val="true"/>
          <w:lang w:bidi="ar-SA"/>
        </w:rPr>
        <w:t xml:space="preserve">، يكون الشرط عليهم شرطاً مصطلحاً ، وحينئذٍ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أدلّة حرمة بيع الوقف ، فلا إشكال في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الوقف فيبنى على كون الشرط الفاسد مفسداً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المناقشة في الأدلّة كما فصّلناه سابقاً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وتعدّد الاحتمال في أوقاف الأئمّة عليهم السلام ، 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تصدّق موسى بن جعفر عليه السلام بصدقته هذه وهو حيّ صحيح ، صدقة حبساً بتّاً بتلاً مبتوتة ، لا رجعة فيها ولا ردّ ؛ ابتغاء وجه اللّه والدار الآخرة ، لا يحلّ لمؤمن يؤمن باللّه واليوم الآخر أن يبيعها ، ولا يبتاعها ، ولا يهبها ، ولا ينحلها ، ولا يغيّر شيئاً ممّا وصفته عليها ، حتّى يرث اللّه الأرض ومن عليها </w:t>
      </w:r>
      <w:r>
        <w:rPr>
          <w:rFonts w:eastAsia="Amiri" w:cs="Amiri" w:ascii="Amiri" w:hAnsi="Amiri"/>
          <w:color w:val="111111"/>
          <w:sz w:val="28"/>
          <w:szCs w:val="28"/>
          <w:rtl w:val="true"/>
          <w:lang w:bidi="ar-SA"/>
        </w:rPr>
        <w:t>. . .»</w:t>
      </w:r>
      <w:r>
        <w:rPr>
          <w:rStyle w:val="FootnoteAnchor"/>
          <w:rtl w:val="true"/>
        </w:rPr>
        <w:footnoteReference w:id="612"/>
      </w:r>
      <w:r>
        <w:rPr>
          <w:rFonts w:ascii="Amiri" w:hAnsi="Amiri" w:eastAsia="Amiri" w:cs="Amiri"/>
          <w:color w:val="111111"/>
          <w:sz w:val="28"/>
          <w:sz w:val="28"/>
          <w:szCs w:val="28"/>
          <w:rtl w:val="true"/>
          <w:lang w:bidi="ar-SA"/>
        </w:rPr>
        <w:t>إلى آخره ، وغيره</w:t>
      </w:r>
      <w:r>
        <w:rPr>
          <w:rStyle w:val="FootnoteAnchor"/>
          <w:rtl w:val="true"/>
        </w:rPr>
        <w:footnoteReference w:id="613"/>
      </w:r>
      <w:r>
        <w:rPr>
          <w:rFonts w:ascii="Amiri" w:hAnsi="Amiri" w:eastAsia="Amiri" w:cs="Amiri"/>
          <w:color w:val="111111"/>
          <w:sz w:val="28"/>
          <w:sz w:val="28"/>
          <w:szCs w:val="28"/>
          <w:rtl w:val="true"/>
          <w:lang w:bidi="ar-SA"/>
        </w:rPr>
        <w:t xml:space="preserve">ممّا هو بهذا المضمون تقريباً ؛ لاحتمال أن تكون القيود دخيلة في </w:t>
      </w:r>
    </w:p>
    <w:p>
      <w:pPr>
        <w:pStyle w:val="BookText"/>
        <w:rPr/>
      </w:pPr>
      <w:r>
        <w:rPr>
          <w:rFonts w:ascii="Amiri" w:hAnsi="Amiri" w:eastAsia="Amiri" w:cs="Amiri"/>
          <w:color w:val="111111"/>
          <w:sz w:val="28"/>
          <w:sz w:val="28"/>
          <w:szCs w:val="28"/>
          <w:rtl w:val="true"/>
          <w:lang w:bidi="ar-SA"/>
        </w:rPr>
        <w:t xml:space="preserve">الماهية ، وأشار عليه السلام بما هو مأخوذ في ماهيته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تكون بياناً للحكم الشرعي ، لا قيوداً للماهية ، وأنّ حكم الوقف أن لا يباع ولا يوهب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تكون قيوداً وأحكاماً لقسم من الصدقات ، وهي التي تكون 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مشروطة ، بتلاً مبتوتة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منقطعة عن صاحبها ؛ أي الوقف الدائم في قبال المنقطع والمشروط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تكون القيود من مجعولات الواقف ؛ أي جعل الصدقة بتّة مبتوتة بتلاً ، لا تباع ولا توهب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دليل على حرمة بيع الوقف في مورد الشرط ، بل على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ترجيح الاحتمال الأخير في الرواية</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دليلاً على صحّة الشرط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بناءً على بعض الاحتمالات ، يكون بيعه مخالفاً للشرع ، فيكون شرطه باطلاً ، وحينئذٍ كما لا يصحّ التمسّك بدليل الشرط ، لا يصحّ التمسّك بدليل وجوب الوفاء بالعقود ؛ لأ نّها أيضاً متقيّدة بعدم المخالفة للشرع ، وذلك إمّا للمناسبات المغروسة في الأذهان ، وإمّا لاستفادته من أدلّة الشروط بإ لغاء الخصوصية ، أو تعميم الشرط لمطلق القرار كما قيل</w:t>
      </w:r>
      <w:r>
        <w:rPr>
          <w:rStyle w:val="FootnoteAnchor"/>
          <w:rtl w:val="true"/>
        </w:rPr>
        <w:footnoteReference w:id="615"/>
      </w:r>
      <w:r>
        <w:rPr>
          <w:rFonts w:ascii="Amiri" w:hAnsi="Amiri" w:eastAsia="Amiri" w:cs="Amiri"/>
          <w:color w:val="111111"/>
          <w:sz w:val="28"/>
          <w:sz w:val="28"/>
          <w:szCs w:val="28"/>
          <w:rtl w:val="true"/>
          <w:lang w:bidi="ar-SA"/>
        </w:rPr>
        <w:t>، هذا إذا كان الشرط أعمّ من الابتدائي وغيره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297" w:name="pg15209_203902"/>
    </w:p>
    <w:p>
      <w:pPr>
        <w:pStyle w:val="BookText"/>
        <w:rPr/>
      </w:pPr>
      <w:bookmarkEnd w:id="297"/>
      <w:r>
        <w:rPr>
          <w:rFonts w:ascii="Amiri" w:hAnsi="Amiri" w:eastAsia="Amiri" w:cs="Amiri"/>
          <w:color w:val="111111"/>
          <w:sz w:val="28"/>
          <w:sz w:val="28"/>
          <w:szCs w:val="28"/>
          <w:rtl w:val="true"/>
          <w:lang w:bidi="ar-SA"/>
        </w:rPr>
        <w:t>وأمّا لو كان مخصوصاً بالشرط الضمني</w:t>
      </w:r>
      <w:r>
        <w:rPr>
          <w:rStyle w:val="FootnoteAnchor"/>
          <w:rtl w:val="true"/>
        </w:rPr>
        <w:footnoteReference w:id="617"/>
      </w:r>
      <w:r>
        <w:rPr>
          <w:rFonts w:ascii="Amiri" w:hAnsi="Amiri" w:eastAsia="Amiri" w:cs="Amiri"/>
          <w:color w:val="111111"/>
          <w:sz w:val="28"/>
          <w:sz w:val="28"/>
          <w:szCs w:val="28"/>
          <w:rtl w:val="true"/>
          <w:lang w:bidi="ar-SA"/>
        </w:rPr>
        <w:t xml:space="preserve">، فلا يمكن التمسّك بدليل وجوب الوفاء بالعقود في العقد المشروط فيه الشرط المخالف للشرع ؛ إذ يلزم من ذلك لغوية التقييد في دليل الشرط ، هذا بناءً على كون الوقوف من 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من الإيقاعات ، فالدليل على نفوذ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أدلّة الشروط ، بل الدليل إمّا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رجوع الشرط إلى تحديد الوقف وانقطاعه ، دون ما إذا كان راجعاً إلى بيع الوقف ؛ فإنّه لا مجال للتمسّك به لذلك ، إذ ليس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كيفيات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مسلّطون </w:t>
      </w:r>
      <w:r>
        <w:rPr>
          <w:rFonts w:eastAsia="Amiri" w:cs="Amiri" w:ascii="Amiri" w:hAnsi="Amiri"/>
          <w:color w:val="111111"/>
          <w:sz w:val="28"/>
          <w:szCs w:val="28"/>
          <w:rtl w:val="true"/>
          <w:lang w:bidi="ar-SA"/>
        </w:rPr>
        <w:t>. . .»</w:t>
      </w:r>
      <w:r>
        <w:rPr>
          <w:rStyle w:val="FootnoteAnchor"/>
          <w:rtl w:val="true"/>
        </w:rPr>
        <w:footnoteReference w:id="618"/>
      </w:r>
      <w:r>
        <w:rPr>
          <w:rFonts w:ascii="Amiri" w:hAnsi="Amiri" w:eastAsia="Amiri" w:cs="Amiri"/>
          <w:color w:val="111111"/>
          <w:sz w:val="28"/>
          <w:sz w:val="28"/>
          <w:szCs w:val="28"/>
          <w:rtl w:val="true"/>
          <w:lang w:bidi="ar-SA"/>
        </w:rPr>
        <w:t xml:space="preserve">وهو أيضاً غير صالح للتمسّك في المقام ، سواء كان الشرط راجعاً إلى تحديد الوقف ، أم كان راجعاً إلى بيعه ؛ وذلك إمّا لتقييده عقلاً بما قيّد به دليل الشرط ، أو لقصوره عن شمول ما ينافي الشرع انصرافاً ، أو لأجل كون الحكم حيثياً بالنسبة إلى المال ، لا بالنسبة إلى حكم الشرع </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2974499_2142443653"/>
      <w:bookmarkStart w:id="299" w:name="_Toc105"/>
      <w:bookmarkEnd w:id="298"/>
      <w:r>
        <w:rPr>
          <w:rtl w:val="true"/>
        </w:rPr>
        <w:t>دلالة صحيحة ابن الحجّاج على صحّة الشرط</w:t>
      </w:r>
      <w:bookmarkEnd w:id="29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صحّة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الرحمان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بهذه الوصيّة أبو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أوصى به وقضى في ماله عبداللّه عليٌّ </w:t>
      </w:r>
    </w:p>
    <w:p>
      <w:pPr>
        <w:pStyle w:val="BookText"/>
        <w:rPr/>
      </w:pPr>
      <w:r>
        <w:rPr>
          <w:rFonts w:ascii="Amiri" w:hAnsi="Amiri" w:eastAsia="Amiri" w:cs="Amiri"/>
          <w:color w:val="111111"/>
          <w:sz w:val="28"/>
          <w:sz w:val="28"/>
          <w:szCs w:val="28"/>
          <w:rtl w:val="true"/>
          <w:lang w:bidi="ar-SA"/>
        </w:rPr>
        <w:t>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عدّة أملاك له، وجعلها صدقة، وجعل بعضها لبني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 كتبت من أموالي هذه صدقة واجبة بتلة ، حيّاً أنا أو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 تنفق في كلّ نفقة أبتغي بها وجه اللّه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ثمّ عدّ الموقوف عليهم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يقوم على ذلك الحسن بن علي ، يأكل منه بالمعروف ، وينفقه حيث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في حلّ محلّل ، لا حرج عليه فيه ، فإن أراد أن يبيع نصيباً من المال فيقضي به الدين ، فليفعل إن شاء ، لا حرج عليه فيه ، وإن شاء جعله 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 وإنّ ولد علي ومواليهم وأموالهم إلى الحسن بن علي ، وإن كان دار الحسن غير دار الصدقة ، فبدا له أن يبيعها ، فليبعها إن شاء ، لا حرج عليه فيه ، وإن باع فإنّه يقسمها ثلاث</w:t>
      </w:r>
    </w:p>
    <w:p>
      <w:pPr>
        <w:pStyle w:val="BookText"/>
        <w:rPr/>
      </w:pPr>
      <w:r>
        <w:rPr>
          <w:rFonts w:ascii="IRNazanin" w:hAnsi="IRNazanin" w:eastAsia="IRNazanin"/>
          <w:color w:val="111111"/>
          <w:sz w:val="28"/>
          <w:sz w:val="28"/>
          <w:szCs w:val="28"/>
          <w:rtl w:val="true"/>
          <w:lang w:bidi="fa-IR"/>
        </w:rPr>
        <w:t xml:space="preserve">أثلاث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وجد آل أبي طالب قد ذهب كبراؤهم وذووا آرائهم ، فإنّه يجعله في رجل يرضاه من بني هاشم ،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شرط على الذي يجعله إليه أن يترك المال على اُصوله ، وينفق الثمرة حيث أمره به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يباع منه شيء ، ولا يوهب ، ولا يورث </w:t>
      </w:r>
      <w:r>
        <w:rPr>
          <w:rFonts w:eastAsia="Amiri" w:cs="Amiri" w:ascii="Amiri" w:hAnsi="Amiri"/>
          <w:color w:val="111111"/>
          <w:sz w:val="28"/>
          <w:szCs w:val="28"/>
          <w:rtl w:val="true"/>
          <w:lang w:bidi="ar-SA"/>
        </w:rPr>
        <w:t>. .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ينبغي الإشكال في ظهورها صدراً وذيلاً في الوقف ، والحمل على الوصيّة المصطلحة</w:t>
      </w:r>
      <w:r>
        <w:rPr>
          <w:rStyle w:val="FootnoteAnchor"/>
          <w:rtl w:val="true"/>
        </w:rPr>
        <w:footnoteReference w:id="620"/>
      </w:r>
      <w:r>
        <w:rPr>
          <w:rFonts w:ascii="Amiri" w:hAnsi="Amiri" w:eastAsia="Amiri" w:cs="Amiri"/>
          <w:color w:val="111111"/>
          <w:sz w:val="28"/>
          <w:sz w:val="28"/>
          <w:szCs w:val="28"/>
          <w:rtl w:val="true"/>
          <w:lang w:bidi="ar-SA"/>
        </w:rPr>
        <w:t xml:space="preserve">خلاف نصّها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صدقة واجبة بتلة ، حيّاً أنا أو </w:t>
      </w:r>
    </w:p>
    <w:p>
      <w:pPr>
        <w:pStyle w:val="BookText"/>
        <w:rPr/>
      </w:pP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والبتلة بمعنى الانقطاع عن صاحبها ، والخروج عن ملكه في حال حياته ،فلا ينطبق ذلك إلاّ على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ذيلها كالصريح فيه ، فإنّ ترك المال على اُصوله وإنفاق الثمرة ، عبارة اُخرى عن حبس العين وتسبيل الثمرة ،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يوهب ، ولا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الوقف ، فلا إشكال في كونها وقفاً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مورد الاستدلال للمطلوب فقرتان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أراد أن يبيع نصيباً من المال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 ، بناءً على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 الموقوف ، فأجاز بيعه لأداء دينه إن شاء ، وأن يتّخذه ملكاً لنفسه ، ويجعله سريّ ملكه ؛ أي من نفيسه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احتمال آخر ، لا يبعد أن يكون أظهر بحسب سياق الرواية ، وهو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ثمرة الوقف ، فإنّه عليه السلام أجاز أوّلاً أن يأكل منه بالمعروف ، وينفق الباقي على الجهات المعيّنة على حسب الصلاح ، ثمّ وسّع عليه بأ نّه إن أراد بيع نصيب من المال لقضاء دينه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التوسعة في الثمرة ، التي أجاز أكلها بالمعروف ابتداءً ، ولا سيّما مع ذكر النصيب ؛ أي الحظّ والقسمة ، وهو لا يكون إلاّ في الثمرات والمنافع ، ولمّا كان بحسب الطبع غالب منافع الأملاك في ذلك القطر هو الثمرات الحاصلة من النخيل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قوله عليه السلام في الذيل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يترك المال على اُصوله ، وينفق الثمرة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أداء الدين بحسب المتعارف بالنقود ، قال ما قال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لو لم يكن في تلك الفقرة أظهر ، فلا أقلّ من المساواة مع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جعله شراء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يناسب الأمرين ، بل على نسخة الشراء يكون أنسب مع الاحتمال الراجح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دار الحسن غير دار الصدقة ، فبدا له أن يبيعها ، فليبعها إن شاء ، لا حرج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بيع دار الصدقة ؛ أي الموقوفة</w:t>
      </w:r>
      <w:r>
        <w:rPr>
          <w:rStyle w:val="FootnoteAnchor"/>
          <w:rtl w:val="true"/>
        </w:rPr>
        <w:footnoteReference w:id="621"/>
      </w:r>
      <w:r>
        <w:rPr>
          <w:rFonts w:ascii="Amiri" w:hAnsi="Amiri" w:eastAsia="Amiri" w:cs="Amiri"/>
          <w:color w:val="111111"/>
          <w:sz w:val="28"/>
          <w:sz w:val="28"/>
          <w:szCs w:val="28"/>
          <w:rtl w:val="true"/>
          <w:lang w:bidi="ar-SA"/>
        </w:rPr>
        <w:t xml:space="preserve">، كما هو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كون المراد داراً غير الصدقة ، وهي التي سكنها </w:t>
      </w:r>
      <w:r>
        <w:rPr>
          <w:rStyle w:val="FootnoteAnchor"/>
          <w:rtl w:val="true"/>
        </w:rPr>
        <w:footnoteReference w:id="622"/>
      </w:r>
      <w:r>
        <w:rPr>
          <w:rFonts w:ascii="Amiri" w:hAnsi="Amiri" w:eastAsia="Amiri" w:cs="Amiri"/>
          <w:color w:val="111111"/>
          <w:sz w:val="28"/>
          <w:sz w:val="28"/>
          <w:szCs w:val="28"/>
          <w:rtl w:val="true"/>
          <w:lang w:bidi="ar-SA"/>
        </w:rPr>
        <w:t xml:space="preserve">، وإنّما جاز بيعها وتثليث ثمنها ؛ لكونها منه ، ومن جملة ثلثه مثلاً ، فضعيف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الاحتمال الأوّل المرجّح ، أمره عليه السلام في الذيل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يترك المال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يباع منه شيء ، ولا يوهب ، ولا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شرط البيع إنّما هو توسعة على الحسنين ؛ تشريفاً لهما كما قال في خلال الرواية ، وأمّا إذا كان المتولّي غيرهما فشرط عليه عدم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الرواية صدراً وذيلاً ، أنّ جواز البيع وعدمه في الوقف ، تابع لشرط الواقف وإجازته ، والعمل بها لا إشكال فيه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جواز البيع عند عروض بعض العوارض ؛ لعدم إطلاق في دليل المنع ، كما مرّ مفصّلاً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300" w:name="pg15209_203906"/>
    </w:p>
    <w:p>
      <w:pPr>
        <w:pStyle w:val="Heading6"/>
        <w:numPr>
          <w:ilvl w:val="5"/>
          <w:numId w:val="1"/>
        </w:numPr>
        <w:rPr/>
      </w:pPr>
      <w:bookmarkStart w:id="301" w:name="__RefHeading___Toc2974501_2142443653"/>
      <w:bookmarkStart w:id="302" w:name="_Toc106"/>
      <w:bookmarkEnd w:id="300"/>
      <w:bookmarkEnd w:id="301"/>
      <w:r>
        <w:rPr>
          <w:rtl w:val="true"/>
        </w:rPr>
        <w:t>الصورة الرابعة أن يؤدّي بقاؤه إلى خرابه علماً أو ظنّاً</w:t>
      </w:r>
      <w:bookmarkEnd w:id="302"/>
    </w:p>
    <w:p>
      <w:pPr>
        <w:pStyle w:val="Heading6"/>
        <w:numPr>
          <w:ilvl w:val="5"/>
          <w:numId w:val="1"/>
        </w:numPr>
        <w:rPr/>
      </w:pPr>
      <w:bookmarkStart w:id="303" w:name="__RefHeading___Toc2974503_2142443653"/>
      <w:bookmarkStart w:id="304" w:name="_Toc107"/>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 xml:space="preserve">إمّا للخلاف بين أربابه ، أو لغير ذلك ، أو يؤدّي بقاؤه إلى سلب النفع مطلقاً ، أو النفع الخاصّ المجعول ، أو إلى قلّته ؛ بحيث يلحق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دليل على حرمة بيعه ، فيما إذا عرض له عارض شكّ معه في صحّة بيعه وعدمها ، ومن أنّ مقتضى العمومات والإطلاقات صحّة بيعه في مورد الشكّ ، يجوز البيع في الصورة المذكورة ، وكذا الحال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الأدلّة على فرض إطلاقها ، كما ادّعاه الشيخ الأعظم قدّس سرّه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يقال في بيان صحّة البيع والتبديل في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غرض الواقف في نوع الأوقاف لا يتعلّق بالعين بما هي ، بل يتعلّ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بمنافعها وماليتها ، ولا غرض له في خصوصيتها ، بل في إصلاح حال الموقوف عليه ، وإدارة معاشه ، فيجوز التبديل إذا كان أصلح وأنفع ، فكما أ نّه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 ، وشرطت أن يكون له التبديل بالأعود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 كذلك إذا لم يقل ، وعلم من حاله ذلك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فيما إذا علم من حاله أ نّه لو التفت إلى اختلاف أهل الوقف لاشترط البيع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 فيما هو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الأغراض قد تكون عناوين الموضوعات ، كما لو دفع مالاً لإعطاء أشخاص معيّنين ، </w:t>
      </w:r>
    </w:p>
    <w:p>
      <w:pPr>
        <w:pStyle w:val="BookText"/>
        <w:rPr/>
      </w:pPr>
      <w:r>
        <w:rPr>
          <w:rFonts w:ascii="Amiri" w:hAnsi="Amiri" w:eastAsia="Amiri" w:cs="Amiri"/>
          <w:color w:val="111111"/>
          <w:sz w:val="28"/>
          <w:sz w:val="28"/>
          <w:szCs w:val="28"/>
          <w:rtl w:val="true"/>
          <w:lang w:bidi="ar-SA"/>
        </w:rPr>
        <w:t>وكان غرضه الإيصال إلى المضطرّين ، وعلم من حاله أو مقاله ذلك ، فإنّه يجوز التبديل</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 فإنّ الأغراض والدواعي محرّكة إلى جعل الإنشاء لأمر خاصّ ، أحرز فيه تحقّق غرضه ، فلا يعقل أن تكون تلك الأغراض والدواعي ، من قيود الموضوعات في باب الإنشاءات العقدية أو الإيقاعية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يصحّ منه أن يقيّد الموضوع بما أراد ، لكن صرف كون الشيء غرضاً ، لا يعقل أن يصير قيداً ، فلو صحّ ذلك لما اختصّ بباب الوقف ، بل لكان جارياً في البيع والإجارة وغيرهما ، فإذا كان غرضه من بيع شيء الانتفاع به ، لا لخصوصية في شخص المبيع ، 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البيع بما هو ذو نفع من سائر الأمتعة ، ولم يتعلّق بالعين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متعلّق الوقف أو البيع ، هو نفس الأعيان ؛ لأغراض خاصّة ، وجهات تعليلية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القائل لمّا رأى أنّ تعلّق الوقف بالمالية باطل ، قال في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تعلّق بالعين بما هي مال</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الاعتراف هدم لما أسّس لتصحيح البيع في تلك الموارد ؛ فإنّ الوقف إذا تعلّق بالعين لا بماليتها ، فلا وجه لصحّة بيعها إلاّ بمسوّغاته ، ولا تكون الأغراض بمنزلة الاشتراط ، كما هو واضح </w:t>
      </w:r>
      <w:r>
        <w:rPr>
          <w:rFonts w:eastAsia="Amiri" w:cs="Amiri" w:ascii="Amiri" w:hAnsi="Amiri"/>
          <w:color w:val="111111"/>
          <w:sz w:val="28"/>
          <w:szCs w:val="28"/>
          <w:rtl w:val="true"/>
          <w:lang w:bidi="ar-SA"/>
        </w:rPr>
        <w:t xml:space="preserve">. </w:t>
      </w:r>
      <w:bookmarkStart w:id="305" w:name="pg15209_203908"/>
    </w:p>
    <w:p>
      <w:pPr>
        <w:pStyle w:val="BookText"/>
        <w:rPr/>
      </w:pPr>
      <w:bookmarkEnd w:id="305"/>
      <w:r>
        <w:rPr>
          <w:rFonts w:ascii="Amiri" w:hAnsi="Amiri" w:eastAsia="Amiri" w:cs="Amiri"/>
          <w:color w:val="111111"/>
          <w:sz w:val="28"/>
          <w:sz w:val="28"/>
          <w:szCs w:val="28"/>
          <w:rtl w:val="true"/>
          <w:lang w:bidi="ar-SA"/>
        </w:rPr>
        <w:t xml:space="preserve">وأمّا تنظيره بما ذكره ، فلا يخفى ما فيه ؛ فإنّ جواز الإعطاء للمضطرّين يكفي فيه إحراز رضاه ، بخلاف باب العقود والإيقاعات </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2974505_2142443653"/>
      <w:bookmarkStart w:id="307" w:name="_Toc108"/>
      <w:bookmarkEnd w:id="306"/>
      <w:r>
        <w:rPr>
          <w:rtl w:val="true"/>
        </w:rPr>
        <w:t>حكم الخلاف بين أرباب الوقف</w:t>
      </w:r>
      <w:bookmarkEnd w:id="307"/>
    </w:p>
    <w:p>
      <w:pPr>
        <w:pStyle w:val="BookText"/>
        <w:rPr/>
      </w:pPr>
      <w:r>
        <w:rPr>
          <w:rFonts w:ascii="Amiri" w:hAnsi="Amiri" w:eastAsia="Amiri" w:cs="Amiri"/>
          <w:color w:val="111111"/>
          <w:sz w:val="28"/>
          <w:sz w:val="28"/>
          <w:szCs w:val="28"/>
          <w:rtl w:val="true"/>
          <w:lang w:bidi="ar-SA"/>
        </w:rPr>
        <w:t xml:space="preserve">وممّا ذكرنا يظهر الحال في صورة الخلاف بين أرباب الوقف ؛ بحيث لا يؤمن معه من تلف النفوس أو الأموال ، أو من ضرر عظيم ، فإنّ مقتضى القاعدة صحّته في جميع ذلك ؛ لعدم الإطلاق ، أو لانصرافه على فرضه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Style w:val="FootnoteAnchor"/>
          <w:rtl w:val="true"/>
        </w:rPr>
        <w:footnoteReference w:id="627"/>
      </w:r>
      <w:r>
        <w:rPr>
          <w:rFonts w:ascii="Amiri" w:hAnsi="Amiri" w:eastAsia="Amiri" w:cs="Amiri"/>
          <w:color w:val="111111"/>
          <w:sz w:val="28"/>
          <w:sz w:val="28"/>
          <w:szCs w:val="28"/>
          <w:rtl w:val="true"/>
          <w:lang w:bidi="ar-SA"/>
        </w:rPr>
        <w:t xml:space="preserve">لذلك ولبعض صور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بمكاتبة علي بن مهزيار المتقدّمة</w:t>
      </w:r>
      <w:r>
        <w:rPr>
          <w:rStyle w:val="FootnoteAnchor"/>
          <w:rtl w:val="true"/>
        </w:rPr>
        <w:footnoteReference w:id="628"/>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أنّ الرجل كتب أنّ بين من وقف بقيّة هذه الضيعة عليهم اختلافاً شديداً ، وأ نّه ليس يأمن أن يتفاقم ذلك بينهم بعده ، فإن كان ترى أن يبيع هذا الوقف ، ويدفع إلى كلّ إنسان منهم ما كان وقف له من ذلك أمرته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بخطّه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وأعلمه أنّ رأيي له إن كان قد علم الاختلاف ما بين أصحاب الوقف ، أن يبيع الوقف أمثل ؛ فإنّه ربّما جاء في الاختلاف تلف الأموال والنفوس</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منها خصوصاً بملاحظة ذيلها ، أنّ الاختلاف كان بين أصحاب </w:t>
      </w:r>
    </w:p>
    <w:p>
      <w:pPr>
        <w:pStyle w:val="BookText"/>
        <w:rPr/>
      </w:pPr>
      <w:r>
        <w:rPr>
          <w:rFonts w:ascii="Amiri" w:hAnsi="Amiri" w:eastAsia="Amiri" w:cs="Amiri"/>
          <w:color w:val="111111"/>
          <w:sz w:val="28"/>
          <w:sz w:val="28"/>
          <w:szCs w:val="28"/>
          <w:rtl w:val="true"/>
          <w:lang w:bidi="ar-SA"/>
        </w:rPr>
        <w:t xml:space="preserve">الوقف في نفس الوقف ، ولهذا يرى السائل أنّ بيعه وتقسيمه يرفعه ، ولو كان الاختلاف لأمر آخر ، لم يكن ذلك قالعاً ، واحتمال كون الخلاف لأمر آخر ، وإعطاء ثمن الوقف موجباً لرضاهم بالصلح ، بعيد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الواقف لمّا رأى اختلافهم في الوقف بعد تسليمه إليهم ، وخاف من تشديده وتفاقمه بعد موته ، أو بعد ذلك الخلاف ، وكان قادراً على البيع وإعطاء كلّ شخص ما وقف له ، ورأى أ نّه قالع للخلاف ، استفتى الإمام عليه السلام ، وسأل عن الحكم الشرعي ؛ وأ نّه جائز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بأمثلية البيع ؛ معلّلاً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ربّما جاء في الاختلاف تلف الأموال والنفوس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فاحتمال ذلك صار منشأً لأمثلية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من ذلك ، جواز بيع الوقف لدى الخلاف الواقع بين طائفة من المسلمين ، إذا خيف منه تلف الأموال والنفوس ، فإنّه لا يفهم من التعليل ذلك ، بل ما يفهم منه أنّ كلّ وقف وقع الخلاف الشديد بين أربابه فيه ، وكان مظنّة لتلف النفوس والأموال ، جاز بيعه لقلعه ، ولا ينحصر خوف تلف الأموال والنفوس في أموال الموقوف عليهم ونفوسهم ، فضلاً عن كون المال مال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بدّ وأن يكون بقاء الوقف منشأً لذلك ، وبيعه قالعاً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يرد على ظاهرها إشكالات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الوقف إمّا كان منقطعاً ؛ أي كان وقفاً على الأشخاص فقط ، كما هو </w:t>
      </w:r>
    </w:p>
    <w:p>
      <w:pPr>
        <w:pStyle w:val="BookText"/>
        <w:rPr/>
      </w:pPr>
      <w:r>
        <w:rPr>
          <w:rFonts w:ascii="Amiri" w:hAnsi="Amiri" w:eastAsia="Amiri" w:cs="Amiri"/>
          <w:color w:val="111111"/>
          <w:sz w:val="28"/>
          <w:sz w:val="28"/>
          <w:szCs w:val="28"/>
          <w:rtl w:val="true"/>
          <w:lang w:bidi="ar-SA"/>
        </w:rPr>
        <w:t>ظاهرها وظاهر المكاتبة</w:t>
      </w:r>
      <w:r>
        <w:rPr>
          <w:rStyle w:val="FootnoteAnchor"/>
          <w:rtl w:val="true"/>
        </w:rPr>
        <w:footnoteReference w:id="631"/>
      </w:r>
      <w:r>
        <w:rPr>
          <w:rFonts w:ascii="Amiri" w:hAnsi="Amiri" w:eastAsia="Amiri" w:cs="Amiri"/>
          <w:color w:val="111111"/>
          <w:sz w:val="28"/>
          <w:sz w:val="28"/>
          <w:szCs w:val="28"/>
          <w:rtl w:val="true"/>
          <w:lang w:bidi="ar-SA"/>
        </w:rPr>
        <w:t xml:space="preserve">الراجعة إلى حصّة الإمام عليه السلام ، التي يحتمل أن تكون من جملة هذه المكاتبة ، وأن تكون مكاتبة اُخرى مستقلّة ، أو كان دائماً ، لم يذكر فيها سائر الطبقات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الوقف المنقطع لا يخرج عن ملك الواقف ، فلا إشكال في تصدّيه لبيعه بعد جوازه ، لكن ثمنه على هذا له ، لا لأرباب الوقف ، وظاهرها كونه لهم ، وهو مخالف للقواعد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 عنه ، ودخوله في ملك الموقوف عليهم ، فكون الثمن لهم وإن كان له وجه ، لكنّه لا يخلو من إشكال ؛ لأنّ الوقف المنقطع لا يصير ملكاً مطلقاً للموقوف عليه ، بل الظاهر أ نّه محدود إلى زمان الانقطاع ، إلاّ أنّ تصدّي الواقف للبيع على خلاف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كونه ناظراً </w:t>
      </w:r>
      <w:r>
        <w:rPr>
          <w:rStyle w:val="FootnoteAnchor"/>
          <w:rtl w:val="true"/>
        </w:rPr>
        <w:footnoteReference w:id="632"/>
      </w:r>
      <w:r>
        <w:rPr>
          <w:rFonts w:ascii="Amiri" w:hAnsi="Amiri" w:eastAsia="Amiri" w:cs="Amiri"/>
          <w:color w:val="111111"/>
          <w:sz w:val="28"/>
          <w:sz w:val="28"/>
          <w:szCs w:val="28"/>
          <w:rtl w:val="true"/>
          <w:lang w:bidi="ar-SA"/>
        </w:rPr>
        <w:t>يردّه ترك الاستفصال ، وعدم إشعار فيها لذلك ، مع أنّ ولاية الناظر لبيع الوقف ممنوعة كما تقدّم</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كون الإمام عليه السلام أجازه ولاية</w:t>
      </w:r>
      <w:r>
        <w:rPr>
          <w:rStyle w:val="FootnoteAnchor"/>
          <w:rtl w:val="true"/>
        </w:rPr>
        <w:footnoteReference w:id="634"/>
      </w:r>
      <w:r>
        <w:rPr>
          <w:rFonts w:ascii="Amiri" w:hAnsi="Amiri" w:eastAsia="Amiri" w:cs="Amiri"/>
          <w:color w:val="111111"/>
          <w:sz w:val="28"/>
          <w:sz w:val="28"/>
          <w:szCs w:val="28"/>
          <w:rtl w:val="true"/>
          <w:lang w:bidi="ar-SA"/>
        </w:rPr>
        <w:t xml:space="preserve">، خلاف ظاهر الرواية ؛ فإنّ الرأي هو الفتوى ، لا الإجازة ، والظاهر منه حكاية الحكم الشرعي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عليه السلام قال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الجواب عن بيع حصّته المحتاج إلى الإذن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نّي آمره ببيع حقّي من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كونه إذناً في بيع حصّته ، وأمّا تعقيبه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لبيان جواز البيع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تصدّيه للبيع على خلاف القاعدة ؛ لأنّ الوقف خارج عن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أنّ الثمن ملك للموقوف عليهم ؛ أي الطبقة الاُولى ، ولهم صرفه وإتلافه ، وهو على خلاف القاعدة في الوقف المؤبّد ، وتصحيحه يحتاج إلى تكلّف وارتكاب خلاف قاعدة اُخرى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تخلّص عنها المولى المجلسي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حملها على عدم القبض ، وأ نّه يعلم لو دفعها إليهم يحصل بينهم الاختلاف ويشتدّ ؛ لحصول الاختلاف بينهم قبل الدفع بسبب الضيعة ، أو لأمر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أيدعها موقفة ويدفعها إليهم ، أو يرجع من الوقف ؛ لعدم لزومه ، ويدفع إليهم ثمنه ؟</w:t>
      </w:r>
      <w:r>
        <w:rPr>
          <w:rStyle w:val="FootnoteAnchor"/>
          <w:rtl w:val="true"/>
        </w:rPr>
        <w:footnoteReference w:id="63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بإرجاع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يتفاقم ذلك بينهم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الوقف ؛ أي بعد الوقف الذي لا يتحقّق إلاّ بالتسليم ، وعلى ذلك يكون الظاهر منها ، أنّ الخلاف كان بينهم قبل التسليم ، وأنّ الواقف لم يكن يأمن من تفاقمه بعده ، وأنّ الأمر لم يخرج من يده ، فله الوقف بالتسليم ، وله البيع وإعطاء كلّ ما أوقفه له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يكون سؤاله للمشورة معه ، ويؤيّده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لأجل جهله بجواز الوقف والتسليم والحال هذه ؛ أي أ يجوز ذلك مع عدم الأمن من اشتداد النزاع ؟ أو لجهله بأنّ الوقف قبل تمامه وتسليمه أمره بيد الواقف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مع كونه مخالفاً لظاهرها صدراً وذيلاً ، مخالف للقاعدة أيضاً ؛ فإنّ الثمن حينئذٍ للواقف ، لا للموقوف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أ نّه أراد إيصال هذا المال إليهم ، إمّا بطريق الوقف ، أو بطريق آخر ، تأويل يحتاج إلى الشاهد ، ومجرّد استفتائه لجواز الردّ إليهم ، لا يدلّ على ذلك ، بل لعلّه لاحتمال أنّ الوقف بمجرّد الإيقاف صار ملكاً لهم ، فعلى الإمام عليه السلام الاستفصال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الاتّكال على هذه الرواية مع تلك الاحتمالات والمخالفات للقواعد مشكل ، وإن كان الجواز في هذه الصورة لا يخلو من قرب وقوّة ، إمّا لعدم الإطلاق ، أو للانصراف عن مثله ، ومقتضى القواعد جوازه ، لكن في الوقف المؤبّد لا بدّ وأن يكون بنظر الفقيه ، ومع إمكان رفع النزاع بشراء ملك آخر مكانه ، يجب ذلك ، ووقفه على حسب ما كان وقفاً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مرّ</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الإطلاق في الأدلّة ، والمناقشة فيما استدلّ بها لعدم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الوقف في أكثر الصور المتقدّمة جائز ، لو لم نقل في جميعها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النفس منه شيء ، منشؤه احتمال إطلاق صحيحة أبي علي بن راشد المتقدّمة</w:t>
      </w:r>
      <w:r>
        <w:rPr>
          <w:rStyle w:val="FootnoteAnchor"/>
          <w:rtl w:val="true"/>
        </w:rPr>
        <w:footnoteReference w:id="637"/>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ناقشنا فيه سابقاً بما لا مزيد </w:t>
      </w:r>
      <w:bookmarkStart w:id="308" w:name="pg15209_203913"/>
    </w:p>
    <w:p>
      <w:pPr>
        <w:pStyle w:val="BookText"/>
        <w:rPr/>
      </w:pPr>
      <w:bookmarkEnd w:id="308"/>
      <w:r>
        <w:rPr>
          <w:rFonts w:ascii="Amiri" w:hAnsi="Amiri" w:eastAsia="Amiri" w:cs="Amiri"/>
          <w:color w:val="111111"/>
          <w:sz w:val="28"/>
          <w:sz w:val="28"/>
          <w:szCs w:val="28"/>
          <w:rtl w:val="true"/>
          <w:lang w:bidi="ar-SA"/>
        </w:rPr>
        <w:t>عليه</w:t>
      </w:r>
      <w:r>
        <w:rPr>
          <w:rStyle w:val="FootnoteAnchor"/>
          <w:rtl w:val="true"/>
        </w:rPr>
        <w:footnoteReference w:id="638"/>
      </w:r>
      <w:r>
        <w:rPr>
          <w:rFonts w:ascii="Amiri" w:hAnsi="Amiri" w:eastAsia="Amiri" w:cs="Amiri"/>
          <w:color w:val="111111"/>
          <w:sz w:val="28"/>
          <w:sz w:val="28"/>
          <w:szCs w:val="28"/>
          <w:rtl w:val="true"/>
          <w:lang w:bidi="ar-SA"/>
        </w:rPr>
        <w:t xml:space="preserve">؛ لاحتمال كون المناقشات مخالفة لنظر العرف ، فتأمّل ، ولهذا لم أرَ من الأصحاب إشكالاً في إطلاقها بما أبدينا ، فلا مناص عن الاحتياط في غير الصور التي تكون الأدلّة عنها منصرفة ، أو ورد فيها دليل على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الوقف الدائم </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2974507_2142443653"/>
      <w:bookmarkStart w:id="310" w:name="_Toc109"/>
      <w:bookmarkEnd w:id="309"/>
      <w:r>
        <w:rPr>
          <w:rtl w:val="true"/>
        </w:rPr>
        <w:t>صحّة الوقف المنقطع</w:t>
      </w:r>
      <w:bookmarkEnd w:id="310"/>
    </w:p>
    <w:p>
      <w:pPr>
        <w:pStyle w:val="BookText"/>
        <w:rPr/>
      </w:pPr>
      <w:r>
        <w:rPr>
          <w:rFonts w:ascii="Amiri" w:hAnsi="Amiri" w:eastAsia="Amiri" w:cs="Amiri"/>
          <w:color w:val="111111"/>
          <w:sz w:val="28"/>
          <w:sz w:val="28"/>
          <w:szCs w:val="28"/>
          <w:rtl w:val="true"/>
          <w:lang w:bidi="ar-SA"/>
        </w:rPr>
        <w:t xml:space="preserve">وأمّا المنقطع ، فلا ينبغي الإشكال في صحّته ؛ لأنّ المعتبر في ماهية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إيقاف العين لتسبيل المنفعة ، والدوام ليس معتبراً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تقسيمها إلى الدائم والمنقطع صحيحاً من غير تأوّل ، وليس الوقف من الماهيات المستحدثة شرعاً ، بل هو من الماهيات العرفية الدارجة في سائر الملل ، بل الظاهر تعارفه عند غير منتحلي الأديان أيضاً ، ومقتضى قاعدة السلطنة صحّته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الصفّار إلى أبي محمّد عليه السلام في الوقوف ، وما روي فيها ، فوقّع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 إن شاء اللّه</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بناءً على كونها مكاتبة مستقلّة ، غير مكاتبته الاُخرى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تدلّ عليها أيضاً تلك المكاتبة صدراً وذيلاً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 أسأله عن الوقف الذي يصحّ كيف هو ؟ فقد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الوقف إذا كان غير موقّت ، فهو باطل مردود على الورثة ، وإذا كان موقّتاً فهو صحيح ممضى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الموقّت هو الذي يذكر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وقف على فلان وعقبه ، فإذا انقرضوا فهو للفقراء والمساكين إلى أن يرث اللّه الأرض ومن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موقّت إذا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لفلان وعقبه ما 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والمساكين إلى أن يرث اللّه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غير موقّت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أحداً ، فما الذي يصحّ من ذلك ، وما الذي يبطل ؟</w:t>
      </w:r>
    </w:p>
    <w:p>
      <w:pPr>
        <w:pStyle w:val="BookText"/>
        <w:rPr/>
      </w:pP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بحسب ما يوقفها إن شاء اللّه</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والصدقات ،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يحتمل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وقت معلوم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مقدار المدّة لعمله</w:t>
      </w:r>
      <w:r>
        <w:rPr>
          <w:rStyle w:val="FootnoteAnchor"/>
          <w:rtl w:val="true"/>
        </w:rPr>
        <w:footnoteReference w:id="642"/>
      </w:r>
      <w:r>
        <w:rPr>
          <w:rFonts w:ascii="Amiri" w:hAnsi="Amiri" w:eastAsia="Amiri" w:cs="Amiri"/>
          <w:color w:val="111111"/>
          <w:sz w:val="28"/>
          <w:sz w:val="28"/>
          <w:szCs w:val="28"/>
          <w:rtl w:val="true"/>
          <w:lang w:bidi="ar-SA"/>
        </w:rPr>
        <w:t xml:space="preserve">، وفي مقابله ما لم يكن وقته معلوماً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 يكون الوقف الذي له وقت محدود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الموقّت ، والوقف المؤبّد أيضاً كذلك باحتمال قويّ ، ويكون الوقف على الذرّية نسلاً بعد نسل ، غير موقّت ، وكذا الوقف إلى قدوم الحاجّ ، أو إلى وقت ما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به ، ما له وقت بحسب الواقع وإن لم نعلمه ، فيكون </w:t>
      </w:r>
    </w:p>
    <w:p>
      <w:pPr>
        <w:pStyle w:val="BookText"/>
        <w:rPr/>
      </w:pPr>
      <w:r>
        <w:rPr>
          <w:rFonts w:ascii="Amiri" w:hAnsi="Amiri" w:eastAsia="Amiri" w:cs="Amiri"/>
          <w:color w:val="111111"/>
          <w:sz w:val="28"/>
          <w:sz w:val="28"/>
          <w:szCs w:val="28"/>
          <w:rtl w:val="true"/>
          <w:lang w:bidi="ar-SA"/>
        </w:rPr>
        <w:t xml:space="preserve">الوقف على الذرّية نسلاً بعد نسل ، وإلى قدوم الحاجّ ، موقّتاً أيضاً ، وغيره ما لا يكون له وقت أصلاً ،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أحداً ، 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كذا في وقت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واقعه مجهول ، فيلحق بما لا وقت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المؤبّد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الموقّت ما ذكر فيه كذا وكذا إلى أن يرث اللّه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جعل ذلك كناية عن المؤبّد ، وأراد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وقت معلوم ، ولم يذكر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تعيين المدّة بعشر سنين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باطلاً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الموقّت ما ذكر فيه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يرث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مراده، أنّ الموقّت لا ينحصر بما قاله هؤلاء، بل ذلك أيضاً موقّت، ويكون مراده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وقت وإن لم نعلمه ، فيكون أعمّ ممّا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الأظهر ؛ لجعلهم ذلك قبال ما لم يذكر فيه أحداً ، اللازم منه عدم وقت له رأساً ، وأمّا ما قاله الشيخ قدّس سرّه في تفسير كلامهم</w:t>
      </w:r>
      <w:r>
        <w:rPr>
          <w:rStyle w:val="FootnoteAnchor"/>
          <w:rtl w:val="true"/>
        </w:rPr>
        <w:footnoteReference w:id="643"/>
      </w:r>
      <w:r>
        <w:rPr>
          <w:rFonts w:ascii="Amiri" w:hAnsi="Amiri" w:eastAsia="Amiri" w:cs="Amiri"/>
          <w:color w:val="111111"/>
          <w:sz w:val="28"/>
          <w:sz w:val="28"/>
          <w:szCs w:val="28"/>
          <w:rtl w:val="true"/>
          <w:lang w:bidi="ar-SA"/>
        </w:rPr>
        <w:t xml:space="preserve">، فهو غير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مرادهم أنّ الموقّت في قبال المؤبّد ، وهو احتمال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عليه السلام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بحسب ما يوقفها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الصور صحيح ، ولا يعتبر في الوقف تعيين الوقت ، ولا التأبيد ، بل يصحّ إذا كان وقته مجهولاً ، كقدوم الحاجّ ، أو معيّناً كعشر سنين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صحّته تابعة لجعل الواقف ، وهو موافق للقاعدة ؛ لأنّ الوقف </w:t>
      </w:r>
      <w:bookmarkStart w:id="311" w:name="pg15209_203916"/>
    </w:p>
    <w:p>
      <w:pPr>
        <w:pStyle w:val="BookText"/>
        <w:rPr/>
      </w:pPr>
      <w:bookmarkEnd w:id="311"/>
      <w:r>
        <w:rPr>
          <w:rFonts w:ascii="Amiri" w:hAnsi="Amiri" w:eastAsia="Amiri" w:cs="Amiri"/>
          <w:color w:val="111111"/>
          <w:sz w:val="28"/>
          <w:sz w:val="28"/>
          <w:szCs w:val="28"/>
          <w:rtl w:val="true"/>
          <w:lang w:bidi="ar-SA"/>
        </w:rPr>
        <w:t xml:space="preserve">ليس من المعاملات ، حتّى يعتبر فيه تعيين الوقت ، بل هو إيقاف لدرّ النفع ، عيّن له الوقت ، أو كان له وقت مجهول عندنا ، معلوم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إلى زمانٍ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لأ نّه غير عقلائي ، والإطلاق منصرف عنه ، كما أنّ الوقف إلى عشر سنين مثلاً خارج عنه ؛ لإعراض الأصحاب ، وعدم عمل المشهور بها، مع كون المتيقّن من الموقّت ذلك </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2974509_2142443653"/>
      <w:bookmarkStart w:id="313" w:name="_Toc110"/>
      <w:bookmarkEnd w:id="312"/>
      <w:r>
        <w:rPr>
          <w:rtl w:val="true"/>
        </w:rPr>
        <w:t>الاستدلال بصحيحة ابن مهزيار على صحّة الوقف المنقطع</w:t>
      </w:r>
      <w:bookmarkEnd w:id="313"/>
    </w:p>
    <w:p>
      <w:pPr>
        <w:pStyle w:val="BookText"/>
        <w:rPr/>
      </w:pPr>
      <w:r>
        <w:rPr>
          <w:rFonts w:ascii="Amiri" w:hAnsi="Amiri" w:eastAsia="Amiri" w:cs="Amiri"/>
          <w:color w:val="111111"/>
          <w:sz w:val="28"/>
          <w:sz w:val="28"/>
          <w:szCs w:val="28"/>
          <w:rtl w:val="true"/>
          <w:lang w:bidi="ar-SA"/>
        </w:rPr>
        <w:t xml:space="preserve">ومن ذلك يظهر الكلام في صحيحة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مواليك عن آبائك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وقف إلى وقت معلوم فهو واجب على الورثة ، وكلّ وقف إلى غير وقت جهل مجهول فهو باطل ، مردود على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أعلم بقول آبائك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هو عندي</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للمدّة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 والظاهر شموله للمؤبّد ، والمجهول مقابله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ينطبق على مكاتبة الصفّار ببعض الاحتمالات ، ولازمه بطلان الوقف على الذرّية نسلاً بعد نسل ، بل والوقف على الذرّية ، وإذا انقرضوا فعلى المسلمين إلى أن يرث اللّه الأرض لو كان المراد به ظاهر الكلام ؛ لأنّ وقت وراثة اللّه الأرض مجهول </w:t>
      </w:r>
      <w:r>
        <w:rPr>
          <w:rFonts w:eastAsia="Amiri" w:cs="Amiri" w:ascii="Amiri" w:hAnsi="Amiri"/>
          <w:color w:val="111111"/>
          <w:sz w:val="28"/>
          <w:szCs w:val="28"/>
          <w:rtl w:val="true"/>
          <w:lang w:bidi="ar-SA"/>
        </w:rPr>
        <w:t xml:space="preserve">. </w:t>
      </w:r>
      <w:bookmarkStart w:id="314" w:name="pg15209_203917"/>
    </w:p>
    <w:p>
      <w:pPr>
        <w:pStyle w:val="BookText"/>
        <w:rPr/>
      </w:pPr>
      <w:bookmarkEnd w:id="314"/>
      <w:r>
        <w:rPr>
          <w:rFonts w:ascii="Amiri" w:hAnsi="Amiri" w:eastAsia="Amiri" w:cs="Amiri"/>
          <w:color w:val="111111"/>
          <w:sz w:val="28"/>
          <w:sz w:val="28"/>
          <w:szCs w:val="28"/>
          <w:rtl w:val="true"/>
          <w:lang w:bidi="ar-SA"/>
        </w:rPr>
        <w:t xml:space="preserve">وأمّا لو كان المراد منه التأبيد ، ويكون كناية عنه ، فهو داخل في المعلوم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فيه وقت مجهول ؛ بمعنى أنّ الوقف إذا ذكر فيه الوقت ، فلا بدّ وأن يكون معلوماً ، وأمّا مع عدم ذكر الوقت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الذرّية نسلاً بعد نسل ؛ ممّا لم يذكر فيه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مفاد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التأكيد شاهد على أنّ الوقت مغمور في الجهالة ، كما لو وقف في وقت ما ، ولم يذكر فيه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بينها وبين صحيحة الصفّار ، التي هي ظاهرة الدلالة في صحّة الوقف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الوقف المنقطع ، سواء كان وقفاً على شخص ، أو على طبقة موجودة ، أو على الذرّية طبقة بعد طبقة ؛ ممّا تكون في معرض الانقراض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المنقطع قد يكون على شخص فقط ، أو طبقة موجودة ، وقد يكون على الذرّية وأولادهم ، أو نسلاً بعد نسل ، كلّ ذلك منقطع وإن ناقشنا فيه سابقاً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5" w:name="__RefHeading___Toc2974511_2142443653"/>
      <w:bookmarkStart w:id="316" w:name="_Toc111"/>
      <w:bookmarkEnd w:id="315"/>
      <w:r>
        <w:rPr>
          <w:rtl w:val="true"/>
        </w:rPr>
        <w:t>جواز بيع الوقف المنقطع</w:t>
      </w:r>
      <w:bookmarkEnd w:id="31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مقتضى القواعد صحّة بيع المنقطع مطلقاً ، أو لا كذلك ، أو يفصّل بين الوقف على الشخص أو الطبقة الموجودة ، وبين غيره ؟ </w:t>
      </w:r>
    </w:p>
    <w:p>
      <w:pPr>
        <w:pStyle w:val="BookText"/>
        <w:rPr/>
      </w:pPr>
      <w:r>
        <w:rPr>
          <w:rFonts w:ascii="Amiri" w:hAnsi="Amiri" w:eastAsia="Amiri" w:cs="Amiri"/>
          <w:color w:val="111111"/>
          <w:sz w:val="28"/>
          <w:sz w:val="28"/>
          <w:szCs w:val="28"/>
          <w:rtl w:val="true"/>
          <w:lang w:bidi="ar-SA"/>
        </w:rPr>
        <w:t xml:space="preserve">الظاهر جواز البيع بحسب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عروض مسوّغاته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على الشخص أو الطبقة الموجودة ، وعدم كون الوقف مانعاً عنه ، والمقصود هاهنا ذلك مع الغضّ عن لزوم الغرر ، وذلك لأنّ المقتضي موجود ، وهو مالكية الواقف ؛ لعدم خروجه عن ملكه في تلك الصورة ، والمانع مفقود من جهة الوقف ؛ لأنّ بيع العين لا ينافي درّ المنفعة على الموقوف عليه ما دام وقفاً ، فيكون كبيع العين المستأجرة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بمالكية الموقوف عليه ملكاً مطلقاً ، 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برجوعه إلى الواقف ، فلا يصحّ إلاّ مع اجتماعهما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النقل مأخوذ في ماهية الوقف ، وأنّ الواقف جعل الوقف ممنوعاً عن النقل ، فلا يصحّ بيعه مطلقاً ، ولا بدّ من عروض المسوّغات ، وكذا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الوقف في مثله أيضاً 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بل في بعض النسخ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الجمع</w:t>
      </w:r>
      <w:r>
        <w:rPr>
          <w:rStyle w:val="FootnoteAnchor"/>
          <w:rtl w:val="true"/>
        </w:rPr>
        <w:footnoteReference w:id="647"/>
      </w:r>
      <w:r>
        <w:rPr>
          <w:rFonts w:ascii="Amiri" w:hAnsi="Amiri" w:eastAsia="Amiri" w:cs="Amiri"/>
          <w:color w:val="111111"/>
          <w:sz w:val="28"/>
          <w:sz w:val="28"/>
          <w:szCs w:val="28"/>
          <w:rtl w:val="true"/>
          <w:lang w:bidi="ar-SA"/>
        </w:rPr>
        <w:t>، ولا إشكال في شموله للمنقطع بأقسامه، فيظهر منه أنّ الوقف منافٍ للبيع بحسب الشرع، أو أنّ حكمه عدم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 بناءً على ما قدّمناه من عدم الإطلاق</w:t>
      </w:r>
      <w:r>
        <w:rPr>
          <w:rStyle w:val="FootnoteAnchor"/>
          <w:rtl w:val="true"/>
        </w:rPr>
        <w:footnoteReference w:id="648"/>
      </w:r>
      <w:r>
        <w:rPr>
          <w:rFonts w:ascii="Amiri" w:hAnsi="Amiri" w:eastAsia="Amiri" w:cs="Amiri"/>
          <w:color w:val="111111"/>
          <w:sz w:val="28"/>
          <w:sz w:val="28"/>
          <w:szCs w:val="28"/>
          <w:rtl w:val="true"/>
          <w:lang w:bidi="ar-SA"/>
        </w:rPr>
        <w:t xml:space="preserve">، يكون بيعه صحيحاً؛ للعمومات ، وأمّا بناءً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الجمع دالاًّ على العموم بالدلالة اللفظية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يتوقّف على مقدّمات الإطلاق ، لكن بعد اختلاف النسخ ، والقطع بعدم تعدّد </w:t>
      </w:r>
    </w:p>
    <w:p>
      <w:pPr>
        <w:pStyle w:val="BookText"/>
        <w:rPr/>
      </w:pPr>
      <w:r>
        <w:rPr>
          <w:rFonts w:ascii="Amiri" w:hAnsi="Amiri" w:eastAsia="Amiri" w:cs="Amiri"/>
          <w:color w:val="111111"/>
          <w:sz w:val="28"/>
          <w:sz w:val="28"/>
          <w:szCs w:val="28"/>
          <w:rtl w:val="true"/>
          <w:lang w:bidi="ar-SA"/>
        </w:rPr>
        <w:t xml:space="preserve">الرواية ، لا حجّة بالنسبة إلى موارد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ذيل صحيحة ابن مهزيار المكاتبة</w:t>
      </w:r>
      <w:r>
        <w:rPr>
          <w:rStyle w:val="FootnoteAnchor"/>
          <w:rtl w:val="true"/>
        </w:rPr>
        <w:footnoteReference w:id="649"/>
      </w:r>
      <w:r>
        <w:rPr>
          <w:rFonts w:ascii="Amiri" w:hAnsi="Amiri" w:eastAsia="Amiri" w:cs="Amiri"/>
          <w:color w:val="111111"/>
          <w:sz w:val="28"/>
          <w:sz w:val="28"/>
          <w:szCs w:val="28"/>
          <w:rtl w:val="true"/>
          <w:lang w:bidi="ar-SA"/>
        </w:rPr>
        <w:t>، أنّ بيع الوقف المنقطع أيضاً غير جائز في نفسه ، بل يحتاج إلى المسوّغ ؛ حيث إنّ الظاهر منها الوقف على الطبقة الحاضرة ، ومع ذلك علّل الجواز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ربّما جاء في الاختلاف تلف النفوس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البيع جائزاً بلا مسوّغ ، لم يحسن التعليل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لأمثلية البيع ، لا لأصله ، مضافاً إلى ما مرّ من الإشكالات عليها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جواز بيع المنقطع بإشعارات ، واردة في أوقاف بعض الأئمّة عليهم السلام ، 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صدقة بتّاً بتلاً ، في حجيج بيت اللّه ، وعابري سبيله ، لا تباع ، ولا توهب ، ولا تورث</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ونحوه غيره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 ولا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وصفاً أو حكماً للصدقة البتّة البتلاء ؛ أي المنقطع عن صاحبه ، يستشعر منه أنّ الوقف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الوقف على طبقة موجودة فقط ، أو مع طبقة اُخرى ، أو على شخص ؛ بما لا يخرج الوقف عن ملك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حكمه ذلك ، فتأمّل </w:t>
      </w:r>
      <w:r>
        <w:rPr>
          <w:rFonts w:eastAsia="Amiri" w:cs="Amiri" w:ascii="Amiri" w:hAnsi="Amiri"/>
          <w:color w:val="111111"/>
          <w:sz w:val="28"/>
          <w:szCs w:val="28"/>
          <w:rtl w:val="true"/>
          <w:lang w:bidi="ar-SA"/>
        </w:rPr>
        <w:t xml:space="preserve">. </w:t>
      </w:r>
      <w:bookmarkStart w:id="317" w:name="pg15209_203920"/>
    </w:p>
    <w:p>
      <w:pPr>
        <w:pStyle w:val="Heading6"/>
        <w:numPr>
          <w:ilvl w:val="5"/>
          <w:numId w:val="1"/>
        </w:numPr>
        <w:rPr/>
      </w:pPr>
      <w:bookmarkStart w:id="318" w:name="__RefHeading___Toc2974513_2142443653"/>
      <w:bookmarkStart w:id="319" w:name="_Toc112"/>
      <w:bookmarkEnd w:id="317"/>
      <w:bookmarkEnd w:id="318"/>
      <w:r>
        <w:rPr>
          <w:rtl w:val="true"/>
        </w:rPr>
        <w:t>مختار الشيخ الأعظم والجواب عنه</w:t>
      </w:r>
      <w:bookmarkEnd w:id="319"/>
    </w:p>
    <w:p>
      <w:pPr>
        <w:pStyle w:val="BookText"/>
        <w:rPr/>
      </w:pPr>
      <w:r>
        <w:rPr>
          <w:rFonts w:ascii="Amiri" w:hAnsi="Amiri" w:eastAsia="Amiri" w:cs="Amiri"/>
          <w:color w:val="111111"/>
          <w:sz w:val="28"/>
          <w:sz w:val="28"/>
          <w:szCs w:val="28"/>
          <w:rtl w:val="true"/>
          <w:lang w:bidi="ar-SA"/>
        </w:rPr>
        <w:t xml:space="preserve">ثمّ إنّ الشيخ الأعظم قدّس سرّه ، ذهب إلى عدم جواز بيع الموقوف عليهم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بملكيتهم ملكاً مستقرّاً ؛ بحيث ينتقل منهم عند انقراضهم إلى ورثتهم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الواقف بقاءه في يدهم إلى انقراضهم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استقرار ملكهم ، ورجوعه إلى الواقف وإن أجاز الواقف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بمنافاته لاعتبار الواقف في الوقف بقاء العين ، وإلى عدم جواز بيع الواقف وإن أجاز الموقوف عليه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كان مراده في الموضعين ، لزوم بقاء العين في يد الموقوف عليهم لاستيفاء المنافع ، كما هو ظاهر عبارته الاُولى ، فهو لا يمنع عن بيعهم مع استقرار ملكهم ، كما في العين المستأجرة ، فيصحّ بيعها ، ويجب إبقاؤها في أيدي الموقوف عليهم ، ولو كان ذلك مانعاً ، للزم بطلان بيع الواقف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ملكه ، مع عدم ذهابهم إلى بطلانه من جهة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لزوم بقاء الوقف ، وعدم جواز نقله ؛ وذلك لاعتبار الواقف بقاءه ، كما هو ظاهر عبارته الثانية ، فهو مع كونه مخالفاً لمبناه</w:t>
      </w:r>
      <w:r>
        <w:rPr>
          <w:rStyle w:val="FootnoteAnchor"/>
          <w:rtl w:val="true"/>
        </w:rPr>
        <w:footnoteReference w:id="654"/>
      </w:r>
      <w:r>
        <w:rPr>
          <w:rFonts w:ascii="Amiri" w:hAnsi="Amiri" w:eastAsia="Amiri" w:cs="Amiri"/>
          <w:color w:val="111111"/>
          <w:sz w:val="28"/>
          <w:sz w:val="28"/>
          <w:szCs w:val="28"/>
          <w:rtl w:val="true"/>
          <w:lang w:bidi="ar-SA"/>
        </w:rPr>
        <w:t xml:space="preserve">وللواقع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اعتبار عدم النقل ليس من منشآت الواقف ، والأغراض لا تدخل في المنشآت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ما تقدّم آنفاً بالنسبة إلى بيع الواقف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لو كان ملكاً للموقوف عليهم فلا يكون ملكاً طلقاً ، </w:t>
      </w:r>
    </w:p>
    <w:p>
      <w:pPr>
        <w:pStyle w:val="BookText"/>
        <w:rPr/>
      </w:pPr>
      <w:r>
        <w:rPr>
          <w:rFonts w:ascii="Amiri" w:hAnsi="Amiri" w:eastAsia="Amiri" w:cs="Amiri"/>
          <w:color w:val="111111"/>
          <w:sz w:val="28"/>
          <w:sz w:val="28"/>
          <w:szCs w:val="28"/>
          <w:rtl w:val="true"/>
          <w:lang w:bidi="ar-SA"/>
        </w:rPr>
        <w:t xml:space="preserve">ولذلك لا يجوز لهم 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الطلقية إن كان لأجل اشتراك غيرهم معهم فعلاً ، أو لأجل تعلّق حقّه به ، فهو مسلّم ، لكن المقام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لأجل أنّ نحو الملكية في الوقف مع الملكية في غيره مختلفان ، فهو غير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لأجل أنّ عدم النقل مأخوذ فيه ، فهو أفحش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ملك للموقوف عليهم ، ويرجع بعد انقراضهم إلى الواقف أو ورثته ، فلا يجوز لواحد منهما الاستبداد ببيعه ، ولكن مع اتّفاقهما لا وجه لبطلانه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بالتمليك المحدود وبقاء ملكية ما بعد الانقراض للواقف ، أم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بملكيته للموقوف عليهم مطلقاً ، وأنّ للواقف حقّاً متعلّقاً به ؛ أي حقّ رجوعه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المنقطع يرجع بعد انقراضهم إلى سبيل اللّه ، فلا يجوز بيعه ؛ لعدم الملك التامّ لواحد منهما ، لكن يجوز مع الاستئذان من الحاكم ؛ لأنّ العين ليست وقفاً دائماً ، ولا بحكمه ، بل لمّا لم يكن لها صاحب تقع نفس العين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صيرورتها للإمام عليه السلام ؛ فإنّ كلّ ما لا مالك له فهو له ، على ما يستفاد من روايات الأنفال</w:t>
      </w:r>
      <w:r>
        <w:rPr>
          <w:rStyle w:val="FootnoteAnchor"/>
          <w:rtl w:val="true"/>
        </w:rPr>
        <w:footnoteReference w:id="655"/>
      </w:r>
      <w:r>
        <w:rPr>
          <w:rFonts w:ascii="Amiri" w:hAnsi="Amiri" w:eastAsia="Amiri" w:cs="Amiri"/>
          <w:color w:val="111111"/>
          <w:sz w:val="28"/>
          <w:sz w:val="28"/>
          <w:szCs w:val="28"/>
          <w:rtl w:val="true"/>
          <w:lang w:bidi="ar-SA"/>
        </w:rPr>
        <w:t xml:space="preserve">فأمره إلى الحاكم ، أو يكون الشيعة مجازين في التصرّف فيه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المنقطع الذي للذرّية نسلاً بعد نسل؛ فلا يجوز بيعه إلاّ بأحد المسوّغات</w:t>
      </w:r>
      <w:r>
        <w:rPr>
          <w:rFonts w:eastAsia="Amiri" w:cs="Amiri" w:ascii="Amiri" w:hAnsi="Amiri"/>
          <w:color w:val="111111"/>
          <w:sz w:val="28"/>
          <w:szCs w:val="28"/>
          <w:rtl w:val="true"/>
          <w:lang w:bidi="ar-SA"/>
        </w:rPr>
        <w:t xml:space="preserve">. </w:t>
      </w:r>
      <w:bookmarkStart w:id="320" w:name="pg15209_203922"/>
    </w:p>
    <w:p>
      <w:pPr>
        <w:pStyle w:val="Heading4"/>
        <w:numPr>
          <w:ilvl w:val="3"/>
          <w:numId w:val="1"/>
        </w:numPr>
        <w:rPr/>
      </w:pPr>
      <w:bookmarkStart w:id="321" w:name="__RefHeading___Toc2974515_2142443653"/>
      <w:bookmarkStart w:id="322" w:name="_Toc113"/>
      <w:bookmarkEnd w:id="320"/>
      <w:bookmarkEnd w:id="321"/>
      <w:r>
        <w:rPr>
          <w:rtl w:val="true"/>
        </w:rPr>
        <w:t>مسألة في بيع الرهن</w:t>
      </w:r>
      <w:bookmarkEnd w:id="322"/>
    </w:p>
    <w:p>
      <w:pPr>
        <w:pStyle w:val="Heading5"/>
        <w:numPr>
          <w:ilvl w:val="4"/>
          <w:numId w:val="1"/>
        </w:numPr>
        <w:rPr/>
      </w:pPr>
      <w:bookmarkStart w:id="323" w:name="__RefHeading___Toc2974517_2142443653"/>
      <w:bookmarkStart w:id="324" w:name="_Toc114"/>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ومن أسباب خروج الملك عن كونه طلقاً كونه رهناً ، كما حكي الاتّفاق بل الإجماع</w:t>
      </w:r>
      <w:r>
        <w:rPr>
          <w:rStyle w:val="FootnoteAnchor"/>
          <w:rtl w:val="true"/>
        </w:rPr>
        <w:footnoteReference w:id="656"/>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نّه أرسل عن النبي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الراهن والمرتهن ممنوعان من التصرّف</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جمهور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صلي الله عليه و آله وسلم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والمرهون ممنوعان من التصرّف في الرهن</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 ولعلّه تصحيف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لعلّ عدم جواز التصرّف في متعلّق حقّ الغير 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لعلّه مفهوم من مثل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بإ لغاء خصوصية المال ، ولهذا لا يجوز التصرّف في ملكه وإن لم يكن مالاً ، وهو المتفاهم من الرواية ، وكذا متعلّق حقّ الغير ، كالتصرّف في الخمر التي اُخذت للتخليل ، المتعلّق بها حقّ الاختصاص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جوازه ليس لأجل مزاحمة حقّ المرتهن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لا يزاحمه إذا رضي المشتري بكون العين رهناً </w:t>
      </w:r>
      <w:r>
        <w:rPr>
          <w:rStyle w:val="FootnoteAnchor"/>
          <w:rtl w:val="true"/>
        </w:rPr>
        <w:footnoteReference w:id="660"/>
      </w:r>
      <w:r>
        <w:rPr>
          <w:rFonts w:ascii="Amiri" w:hAnsi="Amiri" w:eastAsia="Amiri" w:cs="Amiri"/>
          <w:color w:val="111111"/>
          <w:sz w:val="28"/>
          <w:sz w:val="28"/>
          <w:szCs w:val="28"/>
          <w:rtl w:val="true"/>
          <w:lang w:bidi="ar-SA"/>
        </w:rPr>
        <w:t xml:space="preserve">، بل لأجل كونه تصرّفاً في متعلّق حقّ المرتهن ، فلا يجوز ، كما لا يجوز التصرّف في أموال الناس ، أو موارد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حقّ الاختصاص ، وحقّ 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عدم المزاحمة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 فقد ادّعي الإجماع وعدم الخلاف على عدم جواز التصرّف في الرهن ، زاحم حقّه أم لم يزاحم ، وقد أعرضوا </w:t>
      </w:r>
      <w:r>
        <w:rPr>
          <w:rStyle w:val="FootnoteAnchor"/>
          <w:rtl w:val="true"/>
        </w:rPr>
        <w:footnoteReference w:id="661"/>
      </w:r>
      <w:r>
        <w:rPr>
          <w:rFonts w:ascii="Amiri" w:hAnsi="Amiri" w:eastAsia="Amiri" w:cs="Amiri"/>
          <w:color w:val="111111"/>
          <w:sz w:val="28"/>
          <w:sz w:val="28"/>
          <w:szCs w:val="28"/>
          <w:rtl w:val="true"/>
          <w:lang w:bidi="ar-SA"/>
        </w:rPr>
        <w:t>عن الرواية الصحيحة الصريحة في جواز بعض التصرّفات غير المزاحمة ، كوط‌ء الجارية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الجواز إنّما هو في مورد المزاحمة ، فالظاهر صحّة البيع من غير اعتبار إجازة المشتري ورضاه ؛ فإنّ البيع إذا وقع على المرهون لا يبطل </w:t>
      </w:r>
      <w:bookmarkStart w:id="325" w:name="pg15209_203924"/>
    </w:p>
    <w:p>
      <w:pPr>
        <w:pStyle w:val="BookText"/>
        <w:rPr/>
      </w:pPr>
      <w:bookmarkEnd w:id="325"/>
      <w:r>
        <w:rPr>
          <w:rFonts w:ascii="Amiri" w:hAnsi="Amiri" w:eastAsia="Amiri" w:cs="Amiri"/>
          <w:color w:val="111111"/>
          <w:sz w:val="28"/>
          <w:sz w:val="28"/>
          <w:szCs w:val="28"/>
          <w:rtl w:val="true"/>
          <w:lang w:bidi="ar-SA"/>
        </w:rPr>
        <w:t>الرهن، كالعين المستأجرة ، بل تكون العين منتقلة إلى المشتري مع كونها متعلّقة لحقّ الرهن ، ومع جهله يكون له خيار الفسخ ، فما في بعض الكلمات ؛ من اعتبار رضا المشتري ببقائه على الرهانة</w:t>
      </w:r>
      <w:r>
        <w:rPr>
          <w:rStyle w:val="FootnoteAnchor"/>
          <w:rtl w:val="true"/>
        </w:rPr>
        <w:footnoteReference w:id="663"/>
      </w:r>
      <w:r>
        <w:rPr>
          <w:rFonts w:ascii="Amiri" w:hAnsi="Amiri" w:eastAsia="Amiri" w:cs="Amiri"/>
          <w:color w:val="111111"/>
          <w:sz w:val="28"/>
          <w:sz w:val="28"/>
          <w:szCs w:val="28"/>
          <w:rtl w:val="true"/>
          <w:lang w:bidi="ar-SA"/>
        </w:rPr>
        <w:t xml:space="preserve">، في غير محلّه </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974519_2142443653"/>
      <w:bookmarkStart w:id="327" w:name="_Toc115"/>
      <w:bookmarkEnd w:id="326"/>
      <w:r>
        <w:rPr>
          <w:rtl w:val="true"/>
        </w:rPr>
        <w:t>التمسّك بالعمومات لصحّة بيع الرهن موقوفاً على الإجازة</w:t>
      </w:r>
      <w:bookmarkEnd w:id="327"/>
    </w:p>
    <w:p>
      <w:pPr>
        <w:pStyle w:val="Heading6"/>
        <w:numPr>
          <w:ilvl w:val="5"/>
          <w:numId w:val="1"/>
        </w:numPr>
        <w:rPr/>
      </w:pPr>
      <w:bookmarkStart w:id="328" w:name="__RefHeading___Toc2974521_2142443653"/>
      <w:bookmarkStart w:id="329" w:name="_Toc116"/>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ثمّ إنّه وقع الكلام بين الأعلام ، في أنّ بيع الراهن هل يقع باطلاً غير قابل للإجازة ، أو يقع موقوفاً على الإجازة ، أو فكّ الرهن ؟</w:t>
      </w:r>
    </w:p>
    <w:p>
      <w:pPr>
        <w:pStyle w:val="BookText"/>
        <w:rPr/>
      </w:pPr>
      <w:r>
        <w:rPr>
          <w:rFonts w:ascii="Amiri" w:hAnsi="Amiri" w:eastAsia="Amiri" w:cs="Amiri"/>
          <w:color w:val="111111"/>
          <w:sz w:val="28"/>
          <w:sz w:val="28"/>
          <w:szCs w:val="28"/>
          <w:rtl w:val="true"/>
          <w:lang w:bidi="ar-SA"/>
        </w:rPr>
        <w:t xml:space="preserve">والأقوى هو الثاني ؛ للعمومات السليمة عن 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 صحّة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الرهن إذا كانت حقيقته الحبس على الدين وعن التصرّفات ، فنفوذها بسببها يمنع عن نفوذ البيع عقلاً ، لا جعلاً شرعاً ، فلا تنويع ، حتّى يكون البيع الوارد على الرهن المتعقّب بالإجازة أو الفكّ ،</w:t>
      </w:r>
    </w:p>
    <w:p>
      <w:pPr>
        <w:pStyle w:val="BookText"/>
        <w:rPr/>
      </w:pPr>
      <w:r>
        <w:rPr>
          <w:rFonts w:ascii="Amiri" w:hAnsi="Amiri" w:eastAsia="Amiri" w:cs="Amiri"/>
          <w:color w:val="111111"/>
          <w:sz w:val="28"/>
          <w:sz w:val="28"/>
          <w:szCs w:val="28"/>
          <w:rtl w:val="true"/>
          <w:lang w:bidi="ar-SA"/>
        </w:rPr>
        <w:t>داخلاً في النوع الباقي تحت عموم البيع بعد خروج الرهن غير المتعقّب بما ذكر ؛ حيث لا يعقل إطلاقه لما ينافيه عقلاً ، ليتنوّع بدليل الرهن المخرج لنوع منه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ضرورة أنّ جواز التمسّك بالعمومات والإطلاقات ، غير متوقّف على التنويع الشرعي ، بل هي محكّمة في غير مورد الخروج عقلاً ، سواء كان بالتخصّص ، كما إذا كانت القرينة العقلية حافّة بالكلام ، أم بالتخصيص ، كما إذا لم تكن حافّة بالكلام ، وحديث امتناع الإطلاق لما ينافي العقل ، إنّما هو في الفرض الأوّل ، لا الثاني ؛ لأنّ العموم والإطلاق القانونيين </w:t>
      </w:r>
    </w:p>
    <w:p>
      <w:pPr>
        <w:pStyle w:val="BookText"/>
        <w:rPr/>
      </w:pPr>
      <w:r>
        <w:rPr>
          <w:rFonts w:ascii="IRNazanin" w:hAnsi="IRNazanin" w:eastAsia="IRNazanin"/>
          <w:color w:val="111111"/>
          <w:sz w:val="28"/>
          <w:sz w:val="28"/>
          <w:szCs w:val="28"/>
          <w:rtl w:val="true"/>
          <w:lang w:bidi="fa-IR"/>
        </w:rPr>
        <w:t xml:space="preserve">لا مانع منهما ، والممتنع هو الإطلاق عن 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من أخذ العموم والإطلاق ، إنّما هو في العقد بلا إجازة المرتهن ، ولا فكّ الرهن ، وفي غير موردهما يصحّ التمسّك بهما لإنفاذ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العقد على مال الغير الخارج عن العمومات عقلاً ، وبين متعلّق حقّه ، في جواز التمسّك بالعمومات مع رفع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في باب الفضولي ، أنّ الوجه في عدم جواز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أنّ البيع والرهن كلّ منهما عقد يجب الوفاء به ، ولكن كانا متمانعين متزاحمين ، فلا يعمّهما العامّ مع عدم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المفروض سبق حقّ الرهن ، فلا يعقل شمول العامّ للفرد المزاحم عقلاً ، ولم يوجد بعد زوال الحقّ فرد من العقد ، حتّى يعمّه العامّ 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مورد تخصيص العامّ وتقييد المطلق ؛ فإنّهما يوجبان تضييق دائرته ، وتنويعه إلى كلّيين ، كدليل اعتبار الرضا أعمّ من المقارن والمتأخّر ، فإنّه يوجب تقيّد العقد الواجب الوفاء به ، بالمرضيّ به مقارناً أو لاحقاً ، فمتى وجد عقد ثمّ عقبه الرضا ، يوجد فرد يندرج تحت الكلّي الواجب الوفاء به</w:t>
      </w:r>
      <w:r>
        <w:rPr>
          <w:rStyle w:val="FootnoteAnchor"/>
          <w:rtl w:val="true"/>
        </w:rPr>
        <w:footnoteReference w:id="666"/>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التنويع بحسب الإثبات ، يوجب سراية إجمال المخصّص إلى العامّ ، وهو خلاف التحقيق ، وإلى أنّ الإشكال بعينه وارد عليه في العقد الفضولي ؛ فإنّ العقد عند وجوده على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مشمولاً لدليل وجوب الوفاء ، وحال تحقّق الرضا لم يوجد فرد من العقد ، </w:t>
      </w:r>
    </w:p>
    <w:p>
      <w:pPr>
        <w:pStyle w:val="BookText"/>
        <w:rPr/>
      </w:pPr>
      <w:r>
        <w:rPr>
          <w:rFonts w:ascii="Amiri" w:hAnsi="Amiri" w:eastAsia="Amiri" w:cs="Amiri"/>
          <w:color w:val="111111"/>
          <w:sz w:val="28"/>
          <w:sz w:val="28"/>
          <w:szCs w:val="28"/>
          <w:rtl w:val="true"/>
          <w:lang w:bidi="ar-SA"/>
        </w:rPr>
        <w:t xml:space="preserve">ولا يكون العقد المتعقّب بالرضا مشمولاً للدليل على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العقد المتحقّق من الراهن أو من الفضولي ، فرد من العقد ، باقٍ عرفاً إلى زمان الرضا ، وإلى زمان رفع المانع والمزاحم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يوجد بعد زوال العقد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بين العموم الأفرادي ، وإطلاق كلّ فرد بالنسبة إلى الحالات العارضة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فالعقد المتحقّق فرد من العامّ ، وهو تمام الموضوع لوجوب الوفاء ، فإذا ابتلي بمزاحم لا يجب الوفاء به حال المزاحم ، وإذا رفع يجب الوفاء ؛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للعقد بقاءً عقلائياً إلى زمان زوال المانع ، كما أنّ للعقد الفضولي بقاءً كذلك إلى زمان الإجازة ، وبعد رفع المانع في عقد الرهن ، وتحقّق الإجازة في الفضولي ، يجب الوفاء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في نكاح العبد بلا إذن مولاه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لم يعصِ اللّه ، إنّما عصى سيّده ، فإذا أجازه فهو له جائز</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فإنّ العصيان التكليفي غير قابل للإجازة ، وغير مناسب للمقام ، بل المراد أ نّه عصاه وأوقع النكاح بلا إذنه ، فإذا أذن جاز ، حيث يظهر منه أنّ ما هو موقوف على إجازة من له الإجازة يصحّ بها ، بناءً على الإسراء من النكاح إلى البيع ونحوه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منه أنّ كلّ عقد كان النهي عنه لحقّ آدمي ، إذا لحقه رضاه ، أثّر أثره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الحقوق حيث كانت مختلفة ، فبعضها قابل للارتفاع بإذن من له الحقّ ، وبعضها غير قابل ، وكون المورد من الأوّل أو من الثاني غير معلوم ، فلا يجوز التمسّك بعموم التعليل</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فرض استفادة ذلك العموم من التعليل ، لا مجال للإشكال ؛ فإنّه يرفع الشكّ في القابلية ، كما إذا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حيوان قابل للتذكية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كون بعض الحيوانات غير قابل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شرعي مخصّص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عدم التمسّك به في مورد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 استفادة العموم ، فهو أمر آخر ، تقدّم الكلام فيه في الفضولي</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أدلّة صحّة الفضولي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الفحوى بملاحظة أنّ بيع ملك الغير إذا صحّ بالإجازة ، فبيع ما تعلّق به حقّه أولى بالصحّة ؛ لأنّ الحقّ أضعف من الملك ، إلاّ أنّ الفحوى بملاحظة شمول القاعدة المقتضية للصحّة لما نحن فيه بالأولوية ، والقاعدة إنّما تعمّ الحقّ الذي يكون نقله إلى الغير منوطاً برضاه ، المعتبر في الحلّ والنفوذ ، كحقّ الاختصاص ، لكن رضا المرتهن ليس من هذا القبيل ، فإنّه ليس لأجل تحقيق الانتساب ، بل لمجرّد رعاية كونه ذا حقّ</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الأولوية بما ذكر غير وجيه ، وإلاّ فأضعفية الحقّ من الملك </w:t>
      </w:r>
      <w:bookmarkStart w:id="330" w:name="pg15209_203928"/>
    </w:p>
    <w:p>
      <w:pPr>
        <w:pStyle w:val="BookText"/>
        <w:rPr/>
      </w:pPr>
      <w:bookmarkEnd w:id="330"/>
      <w:r>
        <w:rPr>
          <w:rFonts w:ascii="Amiri" w:hAnsi="Amiri" w:eastAsia="Amiri" w:cs="Amiri"/>
          <w:color w:val="111111"/>
          <w:sz w:val="28"/>
          <w:sz w:val="28"/>
          <w:szCs w:val="28"/>
          <w:rtl w:val="true"/>
          <w:lang w:bidi="ar-SA"/>
        </w:rPr>
        <w:t xml:space="preserve">لا توجب الأولوية ؛ لأنّ اعتبار رضا صاحب الحقّ كاعتبار رضا المالك ، بلا افتراق بينهما ، وتصحيح الإجازة لنقلهما على حدّ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المعتبر في صحّة الفضولي ، لا تفترق فيه القوّة والضعف في المتعلّق ، بل المراد من الأولوية ، أنّ الإجازة إذا صحّحت بيع الفضولي الذي لا اقتضاء له للنقل ، أو لا يكون تامّ الاقتضاء ، فتصحيحها لما نحن فيه أولى ؛ فإنّ المقتضي موجود ، ولانقص فيه ، وإنّما وجود الحقّ الذي هو بمنزلة المانع ، يمنع التأثير ، فإذا زال يؤثّر أثره ، فالأولوية بهذا المعنى وجيهة ، والإشكال غير وارد </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2974523_2142443653"/>
      <w:bookmarkStart w:id="332" w:name="_Toc117"/>
      <w:bookmarkEnd w:id="331"/>
      <w:r>
        <w:rPr>
          <w:rtl w:val="true"/>
        </w:rPr>
        <w:t>كلام المحقّق التستري وما يرد عليه</w:t>
      </w:r>
      <w:bookmarkEnd w:id="332"/>
    </w:p>
    <w:p>
      <w:pPr>
        <w:pStyle w:val="BookText"/>
        <w:rPr/>
      </w:pPr>
      <w:r>
        <w:rPr>
          <w:rFonts w:ascii="Amiri" w:hAnsi="Amiri" w:eastAsia="Amiri" w:cs="Amiri"/>
          <w:color w:val="111111"/>
          <w:sz w:val="28"/>
          <w:sz w:val="28"/>
          <w:szCs w:val="28"/>
          <w:rtl w:val="true"/>
          <w:lang w:bidi="ar-SA"/>
        </w:rPr>
        <w:t xml:space="preserve">ثمّ إنّ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عليه ، بعد تقريب الصحّة بوجوه كثيرة ، قد استقرب البطلان من الأصل ، بما لا يخلو التعرّض له من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صدر كلامه في مقام إثبات تعلّق النهي بتصرّفات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جماعة الإجماع على كونه ممنوعاً من التصرّف</w:t>
      </w:r>
      <w:r>
        <w:rPr>
          <w:rStyle w:val="FootnoteAnchor"/>
          <w:rtl w:val="true"/>
        </w:rPr>
        <w:footnoteReference w:id="671"/>
      </w:r>
      <w:r>
        <w:rPr>
          <w:rFonts w:ascii="Amiri" w:hAnsi="Amiri" w:eastAsia="Amiri" w:cs="Amiri"/>
          <w:color w:val="111111"/>
          <w:sz w:val="28"/>
          <w:sz w:val="28"/>
          <w:szCs w:val="28"/>
          <w:rtl w:val="true"/>
          <w:lang w:bidi="ar-SA"/>
        </w:rPr>
        <w:t>، واتّفقت كلمة الأصحاب عليه كما سبق</w:t>
      </w:r>
      <w:r>
        <w:rPr>
          <w:rStyle w:val="FootnoteAnchor"/>
          <w:rtl w:val="true"/>
        </w:rPr>
        <w:footnoteReference w:id="672"/>
      </w:r>
      <w:r>
        <w:rPr>
          <w:rFonts w:ascii="Amiri" w:hAnsi="Amiri" w:eastAsia="Amiri" w:cs="Amiri"/>
          <w:color w:val="111111"/>
          <w:sz w:val="28"/>
          <w:sz w:val="28"/>
          <w:szCs w:val="28"/>
          <w:rtl w:val="true"/>
          <w:lang w:bidi="ar-SA"/>
        </w:rPr>
        <w:t>، وحكى الشيخ قدّس سرّه ورود الأخبار بذلك</w:t>
      </w:r>
      <w:r>
        <w:rPr>
          <w:rStyle w:val="FootnoteAnchor"/>
          <w:rtl w:val="true"/>
        </w:rPr>
        <w:footnoteReference w:id="673"/>
      </w:r>
      <w:r>
        <w:rPr>
          <w:rFonts w:ascii="Amiri" w:hAnsi="Amiri" w:eastAsia="Amiri" w:cs="Amiri"/>
          <w:color w:val="111111"/>
          <w:sz w:val="28"/>
          <w:sz w:val="28"/>
          <w:szCs w:val="28"/>
          <w:rtl w:val="true"/>
          <w:lang w:bidi="ar-SA"/>
        </w:rPr>
        <w:t>، ونقل العلاّمة رواية نبوية فيه</w:t>
      </w:r>
      <w:r>
        <w:rPr>
          <w:rStyle w:val="FootnoteAnchor"/>
          <w:rtl w:val="true"/>
        </w:rPr>
        <w:footnoteReference w:id="674"/>
      </w:r>
      <w:r>
        <w:rPr>
          <w:rFonts w:ascii="IRNazanin" w:hAnsi="IRNazanin" w:eastAsia="IRNazanin"/>
          <w:color w:val="111111"/>
          <w:sz w:val="28"/>
          <w:sz w:val="28"/>
          <w:szCs w:val="28"/>
          <w:rtl w:val="true"/>
          <w:lang w:bidi="fa-IR"/>
        </w:rPr>
        <w:t xml:space="preserve">، وأ نّه المناسب للغرض الباعث على وضع عقد الرهن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استنتج بطلان البيع ؛ لاقتضاء تعلّق النهي به ، لا لأمر خارج عنه وإن كان </w:t>
      </w:r>
    </w:p>
    <w:p>
      <w:pPr>
        <w:pStyle w:val="BookText"/>
        <w:rPr/>
      </w:pPr>
      <w:r>
        <w:rPr>
          <w:rFonts w:ascii="Amiri" w:hAnsi="Amiri" w:eastAsia="Amiri" w:cs="Amiri"/>
          <w:color w:val="111111"/>
          <w:sz w:val="28"/>
          <w:sz w:val="28"/>
          <w:szCs w:val="28"/>
          <w:rtl w:val="true"/>
          <w:lang w:bidi="ar-SA"/>
        </w:rPr>
        <w:t>لحقّ الغير ، كما في بيع اُمّ الولد والوقف ، فإنّهما أيضاً لحقّ الغير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الصدر مع الغضّ عن ذيله ، يمكن تقريبه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المفروض ثبوت ورود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الراهن ممنوع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والممنوعية منه إذا اُضيفت إلى التصرّفات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كالركوب ، والسكنى ؛ ممّا لها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الحرمة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اُضيفت إلى أمثال المعاملات ؛ ممّا يتوسّل بها إلى الصحّة ، يستفاد منها البطلان والحكم الوضعي ، لا لاستعمال الألفاظ في الحكم التكليفي أو الوضعي ، بل لاستفادة ذلك من المناسبات العرفية ، كما أنّ الأمر كذلك في الأوامر ، والنواهي ، والحلّ ، والحرمة ، على ما أشرنا إليه مراراً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أعمّ من الخارجي كالركوب ، والاعتباري كالبيع ، والممنوعية من الأوّل يستفاد منها عدم الجواز ، ومن الثاني عدم النفوذ والإرشاد إلى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عن المناقشة في ثبوت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البطلان بمعنى عدم تحقّق النقل واقعاً ، وعدم ترتّب آثار العقد الصحيح عليه ، مسلّم لا يحتاج إلى تجشّم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صلوحه للحوق الإجازة ، فلا دليل عليه ؛ لأنّ الإرشاد إلى بطلانه ، لا يدلّ على سقوط الألفاظ والعقد الإنشائي عن الاعتبار ، فلا دليل على كون عقد الراهن كعقد الصبيّ والمجنون ، بل لا معنى محصّل للإرشاد إلى </w:t>
      </w:r>
    </w:p>
    <w:p>
      <w:pPr>
        <w:pStyle w:val="BookText"/>
        <w:rPr/>
      </w:pPr>
      <w:r>
        <w:rPr>
          <w:rFonts w:ascii="Amiri" w:hAnsi="Amiri" w:eastAsia="Amiri" w:cs="Amiri"/>
          <w:color w:val="111111"/>
          <w:sz w:val="28"/>
          <w:sz w:val="28"/>
          <w:szCs w:val="28"/>
          <w:rtl w:val="true"/>
          <w:lang w:bidi="ar-SA"/>
        </w:rPr>
        <w:t xml:space="preserve">بطلان الألفاظ ، أو النقل الإنشائي بما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معنى الإرشاد إلى البطلان ، أنّ العقد لا يترتّب عليه الأثر المطلوب منه ؛ أي النقل الحقيقي عند العقلاء أحياناً ، وعند الشارع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ممنوع من التصرّف</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بناءً على شموله للتصرّف الاعتباري، وكونه إرشاداً إلى البطلان، ونظير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فيما تملك</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إذا كان إرشاداً إلى بطلانه من غير المالك ، حيث لا يدلاّن على بطلان البيع من رأس ، وسقوط الألفاظ والبيع الإنشائي عن الاعتبار ؛ بحيث لا يصحّ بالإجازة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ويمكن تقريب البطلان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ممنوع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شموله للتصرّفات الخارجية ، ولا إشكال في دلالته على الحرمة التكليفية فيها ، ومع شموله للعقود والإيقاعات ، تكون تلك التصرّفات أيضاً محرّمة مبغوضة ، ومع تعلّق النهي التحريمي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باطلة لا يمكن لحوق الإجازة بها ؛ لأنّ المنهيّ عنه لا يعقل تنفيذه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النهي إذا تعلّق بالمسبّب ، فلا يعقل أن يكون غير واقع ؛ لعدم القدرة عليه ، فالنهي دليل على صحّته ، وإذا تعلّق بالسبب لا ينافي النفوذ الوضعي بالأدلّة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إنّما تعلّق </w:t>
      </w:r>
    </w:p>
    <w:p>
      <w:pPr>
        <w:pStyle w:val="BookText"/>
        <w:rPr/>
      </w:pPr>
      <w:r>
        <w:rPr>
          <w:rFonts w:ascii="IRNazanin" w:hAnsi="IRNazanin" w:eastAsia="IRNazanin"/>
          <w:color w:val="111111"/>
          <w:sz w:val="28"/>
          <w:sz w:val="28"/>
          <w:szCs w:val="28"/>
          <w:rtl w:val="true"/>
          <w:lang w:bidi="fa-IR"/>
        </w:rPr>
        <w:t xml:space="preserve">بأمر خارج ، وهو عنوان التصرّف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العنوان غير عنوان البيع ، وبينهما العموم من وجه وإن تصادقا في الخارج ، فيكون ذلك نظير الصلاة والغصب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نفس إيقاع العقد ، ليس تصرّفاً ، ولا محرّماً ، ولا مبغوضاً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المالك محجور</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إن كان المراد أ نّه محجور حتّى عن إيقاع صيغة البيع مع عدم تأثيره ، فهو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محجور عن نقله ، فهو مسلّم ؛ لتعلّق حقّ الغير به ، وأمّا في صرف العقد فلا حجر عليه ، وليس تصرّفاً في الرهن ، فيكون حال الراهن كالمرتهن ؛ حيث إنّهما ممنوعان من التصرّف ، وغير ممنوعين من إيقاع العقد متوقّعين للإجازة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تمسّك باُمور في ضمن الإشكال والردّ</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الجواب عنها في الفضولي</w:t>
      </w:r>
      <w:r>
        <w:rPr>
          <w:rStyle w:val="FootnoteAnchor"/>
          <w:rtl w:val="true"/>
        </w:rPr>
        <w:footnoteReference w:id="682"/>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أن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يظهر من تتبّع الأدلّة ، أنّ عقد الأصيل لا يقع على وجهين ، بل يكون إمّا فاسداً ، أو صحيحاً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فرض أنّ التتبّع في الموارد الخاصّة كان حاصله ذلك ، لكن لم يدلّ دليل على عدم وقوع عقد المالك مراعىً بالإجازة ، فمقتضى العمومات صحّته </w:t>
      </w:r>
      <w:r>
        <w:rPr>
          <w:rFonts w:eastAsia="Amiri" w:cs="Amiri" w:ascii="Amiri" w:hAnsi="Amiri"/>
          <w:color w:val="111111"/>
          <w:sz w:val="28"/>
          <w:szCs w:val="28"/>
          <w:rtl w:val="true"/>
          <w:lang w:bidi="ar-SA"/>
        </w:rPr>
        <w:t xml:space="preserve">. </w:t>
      </w:r>
      <w:bookmarkStart w:id="333" w:name="pg15209_203932"/>
    </w:p>
    <w:p>
      <w:pPr>
        <w:pStyle w:val="Heading5"/>
        <w:numPr>
          <w:ilvl w:val="4"/>
          <w:numId w:val="1"/>
        </w:numPr>
        <w:rPr/>
      </w:pPr>
      <w:bookmarkStart w:id="334" w:name="__RefHeading___Toc2974525_2142443653"/>
      <w:bookmarkStart w:id="335" w:name="_Toc118"/>
      <w:bookmarkEnd w:id="333"/>
      <w:bookmarkEnd w:id="334"/>
      <w:r>
        <w:rPr>
          <w:rtl w:val="true"/>
        </w:rPr>
        <w:t>جريان نزاع الكشف والنقل في بيع الراهن بعد فكّ الرهن</w:t>
      </w:r>
      <w:bookmarkEnd w:id="335"/>
    </w:p>
    <w:p>
      <w:pPr>
        <w:pStyle w:val="BookText"/>
        <w:rPr/>
      </w:pPr>
      <w:r>
        <w:rPr>
          <w:rFonts w:ascii="Amiri" w:hAnsi="Amiri" w:eastAsia="Amiri" w:cs="Amiri"/>
          <w:color w:val="111111"/>
          <w:sz w:val="28"/>
          <w:sz w:val="28"/>
          <w:szCs w:val="28"/>
          <w:rtl w:val="true"/>
          <w:lang w:bidi="ar-SA"/>
        </w:rPr>
        <w:t xml:space="preserve">ثمّ إنّه وقع الكلام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نزاع الكشف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هاهنا الكشف ، وفي الفضولي النقل ؛ لأنّ العقد هاهنا عقد المالك ابتداءً ، ومقتضى عموم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 .)</w:t>
      </w:r>
      <w:r>
        <w:rPr>
          <w:rStyle w:val="FootnoteAnchor"/>
          <w:rtl w:val="true"/>
        </w:rPr>
        <w:footnoteReference w:id="684"/>
      </w:r>
      <w:r>
        <w:rPr>
          <w:rFonts w:ascii="Amiri" w:hAnsi="Amiri" w:eastAsia="Amiri" w:cs="Amiri"/>
          <w:color w:val="111111"/>
          <w:sz w:val="28"/>
          <w:sz w:val="28"/>
          <w:szCs w:val="28"/>
          <w:rtl w:val="true"/>
          <w:lang w:bidi="ar-SA"/>
        </w:rPr>
        <w:t xml:space="preserve">الكشف ، بعد عدم القطع بخروج ما عدا صورة عدم لحوق الإجازة رأساً </w:t>
      </w:r>
      <w:r>
        <w:rPr>
          <w:rStyle w:val="FootnoteAnchor"/>
          <w:rtl w:val="true"/>
        </w:rPr>
        <w:footnoteReference w:id="685"/>
      </w:r>
      <w:r>
        <w:rPr>
          <w:rFonts w:ascii="Amiri" w:hAnsi="Amiri" w:eastAsia="Amiri" w:cs="Amiri"/>
          <w:color w:val="111111"/>
          <w:sz w:val="28"/>
          <w:sz w:val="28"/>
          <w:szCs w:val="28"/>
          <w:rtl w:val="true"/>
          <w:lang w:bidi="ar-SA"/>
        </w:rPr>
        <w:t>، ويظهر جوابه ممّا يأتي</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النزاع في المقام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مثل الفضولي ؛ بلا افتراق من هذه الجهة بينهما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قلنا بأن لا منافاة بين حقّ الرهن والنقل ؛ لعدم بطلان الرهن بالنقل كالبيع ونظائره ، فينتقل المرهون إلى المشتري متعلّقاً لحقّ الرهن ، وإنّما صار موقوفاً على الإجازة ، لا لإسقاط حقّ الرهن ، بل لأنّ الراهن ممنوع من التصرّف ، فالإجازة ممّن له الإجازة لتصحيح العقد ، فلا ينبغي الإشكال في جريان النزاع فيه ؛ لأنّ عمدة دليلهم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الإجازة تعلّقت بالعقد الموجود في الزمان السابق ، ومقتضى ذلك تنفيذه من ذلك </w:t>
      </w:r>
    </w:p>
    <w:p>
      <w:pPr>
        <w:pStyle w:val="BookText"/>
        <w:rPr/>
      </w:pPr>
      <w:r>
        <w:rPr>
          <w:rFonts w:ascii="IRNazanin" w:hAnsi="IRNazanin" w:eastAsia="IRNazanin"/>
          <w:color w:val="111111"/>
          <w:sz w:val="28"/>
          <w:sz w:val="28"/>
          <w:szCs w:val="28"/>
          <w:rtl w:val="true"/>
          <w:lang w:bidi="fa-IR"/>
        </w:rPr>
        <w:t>الزمان</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فيه ، وكذا سائر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القاعدة النقل ، يمكن استفادة الكشف من بعض الأخبار بالفحوى ، كما أفاده الشيخ الأعظم قدّس سرّه </w:t>
      </w:r>
      <w:r>
        <w:rPr>
          <w:rStyle w:val="FootnoteAnchor"/>
          <w:rtl w:val="true"/>
        </w:rPr>
        <w:footnoteReference w:id="690"/>
      </w:r>
      <w:r>
        <w:rPr>
          <w:rFonts w:ascii="Amiri" w:hAnsi="Amiri" w:eastAsia="Amiri" w:cs="Amiri"/>
          <w:color w:val="111111"/>
          <w:sz w:val="28"/>
          <w:sz w:val="28"/>
          <w:szCs w:val="28"/>
          <w:rtl w:val="true"/>
          <w:lang w:bidi="ar-SA"/>
        </w:rPr>
        <w:t xml:space="preserve">، وإن كان في استدلاله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 الرهن مانع عن النقل ؛ لمنافاة النقل للرهن ، وما دام كونه مرهوناً لا يقع العقد صحيحاً ، وإنّما يصحّ بالإذن ابتداءً ؛ لأنّ لازمه العرفي إسقاط الحقّ ، فيقع بلا مانع ، فاللازم عدم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الكشف ؛ لأنّ الإجازة لا يعقل أن تكون دالّة على إسقاط الحقّ الثابت الذي مضى الزمان عليه ؛ لامتناع كون الإسقاط فعلاً موجباً للسقوط في الزمن الماضي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دلّ دليل على الكشف في خصوص المقام ، لالتزمنا بالسقوط التعبّدي ، لا الحقيقي ، وهو 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عدم صحّة دعوى الفحوى في الفرض</w:t>
      </w:r>
      <w:r>
        <w:rPr>
          <w:rStyle w:val="FootnoteAnchor"/>
          <w:rtl w:val="true"/>
        </w:rPr>
        <w:footnoteReference w:id="691"/>
      </w:r>
      <w:r>
        <w:rPr>
          <w:rFonts w:ascii="Amiri" w:hAnsi="Amiri" w:eastAsia="Amiri" w:cs="Amiri"/>
          <w:color w:val="111111"/>
          <w:sz w:val="28"/>
          <w:sz w:val="28"/>
          <w:szCs w:val="28"/>
          <w:rtl w:val="true"/>
          <w:lang w:bidi="ar-SA"/>
        </w:rPr>
        <w:t xml:space="preserve">؛ لأنّ الصحّة ليست موقوفة على الإجازة ، بل موقوفة على سقوط الحقّ ، وهو غير ممكن في فرض ، وغير حاصل في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 يظهر النظر في غالب ما أفادوا من النفي والإثبات بقول مطلق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التحقيق عدم منافاة النقل لبقاء حقّ الرهانة ، ولا مانع من رهانة مال الغير في القرض ، فاللازم جريان نزاع الكشف في المقام ، فهل الكلام في </w:t>
      </w:r>
    </w:p>
    <w:p>
      <w:pPr>
        <w:pStyle w:val="BookText"/>
        <w:rPr/>
      </w:pPr>
      <w:r>
        <w:rPr>
          <w:rFonts w:ascii="Amiri" w:hAnsi="Amiri" w:eastAsia="Amiri" w:cs="Amiri"/>
          <w:color w:val="111111"/>
          <w:sz w:val="28"/>
          <w:sz w:val="28"/>
          <w:szCs w:val="28"/>
          <w:rtl w:val="true"/>
          <w:lang w:bidi="ar-SA"/>
        </w:rPr>
        <w:t>الإجازة بعد الردّ هنا كالفضولي مطلقاً ، أو لا مطلقاً ؟</w:t>
      </w:r>
    </w:p>
    <w:p>
      <w:pPr>
        <w:pStyle w:val="BookText"/>
        <w:rPr/>
      </w:pPr>
      <w:r>
        <w:rPr>
          <w:rFonts w:ascii="Amiri" w:hAnsi="Amiri" w:eastAsia="Amiri" w:cs="Amiri"/>
          <w:color w:val="111111"/>
          <w:sz w:val="28"/>
          <w:sz w:val="28"/>
          <w:szCs w:val="28"/>
          <w:rtl w:val="true"/>
          <w:lang w:bidi="ar-SA"/>
        </w:rPr>
        <w:t xml:space="preserve">أو يفصّل بين ما إذا كانت الإجازة بنفسها معتبرة ، كما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النقل لا ينافي الرهن ، والإجازة ليست لأجل إسقاط الحقّ بها ، فيكون الكلام فيه كالفضولي ، وبين ما إذا كانت الإجازة لأجله ، والمعتبر سقوط الحقّ وفكّ الرهن ؛ للتنافي بين النقل والرهن ، فلا يكون الردّ مانعاً عن الإجازة ؟</w:t>
      </w:r>
    </w:p>
    <w:p>
      <w:pPr>
        <w:pStyle w:val="BookText"/>
        <w:rPr/>
      </w:pPr>
      <w:r>
        <w:rPr>
          <w:rFonts w:ascii="Amiri" w:hAnsi="Amiri" w:eastAsia="Amiri" w:cs="Amiri"/>
          <w:color w:val="111111"/>
          <w:sz w:val="28"/>
          <w:sz w:val="28"/>
          <w:szCs w:val="28"/>
          <w:rtl w:val="true"/>
          <w:lang w:bidi="ar-SA"/>
        </w:rPr>
        <w:t xml:space="preserve">وجوه ، أوجهها أوسطها ؛ لأنّ الوجه في هدم الردّ عقد الفضولي ، هو أنّ إجازة المجيز بمنزلة قبول القابل ، وأ نّها تجعل المجيز أحد طرفي العقد ، ولا إشكال في أنّ من شروط العقد ، أن لا يحصل بين طرفيه ما يسقطهما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المعاهدة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على ما قرّرنا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الإجازة هي قبول ما أوجده الموجب بإيجابه ، والإيجاب تمام ماهية المعاملة ، وقبول الفضولي ممّا لا أثر له ؛ فإنّ إيقاع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المبادلة بين المثمن والثمن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بفعل الموجب ، واعتبار القبول من المالك ليس لأجل تتميم الإيقاع ، بل لأجل تحقّقه الاعتباري عند العقلاء</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 الأصيلان شخصاً لإيقاع المعاملة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 ولا تحتاج في تحقّقها إلى قبول</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أوجب الفضولي الموجب المعاملة ، يكون إيقاعها تامّاً ؛ لا يحتاج إلى ضمّ القبول ، وقبول الأجنبيّ غير الأصيل لغو ؛ لا يكون دخيلاً في إيقاع المعاملة ، </w:t>
      </w:r>
      <w:bookmarkStart w:id="336" w:name="pg15209_203935"/>
    </w:p>
    <w:p>
      <w:pPr>
        <w:pStyle w:val="BookText"/>
        <w:rPr/>
      </w:pPr>
      <w:bookmarkEnd w:id="336"/>
      <w:r>
        <w:rPr>
          <w:rFonts w:ascii="Amiri" w:hAnsi="Amiri" w:eastAsia="Amiri" w:cs="Amiri"/>
          <w:color w:val="111111"/>
          <w:sz w:val="28"/>
          <w:sz w:val="28"/>
          <w:szCs w:val="28"/>
          <w:rtl w:val="true"/>
          <w:lang w:bidi="ar-SA"/>
        </w:rPr>
        <w:t xml:space="preserve">ولا أثر له في تحقّقها ، وإنّما المؤثّر إجازة المجيز ، سواء وقعت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نحوهما ممّا يفيد الرضا بإيجاب الموجب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لو شرطنا في الإجازة أن لا يسبقها الردّ ، فإنّما هو لكون الإجازة قبولاً ، والمجيز طرف المعاملة حقيقة ، فيكون ردّه هادماً ومخرجاً للمتعاملين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إجازة المرتهن ، فلا تجعل المجيز طرفاً للمعاقدة ؛ فإنّ المعاقدة إنّما هي بين المالك والمشتري ، واعتبار إجازة المرتهن إنّما هو لكونه صاحب الحقّ ، فهي شرط خارجي ، لا يجعل المجيز معاقداً وطرفاً للمعاقدة ؛ فإنّ العقد لم يقع على حقّه ، ولم ينتقل حقّه إلى المشتري حتّى يكون طرفاً ، فلا وجه لاعتبار عدم مسبوقيتها بالردّ ؛ لعدم كون ردّه هدماً ، ولا يخرج بردّه طرفا المعاملة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بذلك 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الإجازة غير معتبرة بنفسها ، بل المعتبر سقوط الحقّ وفكّ الرهن ؛ فإنّ هدمه بالردّ الذي هو راجع إلى عدم إسقاط حقّه ، ممّا لا وجه له </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2974527_2142443653"/>
      <w:bookmarkStart w:id="338" w:name="_Toc119"/>
      <w:bookmarkEnd w:id="337"/>
      <w:r>
        <w:rPr>
          <w:rtl w:val="true"/>
        </w:rPr>
        <w:t>فكّ الرهن مصحّح للمعاملة</w:t>
      </w:r>
      <w:bookmarkEnd w:id="338"/>
    </w:p>
    <w:p>
      <w:pPr>
        <w:pStyle w:val="BookText"/>
        <w:rPr/>
      </w:pPr>
      <w:r>
        <w:rPr>
          <w:rFonts w:ascii="Amiri" w:hAnsi="Amiri" w:eastAsia="Amiri" w:cs="Amiri"/>
          <w:color w:val="111111"/>
          <w:sz w:val="28"/>
          <w:sz w:val="28"/>
          <w:szCs w:val="28"/>
          <w:rtl w:val="true"/>
          <w:lang w:bidi="ar-SA"/>
        </w:rPr>
        <w:t xml:space="preserve">ثمّ إنّ فكّ الرهن بعد العقد ، يوجب صحّة المعاملة ؛ لإطلاق وجوب الوفاء بالعقود ، فإنّ أفراد العقد داخلة في العموم الأفرادي ، وكلّ فرد تمام الموضوع لوجوبه ، بعد كون المتكلّم في مقام البيان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معنى الإطلاق ، لا العموم الزماني ، أو العموم الأحوالي ، كما هو معروف </w:t>
      </w:r>
      <w:bookmarkStart w:id="339" w:name="pg15209_203936"/>
    </w:p>
    <w:p>
      <w:pPr>
        <w:pStyle w:val="BookText"/>
        <w:rPr/>
      </w:pPr>
      <w:bookmarkEnd w:id="339"/>
      <w:r>
        <w:rPr>
          <w:rFonts w:ascii="Amiri" w:hAnsi="Amiri" w:eastAsia="Amiri" w:cs="Amiri"/>
          <w:color w:val="111111"/>
          <w:sz w:val="28"/>
          <w:sz w:val="28"/>
          <w:szCs w:val="28"/>
          <w:rtl w:val="true"/>
          <w:lang w:bidi="ar-SA"/>
        </w:rPr>
        <w:t xml:space="preserve">عندهم ؛ لأنّ الإطلاق بعد تمامية مقدّماته أيضاً لا يصير عامّاً ، بل حينئذٍ يحكم بأنّ الماهية تمام الموضوع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قيّد بقيد بدليل ، كقوله صلي الله عليه و آله وسلم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ممنوع من التصرّف</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يؤخذ به ، ومفاده ليس إلاّ الممنوعية ما دام الرهن ، وبعد فكّه لا يكون مشمولاً للدليل المقيّد ، فيؤخذ بالإطلاق ، من غير فرق بين الحالات العرضية وغيرها ، وقد تقدّم في ذلك بعض الكلام مع بعض الأعلام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2974529_2142443653"/>
      <w:bookmarkStart w:id="341" w:name="_Toc120"/>
      <w:bookmarkEnd w:id="340"/>
      <w:r>
        <w:rPr>
          <w:rtl w:val="true"/>
        </w:rPr>
        <w:t>هل الفكّ ناقل أو كاشف؟</w:t>
      </w:r>
      <w:bookmarkEnd w:id="341"/>
    </w:p>
    <w:p>
      <w:pPr>
        <w:pStyle w:val="BookText"/>
        <w:rPr/>
      </w:pPr>
      <w:r>
        <w:rPr>
          <w:rFonts w:ascii="Amiri" w:hAnsi="Amiri" w:eastAsia="Amiri" w:cs="Amiri"/>
          <w:color w:val="111111"/>
          <w:sz w:val="28"/>
          <w:sz w:val="28"/>
          <w:szCs w:val="28"/>
          <w:rtl w:val="true"/>
          <w:lang w:bidi="ar-SA"/>
        </w:rPr>
        <w:t>وهل يجري نزاع الكشف هاهنا ، أو لا بدّ من القول بالنقل ؟</w:t>
      </w:r>
    </w:p>
    <w:p>
      <w:pPr>
        <w:pStyle w:val="BookText"/>
        <w:rPr/>
      </w:pPr>
      <w:r>
        <w:rPr>
          <w:rFonts w:ascii="Amiri" w:hAnsi="Amiri" w:eastAsia="Amiri" w:cs="Amiri"/>
          <w:color w:val="111111"/>
          <w:sz w:val="28"/>
          <w:sz w:val="28"/>
          <w:szCs w:val="28"/>
          <w:rtl w:val="true"/>
          <w:lang w:bidi="ar-SA"/>
        </w:rPr>
        <w:t xml:space="preserve">ظاهر الشيخ الأعظم قدّس سرّه بعد اختيار النقل ، أ نّه لو كان المستند في الكشف ، هو أنّ مقتضى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إمضاء العقد من حينه ، فلا يكون ذلك متحقّقاً في الافتكاك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المستند فيه أنّ العقد سبب تامّ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الكشف</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الفرض الأوّل ، بأنّ التفصيل بين الإجازة والفكّ 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النقل منافٍ للرهن</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 فإنّ الصحّة موقوفة على </w:t>
      </w:r>
    </w:p>
    <w:p>
      <w:pPr>
        <w:pStyle w:val="BookText"/>
        <w:rPr/>
      </w:pPr>
      <w:r>
        <w:rPr>
          <w:rFonts w:ascii="Amiri" w:hAnsi="Amiri" w:eastAsia="Amiri" w:cs="Amiri"/>
          <w:color w:val="111111"/>
          <w:sz w:val="28"/>
          <w:sz w:val="28"/>
          <w:szCs w:val="28"/>
          <w:rtl w:val="true"/>
          <w:lang w:bidi="ar-SA"/>
        </w:rPr>
        <w:t xml:space="preserve">سقوط الحقّ ، وهو غير معقول بالسبب 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عنه ، يمكن الإشكال في الفرض الثاني ؛ فإنّ المستند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العقد سبب تامّ في الملك ؛ لعموم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وتمامه في الفضولي يعلم بالإجازة ، يمكن تقريبه بوجه لا يرد ما هو ظاهر الورود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الإنشاء تعلّق بنفس التمليك ؛ من غير تقيّد بالزمان ، فلا يكون زمان العقد أو غيره ، داخلاً في المنشأ وإن كان ظرفاً له ، والإجازة إن تعلّقت بنفس ما تعلّق به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الملك المرسل المنطبق على الزمان الماضي ، من غير تقييد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مقتضاه تحقّق ما اُنشئ بالعقد ، وهو لا ينطبق إلاّ على الزمان الماضي ، ولو أجاز متقيّداً بالزمان ، لم تكن إجازته متعلّقة بما اُنشئ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بصدد تصحيح هذا الوجه ، لكن بهذا التقريب لا يتوجّه إليه ما أفادوا من ظهور الفساد</w:t>
      </w:r>
      <w:r>
        <w:rPr>
          <w:rStyle w:val="FootnoteAnchor"/>
          <w:rtl w:val="true"/>
        </w:rPr>
        <w:footnoteReference w:id="701"/>
      </w:r>
      <w:r>
        <w:rPr>
          <w:rFonts w:ascii="Amiri" w:hAnsi="Amiri" w:eastAsia="Amiri" w:cs="Amiri"/>
          <w:color w:val="111111"/>
          <w:sz w:val="28"/>
          <w:sz w:val="28"/>
          <w:szCs w:val="28"/>
          <w:rtl w:val="true"/>
          <w:lang w:bidi="ar-SA"/>
        </w:rPr>
        <w:t xml:space="preserve">، وعليه تكون الإجازة كاشفة ، دون فكّ الرهن ؛ لعدم جريان ما ذكر فيه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ما أفاده فخرالدين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لولا الكشف لزم تأثير المعدوم في الموجود</w:t>
      </w:r>
      <w:r>
        <w:rPr>
          <w:rStyle w:val="FootnoteAnchor"/>
          <w:rtl w:val="true"/>
        </w:rPr>
        <w:footnoteReference w:id="702"/>
      </w:r>
      <w:r>
        <w:rPr>
          <w:rFonts w:ascii="Amiri" w:hAnsi="Amiri" w:eastAsia="Amiri" w:cs="Amiri"/>
          <w:color w:val="111111"/>
          <w:sz w:val="28"/>
          <w:sz w:val="28"/>
          <w:szCs w:val="28"/>
          <w:rtl w:val="true"/>
          <w:lang w:bidi="ar-SA"/>
        </w:rPr>
        <w:t xml:space="preserve">، فتقريبه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قيام الدليل على صحّة الفضولي ، وقيام الدليل </w:t>
      </w:r>
    </w:p>
    <w:p>
      <w:pPr>
        <w:pStyle w:val="BookText"/>
        <w:rPr/>
      </w:pPr>
      <w:r>
        <w:rPr>
          <w:rFonts w:ascii="Amiri" w:hAnsi="Amiri" w:eastAsia="Amiri" w:cs="Amiri"/>
          <w:color w:val="111111"/>
          <w:sz w:val="28"/>
          <w:sz w:val="28"/>
          <w:szCs w:val="28"/>
          <w:rtl w:val="true"/>
          <w:lang w:bidi="ar-SA"/>
        </w:rPr>
        <w:t xml:space="preserve">العقلي على بطلان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تأثير المعدوم في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المؤثّر العقد المتعقّب بالإجازة ، وهو معنى الكشف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لا يجري في المقام على فرض كون حقّ المرتهن مانعاً عن الصحّة ، ومنافياً للبيع والنقل ؛ فإنّ تعقّب العقد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الإشكال الذي ذكرناه في محلّه</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مصحّحاً ، وأمّا سقوط الحقّ فلا يعقل بالإسقاط المتأخّر ، واحتمال كون العقد المتعقّب بالفكّ موجباً له ، بطلانه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لو دلّ دليل بالخصوص ، على صحّة بيع الرهن فضولاً بنحو الكشف ، لا بدّ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بالسقوط التعبّدي ؛ أي جريان حكم السقوط من أوّل الأمر تعبّداً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فقده ، فالأمر على تقريب الفخر قدّس سرّه ، دائر بين تأثير العقد زمان الفكّ ، وهو ممتنع ، أو تأثير الفكّ في زمان العقد ، وهو كذلك بعين ما ذكره ؛ أي تأثير المعدوم في الموجود ، أو تأثير الفكّ حال وجوده في المتقدّم ، وهو أيضاً محال ، فلا محيص عن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الفضولي في باب الرهن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تقتضي تلك الأدلّة الكشف ، كما أفاده الشيخ الأعظم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القول بالكشف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الرهانة لا تنافي النقل ، والعين تنتقل إلى المشتري مرهونة ، فاللازم وجوب الوفاء من قبل الراهن لو علم بتحقّق الإجازة ، ومن قبل المشتري أيضاً لو كان عالماً بالواقعة ، وإلاّ فله الخيار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بالمنافاة فلا موضوع لوجوب الوفاء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الإجازة كاشفة عن سقوط الحقّ تعبّداً ؛ إذ مع رفع المانع تعبّداً ، يتحقّق النقل ، ويجب الوفاء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عدم الفكّ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المنافاة بين الرهن والبيع ، لا يجب على البائع فكّ الرهن ، بل يجب تسليم العين المرهونة ، وللمرتهن استيفاء دينه منها لو لم يؤدّه الراهن ، وبعد الاستيفاء يرجع المشتري إلى البائع في مقدار الدين ، مع علمه بالواقعة ، وإلاّ فله الفسخ والرجوع إلى ثمنه ، وله الإبقاء والرجوع إلى مقدار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بالمنافاة والكشف التعبّدي عن سقوط الحقّ ، فاللازم وجوب الوفاء ، ولا موضوع لوجوب الفكّ ، فما أفاده الشيخ الأعظم قدّس سرّه في المقام</w:t>
      </w:r>
      <w:r>
        <w:rPr>
          <w:rStyle w:val="FootnoteAnchor"/>
          <w:rtl w:val="true"/>
        </w:rPr>
        <w:footnoteReference w:id="704"/>
      </w:r>
      <w:r>
        <w:rPr>
          <w:rFonts w:ascii="Amiri" w:hAnsi="Amiri" w:eastAsia="Amiri" w:cs="Amiri"/>
          <w:color w:val="111111"/>
          <w:sz w:val="28"/>
          <w:sz w:val="28"/>
          <w:szCs w:val="28"/>
          <w:rtl w:val="true"/>
          <w:lang w:bidi="ar-SA"/>
        </w:rPr>
        <w:t xml:space="preserve">، لا يخلو من خلط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إبقاء العقد ليس وفاء به ، بل الوفاء هو العمل بمضمون العقد</w:t>
      </w:r>
    </w:p>
    <w:p>
      <w:pPr>
        <w:pStyle w:val="BookText"/>
        <w:rPr/>
      </w:pPr>
      <w:r>
        <w:rPr>
          <w:rFonts w:ascii="Amiri" w:hAnsi="Amiri" w:eastAsia="Amiri" w:cs="Amiri"/>
          <w:color w:val="111111"/>
          <w:sz w:val="28"/>
          <w:sz w:val="28"/>
          <w:szCs w:val="28"/>
          <w:rtl w:val="true"/>
          <w:lang w:bidi="ar-SA"/>
        </w:rPr>
        <w:t xml:space="preserve">تامّاً ، كالوفاء بالنذر ، والعهد ، ونحوهما </w:t>
      </w:r>
      <w:r>
        <w:rPr>
          <w:rStyle w:val="FootnoteAnchor"/>
          <w:rtl w:val="true"/>
        </w:rPr>
        <w:footnoteReference w:id="705"/>
      </w:r>
      <w:r>
        <w:rPr>
          <w:rFonts w:ascii="Amiri" w:hAnsi="Amiri" w:eastAsia="Amiri" w:cs="Amiri"/>
          <w:color w:val="111111"/>
          <w:sz w:val="28"/>
          <w:sz w:val="28"/>
          <w:szCs w:val="28"/>
          <w:rtl w:val="true"/>
          <w:lang w:bidi="ar-SA"/>
        </w:rPr>
        <w:t xml:space="preserve">، فمع تحقّق النقل يجب الوفاء ، ومع عدمه لا موضوع له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وبالتأمّل فيما قلناه ، يظهر النظر في بعض الفروع التي تعرّض لها الشيخ رحمه اللّه تعالى</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342" w:name="pg15209_203940"/>
    </w:p>
    <w:p>
      <w:pPr>
        <w:pStyle w:val="Heading3"/>
        <w:numPr>
          <w:ilvl w:val="2"/>
          <w:numId w:val="1"/>
        </w:numPr>
        <w:rPr/>
      </w:pPr>
      <w:bookmarkStart w:id="343" w:name="__RefHeading___Toc2974531_2142443653"/>
      <w:bookmarkStart w:id="344" w:name="_Toc121"/>
      <w:bookmarkEnd w:id="342"/>
      <w:bookmarkEnd w:id="343"/>
      <w:r>
        <w:rPr>
          <w:rtl w:val="true"/>
        </w:rPr>
        <w:t>الشرط الثالث</w:t>
      </w:r>
      <w:r>
        <w:rPr>
          <w:rtl w:val="true"/>
        </w:rPr>
        <w:t xml:space="preserve">: </w:t>
      </w:r>
      <w:r>
        <w:rPr>
          <w:rtl w:val="true"/>
        </w:rPr>
        <w:t>القدرة على التسليم في العوضين</w:t>
      </w:r>
      <w:bookmarkEnd w:id="34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5" w:name="__RefHeading___Toc2974533_2142443653"/>
      <w:bookmarkStart w:id="346" w:name="_Toc122"/>
      <w:bookmarkEnd w:id="345"/>
      <w:r>
        <w:rPr>
          <w:rtl w:val="true"/>
        </w:rPr>
        <w:t>اشارة</w:t>
      </w:r>
      <w:bookmarkEnd w:id="34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5209_203942"/>
      <w:bookmarkStart w:id="348" w:name="pg15209_203942"/>
      <w:bookmarkEnd w:id="348"/>
    </w:p>
    <w:p>
      <w:pPr>
        <w:pStyle w:val="Heading4"/>
        <w:numPr>
          <w:ilvl w:val="3"/>
          <w:numId w:val="1"/>
        </w:numPr>
        <w:rPr/>
      </w:pPr>
      <w:bookmarkStart w:id="349" w:name="pg15209_203942"/>
      <w:bookmarkStart w:id="350" w:name="__RefHeading___Toc2974535_2142443653"/>
      <w:bookmarkStart w:id="351" w:name="_Toc123"/>
      <w:bookmarkEnd w:id="349"/>
      <w:bookmarkEnd w:id="350"/>
      <w:r>
        <w:rPr>
          <w:rtl w:val="true"/>
        </w:rPr>
        <w:t>مسألة حول القدرة على التسليم</w:t>
      </w:r>
      <w:bookmarkEnd w:id="351"/>
    </w:p>
    <w:p>
      <w:pPr>
        <w:pStyle w:val="Heading5"/>
        <w:numPr>
          <w:ilvl w:val="4"/>
          <w:numId w:val="1"/>
        </w:numPr>
        <w:rPr/>
      </w:pPr>
      <w:bookmarkStart w:id="352" w:name="__RefHeading___Toc2974537_2142443653"/>
      <w:bookmarkStart w:id="353" w:name="_Toc124"/>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شروط العوضين القدرة على التسليم</w:t>
      </w:r>
      <w:r>
        <w:rPr>
          <w:rStyle w:val="FootnoteAnchor"/>
          <w:rtl w:val="true"/>
        </w:rPr>
        <w:footnoteReference w:id="707"/>
      </w:r>
      <w:r>
        <w:rPr>
          <w:rFonts w:ascii="Amiri" w:hAnsi="Amiri" w:eastAsia="Amiri" w:cs="Amiri"/>
          <w:color w:val="111111"/>
          <w:sz w:val="28"/>
          <w:sz w:val="28"/>
          <w:szCs w:val="28"/>
          <w:rtl w:val="true"/>
          <w:lang w:bidi="ar-SA"/>
        </w:rPr>
        <w:t xml:space="preserve">، وقد اختلفت تعبيراتهم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من الشروط ، أن يكون المبيع مقدوراً على تسليمه</w:t>
      </w:r>
      <w:r>
        <w:rPr>
          <w:rStyle w:val="FootnoteAnchor"/>
          <w:rtl w:val="true"/>
        </w:rPr>
        <w:footnoteReference w:id="708"/>
      </w:r>
      <w:r>
        <w:rPr>
          <w:rFonts w:ascii="IRNazanin" w:hAnsi="IRNazanin" w:eastAsia="IRNazanin"/>
          <w:color w:val="111111"/>
          <w:sz w:val="28"/>
          <w:sz w:val="28"/>
          <w:szCs w:val="28"/>
          <w:rtl w:val="true"/>
          <w:lang w:bidi="fa-IR"/>
        </w:rPr>
        <w:t xml:space="preserve">، وهو أنسب بالمقام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شروط العوضين القدرة على التسليم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القدرة عليه من شروط العوضين ، أو من شروط المتعاملين ؟ فيه كلام ، وينبغي إيضاح ما هو الشرط حتّى يتّضح الحال </w:t>
      </w:r>
      <w:r>
        <w:rPr>
          <w:rFonts w:eastAsia="Amiri" w:cs="Amiri" w:ascii="Amiri" w:hAnsi="Amiri"/>
          <w:color w:val="111111"/>
          <w:sz w:val="28"/>
          <w:szCs w:val="28"/>
          <w:rtl w:val="true"/>
          <w:lang w:bidi="ar-SA"/>
        </w:rPr>
        <w:t xml:space="preserve">. </w:t>
      </w:r>
      <w:bookmarkStart w:id="354" w:name="pg15209_203943"/>
    </w:p>
    <w:p>
      <w:pPr>
        <w:pStyle w:val="Heading5"/>
        <w:numPr>
          <w:ilvl w:val="4"/>
          <w:numId w:val="1"/>
        </w:numPr>
        <w:rPr/>
      </w:pPr>
      <w:bookmarkStart w:id="355" w:name="__RefHeading___Toc2974539_2142443653"/>
      <w:bookmarkStart w:id="356" w:name="_Toc125"/>
      <w:bookmarkEnd w:id="354"/>
      <w:bookmarkEnd w:id="355"/>
      <w:r>
        <w:rPr>
          <w:rtl w:val="true"/>
        </w:rPr>
        <w:t>الاستدلال بحديث الغرر على اعتبار القدرة على التسليم</w:t>
      </w:r>
      <w:bookmarkEnd w:id="35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أدلّتهم على اعتبار هذا الشرط هو الحديث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صلي الله عليه و آله وسلم عن بيع الغرر</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اتّفاق أصحابنا على الاستدلال به</w:t>
      </w:r>
      <w:r>
        <w:rPr>
          <w:rStyle w:val="FootnoteAnchor"/>
          <w:rtl w:val="true"/>
        </w:rPr>
        <w:footnoteReference w:id="711"/>
      </w:r>
      <w:r>
        <w:rPr>
          <w:rFonts w:ascii="Amiri" w:hAnsi="Amiri" w:eastAsia="Amiri" w:cs="Amiri"/>
          <w:color w:val="111111"/>
          <w:sz w:val="28"/>
          <w:sz w:val="28"/>
          <w:szCs w:val="28"/>
          <w:rtl w:val="true"/>
          <w:lang w:bidi="ar-SA"/>
        </w:rPr>
        <w:t xml:space="preserve">، ويظهر من السيّد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العامّة على الاستدلال به للمطلوب</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الاستدلال به لاعتبار القدرة على التسليم ؛ لكفاية القدرة على التسلّم لرفع الغرر ، بأيّ معنىً فسّر ، ولو لم تكن القدرة على التسليم ، بل لو كان البائع مثلاً قادراً على التسليم ، لكنّ المشتري يعلم بعدم تسليمه بسوء اختياره ، أو يشكّ في تسليمه ، كان البيع غررياً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لاعتبار القدرة على التسلّم ؛ لكفاية العلم بحصوله في يده ولو لم يكن بفعل البائع ، ولا المشتري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أن يكون معتبراً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العلم بالقدرة على التسلّم ، وإمّا العلم بحصوله في يده ، فمع فقدهما يتحقّق الغرر ، وبوجود أحدهما يرتفع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والمعتبر هو العلم أو الاطمئنان ، لا نفس القدرة واقعاً ، ولا حصوله في يده كذلك ؛ لعدم رفع الغرر بوجودهما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 نّها شرط للعوضين ؛ لأنّ العلم بالحصول في يده يناسب ذلك ، وإن أمكن جعله باعتبار العلم شرطاً للمتعاملين ، والأمر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مقام الاستدلال على كون القدرة شرطاً للعوضين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مناط مالية المال ، هو كونه بحيث يتسلّط مالكه على قلبه وانقلابه ، بأيّ نحو من أنحاء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تمكّنه من التصرّف فيه بنحو من 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في البحر ، والطير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من الجدة الاعتبارية ؛ فإنّ المال وإن لم يكن من الجدة الاصطلاحية ، إلاّ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مثلها في مقام الاعتبار العقلائي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مالية الأموال في عالم الاعتبار ، إنّما هي باعتبار كونها منشأً للآثار ، وإذا لم يكن كذلك فلا يعدّه العقلاء مالاً ، فهذا الشرط من شروط العوضين</w:t>
      </w:r>
      <w:r>
        <w:rPr>
          <w:rStyle w:val="FootnoteAnchor"/>
          <w:rtl w:val="true"/>
        </w:rPr>
        <w:footnoteReference w:id="71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ما لا يخفى من الخلط والتناقض ؛ فإنّ الظاهر من بعض كلامه ، أنّ المعتبر في اعتبار المالية تسلّط المالك مطلقاً ، ومن بعضه أنّ المعتبر في نفي المالية ، عدم تمكّنه من التصرّف فيه بنحو من الأنحاء ، كالطير في الهواء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التمكّن من التصرّف وعدمه ، لا دخل لهما في المالية ، بل سلب جميع آثار الملكية موجب لسلب الملكية ، لا المالية ؛ ضرورة أنّ جميع الكنوز ، </w:t>
      </w:r>
    </w:p>
    <w:p>
      <w:pPr>
        <w:pStyle w:val="BookText"/>
        <w:rPr/>
      </w:pPr>
      <w:r>
        <w:rPr>
          <w:rFonts w:ascii="Amiri" w:hAnsi="Amiri" w:eastAsia="Amiri" w:cs="Amiri"/>
          <w:color w:val="111111"/>
          <w:sz w:val="28"/>
          <w:sz w:val="28"/>
          <w:szCs w:val="28"/>
          <w:rtl w:val="true"/>
          <w:lang w:bidi="ar-SA"/>
        </w:rPr>
        <w:t xml:space="preserve">والمخازن ، والمعادن تحت الأرض ، والحيتان في البحار ، والحيوانات البرّية الوحشية وأمثالها ، أموال ، ولأجل ماليتها تكون مورداً لرغبة البشر ، ولتحمّل المشاقّ في تحصيلها ، مع عدم كونها مضافة إلى أحد ، فالخلط إنّما وقع بين المالية والملكية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الجدة الاعتبارية إنّما هي الملك لا المال ، فإنّه ليس شبيهاً بجدة حقيقية ، فلايكون جدة اعتبارية ، مع أنّ في كون الملك جدة اعتبارية ، منعاً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اعتبار القدرة على التسليم إن كان لما ذكره ، 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رتبة الشرط بعد تمامية المعاملة من حيث المقوّمات، والمالية على ما ذكروا من مقوّماتها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قد مضى في أوّل شرائط العوضين اعتبار هذا الشرط</w:t>
      </w:r>
      <w:r>
        <w:rPr>
          <w:rStyle w:val="FootnoteAnchor"/>
          <w:rtl w:val="true"/>
        </w:rPr>
        <w:footnoteReference w:id="714"/>
      </w:r>
      <w:r>
        <w:rPr>
          <w:rFonts w:ascii="Amiri" w:hAnsi="Amiri" w:eastAsia="Amiri" w:cs="Amiri"/>
          <w:color w:val="111111"/>
          <w:sz w:val="28"/>
          <w:sz w:val="28"/>
          <w:szCs w:val="28"/>
          <w:rtl w:val="true"/>
          <w:lang w:bidi="ar-SA"/>
        </w:rPr>
        <w:t xml:space="preserve">، فلا وجه لتكراره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عدم القدرة على التسليم ، لا يساوق عدم القدرة مطلقاً ؛ لإمكان أن يكون المال تحت يده ، وله أنحاء التصرّفات ، ولكن لا يقدر على تسليمه إلى المشتري ؛ لجهات خارجية ، ككونه محبوساً ، أو كونه وراء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فالقدرة على التسليم المعتبر في البيع ، إنّما هي قدرة خاصّة ، ومقابلها سلب تلك القدرة ، وإن ثبتت له القدرة على سائر التصرّفات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منشأ خلطه هو المثالان المذكوران في عبارة الفقهاء ؛ أي السمك ، والطير</w:t>
      </w:r>
      <w:r>
        <w:rPr>
          <w:rStyle w:val="FootnoteAnchor"/>
          <w:rtl w:val="true"/>
        </w:rPr>
        <w:footnoteReference w:id="715"/>
      </w:r>
      <w:r>
        <w:rPr>
          <w:rFonts w:ascii="Amiri" w:hAnsi="Amiri" w:eastAsia="Amiri" w:cs="Amiri"/>
          <w:color w:val="111111"/>
          <w:sz w:val="28"/>
          <w:sz w:val="28"/>
          <w:szCs w:val="28"/>
          <w:rtl w:val="true"/>
          <w:lang w:bidi="ar-SA"/>
        </w:rPr>
        <w:t xml:space="preserve">، مع أنّ تعذّر التسليم أعمّ ، كما أنّ عدم اعتبار الملكية فيهما ليس على نحو الإطلاق ، فضلاً عن المالية </w:t>
      </w:r>
      <w:r>
        <w:rPr>
          <w:rFonts w:eastAsia="Amiri" w:cs="Amiri" w:ascii="Amiri" w:hAnsi="Amiri"/>
          <w:color w:val="111111"/>
          <w:sz w:val="28"/>
          <w:szCs w:val="28"/>
          <w:rtl w:val="true"/>
          <w:lang w:bidi="ar-SA"/>
        </w:rPr>
        <w:t xml:space="preserve">. </w:t>
      </w:r>
      <w:bookmarkStart w:id="357" w:name="pg15209_203946"/>
    </w:p>
    <w:p>
      <w:pPr>
        <w:pStyle w:val="BookText"/>
        <w:rPr/>
      </w:pPr>
      <w:bookmarkEnd w:id="357"/>
      <w:r>
        <w:rPr>
          <w:rFonts w:ascii="Amiri" w:hAnsi="Amiri" w:eastAsia="Amiri" w:cs="Amiri"/>
          <w:color w:val="111111"/>
          <w:sz w:val="28"/>
          <w:sz w:val="28"/>
          <w:szCs w:val="28"/>
          <w:rtl w:val="true"/>
          <w:lang w:bidi="ar-SA"/>
        </w:rPr>
        <w:t>ثمّ إنّ أصل اعتبار القدرة على التسليم ، أو الأعمّ منه ومن التسلّم ، أو الأعمّ منهما ومن الحصول في يد الطرف ، ممّا لا شبهة فيه ، وقد حكي تسالم الفريقين عليه</w:t>
      </w:r>
      <w:r>
        <w:rPr>
          <w:rStyle w:val="FootnoteAnchor"/>
          <w:rtl w:val="true"/>
        </w:rPr>
        <w:footnoteReference w:id="716"/>
      </w:r>
      <w:r>
        <w:rPr>
          <w:rFonts w:ascii="Amiri" w:hAnsi="Amiri" w:eastAsia="Amiri" w:cs="Amiri"/>
          <w:color w:val="111111"/>
          <w:sz w:val="28"/>
          <w:sz w:val="28"/>
          <w:szCs w:val="28"/>
          <w:rtl w:val="true"/>
          <w:lang w:bidi="ar-SA"/>
        </w:rPr>
        <w:t xml:space="preserve">، إلاّ أنّ الشأن في المستند </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2974541_2142443653"/>
      <w:bookmarkStart w:id="359" w:name="_Toc126"/>
      <w:bookmarkEnd w:id="358"/>
      <w:r>
        <w:rPr>
          <w:rtl w:val="true"/>
        </w:rPr>
        <w:t>بيان المعاني المذكورة للغرر</w:t>
      </w:r>
      <w:bookmarkEnd w:id="359"/>
    </w:p>
    <w:p>
      <w:pPr>
        <w:pStyle w:val="BookText"/>
        <w:rPr/>
      </w:pPr>
      <w:r>
        <w:rPr>
          <w:rFonts w:ascii="Amiri" w:hAnsi="Amiri" w:eastAsia="Amiri" w:cs="Amiri"/>
          <w:color w:val="111111"/>
          <w:sz w:val="28"/>
          <w:sz w:val="28"/>
          <w:szCs w:val="28"/>
          <w:rtl w:val="true"/>
          <w:lang w:bidi="ar-SA"/>
        </w:rPr>
        <w:t xml:space="preserve">وقد استند الفريقان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النبوي المعروف ، وهو محكيّ مسنداً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بأسانيد عديدة ، ولا إشكال في صحّة الاستناد إليه ، إلاّ أنّ في دلالته على المقصود إشكالاً ، منشؤه اختلاف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له ولسائر مشتقّاته معانٍ كثيرة ، كالخدعة ، وإليها يرجع تفسيره بما يكون له ظاهر يغرّ المشتري ، وباطن مجهول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والشهيد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والتعريض للهلكة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Style w:val="FootnoteAnchor"/>
          <w:rtl w:val="true"/>
        </w:rPr>
        <w:footnoteReference w:id="724"/>
      </w: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والظاهر أنّ تفسيره بالخطر</w:t>
      </w:r>
      <w:r>
        <w:rPr>
          <w:rStyle w:val="FootnoteAnchor"/>
          <w:rtl w:val="true"/>
        </w:rPr>
        <w:footnoteReference w:id="726"/>
      </w:r>
      <w:r>
        <w:rPr>
          <w:rFonts w:ascii="Amiri" w:hAnsi="Amiri" w:eastAsia="Amiri" w:cs="Amiri"/>
          <w:color w:val="111111"/>
          <w:sz w:val="28"/>
          <w:sz w:val="28"/>
          <w:szCs w:val="28"/>
          <w:rtl w:val="true"/>
          <w:lang w:bidi="ar-SA"/>
        </w:rPr>
        <w:t>راجع إليه ، لا إلى ما ذكر من المعاملة المجهولة ذاتاً ، أو صفة ، أو حصولاً</w:t>
      </w:r>
      <w:r>
        <w:rPr>
          <w:rStyle w:val="FootnoteAnchor"/>
          <w:rtl w:val="true"/>
        </w:rPr>
        <w:footnoteReference w:id="727"/>
      </w:r>
      <w:r>
        <w:rPr>
          <w:rFonts w:ascii="Amiri" w:hAnsi="Amiri" w:eastAsia="Amiri" w:cs="Amiri"/>
          <w:color w:val="111111"/>
          <w:sz w:val="28"/>
          <w:sz w:val="28"/>
          <w:szCs w:val="28"/>
          <w:rtl w:val="true"/>
          <w:lang w:bidi="ar-SA"/>
        </w:rPr>
        <w:t xml:space="preserve">؛ فإنّ إطلاق الخطر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غير المهمّات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بشيع ، فلا يقال لمن يشتري ثوباً أو خبزاً مع جهالة حصوله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تعرّض للخطر أو الهلكة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لو كانت المعاملة خطيرة ، ربّما يصحّ إطلاق الخطر ونحوه في موردها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والغفلة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وغيره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ما لا يؤمن معه من الضرر</w:t>
      </w:r>
      <w:r>
        <w:rPr>
          <w:rStyle w:val="FootnoteAnchor"/>
          <w:rtl w:val="true"/>
        </w:rPr>
        <w:footnoteReference w:id="730"/>
      </w:r>
      <w:r>
        <w:rPr>
          <w:rFonts w:ascii="Amiri" w:hAnsi="Amiri" w:eastAsia="Amiri" w:cs="Amiri"/>
          <w:color w:val="111111"/>
          <w:sz w:val="28"/>
          <w:sz w:val="28"/>
          <w:szCs w:val="28"/>
          <w:rtl w:val="true"/>
          <w:lang w:bidi="ar-SA"/>
        </w:rPr>
        <w:t xml:space="preserve">، فهو ليس تفسيراً لغوياً ، ولو ثبت صدوره من المولى عليه السلام وجب التعبّد به ، لكنّه لم 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سئل عن بيع السمك في الآجام ، واللبن في الضرع ، والصوف في ظهور الغنم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يجوز ؛ لأ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مجهول غير معروف ، يقلّ ويكثر ، </w:t>
      </w:r>
    </w:p>
    <w:p>
      <w:pPr>
        <w:pStyle w:val="BookText"/>
        <w:rPr/>
      </w:pPr>
      <w:r>
        <w:rPr>
          <w:rFonts w:ascii="IRNazanin" w:hAnsi="IRNazanin" w:eastAsia="IRNazanin"/>
          <w:color w:val="111111"/>
          <w:sz w:val="28"/>
          <w:sz w:val="28"/>
          <w:szCs w:val="28"/>
          <w:rtl w:val="true"/>
          <w:lang w:bidi="fa-IR"/>
        </w:rPr>
        <w:t>وهو غرر</w:t>
      </w:r>
      <w:r>
        <w:rPr>
          <w:rFonts w:eastAsia="IRNazanin" w:cs="IRNazanin"/>
          <w:color w:val="111111"/>
          <w:sz w:val="28"/>
          <w:szCs w:val="28"/>
          <w:rtl w:val="true"/>
          <w:lang w:bidi="fa-IR"/>
        </w:rPr>
        <w:t>»</w:t>
      </w:r>
      <w:r>
        <w:rPr>
          <w:rStyle w:val="FootnoteAnchor"/>
          <w:rtl w:val="true"/>
        </w:rPr>
        <w:footnoteReference w:id="731"/>
      </w:r>
      <w:r>
        <w:rPr>
          <w:rFonts w:ascii="Amiri" w:hAnsi="Amiri" w:eastAsia="Amiri" w:cs="Amiri"/>
          <w:color w:val="111111"/>
          <w:sz w:val="28"/>
          <w:sz w:val="28"/>
          <w:szCs w:val="28"/>
          <w:rtl w:val="true"/>
          <w:lang w:bidi="ar-SA"/>
        </w:rPr>
        <w:t>، ضعيف السند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المحكيّ</w:t>
      </w:r>
      <w:r>
        <w:rPr>
          <w:rStyle w:val="FootnoteAnchor"/>
          <w:rtl w:val="true"/>
        </w:rPr>
        <w:footnoteReference w:id="733"/>
      </w:r>
      <w:r>
        <w:rPr>
          <w:rFonts w:ascii="Amiri" w:hAnsi="Amiri" w:eastAsia="Amiri" w:cs="Amiri"/>
          <w:color w:val="111111"/>
          <w:sz w:val="28"/>
          <w:sz w:val="28"/>
          <w:szCs w:val="28"/>
          <w:rtl w:val="true"/>
          <w:lang w:bidi="ar-SA"/>
        </w:rPr>
        <w:t xml:space="preserve">عن الأزهري من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على غير عهدة ولا ثقة ، ليس تفسيراً لغوياً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شيء من الكتب اللغوية تفسيره بالجهالة ؛ ضرورة أنّ العناوين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عنوان الجهالة ، فإرجاع الجميع إليها ، ثمّ تعميمها إلى الجهالة في الحصول</w:t>
      </w:r>
      <w:r>
        <w:rPr>
          <w:rStyle w:val="FootnoteAnchor"/>
          <w:rtl w:val="true"/>
        </w:rPr>
        <w:footnoteReference w:id="734"/>
      </w:r>
      <w:r>
        <w:rPr>
          <w:rFonts w:ascii="Amiri" w:hAnsi="Amiri" w:eastAsia="Amiri" w:cs="Amiri"/>
          <w:color w:val="111111"/>
          <w:sz w:val="28"/>
          <w:sz w:val="28"/>
          <w:szCs w:val="28"/>
          <w:rtl w:val="true"/>
          <w:lang w:bidi="ar-SA"/>
        </w:rPr>
        <w:t xml:space="preserve">، ممّا لا تساعده اللغة ولا العرف ، ومجرّد ملازمة بعض المصاديق للجهل أحياناً ، لا يوجب أن تكون العناوين المخالفة للجهل بمعناه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 لو رجع الكلّ إلى الجهل ، لكان الحديث على خلاف المقصود أدلّ ، فلو ورد مكانه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صلي الله عليه و آله وسلم عن بيع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الظاهر منه الجهالة في المبيع أو الثمن ، لا في تسليمهما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الشيخ الأعظم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فالكلّ متّفقون على أخذ الجهالة في معنى الغرر ، سواء تعلّق الجهل بأصل وجوده ، أم بحصوله في يد من انتقل إليه ، أم بصفاته كمّاً وكيفاً</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لعدم ظهور ذلك من شيء من الكتب اللغوية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بعد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الغرر مختصّ بذات المبيع أو صفاته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الخطر من حيث حصول المبيع في يد المشتري ، أعظم من الجهل بصفاته مع العلم بحصوله</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ضرورة أنّ الغرر إذا كان بمعنى الجهل ، فلا بدّ من ملاحظة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الخطر ، ولا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صلي الله عليه و آله وسلم عن بيع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الجهل</w:t>
      </w:r>
    </w:p>
    <w:p>
      <w:pPr>
        <w:pStyle w:val="BookText"/>
        <w:rPr/>
      </w:pPr>
      <w:r>
        <w:rPr>
          <w:rFonts w:ascii="Amiri" w:hAnsi="Amiri" w:eastAsia="Amiri" w:cs="Amiri"/>
          <w:color w:val="111111"/>
          <w:sz w:val="28"/>
          <w:sz w:val="28"/>
          <w:szCs w:val="28"/>
          <w:rtl w:val="true"/>
          <w:lang w:bidi="ar-SA"/>
        </w:rPr>
        <w:t xml:space="preserve">بحصوله في يده أعظم من الجهل بالمبيع ، أم اللازم الاقتصار على الجهل بالمبيع ذاتاً 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فيها سيأتي التعرّض له</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التعميم إلى ما هو خارج عنه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إشكاله وارد على القائل ؛ حيث أخذ في كلامه الخطر</w:t>
      </w:r>
      <w:r>
        <w:rPr>
          <w:rStyle w:val="FootnoteAnchor"/>
          <w:rtl w:val="true"/>
        </w:rPr>
        <w:footnoteReference w:id="738"/>
      </w:r>
      <w:r>
        <w:rPr>
          <w:rFonts w:ascii="Amiri" w:hAnsi="Amiri" w:eastAsia="Amiri" w:cs="Amiri"/>
          <w:color w:val="111111"/>
          <w:sz w:val="28"/>
          <w:sz w:val="28"/>
          <w:szCs w:val="28"/>
          <w:rtl w:val="true"/>
          <w:lang w:bidi="ar-SA"/>
        </w:rPr>
        <w:t xml:space="preserve">، وأمّا بحسب الواقع فغير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الالتزام بإرجاع جميع المعاني إلى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الجهالة</w:t>
      </w:r>
      <w:r>
        <w:rPr>
          <w:rStyle w:val="FootnoteAnchor"/>
          <w:rtl w:val="true"/>
        </w:rPr>
        <w:footnoteReference w:id="739"/>
      </w:r>
      <w:r>
        <w:rPr>
          <w:rFonts w:ascii="Amiri" w:hAnsi="Amiri" w:eastAsia="Amiri" w:cs="Amiri"/>
          <w:color w:val="111111"/>
          <w:sz w:val="28"/>
          <w:sz w:val="28"/>
          <w:szCs w:val="28"/>
          <w:rtl w:val="true"/>
          <w:lang w:bidi="ar-SA"/>
        </w:rPr>
        <w:t>، أو الخدعة</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منشؤه الاحتراز عن الاشتراك اللفظي ؛ بتوهّم أ نّه خلاف الحكمة في اللغات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هذا التوهّم ، تخيّل أنّ وضع لغات مشتركة ومترادفة ، كان في محيط واحد ، أو من شخص واحد ، مع أنّ الأمر ليس كذلك ؛ فإنّ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w:t>
      </w:r>
      <w:r>
        <w:rPr>
          <w:rFonts w:eastAsia="Amiri" w:cs="Amiri" w:ascii="Amiri" w:hAnsi="Amiri"/>
          <w:color w:val="111111"/>
          <w:sz w:val="28"/>
          <w:szCs w:val="28"/>
          <w:rtl w:val="true"/>
          <w:lang w:bidi="ar-SA"/>
        </w:rPr>
        <w:t xml:space="preserve">: </w:t>
      </w:r>
      <w:bookmarkStart w:id="360" w:name="pg15209_203950"/>
    </w:p>
    <w:p>
      <w:pPr>
        <w:pStyle w:val="BookText"/>
        <w:rPr/>
      </w:pPr>
      <w:bookmarkEnd w:id="360"/>
      <w:r>
        <w:rPr>
          <w:rFonts w:ascii="Amiri" w:hAnsi="Amiri" w:eastAsia="Amiri" w:cs="Amiri"/>
          <w:color w:val="111111"/>
          <w:sz w:val="28"/>
          <w:sz w:val="28"/>
          <w:szCs w:val="28"/>
          <w:rtl w:val="true"/>
          <w:lang w:bidi="ar-SA"/>
        </w:rPr>
        <w:t xml:space="preserve">إنّه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الطوائف المختلفة في البلاد النائية ، أو البراري المتشتّتة البعيدة ، كان لكلّ منها لغات خاصّة بهم ، فلمّا اختلطت الطوائف اختلطت اللغات ، فربّما بقي بعضها وصار لغة للجميع ، وربّما نسيت لغات الأصل ، كما حصل في اختلاط العرب بالفرس ، ومنشأ الترادف والاشتراك ذلك ، لا ما توهّم من التفنّن في الوضع</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يبعد أن يكون بعض المعاني ، مختصّاً ببعض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 وربّما يكون اختلاف المشتقّات ، موجباً لاختلاف المعاني ، كما يظهر بالتدبّر في الكتب اللغوية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الغرر مستعمل في معانٍ كثيرة ، لا يناسب كثير منها المقام ، والمناسب منها هو الخدعة ، والنهي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 عن مسألتنا هذه ، فإرجاع المعاني إلى معنىً واحد أجنبيّ عن معانيه ، ثمّ التعميم لما نحن فيه ، ممّا لا يمكن المساعدة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يتمسّك بفهم الأصحاب ، وهو كما ترى ، أو بكشف قرينة دالّة على ذلك ، وهو أيضاً لا يخلو من بعد ، لكن مع ذلك تخطئة الكلّ مشكلة ، والتقليد بلا حجّة كذلك </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974543_2142443653"/>
      <w:bookmarkStart w:id="362" w:name="_Toc127"/>
      <w:bookmarkEnd w:id="361"/>
      <w:r>
        <w:rPr>
          <w:rtl w:val="true"/>
        </w:rPr>
        <w:t>الروايتان الناهيتان عن بيع الغرر</w:t>
      </w:r>
      <w:bookmarkEnd w:id="36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الروايتان المشتملتان على النهي عن بيع الغرر ، فإحداهما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إسباغ </w:t>
      </w:r>
    </w:p>
    <w:p>
      <w:pPr>
        <w:pStyle w:val="BookText"/>
        <w:rPr/>
      </w:pPr>
      <w:r>
        <w:rPr>
          <w:rFonts w:ascii="IRNazanin" w:hAnsi="IRNazanin" w:eastAsia="IRNazanin"/>
          <w:color w:val="111111"/>
          <w:sz w:val="28"/>
          <w:sz w:val="28"/>
          <w:szCs w:val="28"/>
          <w:rtl w:val="true"/>
          <w:lang w:bidi="fa-IR"/>
        </w:rPr>
        <w:t>الوضوء</w:t>
      </w:r>
      <w:r>
        <w:rPr>
          <w:rStyle w:val="FootnoteAnchor"/>
          <w:rtl w:val="true"/>
        </w:rPr>
        <w:footnoteReference w:id="742"/>
      </w:r>
      <w:r>
        <w:rPr>
          <w:rFonts w:ascii="Amiri" w:hAnsi="Amiri" w:eastAsia="Amiri" w:cs="Amiri"/>
          <w:color w:val="111111"/>
          <w:sz w:val="28"/>
          <w:sz w:val="28"/>
          <w:szCs w:val="28"/>
          <w:rtl w:val="true"/>
          <w:lang w:bidi="ar-SA"/>
        </w:rPr>
        <w:t xml:space="preserve">، عن الرضا ، عن آبائه ، عن علي عليهم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على الناس زمان عضوض ، يعضّ كلّ امرئ على ما في يده ، وينسى الفضل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 لْفَضْلَ بَيْنَكُمْ</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ثم ينبري في ذلك الزمان أقوام يبايعون المضطرّين ، اُولئك هم شرّ الناس ، وقد نهى رسول اللّه صلي الله عليه و آله وسلم عن بيع المضطرّ ، وعن بيع الغرر</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ابن علي</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أمير المؤمنين عليه السلام على المنبر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 على الناس زمان يقدّم الأشرار وليسوا بأخيار ، ويباع المضطرّ ، وقد نهى رسول اللّه صلي الله عليه و آله وسلم عن بيع المضطرّ ، وعن بيع الغرر ، وعن بيع الثمار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تدرك </w:t>
      </w:r>
      <w:r>
        <w:rPr>
          <w:rFonts w:eastAsia="Amiri" w:cs="Amiri" w:ascii="Amiri" w:hAnsi="Amiri"/>
          <w:color w:val="111111"/>
          <w:sz w:val="28"/>
          <w:szCs w:val="28"/>
          <w:rtl w:val="true"/>
          <w:lang w:bidi="ar-SA"/>
        </w:rPr>
        <w:t>. . .»</w:t>
      </w:r>
      <w:r>
        <w:rPr>
          <w:rStyle w:val="FootnoteAnchor"/>
          <w:rtl w:val="true"/>
        </w:rPr>
        <w:footnoteReference w:id="745"/>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bookmarkStart w:id="363" w:name="pg15209_203952"/>
    </w:p>
    <w:p>
      <w:pPr>
        <w:pStyle w:val="BookText"/>
        <w:rPr/>
      </w:pPr>
      <w:bookmarkEnd w:id="363"/>
      <w:r>
        <w:rPr>
          <w:rFonts w:ascii="Amiri" w:hAnsi="Amiri" w:eastAsia="Amiri" w:cs="Amiri"/>
          <w:color w:val="111111"/>
          <w:sz w:val="28"/>
          <w:sz w:val="28"/>
          <w:szCs w:val="28"/>
          <w:rtl w:val="true"/>
          <w:lang w:bidi="ar-SA"/>
        </w:rPr>
        <w:t xml:space="preserve">والظاهر من الاُولى الكراهة ؛ حيث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مكروه ، والظاهر أنّ النهي فيهما بمعنىً واحد ، فيمكن الحمل بهذه المناسبة على بيع الغافل ، ويمكن الحمل على بيع الخدعة ، لكن لا بدّ من حمل النهي فيه على الحرمة ، وأمّا الحمل على عدم القدرة على التسليم ، أو على معنىً أعمّ ، والإرشاد إلى الفساد</w:t>
      </w:r>
      <w:r>
        <w:rPr>
          <w:rStyle w:val="FootnoteAnchor"/>
          <w:rtl w:val="true"/>
        </w:rPr>
        <w:footnoteReference w:id="746"/>
      </w:r>
      <w:r>
        <w:rPr>
          <w:rFonts w:ascii="Amiri" w:hAnsi="Amiri" w:eastAsia="Amiri" w:cs="Amiri"/>
          <w:color w:val="111111"/>
          <w:sz w:val="28"/>
          <w:sz w:val="28"/>
          <w:szCs w:val="28"/>
          <w:rtl w:val="true"/>
          <w:lang w:bidi="ar-SA"/>
        </w:rPr>
        <w:t xml:space="preserve">، فبعيد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 فتحتمل فيها الكراهة ؛ بمناسبة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والحرمة ، والحمل على بيع الخدعة ، فكانت الرواية مشتملة على فرد مكروه ، وفرد محرّم ، وفرد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على المجهول ، والإرشاد إلى البطلان ، فهو أيضاً بعيد ، ولا سيّما مع عدم كون الغرر بمعنى المجهول كما عرفت</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ثابت ، وإن كان المستند مخدوشاً </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2974545_2142443653"/>
      <w:bookmarkStart w:id="365" w:name="_Toc128"/>
      <w:bookmarkEnd w:id="364"/>
      <w:r>
        <w:rPr>
          <w:rtl w:val="true"/>
        </w:rPr>
        <w:t xml:space="preserve">الاستدلال بحديث </w:t>
      </w:r>
      <w:r>
        <w:rPr>
          <w:rtl w:val="true"/>
        </w:rPr>
        <w:t>«</w:t>
      </w:r>
      <w:r>
        <w:rPr>
          <w:rtl w:val="true"/>
        </w:rPr>
        <w:t>لا تبع</w:t>
      </w:r>
      <w:r>
        <w:rPr>
          <w:rtl w:val="true"/>
        </w:rPr>
        <w:t xml:space="preserve">...» </w:t>
      </w:r>
      <w:r>
        <w:rPr>
          <w:rtl w:val="true"/>
        </w:rPr>
        <w:t>على اعتبار القدرة على التسليم</w:t>
      </w:r>
      <w:bookmarkEnd w:id="36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ويتلوه في الضعف الاستناد</w:t>
      </w:r>
      <w:r>
        <w:rPr>
          <w:rStyle w:val="FootnoteAnchor"/>
          <w:rtl w:val="true"/>
        </w:rPr>
        <w:footnoteReference w:id="748"/>
      </w:r>
      <w:r>
        <w:rPr>
          <w:rFonts w:ascii="Amiri" w:hAnsi="Amiri" w:eastAsia="Amiri" w:cs="Amiri"/>
          <w:color w:val="111111"/>
          <w:sz w:val="28"/>
          <w:sz w:val="28"/>
          <w:szCs w:val="28"/>
          <w:rtl w:val="true"/>
          <w:lang w:bidi="ar-SA"/>
        </w:rPr>
        <w:t xml:space="preserve">إلى النبوي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طرقنا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قدّس سرّه ، بإسناده عن سليمان بن صالح ،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صلي الله عليه و آله وسلم عن سلف وبيع ، وعن بيعين في بيع ، وعن بيع ما ليس عندك ، وعن ربح ما لا يضمن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والصدوق بإسناده عن شعيب بن واقد ، عن الحسين بن زيد ، عن الصادق ، عن آبائه عليهم السلام في مناهي النبي صلي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عن بيع ما ليس عندك ، ونهى عن بيع وسلف</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الشيخ الأعظم قدّس سرّه الاستدلال به بعد نفي الاحتمالات ، عدا ما هو المطلوب</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يقال بعد عدم إمكان حمله على المعنى الحقيقي ؛ لقيام الضرورة على عدم اعتبار الحضور في صحّة البيع ، فلا بدّ من الحمل على معنىً كنائي أو استعاري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الحمل على أيّ منهما ، لا بدّ من المناسبة المصحّحة للاستعمال ، فيمكن أن يكون كناية أو استعارة عن عدم الملك ، والمناسبة واضحة ؛ لأنّ غير المملوك المنقطع عن الشخص في اعتبار العقلاء والشارع الأقدس ، كأ نّه غائب عنه ، فيصحّ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أو استعارة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يكون كناية أو استعارة عن سلب الآثار ، أو سلب القدرة بنحو الإطلاق بعد ثبوت الملك ؛ فإنّ الملك الذي لا أثر له بالنسبة إلى مالكه ، أو لا قدرة للمالك بالنسبة إليه بوجه من الوجوه ، يصحّ ادّعاء كونه غائباً ومنقطعاً عنه ، كما يصحّ دعوى عدم الملكية له ، فما لا أثر له أو لا قدرة لمالكه عليه بوجه ، يحسن دعوى انقطاعه وغيبته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بعض الآثار مسلوباً ، أو معجوزاً عنه ، فلا تصحّ الدعوى ، إلاّ إذا كان الأثر المسلوب أو المعجوز عنه ، بارزاً معتدّاً به ؛ بحيث أمكن دعوى كونه كلّ الآثار ، فيصحّح بتلك الدعوى الدعوى الثانية ،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 ولا رجال</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مسلوب الأثر مطلقاً ، أو كانت القدرة عليه مسلوبة مطلقاً ، 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ليس عندك ، ولا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إذا كان المسلوب أثراً خاصّاً ، أو المعجوز عنه كذلك ، كالتسليم إلى المشتري ، وليس ذلك من الآثار التي يمكن فيها دعوى كونها تمام الأثر ؛ لتصحّ الدعوى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الاحتمالات هو الاحتمال الأوّل ؛ أي الكناية عن سلب الملك ، أو دعوى كون غير الملك غائباً وليس عنده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الشيخ الأعظم قدّس سرّه ، حيث رفض هذا الاحتمال بأنّ المناسب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الظرف</w:t>
      </w:r>
      <w:r>
        <w:rPr>
          <w:rStyle w:val="FootnoteAnchor"/>
          <w:rtl w:val="true"/>
        </w:rPr>
        <w:footnoteReference w:id="754"/>
      </w:r>
      <w:r>
        <w:rPr>
          <w:rFonts w:ascii="Amiri" w:hAnsi="Amiri" w:eastAsia="Amiri" w:cs="Amiri"/>
          <w:color w:val="111111"/>
          <w:sz w:val="28"/>
          <w:sz w:val="28"/>
          <w:szCs w:val="28"/>
          <w:rtl w:val="true"/>
          <w:lang w:bidi="ar-SA"/>
        </w:rPr>
        <w:t xml:space="preserve">فإنّه بعد فرض كون الجملة كناية ، لا معنى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حقيقي لا كنائي ، فالكناية عن عدم الملك لا بدّ وأن تكون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على فرض عدم إرادة الملك ، لا بدّ من الحمل على أحد الاحتمالين الآخرين ؛ أي سلب الآثار جميعاً ، أو سلب القدرة بنحو الإطلاق ، وهو على خلاف المطلوب أدلّ ؛ لأنّ مرجعه إلى عدم صحّة بيع ملك مسلوبة عنه الآثار مطلقاً ، أو مسلوبة عن صاحبه القدرة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فالمقدور في الجملة كالمقدور على تسليمه لمشتريه الخاصّ مثلاً إمّا داخل في مفهوم الجملة إن كان له مفهوم ، أو غير مشمول للمنطوق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الشيخ الأعظم قدّس سرّه بعد نفي الاحتمالات الاُخر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أن يكون كناية عن السلطنة التامّة الفعلية التي تتوقّف على الملك ، مع كونه تحت اليد حتّى كأ نّه عنده ، وإن كان غائباً </w:t>
      </w:r>
      <w:r>
        <w:rPr>
          <w:rStyle w:val="FootnoteAnchor"/>
          <w:rtl w:val="true"/>
        </w:rPr>
        <w:footnoteReference w:id="755"/>
      </w:r>
      <w:r>
        <w:rPr>
          <w:rFonts w:ascii="Amiri" w:hAnsi="Amiri" w:eastAsia="Amiri" w:cs="Amiri"/>
          <w:color w:val="111111"/>
          <w:sz w:val="28"/>
          <w:sz w:val="28"/>
          <w:szCs w:val="28"/>
          <w:rtl w:val="true"/>
          <w:lang w:bidi="ar-SA"/>
        </w:rPr>
        <w:t xml:space="preserve">غير ظاهر ؛ فإنّه إن كان المراد السلطنة على جميع التحوّلات والتصرّفات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ليست لك السلطنة على جميع التصرّفات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يفيده إن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أدلّ على خلاف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السلطنة على التسليم فقط ، فيكون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لا تقدر على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عدم صحّة كونه كناية عن مثله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جملة وافرة من الروايات الواردة في أبواب أحكام العقود ، أنّ هذه الجملة كانت شائعة الاستعمال في الكناية عن عدم الملك ، فراجع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 والثامن من أحكام العقود</w:t>
      </w:r>
      <w:r>
        <w:rPr>
          <w:rStyle w:val="FootnoteAnchor"/>
          <w:rtl w:val="true"/>
        </w:rPr>
        <w:footnoteReference w:id="756"/>
      </w:r>
      <w:r>
        <w:rPr>
          <w:rFonts w:ascii="Amiri" w:hAnsi="Amiri" w:eastAsia="Amiri" w:cs="Amiri"/>
          <w:color w:val="111111"/>
          <w:sz w:val="28"/>
          <w:sz w:val="28"/>
          <w:szCs w:val="28"/>
          <w:rtl w:val="true"/>
          <w:lang w:bidi="ar-SA"/>
        </w:rPr>
        <w:t xml:space="preserve">، تجزم بأنّ الجملة المزبورة في هذه الرواية ، استعملت في مورد عدم الملك ، كما في سائر الروايات ، فسائر الاحتمالات ضعيفة ، فالرواية أجنبيّة عن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تمامية الدلالة ، لا يخفى أنّ المستفاد منه مخالف للمستفاد من حديث الغرر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حديث الغرر ، ليس شرطية عنوان القدرة على التسليم ، بل ما يدفع به الغرر ، كالقدرة على التسلّم ، أو حصول العوض عند الطرف ولو لم يكن بفعل المتعاملين ، كرجوع الطير بحسب العادة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ونحو ذلك ، وما يستفاد من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كونه كناية عن القدرة على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اشتراطها ، فلو عجز عنه بطل ولو كان التسلّم مقدوراً ، أو حصل في يده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حديث الغرر ، هو اعتبار العلم بالحصول ، أو القدرة على التسلّم من غير دخالة الواقع فيه ، فلو قطع بحصوله في يده ، أو قدرته على التسلّم ، اندفع به الغرر وإن كان مخالفاً للواقع ، ولو لم يعلم كان غرراً وإن حصل في يده ، أو كانت القدرة محقّقة ، وما يستفاد من هذا الحديث دخالة الواقع وتمام موضوعيته ، فلو علم بكونه عنده ولم يكن بطل ، ولو كان ولم يعلم صحّ ، فلم يقع الاستدلالان على مقصد واحد </w:t>
      </w:r>
      <w:r>
        <w:rPr>
          <w:rFonts w:eastAsia="Amiri" w:cs="Amiri" w:ascii="Amiri" w:hAnsi="Amiri"/>
          <w:color w:val="111111"/>
          <w:sz w:val="28"/>
          <w:szCs w:val="28"/>
          <w:rtl w:val="true"/>
          <w:lang w:bidi="ar-SA"/>
        </w:rPr>
        <w:t xml:space="preserve">. </w:t>
      </w:r>
      <w:bookmarkStart w:id="366" w:name="pg15209_203957"/>
    </w:p>
    <w:p>
      <w:pPr>
        <w:pStyle w:val="Heading5"/>
        <w:numPr>
          <w:ilvl w:val="4"/>
          <w:numId w:val="1"/>
        </w:numPr>
        <w:rPr/>
      </w:pPr>
      <w:bookmarkStart w:id="367" w:name="__RefHeading___Toc2974547_2142443653"/>
      <w:bookmarkStart w:id="368" w:name="_Toc129"/>
      <w:bookmarkEnd w:id="366"/>
      <w:bookmarkEnd w:id="367"/>
      <w:r>
        <w:rPr>
          <w:rtl w:val="true"/>
        </w:rPr>
        <w:t>بحث في أنّ المستفاد من الحديثين بطلان العقد أم لا ؟</w:t>
      </w:r>
      <w:bookmarkEnd w:id="368"/>
    </w:p>
    <w:p>
      <w:pPr>
        <w:pStyle w:val="BookText"/>
        <w:rPr/>
      </w:pPr>
      <w:r>
        <w:rPr>
          <w:rFonts w:ascii="Amiri" w:hAnsi="Amiri" w:eastAsia="Amiri" w:cs="Amiri"/>
          <w:color w:val="111111"/>
          <w:sz w:val="28"/>
          <w:sz w:val="28"/>
          <w:szCs w:val="28"/>
          <w:rtl w:val="true"/>
          <w:lang w:bidi="ar-SA"/>
        </w:rPr>
        <w:t>وهل المستفاد منهما بطلان العقد ، وعدم صلوحه للصحّة ولو تحقّق الشرط فيما بعد ، أو أ نّه يقع مراعىً ؟</w:t>
      </w:r>
    </w:p>
    <w:p>
      <w:pPr>
        <w:pStyle w:val="BookText"/>
        <w:rPr/>
      </w:pPr>
      <w:r>
        <w:rPr>
          <w:rFonts w:ascii="Amiri" w:hAnsi="Amiri" w:eastAsia="Amiri" w:cs="Amiri"/>
          <w:color w:val="111111"/>
          <w:sz w:val="28"/>
          <w:sz w:val="28"/>
          <w:szCs w:val="28"/>
          <w:rtl w:val="true"/>
          <w:lang w:bidi="ar-SA"/>
        </w:rPr>
        <w:t>اختار الشيخ الأعظم قدّس سرّه الثاني ، ونسب إلى ظاهر حال الفقهاء اتّفاقهم على الأوّل</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النهي عن الغرر ، فلا شبهة في شموله لما جهل ذاتاً أو صفةً ، ولم يلتزم أحد بكون العقد مراعىً برفعه ، فلا محالة يكون العقد ملغىً بتوجّه النهي إلى السبب ، ولا يعقل توجّهه إليه في مورد ، وإلى المسبّب في مورد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جوازه حتّى في مثل المقام ، فلا شبهة في عدم صحّة الحمل عليه من دون القرينة ، وهي مفقودة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توجّه إلى المسبّب ، وهو يقتضي الصحّة ، لكن خرجت سائر الموارد ، وبقيت القدرة على التسليم ، وهو كما ترى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تبع </w:t>
      </w:r>
      <w:r>
        <w:rPr>
          <w:rFonts w:eastAsia="Amiri" w:cs="Amiri" w:ascii="Amiri" w:hAnsi="Amiri"/>
          <w:color w:val="111111"/>
          <w:sz w:val="28"/>
          <w:szCs w:val="28"/>
          <w:rtl w:val="true"/>
          <w:lang w:bidi="ar-SA"/>
        </w:rPr>
        <w:t>. . .»</w:t>
      </w:r>
      <w:r>
        <w:rPr>
          <w:rStyle w:val="FootnoteAnchor"/>
          <w:rtl w:val="true"/>
        </w:rPr>
        <w:footnoteReference w:id="758"/>
      </w:r>
      <w:r>
        <w:rPr>
          <w:rFonts w:ascii="Amiri" w:hAnsi="Amiri" w:eastAsia="Amiri" w:cs="Amiri"/>
          <w:color w:val="111111"/>
          <w:sz w:val="28"/>
          <w:sz w:val="28"/>
          <w:szCs w:val="28"/>
          <w:rtl w:val="true"/>
          <w:lang w:bidi="ar-SA"/>
        </w:rPr>
        <w:t xml:space="preserve">فقد ورد جواباً لحكيم بن حزام ، حيث سأله عن أن يبيع الشيء ، ثمّ يمضي ويشتريه ويسلّمه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إلغاء العقد ، وعدم وقوعه مراعىً ، فلو استفيد منه اعتبار القدرة على التسليم حتّى في غير مورده ، لا يمكن الحمل على السبب والمسبّب كما تقدّم ، ومع الالتزام بالإمكان لا قرينة عليه ، فلا بدّ من الحمل على التوجّه إلى السبب ؛ حفظاً </w:t>
      </w:r>
    </w:p>
    <w:p>
      <w:pPr>
        <w:pStyle w:val="BookText"/>
        <w:rPr/>
      </w:pPr>
      <w:r>
        <w:rPr>
          <w:rFonts w:ascii="Amiri" w:hAnsi="Amiri" w:eastAsia="Amiri" w:cs="Amiri"/>
          <w:color w:val="111111"/>
          <w:sz w:val="28"/>
          <w:sz w:val="28"/>
          <w:szCs w:val="28"/>
          <w:rtl w:val="true"/>
          <w:lang w:bidi="ar-SA"/>
        </w:rPr>
        <w:t xml:space="preserve">للمورد ، ولا يأتي فيه الاحتمال السابق المرفوض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يرد هذا الإشكال فيما وردت من طريقنا ، وهو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صلي الله عليه و آله وسلم عن بيع ما ليس عندك</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إن كانت رواية 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اعتبار القدرة على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العقد ، وجوب تسليم كلّ من المتبايعين العوض إلى صاحبه ، فيجب أن يكون مقدوراً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تقرير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التسليم من الأحكام العقلائية للبيع ، فلو كان تسليم العوضين أو أحدهما غير مقدور أبداً ، لا يعقل القصد الجدّي إلى المبايعة ؛ فإنّ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آلات للتوصّل إلى العوضين ، والمقصود بالاستقلال وصول البائع إلى الثمن ، والمشتري إلى المثمن ، ومع العجز لا يمكن القصد الجدّي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البيع على التزام المتبايعين تسليم العوضين كلّ إلى صاحبه ، ومع العجز لا يعقل الالتزام ، ومع فقده لا تكون المبايعة جدّية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أخصّ من المدّعى ؛ لأنّ امتناع القصد ، إنّما هو فيما إذا علم المتعاقدان بعجزهما أبداً ، وأمّا مع رجاء رفع العجز ، فلا مانع من القصد المعتبر فيه ، كما أ نّه مع العجز فعلاً ، والعلم برفعه فيما بعد ، يمكن القصد إليه ، وكذا مع جهلهما بالواقعة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هو ظاهر الاستدلال المذكور واضح المنع ؛ إذ يرد عليه ما أورد عليه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وجوبه مطلقاً ممنوع ، ومطلق الوجوب لا ينافي كونه مشروطاً بالتمكّن</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تقييد وجوب التسليم ، ودفعه بالمعارضة بأصالة عدم اشتراط البيع بالقدرة على التسليم</w:t>
      </w:r>
      <w:r>
        <w:rPr>
          <w:rStyle w:val="FootnoteAnchor"/>
          <w:rtl w:val="true"/>
        </w:rPr>
        <w:footnoteReference w:id="762"/>
      </w:r>
      <w:r>
        <w:rPr>
          <w:rFonts w:ascii="Amiri" w:hAnsi="Amiri" w:eastAsia="Amiri" w:cs="Amiri"/>
          <w:color w:val="111111"/>
          <w:sz w:val="28"/>
          <w:sz w:val="28"/>
          <w:szCs w:val="28"/>
          <w:rtl w:val="true"/>
          <w:lang w:bidi="ar-SA"/>
        </w:rPr>
        <w:t>، واضح البطلان إن اُريد بالأصلين الاستصحاب ، كما لا يبعد من ظاهر الشيخ حملهما عليه</w:t>
      </w:r>
      <w:r>
        <w:rPr>
          <w:rStyle w:val="FootnoteAnchor"/>
          <w:rtl w:val="true"/>
        </w:rPr>
        <w:footnoteReference w:id="763"/>
      </w:r>
      <w:r>
        <w:rPr>
          <w:rFonts w:ascii="Amiri" w:hAnsi="Amiri" w:eastAsia="Amiri" w:cs="Amiri"/>
          <w:color w:val="111111"/>
          <w:sz w:val="28"/>
          <w:sz w:val="28"/>
          <w:szCs w:val="28"/>
          <w:rtl w:val="true"/>
          <w:lang w:bidi="ar-SA"/>
        </w:rPr>
        <w:t>، ويظهر من بعض آخر</w:t>
      </w:r>
      <w:r>
        <w:rPr>
          <w:rStyle w:val="FootnoteAnchor"/>
          <w:rtl w:val="true"/>
        </w:rPr>
        <w:footnoteReference w:id="764"/>
      </w:r>
      <w:r>
        <w:rPr>
          <w:rFonts w:ascii="Amiri" w:hAnsi="Amiri" w:eastAsia="Amiri" w:cs="Amiri"/>
          <w:color w:val="111111"/>
          <w:sz w:val="28"/>
          <w:sz w:val="28"/>
          <w:szCs w:val="28"/>
          <w:rtl w:val="true"/>
          <w:lang w:bidi="ar-SA"/>
        </w:rPr>
        <w:t xml:space="preserve">أيضاً ؛ لعدم الحالة السابقة أوّلاً ، وللمثبتية في الأوّل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اُريد بهما الأصل اللفظي ؛ أي أصالة الإطلاق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الإطلاق يقتضي وجوب التسليم في العقود بنحو الإطلاق ، ولا يعقل ذلك مع العجز ، فيستكشف به حال الموضوع ؛ وأ نّه مشروط بالقدرة حفظاً للإطلاق ، والمراد بالمعارضة معارضتها مع أصالة الإطلاق في دليل نفوذ البيع ،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 لْبَيْعَ</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فإنّ مقتضى إطلاقه عدم دخالة القدرة على التسليم في الصحّة</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النظر فيه بهذا الوضوح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على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رفع الامتناع كما يمكن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بكشف حال الموضوع واشتراطه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بتقييد وجوب الوفاء بحال 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المحذور العقلي ، موجب لكشف قيد وارد على الموضوع ؛ أي العقد ، أو على وجوب الوفاء به ، ولا ترجيح لواحد منهما ، فلا حجّة على الاشتراط ، وعلى ذلك يدفع الاعتراض ، وهو واضح ، والمعارضة أيضاً ؛ لعدم المعارض لإطلاق دليل نفوذ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قيوداً للتكاليف ، وليست هي مشروطة بها شرعاً ، وإلاّ لزمت مفاسد ، كالتصويب ، وعدم وجوب التعلّم والتفقّه ، وجواز تعجيز النفس ، وإجراء البراءة في الشكّ في القدرة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 يدور الأمر بين ورود القيد إمّا على العقد ، أو على وجوب التسليم ، بل تكون أصالة الإطلاق فيهما محفوظة بحسب الحكم القانوني ، وعند العجز عن التسليم ، يكون للعبد عذر عقلي في عدم العمل ، فيرجع الأمر إلى الشكّ في اعتبار القدرة في العقد ، وهو مدفوع بأصالة الإطلاق ، فتكون أصالة الإطلاق في وجوب التسليم ملائمة لأصالة الإطلاق في نفوذ البيع ، وأصالة الإطلاق في العقد ، لا معارضة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في وجه نظر الشيخ الأعظم قدّس سرّه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التقييد الخطابي ؛ للاتّكال على حكم العقل بالتقييد ، لا لأجل فرض حصول القيد</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369" w:name="pg15209_203961"/>
    </w:p>
    <w:p>
      <w:pPr>
        <w:pStyle w:val="BookText"/>
        <w:rPr/>
      </w:pPr>
      <w:bookmarkEnd w:id="369"/>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بطلان دعوى تقييد الدليل بحكم العقل ؛ لعدم صلاحيته لذلك ، وبطلان كشف العقل عن التقييد في المقام ؛ لما عرفت من عدم التقييد في مثل اعتبار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فرض جواز التقييد، يتردّد الأمر بين ورود القيد على الموضوع ، وبين وروده على الحكم ، ولا ترجيح ، فالجزم بأ نّه كان للاتّكال لا لفرض الحصول ، في غير محلّه ، وفي كلامه مواقع للنظر ، تظهر للمتأمّل </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974549_2142443653"/>
      <w:bookmarkStart w:id="371" w:name="_Toc130"/>
      <w:bookmarkEnd w:id="370"/>
      <w:r>
        <w:rPr>
          <w:rtl w:val="true"/>
        </w:rPr>
        <w:t>هل القدرة على التسليم شرط أو العجز مانع؟</w:t>
      </w:r>
      <w:bookmarkEnd w:id="371"/>
    </w:p>
    <w:p>
      <w:pPr>
        <w:pStyle w:val="BookText"/>
        <w:rPr/>
      </w:pPr>
      <w:r>
        <w:rPr>
          <w:rFonts w:ascii="Amiri" w:hAnsi="Amiri" w:eastAsia="Amiri" w:cs="Amiri"/>
          <w:color w:val="111111"/>
          <w:sz w:val="28"/>
          <w:sz w:val="28"/>
          <w:szCs w:val="28"/>
          <w:rtl w:val="true"/>
          <w:lang w:bidi="ar-SA"/>
        </w:rPr>
        <w:t>ثمّ وقع الكلام في أنّ القدرة شرط ، أو العجز مانع ، وقد اشتهر بينهم أنّ المانع أمر وجودي ، يلزم من وجوده العدم ، والشرط ما يلزم من عدمه العدم</w:t>
      </w:r>
      <w:r>
        <w:rPr>
          <w:rStyle w:val="FootnoteAnchor"/>
          <w:rtl w:val="true"/>
        </w:rPr>
        <w:footnoteReference w:id="770"/>
      </w:r>
      <w:r>
        <w:rPr>
          <w:rFonts w:ascii="Amiri" w:hAnsi="Amiri" w:eastAsia="Amiri" w:cs="Amiri"/>
          <w:color w:val="111111"/>
          <w:sz w:val="28"/>
          <w:sz w:val="28"/>
          <w:szCs w:val="28"/>
          <w:rtl w:val="true"/>
          <w:lang w:bidi="ar-SA"/>
        </w:rPr>
        <w:t xml:space="preserve">، وقد تشبّث الشيخ الأعظم قدّس سرّه بذلك على أنّ العجز ليس مانعاً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ما ذكر في معنى الشرط والمانع ، وقع في كلام أهل الفنّ بنحو من المسامحة</w:t>
      </w:r>
      <w:r>
        <w:rPr>
          <w:rStyle w:val="FootnoteAnchor"/>
          <w:rtl w:val="true"/>
        </w:rPr>
        <w:footnoteReference w:id="772"/>
      </w:r>
      <w:r>
        <w:rPr>
          <w:rFonts w:ascii="Amiri" w:hAnsi="Amiri" w:eastAsia="Amiri" w:cs="Amiri"/>
          <w:color w:val="111111"/>
          <w:sz w:val="28"/>
          <w:sz w:val="28"/>
          <w:szCs w:val="28"/>
          <w:rtl w:val="true"/>
          <w:lang w:bidi="ar-SA"/>
        </w:rPr>
        <w:t xml:space="preserve">، ثمّ اشتهر ذلك غفلة عن حقيقة الحال ؛ وهي أنّ العدم ليس بشيء ، ولا يعقل أن يكون مشاراً إليه ، أو محكوماً بحكم ، أو موضوعاً له ، أو مدركاً ، فضلاً عن أن يكون مؤثّراً ومتأثّراً ، فاقتضاؤه لشيء أو لزوم شيء منه ، كلّ ذلك غير صحيح ، وما يتصوّر منه أو يحكم عليه ، إنّما هو العدم </w:t>
      </w:r>
    </w:p>
    <w:p>
      <w:pPr>
        <w:pStyle w:val="BookText"/>
        <w:rPr/>
      </w:pPr>
      <w:r>
        <w:rPr>
          <w:rFonts w:ascii="Amiri" w:hAnsi="Amiri" w:eastAsia="Amiri" w:cs="Amiri"/>
          <w:color w:val="111111"/>
          <w:sz w:val="28"/>
          <w:sz w:val="28"/>
          <w:szCs w:val="28"/>
          <w:rtl w:val="true"/>
          <w:lang w:bidi="ar-SA"/>
        </w:rPr>
        <w:t xml:space="preserve">بالحمل الأوّلي ، الموجود بالشائع في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أمر وجودي ، مضادّ لأمر وجودي ، فالتمانع بينهما بالذات ؛ بمعنى عدم إمكان اجتماعهما في محلّ واحد ، فكلّ منهما ما دام موجوداً ، يمنع عن وجود ضدّه بحكم التضادّ والتنافي ، فالبياض في الجسم ما دام موجوداً ، مانع عن وجود السواد ، وكلّ طارد لضدّه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يقتضي ما ينافي مقتضى شيء آخر ، فالمقتضيان متمانعان ؛ لتنافي مقتضيهما ، فسبب الضدّ هو المانع</w:t>
      </w:r>
      <w:r>
        <w:rPr>
          <w:rStyle w:val="FootnoteAnchor"/>
          <w:rtl w:val="true"/>
        </w:rPr>
        <w:footnoteReference w:id="773"/>
      </w:r>
      <w:r>
        <w:rPr>
          <w:rFonts w:ascii="Amiri" w:hAnsi="Amiri" w:eastAsia="Amiri" w:cs="Amiri"/>
          <w:color w:val="111111"/>
          <w:sz w:val="28"/>
          <w:sz w:val="28"/>
          <w:szCs w:val="28"/>
          <w:rtl w:val="true"/>
          <w:lang w:bidi="ar-SA"/>
        </w:rPr>
        <w:t xml:space="preserve">فغير وجيه ؛ فإنّ ما هو المناط في التمانع بالذات ، إنّما هو في الضدّين ، لا في علّة كلّ مع وجود الآخر ، فسبب التمانع هو التنافي الذي بين الضدّين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فصرف اقتضاء شيء ما ينافي اقتضاء الآخر ، لا يكون منشأ التمانع ، فعلّة تحقّق السواد في الجسم ، مع علّة البياض ، غير متمانعين بالذات ، بل التمانع باعتبار الأثر والمعلول ، الذي يكون مضادّاً لمعلول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والمانع والسبب ونحوها ، قابلة للجعل مستقلاًّ في التشريعيات ، وإنكار ذلك</w:t>
      </w:r>
      <w:r>
        <w:rPr>
          <w:rStyle w:val="FootnoteAnchor"/>
          <w:rtl w:val="true"/>
        </w:rPr>
        <w:footnoteReference w:id="774"/>
      </w:r>
      <w:r>
        <w:rPr>
          <w:rFonts w:ascii="Amiri" w:hAnsi="Amiri" w:eastAsia="Amiri" w:cs="Amiri"/>
          <w:color w:val="111111"/>
          <w:sz w:val="28"/>
          <w:sz w:val="28"/>
          <w:szCs w:val="28"/>
          <w:rtl w:val="true"/>
          <w:lang w:bidi="ar-SA"/>
        </w:rPr>
        <w:t xml:space="preserve">ناشئ من الخلط بين التكوين والتشريع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شيء مانعاً ، يرجع إلى جعل عدمه شرطاً ؛ لأنّ المأمور به إذا لم يتقيّد بشيء ، فلا محالة يقع صحيحاً ، ومع جعل المانع ، إذا لم يرجع إلى تقييد فيه ، وضيق في المطلوب ، لا يعقل أن لا يقع صحيحاً ؛ لأنّ الصحّة هي </w:t>
      </w:r>
    </w:p>
    <w:p>
      <w:pPr>
        <w:pStyle w:val="BookText"/>
        <w:rPr/>
      </w:pPr>
      <w:r>
        <w:rPr>
          <w:rFonts w:ascii="Amiri" w:hAnsi="Amiri" w:eastAsia="Amiri" w:cs="Amiri"/>
          <w:color w:val="111111"/>
          <w:sz w:val="28"/>
          <w:sz w:val="28"/>
          <w:szCs w:val="28"/>
          <w:rtl w:val="true"/>
          <w:lang w:bidi="ar-SA"/>
        </w:rPr>
        <w:t xml:space="preserve">مطابقة المأتيّ به للمأمور به ، والمفروض مطابقته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رجع إلى تضييق وتقييد ، فلا محالة يكون من قبيل الشرط ، فيكون عدم المانع شرطاً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مبنيّ على عدم إمكان جعل المانع عن صحّته ، وإلاّ فكما أنّ المانع في التكوين ، يدفع وجود الممنوع عن التحقّق ، من غير أن يكون لعدمه دخل ، كذلك المانع في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التشريع في مثل ما ذكر ، يكون على طبق التكوين بحسب الاعتبار ، فالتشريع تكوين اعتباري ، نظير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الملك جدة اعتبارية</w:t>
      </w:r>
      <w:r>
        <w:rPr>
          <w:rStyle w:val="FootnoteAnchor"/>
          <w:rtl w:val="true"/>
        </w:rPr>
        <w:footnoteReference w:id="776"/>
      </w:r>
      <w:r>
        <w:rPr>
          <w:rFonts w:ascii="Amiri" w:hAnsi="Amiri" w:eastAsia="Amiri" w:cs="Amiri"/>
          <w:color w:val="111111"/>
          <w:sz w:val="28"/>
          <w:sz w:val="28"/>
          <w:szCs w:val="28"/>
          <w:rtl w:val="true"/>
          <w:lang w:bidi="ar-SA"/>
        </w:rPr>
        <w:t>، أو إضافة اعتبارية</w:t>
      </w:r>
      <w:r>
        <w:rPr>
          <w:rStyle w:val="FootnoteAnchor"/>
          <w:rtl w:val="true"/>
        </w:rPr>
        <w:footnoteReference w:id="777"/>
      </w:r>
      <w:r>
        <w:rPr>
          <w:rFonts w:ascii="Amiri" w:hAnsi="Amiri" w:eastAsia="Amiri" w:cs="Amiri"/>
          <w:color w:val="111111"/>
          <w:sz w:val="28"/>
          <w:sz w:val="28"/>
          <w:szCs w:val="28"/>
          <w:rtl w:val="true"/>
          <w:lang w:bidi="ar-SA"/>
        </w:rPr>
        <w:t xml:space="preserve">، فإذا شرّع المقنّن تشريعاً قانونياً ، ثمّ اقتضت المصالح أن يجعل له شرطاً أو مانعاً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 في الصلاة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ذلك الوضع ، وتنتزع منه الشرطية في الصلاة ، من غير تجديد أمر بالمقيّد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اقتضت المصلحة جعل مانع لها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وبره مانعاً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تنتزع منه المانعية ، نظير المانعية التكوينية ، فبحسب جعله واعتباره ، يكون حمل الوبر ولبسه مضادّاً لصحّة الصلاة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فموافقتها للمأمور به ، إنّما توجب الصحّة ، إذا لم تبتل بالمضادّ في اعتبار </w:t>
      </w:r>
      <w:bookmarkStart w:id="372" w:name="pg15209_203964"/>
    </w:p>
    <w:p>
      <w:pPr>
        <w:pStyle w:val="BookText"/>
        <w:rPr/>
      </w:pPr>
      <w:bookmarkEnd w:id="372"/>
      <w:r>
        <w:rPr>
          <w:rFonts w:ascii="Amiri" w:hAnsi="Amiri" w:eastAsia="Amiri" w:cs="Amiri"/>
          <w:color w:val="111111"/>
          <w:sz w:val="28"/>
          <w:sz w:val="28"/>
          <w:szCs w:val="28"/>
          <w:rtl w:val="true"/>
          <w:lang w:bidi="ar-SA"/>
        </w:rPr>
        <w:t xml:space="preserve">الشرع ، المانع من صحّتها ، فمع ابتلائها بالمضادّ في اعتبار الشرع ، لا تقع على طبق القانون الشرعي ، فلا تعقل صحّتها ؛ للمضادّة الجعلية الاعتبارية ، وهذا لا مانع منه عقلاً ، ويصحّ اعتباراً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إرجاع المانع إلى أنّ عدمه شرط ، فهو فرار من المطر إلى الميزاب ؛ ضرورة أنّ العدم لا يعقل أن يكون شرطاً بأيّ معنىً كان ، ولا يعقل ثبوت شيء له ، ولا الإشارة إليه ولو عقلاً ، فالفرار ممّا لا امتناع فيه بوجه ، إلى الممتنع بالضرورة ، ممّا يدفعه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امتناع شرطية العدم أو مانعيته ، لا محيص عن تأويل ما بظاهره دالّ على شرطيته أو مانعيته ، ففي المقام لو فرض ظهور دليل على مانعية العجز ، فلا بدّ من إرجاعه إلى شرطية القدرة ؛ لامتناع كون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ودافعاً 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العجز أمر ثبوتي مضادّ للقدرة ، تصحّ مانعيته </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2974551_2142443653"/>
      <w:bookmarkStart w:id="374" w:name="_Toc131"/>
      <w:bookmarkEnd w:id="373"/>
      <w:r>
        <w:rPr>
          <w:rtl w:val="true"/>
        </w:rPr>
        <w:t>حول كلام الشيخ الأعظم في المقام</w:t>
      </w:r>
      <w:bookmarkEnd w:id="37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الأعظم قدّس سرّه بعد نفي المانعية عن العجز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صحّة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لا ثمرة فيه ، لا في صورة الشكّ الموضوعي ، أو الحكمي ، ولا في غيرهما ؛ فإنّا إذا شككنا في تحقّق القدرة والعجز مع سبق القدرة ، فالأصل بقاؤها ، أو لا معه فالأصل عدمها ؛ أعني العجز ، سواء جعل القدرة شرطاً ، أو العجز مانعاً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المستند في المقام حديث الغرر</w:t>
      </w:r>
      <w:r>
        <w:rPr>
          <w:rStyle w:val="FootnoteAnchor"/>
          <w:rtl w:val="true"/>
        </w:rPr>
        <w:footnoteReference w:id="779"/>
      </w:r>
      <w:r>
        <w:rPr>
          <w:rFonts w:ascii="Amiri" w:hAnsi="Amiri" w:eastAsia="Amiri" w:cs="Amiri"/>
          <w:color w:val="111111"/>
          <w:sz w:val="28"/>
          <w:sz w:val="28"/>
          <w:szCs w:val="28"/>
          <w:rtl w:val="true"/>
          <w:lang w:bidi="ar-SA"/>
        </w:rPr>
        <w:t xml:space="preserve">فقد مرّ أنّ المستفاد منه اعتبار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العلم بالقدرة على التسلّم ، وإمّا العلم بحصول العوض عنده ، كرجوع الطير على عادته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القدرة على التسليم ، ولا نفس القدرة على التسلّم ، ولا نفس الحصول بحسب الواقع ، رافعاً للغرر ، بل الرافع هو العلم ، ويكون هو تمام الموضوع لرفعه ، سواء كانت القدرة بحسب الواقع حاصلة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لا مجال للأصل ؛ فإنّه مع الشكّ في القدرة ، وفي الحصول عنده لدى البيع ، يكون الغرر متحقّقاً قطعاً ، واستصحاب بقاء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مجال له ؛ ضرورة أ نّه لا يرفع الشكّ الوجداني الذي هو تمام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المستند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وتردّد أمره بين الدلالة على كون القدرة على التسليم شرطاً ، وبين الدلالة على كون العجز مانعاً ، وهو محطّ نظر الشيخ قدّس سرّه ، فالظاهر منه</w:t>
      </w:r>
      <w:r>
        <w:rPr>
          <w:rStyle w:val="FootnoteAnchor"/>
          <w:rtl w:val="true"/>
        </w:rPr>
        <w:footnoteReference w:id="782"/>
      </w:r>
      <w:r>
        <w:rPr>
          <w:rFonts w:ascii="Amiri" w:hAnsi="Amiri" w:eastAsia="Amiri" w:cs="Amiri"/>
          <w:color w:val="111111"/>
          <w:sz w:val="28"/>
          <w:sz w:val="28"/>
          <w:szCs w:val="28"/>
          <w:rtl w:val="true"/>
          <w:lang w:bidi="ar-SA"/>
        </w:rPr>
        <w:t>ومن غيره</w:t>
      </w:r>
      <w:r>
        <w:rPr>
          <w:rStyle w:val="FootnoteAnchor"/>
          <w:rtl w:val="true"/>
        </w:rPr>
        <w:footnoteReference w:id="783"/>
      </w:r>
      <w:r>
        <w:rPr>
          <w:rFonts w:ascii="Amiri" w:hAnsi="Amiri" w:eastAsia="Amiri" w:cs="Amiri"/>
          <w:color w:val="111111"/>
          <w:sz w:val="28"/>
          <w:sz w:val="28"/>
          <w:szCs w:val="28"/>
          <w:rtl w:val="true"/>
          <w:lang w:bidi="ar-SA"/>
        </w:rPr>
        <w:t xml:space="preserve">جريان استصحاب القدرة أو العجز مع الحالة السابقة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محلّ تأمّل بناءً على ما هو ظاهر كلمات الفقهاء ؛ من أنّ القدرة على </w:t>
      </w:r>
    </w:p>
    <w:p>
      <w:pPr>
        <w:pStyle w:val="BookText"/>
        <w:rPr/>
      </w:pPr>
      <w:r>
        <w:rPr>
          <w:rFonts w:ascii="Amiri" w:hAnsi="Amiri" w:eastAsia="Amiri" w:cs="Amiri"/>
          <w:color w:val="111111"/>
          <w:sz w:val="28"/>
          <w:sz w:val="28"/>
          <w:szCs w:val="28"/>
          <w:rtl w:val="true"/>
          <w:lang w:bidi="ar-SA"/>
        </w:rPr>
        <w:t>التسليم من شرائط العوضين</w:t>
      </w:r>
      <w:r>
        <w:rPr>
          <w:rStyle w:val="FootnoteAnchor"/>
          <w:rtl w:val="true"/>
        </w:rPr>
        <w:footnoteReference w:id="784"/>
      </w:r>
      <w:r>
        <w:rPr>
          <w:rFonts w:ascii="Amiri" w:hAnsi="Amiri" w:eastAsia="Amiri" w:cs="Amiri"/>
          <w:color w:val="111111"/>
          <w:sz w:val="28"/>
          <w:sz w:val="28"/>
          <w:szCs w:val="28"/>
          <w:rtl w:val="true"/>
          <w:lang w:bidi="ar-SA"/>
        </w:rPr>
        <w:t xml:space="preserve">، فإنّ ما هو المتيقّن قبل تحقّق البيع ، هو القدرة على تسليم السلعتين ، لا العوضين بما هما كذلك ، واستصحاب القدرة عليهما إلى زمان تحقّق البيع وصيرورتهما عوضين ؛ لإثبات القدرة على العوضين ، مثبت ، والمقام ليس من قبيل إثبات الموضوع بالأصل والوجدان ، بل من قبيل إثبات عنوان باستصحاب عنوان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الموضوع الذات الموصوفة بالعوضية ، كان استصحاب الذات ؛ لإثبات التوصيف بها ، مثبتاً أيضاً ؛ فإنّ الأصل هو بقاء القدرة على الذات ، ومقتضى الوجدان اتّصاف الذات بالعوضية ، وأمّا تعلّق القدرة بالذات الموصوفة ، فلا يثبت به ؛ فإنّه مثبت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ثبوت الموضوع المركّب باستصحاب جزئه ، وثبوت جزء آخر بالوجدان أيضاً ، لا يخلو من إشكال المثبتية ؛ لأنّ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وحدة 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للحكم ، لا الأجزاء بلا اعتبار 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أنّ في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زيد ولم يجيء عمرو يجب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ضمّ الوجدان إلى الأصل لإثبات ما هو موضوع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القدرة شرط العوضين ؛ بمعنى أنّ المعتبر القدرة على تسليم العوض بعد ما صار عوضاً ، أي في حال وجوب التسليم ، وهو بعد تحقّق العقد والعوضية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 الموضوع القدرة على تسليم ما يصير عوضاً ؛ فإنّ ما يصير </w:t>
      </w:r>
    </w:p>
    <w:p>
      <w:pPr>
        <w:pStyle w:val="BookText"/>
        <w:rPr/>
      </w:pPr>
      <w:r>
        <w:rPr>
          <w:rFonts w:ascii="Amiri" w:hAnsi="Amiri" w:eastAsia="Amiri" w:cs="Amiri"/>
          <w:color w:val="111111"/>
          <w:sz w:val="28"/>
          <w:sz w:val="28"/>
          <w:szCs w:val="28"/>
          <w:rtl w:val="true"/>
          <w:lang w:bidi="ar-SA"/>
        </w:rPr>
        <w:t xml:space="preserve">عوضاً قبل تحقّق العقد ، لا تعتبر فيه القدرة ، بل المعتبر القدرة حال العوضية ، لا بمعنى أخذ الحال ظرفاً غير دخيل في الحكم ؛ فإنّه خلاف الواقع ، بل بمعنى دخالة الحال في ذلك ، فيرد عليه أيضاً إشكال المثبتية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عرفاً من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المقدور يجوز بيعه ، صحّ الأصل بلا شائبة المثبتية ؛ فإنّ صحّة البيع حكم متعلّق بما هو عنده ، أي ما هو مقدور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مقدور التسليم ، والآن كذلك ، فيصح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العلم بالحالة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الشكّ فيها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هو الفحص ، كما هو لازم في جميع موارد الشكّ في القدرة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خلط بين القدرة العقلية التي هي من الشرائط العامّة ، وبين القدرة المعتبرة شرعاً ، وخلط بين الأحكام التكليفية والوضعية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مع شرطية شيء لصحّة المعاملة ، فلا بدّ من إحرازه ليترتّب عليه الأثر ، وفي المقام لا أصل محرز ؛ فإنّ القدرة والعجز كليهما غير مسبوقين بالتحقّق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القدرة فواضح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العجز ، فإنّه سلب القدرة عن موضوع قابل لها ، ولا سابقة لهذا السلب ، وما له السابقة ، هو عدم القدرة بالسلب التحصيلي ، لا مثل العدم والملكة ؛ ممّا هو بمنزلة قضيّة موجبة معدولة المحمول ، فكما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قادر أزلاً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 ، 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عاجز أزلاً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 ؛ إذ لم يكن زيد قادراً </w:t>
      </w:r>
      <w:bookmarkStart w:id="375" w:name="pg15209_203968"/>
    </w:p>
    <w:p>
      <w:pPr>
        <w:pStyle w:val="BookText"/>
        <w:rPr/>
      </w:pPr>
      <w:bookmarkEnd w:id="375"/>
      <w:r>
        <w:rPr>
          <w:rFonts w:ascii="Amiri" w:hAnsi="Amiri" w:eastAsia="Amiri" w:cs="Amiri"/>
          <w:color w:val="111111"/>
          <w:sz w:val="28"/>
          <w:sz w:val="28"/>
          <w:szCs w:val="28"/>
          <w:rtl w:val="true"/>
          <w:lang w:bidi="ar-SA"/>
        </w:rPr>
        <w:t xml:space="preserve">ولا عاجزاً أزلاً ، أي ثابتة له اللاقدرة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لم يكن هو قادراً ولا عاجزاً أزلاً بالسلب التحصيلي ، أعمّ من وجود الموضوع ، وأعمّ من الموجبة المعدولة ، والموجبة سالبة المحمول ، واستصحاب هذا العنوان الأعمّ لإثبات ما هو أخصّ منه ، كاستصحاب الكلّي لإثبات فرد منه مثبت ، والتفصيل في محلّه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الظاهر من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العجز مانع ، كما 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صلي الله عليه و آله وسلم عن بيع الغرر</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أنّ الغرر مانع ؛ أي الجهل ، ومع امتناع كون أمر عدمي مانعاً ، لا بدّ من إرجاعهما إلى ما هو معقول ؛ أي شرطية القدرة على التسليم كما هو ظاهرهم ، وشرطية العلم الرافع للغرر ، والأمر سهل </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2974553_2142443653"/>
      <w:bookmarkStart w:id="377" w:name="_Toc132"/>
      <w:bookmarkEnd w:id="376"/>
      <w:r>
        <w:rPr>
          <w:rtl w:val="true"/>
        </w:rPr>
        <w:t>استظهار القدرة على التسليم من حين العقد</w:t>
      </w:r>
      <w:bookmarkEnd w:id="377"/>
    </w:p>
    <w:p>
      <w:pPr>
        <w:pStyle w:val="BookText"/>
        <w:rPr/>
      </w:pPr>
      <w:r>
        <w:rPr>
          <w:rFonts w:ascii="Amiri" w:hAnsi="Amiri" w:eastAsia="Amiri" w:cs="Amiri"/>
          <w:color w:val="111111"/>
          <w:sz w:val="28"/>
          <w:sz w:val="28"/>
          <w:szCs w:val="28"/>
          <w:rtl w:val="true"/>
          <w:lang w:bidi="ar-SA"/>
        </w:rPr>
        <w:t xml:space="preserve">ثمّ إنّ الظاهر من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دلالته على اعتبار القدرة على التسليم ، هو اعتبارها حين العقد ، ولا سيّما مع ملاحظة صدرها في رواية حكيم بن حزام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كذلك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صلي الله عليه و آله وسلم عن بيع ما ليس عندك</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فإنّ الظاهر منه اعتبار القدرة فعلاً عند البيع ، وأ نّها من الشرائط التعبّدية ، لا العقلائية ؛ فإنّ اعتبارها كذلك ليس عقلائياً ، وما عند العقلاء أمر أعمّ منها ، إن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مغاير لها ؛ ضرورة أ نّه مع العلم بالقدرة على التسلّم ، أو حصول السلعة بيده بأيّة قدرة كانت ، تصحّ المعاملة العقلائية ، ومع تحقّق القدرة على التسليم ، وعدم البناء والالتزام به ، لا تكون 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فاعتبار خصوص القدرة على التسليم ، ليس لأمر عقلائي ، بل ليس الملحوظ في اعتبارها حصول الغرر ؛ لما عرفت من أنّ الغرر لا يندفع بالقدرة على التسليم لو جهل نفس التسليم ، ويندفع مع عدم القدرة إذا اعتقد القدرة على التسلّم ، أو الحصول عنده</w:t>
      </w:r>
      <w:r>
        <w:rPr>
          <w:rStyle w:val="FootnoteAnchor"/>
          <w:rtl w:val="true"/>
        </w:rPr>
        <w:footnoteReference w:id="790"/>
      </w:r>
      <w:r>
        <w:rPr>
          <w:rFonts w:ascii="Amiri" w:hAnsi="Amiri" w:eastAsia="Amiri" w:cs="Amiri"/>
          <w:color w:val="111111"/>
          <w:sz w:val="28"/>
          <w:sz w:val="28"/>
          <w:szCs w:val="28"/>
          <w:rtl w:val="true"/>
          <w:lang w:bidi="ar-SA"/>
        </w:rPr>
        <w:t xml:space="preserve">، فلا محالة يكون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الغرر ، فليس دليلاً على اعتبار القدرة كما تقدّم</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مقتضى الوجوه الاُخر التي زيّفها الشيخ الأعظم قدّس سرّه </w:t>
      </w:r>
      <w:r>
        <w:rPr>
          <w:rStyle w:val="FootnoteAnchor"/>
          <w:rtl w:val="true"/>
        </w:rPr>
        <w:footnoteReference w:id="792"/>
      </w:r>
      <w:r>
        <w:rPr>
          <w:rFonts w:ascii="IRNazanin" w:hAnsi="IRNazanin" w:eastAsia="IRNazanin"/>
          <w:color w:val="111111"/>
          <w:sz w:val="28"/>
          <w:sz w:val="28"/>
          <w:szCs w:val="28"/>
          <w:rtl w:val="true"/>
          <w:lang w:bidi="fa-IR"/>
        </w:rPr>
        <w:t xml:space="preserve">، هو اعتبارها عند الاستحقاق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العبرة فيها إنّما هي بزمان استحقاق التسليم ، فهل يتفرّع عليه عدم اعتبارها أصلاً ، فيما إذا كانت في يد المشتري ، وفيما لا يعتبر التسليم فيه رأساً ، كما إذا اشترى من ينعتق عليه ، وفيما إذا لم يستحقّ التسليم بمجرّد العقد ،</w:t>
      </w:r>
    </w:p>
    <w:p>
      <w:pPr>
        <w:pStyle w:val="BookText"/>
        <w:rPr/>
      </w:pPr>
      <w:r>
        <w:rPr>
          <w:rFonts w:ascii="Amiri" w:hAnsi="Amiri" w:eastAsia="Amiri" w:cs="Amiri"/>
          <w:color w:val="111111"/>
          <w:sz w:val="28"/>
          <w:sz w:val="28"/>
          <w:szCs w:val="28"/>
          <w:rtl w:val="true"/>
          <w:lang w:bidi="ar-SA"/>
        </w:rPr>
        <w:t xml:space="preserve">إمّا لاشتراط تأخيره ، أو لتزلزل العقد ، كما في الفضولي ، أو لا ؟ وجهان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صحّة التفريع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إن اعتبر حال العقد وللعقد ، فمع فقده </w:t>
      </w:r>
      <w:bookmarkStart w:id="378" w:name="pg15209_203970"/>
    </w:p>
    <w:p>
      <w:pPr>
        <w:pStyle w:val="BookText"/>
        <w:rPr/>
      </w:pPr>
      <w:bookmarkEnd w:id="378"/>
      <w:r>
        <w:rPr>
          <w:rFonts w:ascii="Amiri" w:hAnsi="Amiri" w:eastAsia="Amiri" w:cs="Amiri"/>
          <w:color w:val="111111"/>
          <w:sz w:val="28"/>
          <w:sz w:val="28"/>
          <w:szCs w:val="28"/>
          <w:rtl w:val="true"/>
          <w:lang w:bidi="ar-SA"/>
        </w:rPr>
        <w:t xml:space="preserve">يبطل ، سواء كانت القدرة حاصلة زمان استحقاق التسليم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اعتبر عند استحقاق التسليم ؛ بحيث كان الاستحقاق شرطاً في اعتبار هذا الشرط ، فمع عدم الاستحقاق يصحّ البيع ؛ لعدم اشتراطه بها فرضاً ، فلا تعتبر القدرة رأساً فيما إذا لم يستحقّ التسليم ، سواء كان من أجل كونه في يده ، أم لكون المبيع ممّن ينعتق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غير ذلك ممّا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بزمان استحقاق التسليم ، هو الزمان الذي كان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اقتضائه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لاستحقاق التسليم ، ففي مثل بيع النقد ، يكون الاستحقاق بعد تمامية البيع ، من غير فرق بين حصوله بيد المشتري أو عدمه ؛ إذ ليس المراد استحقاقه الفعلي بحسب شخص البيع ، ومن غير فرق بين بيع من ينعتق عليه أو غيره ؛ فإنّ مقتضى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استحقاقه التسليم ، وإن لم يجز بواسطة خصوصية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يكون البيع باطلاً ؛ لفقد شرطه ، وهو القدرة على التسليم ، فإنّ عدم القدرة عليه لا يوجب سقوط الشرط ، بل يوجب بطلان البيع ؛ لفقد 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مثل اشتراط التأخير والفضولي ، يكون اعتبار الشرط حال الاستحقاق ، ويصحّ التفريع </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2974555_2142443653"/>
      <w:bookmarkStart w:id="380" w:name="_Toc133"/>
      <w:bookmarkEnd w:id="379"/>
      <w:r>
        <w:rPr>
          <w:rtl w:val="true"/>
        </w:rPr>
        <w:t>اعتبار العلم بالقدرة على التسلّم لو كان المستند حديث الغرر</w:t>
      </w:r>
      <w:bookmarkEnd w:id="38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جعل المستند فيه حديث الغرر ، يكون الاعتبار بالعلم بالقدرة على التسلّم ، أو بحصول العوض عنده حال وجوب التسليم ، فلو قطع بكونه في يده حاله ، لا غرر فيه وإن لم يكن حاصلاً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شكّ في ذلك، يكون غرراً وإن كان حاصلاً، إن لم يعلم بقدرته على 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وجوب التسليم متأخّراً لاشتراط التأخير ، يكون المعتبر العلم بذلك حال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اشتراء من ينعتق على المشتري ، ففيه كلام ، وهو أ نّه إمّا يعتقد بأ نّه ينعتق عليه ، أو يعتقد عدمه ، أو يشكّ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شكّ فيه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على الاشتراء ؛ برجاء عدم كونه ممّن ينعتق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برجاء كونه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من شقّي الأخير ، تكون المعاملة غررية ؛ لكون القدرة على التسليم مجهولة ، ومجرّد كون عدم القدرة بحكم الشرع ، لا يخرج المعاملة عن الغرر ، سواء كان بمعنى الجهل ، أم بمعنى الخطر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لو أقدم برجاء كونه ممّن ينعتق ؛ فإنّ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 وكذا بمعنى الخطر ؛ لأنّ الإقدام على الاشتراء الخطري لا يخرجه عنه ، فهو خطري بحسب طبعه وإن أقدم عليه المشتري ، والشرط الشرعي لا يسقط بالإقدام ، وإلاّ فلا بدّ من الالتزام بصحّة البيع الغرري مع إقدام المتبايعين عليه ، كبيع المجهول ذاتاً أو وصفاً ، وهو كما ترى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الحال في صورة العلم بالانعتاق ؛ فإنّ الاشتراء بحسب ذاته خطري ، للعلم بعدم القدرة على التسلّم ، وعدم حصوله عنده ، وكون المشتري مقدماً على البيع ، أو كون حكم الشرع مانعاً عنه ، لا يوجب رفع الخطر ، بل الإقدام على أمر خطري بحسب المعاملة وإن كان أمراً مرغوباً فيه لأغراض خارجة عنها ، فالصحّة فيه للنصّ ، وإن كانت على خلاف القاعدة حتّى مع الغضّ </w:t>
      </w:r>
      <w:bookmarkStart w:id="381" w:name="pg15209_203972"/>
    </w:p>
    <w:p>
      <w:pPr>
        <w:pStyle w:val="BookText"/>
        <w:rPr/>
      </w:pPr>
      <w:bookmarkEnd w:id="381"/>
      <w:r>
        <w:rPr>
          <w:rFonts w:ascii="Amiri" w:hAnsi="Amiri" w:eastAsia="Amiri" w:cs="Amiri"/>
          <w:color w:val="111111"/>
          <w:sz w:val="28"/>
          <w:sz w:val="28"/>
          <w:szCs w:val="28"/>
          <w:rtl w:val="true"/>
          <w:lang w:bidi="ar-SA"/>
        </w:rPr>
        <w:t xml:space="preserve">عن الغرر ، ولا سيّما مع حصول الانعتاق بمجرّد إيقاع البيع ، من غير دخوله في ملك المشتري حتّى آناً ما </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2974557_2142443653"/>
      <w:bookmarkStart w:id="383" w:name="_Toc134"/>
      <w:bookmarkEnd w:id="382"/>
      <w:r>
        <w:rPr>
          <w:rtl w:val="true"/>
        </w:rPr>
        <w:t>جواب الإشكال عن اعتبار القدرة على التسليم في الفضولي</w:t>
      </w:r>
      <w:bookmarkEnd w:id="383"/>
    </w:p>
    <w:p>
      <w:pPr>
        <w:pStyle w:val="BookText"/>
        <w:rPr/>
      </w:pPr>
      <w:r>
        <w:rPr>
          <w:rFonts w:ascii="Amiri" w:hAnsi="Amiri" w:eastAsia="Amiri" w:cs="Amiri"/>
          <w:color w:val="111111"/>
          <w:sz w:val="28"/>
          <w:sz w:val="28"/>
          <w:szCs w:val="28"/>
          <w:rtl w:val="true"/>
          <w:lang w:bidi="ar-SA"/>
        </w:rPr>
        <w:t>وأمّا البيع الفضولي ، فقد استشكل فيه الشيخ الأعظم قدّس سرّه بناءً على الكشف ، دون النقل ؛ من حيث إنّه لازم على الأصيل ، فيتحقّق الغرر بالنسبة إليه ؛ لأ نّه انتقل إليه ما لا يقدر على تحصيله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الغرر بهذا المعنى ، لا يلزم على الكشف بالمعنى المشهور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الكشف الانقلابي</w:t>
      </w:r>
      <w:r>
        <w:rPr>
          <w:rStyle w:val="FootnoteAnchor"/>
          <w:rtl w:val="true"/>
        </w:rPr>
        <w:footnoteReference w:id="794"/>
      </w:r>
      <w:r>
        <w:rPr>
          <w:rFonts w:ascii="Amiri" w:hAnsi="Amiri" w:eastAsia="Amiri" w:cs="Amiri"/>
          <w:color w:val="111111"/>
          <w:sz w:val="28"/>
          <w:sz w:val="28"/>
          <w:szCs w:val="28"/>
          <w:rtl w:val="true"/>
          <w:lang w:bidi="ar-SA"/>
        </w:rPr>
        <w:t xml:space="preserve">،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بالانقلاب حقيقةً ، أو حكماً وتعبّداً ؛ لعدم نقل العوضين إلى زمان الإجازة ، وبها يحصل الانقلاب وزمان وجوب التسليم ، والميزان في رفع الغرر هو العلم بالقدرة على التسلّم حال وجوب التسليم ؛ أي حال الإجازة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على الكشف الحقيقي ، أو الحكمي على النحو الحقيقي ، يكون الانتقال واقعاً أو حكماً من أوّل الأمر مع التعقّب بالإجازة ، فينتقل إليه ما لا يقدر على تحصيله فعلاً ، ولأجله يدّعى حصول الغرر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على الفرض ، معتبرة حال وجوب التسليم ، وهي حال الإجازة ، لا قبلها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قيل بأنّ موضوع وجوب الوفاء ، هو العقد المنسوب إلى صاحبه ، سواء كان مؤثّراً في النقل أم لا ، وبأنّ الوفاء بمعنى إبقاء العقد وعدم فسخه ، فلا فرق بين القول بالنقل ، والقول بالكشف في الفضولي ؛ لأنّ العقد من قبل الأصيل حاصل وواجب الوفاء به ، فلا يجوز له التصرّف في ماله في جميع أقسام الفضولي ، فإن كان المحذور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حرمان تصرّفه في ماله مع العجز عن تسلّم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للغرر ، فهو حاصل 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الموضوع هو العقد المؤثّر المنسوب إليه ، يكون كلّ من النقل والكشف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المنسوب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عنه ؛ لعدم تأثير العقد في النقل فعلاً ، والكشف الحقيقي أو الحكمي الذي هو نظيره ، داخلاً فيه ، فيكون وجوب التسليم مع عدم العلم بحصول العوض ، موجباً للغرر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التسليم مع الكشف الحقيقي أيضاً ممنوع ، حتّى على الأصيل ؛ لأنّ بناء العقلاء في باب المعاملات على التسليم والتسلّم ، فمع عدم العمل من أحد المتعاملين ، لا يجب على الآخر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التسليم على كلّ واحد منهما ، موقوف على عدم امتناع الآخر عنه ، والظاهر أنّ وجوب الوفاء بالعقود في الآية الكريمة</w:t>
      </w:r>
      <w:r>
        <w:rPr>
          <w:rStyle w:val="FootnoteAnchor"/>
          <w:rtl w:val="true"/>
        </w:rPr>
        <w:footnoteReference w:id="795"/>
      </w:r>
      <w:r>
        <w:rPr>
          <w:rFonts w:ascii="Amiri" w:hAnsi="Amiri" w:eastAsia="Amiri" w:cs="Amiri"/>
          <w:color w:val="111111"/>
          <w:sz w:val="28"/>
          <w:sz w:val="28"/>
          <w:szCs w:val="28"/>
          <w:rtl w:val="true"/>
          <w:lang w:bidi="ar-SA"/>
        </w:rPr>
        <w:t xml:space="preserve">لا يكون غير ما لدى العقلاء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لا يفهم منه إلاّ ما هو المعهود عندهم ، ومن البعيد إلزام المتعامل بالوفاء وإن لم يلتزم به صاحبه ، وامتنع عنه ، فلا يجب على </w:t>
      </w:r>
      <w:bookmarkStart w:id="384" w:name="pg15209_203974"/>
    </w:p>
    <w:p>
      <w:pPr>
        <w:pStyle w:val="BookText"/>
        <w:rPr/>
      </w:pPr>
      <w:bookmarkEnd w:id="384"/>
      <w:r>
        <w:rPr>
          <w:rFonts w:ascii="Amiri" w:hAnsi="Amiri" w:eastAsia="Amiri" w:cs="Amiri"/>
          <w:color w:val="111111"/>
          <w:sz w:val="28"/>
          <w:sz w:val="28"/>
          <w:szCs w:val="28"/>
          <w:rtl w:val="true"/>
          <w:lang w:bidi="ar-SA"/>
        </w:rPr>
        <w:t xml:space="preserve">الأصيل الوفاء بالعقد ، قبل وجوب الوفاء على طرف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فوجوب التسليم على كلّ منهما ، إنّما هو بعد الإجازة حتّى على الكشف الحقيقي ، فلا بدّ من العلم بالقدرة على التسليم ، أو التسلّم ، أو الحصول في يده ، حال وجوب التسليم عليهما ، وبه يدفع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النقل والكشف مشتركان في فرض ، والكشف المشهوري والنقل ممتازان عن الحقيقي في فرض ، والإشكال غير وارد على جميع الفروض ، وجميع أقسام الفضولي </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2974559_2142443653"/>
      <w:bookmarkStart w:id="386" w:name="_Toc135"/>
      <w:bookmarkEnd w:id="385"/>
      <w:r>
        <w:rPr>
          <w:rtl w:val="true"/>
        </w:rPr>
        <w:t>هل تعتبر القدرة على التسليم في الصرف والسلم؟</w:t>
      </w:r>
      <w:bookmarkEnd w:id="386"/>
    </w:p>
    <w:p>
      <w:pPr>
        <w:pStyle w:val="BookText"/>
        <w:rPr/>
      </w:pPr>
      <w:r>
        <w:rPr>
          <w:rFonts w:ascii="Amiri" w:hAnsi="Amiri" w:eastAsia="Amiri" w:cs="Amiri"/>
          <w:color w:val="111111"/>
          <w:sz w:val="28"/>
          <w:sz w:val="28"/>
          <w:szCs w:val="28"/>
          <w:rtl w:val="true"/>
          <w:lang w:bidi="ar-SA"/>
        </w:rPr>
        <w:t xml:space="preserve">وأمّا فيما يكون القبض والتسليم شرطاً لصحّته ، كبيع السلم والصرف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ادّعى الشيخ الأعظم قدّس سرّه ، عدم اعتبار القدرة على التسليم فيهما ؛ لأنّ تأثير العقد قبل التسليم في المجلس ، موقوف على تحقّقه ، فلا يلزم 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تعذّر التسليم بعد العقد رجع إلى تعذّر الشرط ، ومن المعلوم أنّ تعذّر الشرط المتأخّر حال العقد ، غير قادح ، بل لا يقدح العلم بتعذّره فيما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تأثير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حصوله ؛ فإنّ الشروط المتأخّرة لا يجب إحرازها حال العقد ، ولا العلم بتحقّقها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تعذّر التسليم مانع في بيع ، يكون التسليم من أحكامه ، لا من شروط تأثيره ، والسرّ فيه أنّ التسليم فيه جزء الناقل ، فلا يلزم غرر من تعلّقه بغير المقدور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بالقدرة على التسليم بعد تمام النقل ، ولهذا لا يقدح </w:t>
      </w:r>
    </w:p>
    <w:p>
      <w:pPr>
        <w:pStyle w:val="BookText"/>
        <w:rPr/>
      </w:pPr>
      <w:r>
        <w:rPr>
          <w:rFonts w:ascii="Amiri" w:hAnsi="Amiri" w:eastAsia="Amiri" w:cs="Amiri"/>
          <w:color w:val="111111"/>
          <w:sz w:val="28"/>
          <w:sz w:val="28"/>
          <w:szCs w:val="28"/>
          <w:rtl w:val="true"/>
          <w:lang w:bidi="ar-SA"/>
        </w:rPr>
        <w:t xml:space="preserve">كونه عاجزاً قبل القبول ، إذا علم بتجدّد القدرة بعده ، والمفروض أنّ المبيع بعد تحقّق الجزء الأخير من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في يد المشتري ، فالقبض مثل الإجازة بناءً على النقل ، وأولى منها بناءً على الكشف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إنّ الغرر العرفي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الغرر العرفي ، بعد الاطّلاع على كون أثر المعاملة شرعاً على وجه لا يلزم منه خطر</w:t>
      </w:r>
      <w:r>
        <w:rPr>
          <w:rStyle w:val="FootnoteAnchor"/>
          <w:rtl w:val="true"/>
        </w:rPr>
        <w:footnoteReference w:id="79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 نّه وقع الخلط بين ما هو دخيل في ماهية المعاملة عرفاً ، كالقبول ، وكون العوضين مالاً ، وبين ما هو من شرائط الصحّة شرعاً ، أو من موانعها ؛ فإنّ ما هو داخل في الماهية ، غير مشمول لأدلّة اعتبار الشرائط وعدم الموانع ، فإنّها اعتبرت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الصدق العرفي ، فلا تكون</w:t>
      </w:r>
    </w:p>
    <w:p>
      <w:pPr>
        <w:pStyle w:val="BookText"/>
        <w:rPr/>
      </w:pPr>
      <w:r>
        <w:rPr>
          <w:rFonts w:ascii="Amiri" w:hAnsi="Amiri" w:eastAsia="Amiri" w:cs="Amiri"/>
          <w:color w:val="111111"/>
          <w:sz w:val="28"/>
          <w:sz w:val="28"/>
          <w:szCs w:val="28"/>
          <w:rtl w:val="true"/>
          <w:lang w:bidi="ar-SA"/>
        </w:rPr>
        <w:t xml:space="preserve">الشرائط إلاّ لما هو بيع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فالعجز قبل القبول ، وعدم العلم بضمّ القبول إلى الإيجاب ، بل العلم بعدم ضمّه إليه ، لا يضرّ بالإيجاب وصحّة المعاملة إذا اتّفق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يعقل الجدّ في الإيجاب مع الالتفات إلى عدم الضمّ ، فلو غفل وأنشأ الإيجاب ، ثمّ اتّفق ضمّ القبول صحّ ؛ لقصور أدلّة اعتبار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موضوعها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شمول المقوّمات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وقع الخلط فيما هو موضوع اعتبار الشرائط ، أو عدم الموانع ، فإنّ الموضوع في جميعها هو نفس البيع العرفي ، لا هو مع الشرط الآخر ، فالشرائط </w:t>
      </w:r>
    </w:p>
    <w:p>
      <w:pPr>
        <w:pStyle w:val="BookText"/>
        <w:rPr/>
      </w:pPr>
      <w:r>
        <w:rPr>
          <w:rFonts w:ascii="Amiri" w:hAnsi="Amiri" w:eastAsia="Amiri" w:cs="Amiri"/>
          <w:color w:val="111111"/>
          <w:sz w:val="28"/>
          <w:sz w:val="28"/>
          <w:szCs w:val="28"/>
          <w:rtl w:val="true"/>
          <w:lang w:bidi="ar-SA"/>
        </w:rPr>
        <w:t xml:space="preserve">معتبرة فيه عرضاً ، ولا يكون شيء منها دخيلاً في الموضوع ، فعدم الغرر معتبر في البيع ، لا في البيع المعتبر فيه القبض في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يعقل أن 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صلي الله عليه و آله وسلم عن بيع الغرر</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دليلاً على اعتبار عدمه في غير الصرف والسلم ؛ بالنسبة إلى البيع نفسه ، وفيهما مع اعتبار شرط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فاعتبار عدم الغرر إنّما هو بالنسبة إلى نفس البيع ، الذي هو صادق على المصاديق بنحو واحد ، فلا يكون دليل اعتبار الشرائط في البيع ، ناظراً إلى البيع مع سائر الشرائط المعتبرة فيه شرعاً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في خلال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الاعتبار بالقدرة على التسليم بعد تمام النقل من غرائب الكلام إن أراد بتمامية النقل تحقّقه ؛ ضرورة أنّ القدرة من شرائط النقل والصحّة ، فهي دخيلة في النقل ، فلا يعقل اعتبارها بعد النقل فعلاً ، مع كونها شرطاً للصحّة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تمامية النقل من غير ناحية هذا الشرط ، فهو أيضاً غير مرضيّ ؛ ضرورة أنّ القدرة على التسليم ، من شرائط صحّة البيع في عرض سائر الشروط ، ولا تكون الشروط مأخوذة في موضوعها ، فالقبض شرط في بيع السلف ذاته ، لا في البيع الذي اجتمعت فيه الشرائط ، وعدم الغرر معتبر في البيع كذلك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وقع الخلط بين ما هو شرط في السلم ، وبين ما هو شرط في مطلق </w:t>
      </w:r>
    </w:p>
    <w:p>
      <w:pPr>
        <w:pStyle w:val="BookText"/>
        <w:rPr/>
      </w:pPr>
      <w:r>
        <w:rPr>
          <w:rFonts w:ascii="Amiri" w:hAnsi="Amiri" w:eastAsia="Amiri" w:cs="Amiri"/>
          <w:color w:val="111111"/>
          <w:sz w:val="28"/>
          <w:sz w:val="28"/>
          <w:szCs w:val="28"/>
          <w:rtl w:val="true"/>
          <w:lang w:bidi="ar-SA"/>
        </w:rPr>
        <w:t>البيع ؛ فإنّ شرط السلم هو القبض ، لا القدرة عليه ، ولا العلم بالقدرة عليه ، وشرط البيع هو القدرة على التسليم بمقتضى رواية حكيم بن حزام</w:t>
      </w:r>
      <w:r>
        <w:rPr>
          <w:rStyle w:val="FootnoteAnchor"/>
          <w:rtl w:val="true"/>
        </w:rPr>
        <w:footnoteReference w:id="798"/>
      </w:r>
      <w:r>
        <w:rPr>
          <w:rFonts w:ascii="Amiri" w:hAnsi="Amiri" w:eastAsia="Amiri" w:cs="Amiri"/>
          <w:color w:val="111111"/>
          <w:sz w:val="28"/>
          <w:sz w:val="28"/>
          <w:szCs w:val="28"/>
          <w:rtl w:val="true"/>
          <w:lang w:bidi="ar-SA"/>
        </w:rPr>
        <w:t xml:space="preserve">، والعلم بالقدرة على التسلّم بمقتضى حديث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مع الشكّ في حصول القدرة على التسلّم ، يكون البيع غررياً باطلاً ، ولا يصحّحه القبض خارجاً ، فإنّ فقدان بعض الشرائط ، موجب للبطلان ولو وجد سائرها ، والصحّة تتوقّف على اجتماع الشرائط وعدم الموانع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فالبيع الذي شكّ في مقدورية العوضين فيه ، باطل للغرر ، ولا يصحّحه وجود شرط آخر معتبر في قسم منه ، مثل الصرف والسلم ، كما أنّ الصرف مع عدم القبض في المجلس باطل ، لا يصحّحه انتفاء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النظر فيما أفاده بعض المحشّين ؛ من لزوم الخلف ، بدعوى أنّ القبض في السلم معتبر بعد البيع ، فاعتباره قبله خلف</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ضرورة أنّ ما هو معتبر في السلم نفس القبض ، وما هو معتبر في البيع مطلقاً ، هو العلم بالقدرة على التسلّم ، أو العلم بحصول المبيع عنده ، بناءً على كون المستند حديث الغرر ، والقدرة على التسليم ، بناءً على كون المستند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فلا خلف ولا إشكال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عقد الرهن ، فالكلام فيه غير الكلام في السلم ، بناءً على عدم شمول حديث الغرر له ، واختصاصه بالبيع ، كما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غير مربوط به ، </w:t>
      </w:r>
      <w:bookmarkStart w:id="387" w:name="pg15209_203978"/>
    </w:p>
    <w:p>
      <w:pPr>
        <w:pStyle w:val="BookText"/>
        <w:rPr/>
      </w:pPr>
      <w:bookmarkEnd w:id="387"/>
      <w:r>
        <w:rPr>
          <w:rFonts w:ascii="Amiri" w:hAnsi="Amiri" w:eastAsia="Amiri" w:cs="Amiri"/>
          <w:color w:val="111111"/>
          <w:sz w:val="28"/>
          <w:sz w:val="28"/>
          <w:szCs w:val="28"/>
          <w:rtl w:val="true"/>
          <w:lang w:bidi="ar-SA"/>
        </w:rPr>
        <w:t xml:space="preserve">فلا يعتبر فيه إلاّ نفس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اشتراط القدرة على التسليم فيه ، إنّما هو من حيث اشتراط القبض</w:t>
      </w:r>
      <w:r>
        <w:rPr>
          <w:rStyle w:val="FootnoteAnchor"/>
          <w:rtl w:val="true"/>
        </w:rPr>
        <w:footnoteReference w:id="801"/>
      </w:r>
      <w:r>
        <w:rPr>
          <w:rFonts w:ascii="Amiri" w:hAnsi="Amiri" w:eastAsia="Amiri" w:cs="Amiri"/>
          <w:color w:val="111111"/>
          <w:sz w:val="28"/>
          <w:sz w:val="28"/>
          <w:szCs w:val="28"/>
          <w:rtl w:val="true"/>
          <w:lang w:bidi="ar-SA"/>
        </w:rPr>
        <w:t xml:space="preserve">لا يخلو من مسامحة ؛ فإنّ القدرة على التسليم ليست شرطاً فيه ، وإن كان التسليم موقوفاً عليها ، بل الظاهر عدم اعتبار إقباض البائع ، بل لو حصل القبض من دون إقباضه صحّ أيضاً ، فلا يتوقّف ما هو المعتبر فيه على القدرة على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على شمول حديث الغرر له ، يأتي فيه ما ذكرنا في السلم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المعتبر في عقد الرهن ، هو نفس القبض ، وما هو المعتبر في مطلق المعاملات ، هو القدرة على التسليم في وجه ، والعلم بالقدرة على التسلّم في وجه </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2974561_2142443653"/>
      <w:bookmarkStart w:id="389" w:name="_Toc136"/>
      <w:bookmarkEnd w:id="388"/>
      <w:r>
        <w:rPr>
          <w:rtl w:val="true"/>
        </w:rPr>
        <w:t>بطلان كون الشرط هو القدرة المعلومة</w:t>
      </w:r>
      <w:bookmarkEnd w:id="389"/>
    </w:p>
    <w:p>
      <w:pPr>
        <w:pStyle w:val="BookText"/>
        <w:rPr/>
      </w:pPr>
      <w:r>
        <w:rPr>
          <w:rFonts w:ascii="Amiri" w:hAnsi="Amiri" w:eastAsia="Amiri" w:cs="Amiri"/>
          <w:color w:val="111111"/>
          <w:sz w:val="28"/>
          <w:sz w:val="28"/>
          <w:szCs w:val="28"/>
          <w:rtl w:val="true"/>
          <w:lang w:bidi="ar-SA"/>
        </w:rPr>
        <w:t xml:space="preserve">ثمّ إنّ الشيخ الأعظم قدّس 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هي القدرة المعلومة للمتبايعين ؛ لأنّ الغرر لا يندفع بمجرّد القدرة الواقعية ، ولو باع ما يعتقد التمكّن ، فتبيّن عجزه في زمان البيع ، وتجدّدها بعد ذلك صحّ ، ولو لم يتجدّد بطل</w:t>
      </w:r>
      <w:r>
        <w:rPr>
          <w:rStyle w:val="FootnoteAnchor"/>
          <w:rtl w:val="true"/>
        </w:rPr>
        <w:footnoteReference w:id="80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يتصوّر أن يكون شرطاً ، إمّا القدرة الواقعية ؛ بحيث تكون هي تمام الموضوع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العلم بها ؛ بحيث يكون هو تمام الموضوع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القدرة المعلومة ؛ بحيث يكون للموضوع 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الواقعية ، والعلم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أمران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بالقدرة وإن لم تتحقّق ، ونفس القدرة وإن لم تكن 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البيع مع فقد العلم ، بل ومع العلم بالخلاف إذا كان قادراً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مع العلم وإن لم يكن موافقاً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مع اعتقاده بها ، وكونها متحقّقة متعلّقة للعلم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إذا اعتقد قدرته وكان مخالفاً للواقع ، لكن تجدّدت القدرة ، ولو لم تتجدّد بطل ، فما أفاده الشيخ الأعظم قدّس سرّه ، إنّما هو من متفرّعات هذا الفرض ، لا فرض كون الشرط القدرة المعلومة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دليل على أنّ القدرة المعلومة شرط ؛ بحيث تكون القدرة جزء الموضوع ، لأنّ الظاهر من رواية حكيم ، هو اعتبار القدرة على التسليم حال البيع كما مرّ</w:t>
      </w:r>
      <w:r>
        <w:rPr>
          <w:rStyle w:val="FootnoteAnchor"/>
          <w:rtl w:val="true"/>
        </w:rPr>
        <w:footnoteReference w:id="803"/>
      </w:r>
      <w:r>
        <w:rPr>
          <w:rFonts w:ascii="Amiri" w:hAnsi="Amiri" w:eastAsia="Amiri" w:cs="Amiri"/>
          <w:color w:val="111111"/>
          <w:sz w:val="28"/>
          <w:sz w:val="28"/>
          <w:szCs w:val="28"/>
          <w:rtl w:val="true"/>
          <w:lang w:bidi="ar-SA"/>
        </w:rPr>
        <w:t xml:space="preserve">، والمستفاد من حديث الغرر ، كفاية العلم بالقدرة على التسلّم ، أو بالحصول في يده ، وعدم اعتبار القدرة على التسليم ، والجمع بينهما يقتضي اعتبار القدرة الواقعية حال البيع ، والعلم بالقدرة على التسلّم حال وجوب التسليم ، فلا يفيد ضمّ أحدهما إلى الآخر اعتبار القدرة المعلومة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ضمّ إلى حديث الغرر الإجماع على اعتبار القدرة ، وكان المتيقّن منه وجود القدرة في الجملة في قبال العجز رأساً ، لم ينتج أيضاً اعتبار القدرة </w:t>
      </w:r>
    </w:p>
    <w:p>
      <w:pPr>
        <w:pStyle w:val="BookText"/>
        <w:rPr/>
      </w:pPr>
      <w:r>
        <w:rPr>
          <w:rFonts w:ascii="Amiri" w:hAnsi="Amiri" w:eastAsia="Amiri" w:cs="Amiri"/>
          <w:color w:val="111111"/>
          <w:sz w:val="28"/>
          <w:sz w:val="28"/>
          <w:szCs w:val="28"/>
          <w:rtl w:val="true"/>
          <w:lang w:bidi="ar-SA"/>
        </w:rPr>
        <w:t xml:space="preserve">المعلومة ، بل ينتج ما هو المتفرّع على الفرض الأخير ؛ أي الاعتقاد بالقدرة على التسلّم ولو كان مخالفاً للواقع ، وتجدّد القدرة ولو لم يتعلّق بها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رواية حكيم اعتبار قدرة المالك ، وعدم كفاية قدرة الوكيل ولو كان وكيلاً مطلقاً ؛ لما مرّ من أنّ المستفاد منها أمر تعبّدي ، غير موافق لعقولنا ، وغير مربوط بالغرر</w:t>
      </w:r>
      <w:r>
        <w:rPr>
          <w:rStyle w:val="FootnoteAnchor"/>
          <w:rtl w:val="true"/>
        </w:rPr>
        <w:footnoteReference w:id="804"/>
      </w:r>
      <w:r>
        <w:rPr>
          <w:rFonts w:ascii="Amiri" w:hAnsi="Amiri" w:eastAsia="Amiri" w:cs="Amiri"/>
          <w:color w:val="111111"/>
          <w:sz w:val="28"/>
          <w:sz w:val="28"/>
          <w:szCs w:val="28"/>
          <w:rtl w:val="true"/>
          <w:lang w:bidi="ar-SA"/>
        </w:rPr>
        <w:t xml:space="preserve">، ومقتضى الجمود عليها اعتبار هذا الشرط بالنسبة إلى البائع المالك ، والتعميم إلى الوكيل يحتاج إلى معمّم مفقود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حديث الغرر ، اعتبار العلم بالقدرة على التسلّم ، أو بالحصول عنده ، لا اعتبار قدرة البائع المالك أو وكيله ، فلا دليل عليه </w:t>
      </w:r>
      <w:r>
        <w:rPr>
          <w:rFonts w:eastAsia="Amiri" w:cs="Amiri" w:ascii="Amiri" w:hAnsi="Amiri"/>
          <w:color w:val="111111"/>
          <w:sz w:val="28"/>
          <w:szCs w:val="28"/>
          <w:rtl w:val="true"/>
          <w:lang w:bidi="ar-SA"/>
        </w:rPr>
        <w:t xml:space="preserve">. </w:t>
      </w:r>
      <w:bookmarkStart w:id="390" w:name="pg15209_203981"/>
    </w:p>
    <w:p>
      <w:pPr>
        <w:pStyle w:val="Heading5"/>
        <w:numPr>
          <w:ilvl w:val="4"/>
          <w:numId w:val="1"/>
        </w:numPr>
        <w:rPr/>
      </w:pPr>
      <w:bookmarkStart w:id="391" w:name="__RefHeading___Toc2974563_2142443653"/>
      <w:bookmarkStart w:id="392" w:name="_Toc137"/>
      <w:bookmarkEnd w:id="390"/>
      <w:bookmarkEnd w:id="391"/>
      <w:r>
        <w:rPr>
          <w:rtl w:val="true"/>
        </w:rPr>
        <w:t>حكم بيع الآبق</w:t>
      </w:r>
      <w:bookmarkEnd w:id="392"/>
    </w:p>
    <w:p>
      <w:pPr>
        <w:pStyle w:val="BookText"/>
        <w:rPr/>
      </w:pPr>
      <w:r>
        <w:rPr>
          <w:rFonts w:ascii="Amiri" w:hAnsi="Amiri" w:eastAsia="Amiri" w:cs="Amiri"/>
          <w:color w:val="111111"/>
          <w:sz w:val="28"/>
          <w:sz w:val="28"/>
          <w:szCs w:val="28"/>
          <w:rtl w:val="true"/>
          <w:lang w:bidi="ar-SA"/>
        </w:rPr>
        <w:t>ثمّ إنّ البحث عن الآبق ، كالبحث عمّا لا يقدر على تسليمه ، بناءً على كون المستند في الحكم رواية حكيم بن حزام</w:t>
      </w:r>
      <w:r>
        <w:rPr>
          <w:rStyle w:val="FootnoteAnchor"/>
          <w:rtl w:val="true"/>
        </w:rPr>
        <w:footnoteReference w:id="805"/>
      </w:r>
      <w:r>
        <w:rPr>
          <w:rFonts w:ascii="Amiri" w:hAnsi="Amiri" w:eastAsia="Amiri" w:cs="Amiri"/>
          <w:color w:val="111111"/>
          <w:sz w:val="28"/>
          <w:sz w:val="28"/>
          <w:szCs w:val="28"/>
          <w:rtl w:val="true"/>
          <w:lang w:bidi="ar-SA"/>
        </w:rPr>
        <w:t xml:space="preserve">فإنّ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البائع على تسليمه فعلاً ، وهي المعتبرة في صحّته ، فلا يصحّ بيع الآبق وإن كان المشتري قادراً على تسلّمه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المستند حديث الغرر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الانتفاع بالعتق لا يخرجه عن الغرر مع عدم تمكّن المشتري من التسلّم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خصوص الآبق وما هو نحوه ؛ ممّا يمكن الانتفاع به بوجه ، يقع الكلام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وجود الانتفاع بوجه ، هل يمنع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اليأس عن الظفر به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ذلك موجب لرفع الغرر أو لا ؟ </w:t>
      </w:r>
    </w:p>
    <w:p>
      <w:pPr>
        <w:pStyle w:val="BookText"/>
        <w:rPr/>
      </w:pPr>
      <w:r>
        <w:rPr>
          <w:rFonts w:ascii="Amiri" w:hAnsi="Amiri" w:eastAsia="Amiri" w:cs="Amiri"/>
          <w:color w:val="111111"/>
          <w:sz w:val="28"/>
          <w:sz w:val="28"/>
          <w:szCs w:val="28"/>
          <w:rtl w:val="true"/>
          <w:lang w:bidi="ar-SA"/>
        </w:rPr>
        <w:t xml:space="preserve">لا إشكال في عدم كونه تالفاً حقيقةً ، والظاهر عدم كونه بمنزلة التالف أيضاً كالمسروق والغريق ، مع إمكان الانتفاع به بمثل العتق ، أو البيع ممّن يريد عتقه ، فلو غصبه غاصب وفرّ من يده ، ليس عليه ضمان عينه ، بل عليه ضمان منافعه التالفة إلى زمان الرجوع أو العتق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والمعاملة عليه عقلائية ، ليست مثل المعاملة على العين الغرقة التي لا يرجى وصولها ، فليست المعاملة سفهية ، ولا أخذ المال في مقابله أكلاً له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يصحّ بيعه وإن لم يكن للبائع قصد عتقه ؛ فإنّ الصحّة لا تتوقّف على أغراض المتعاملين ، فما كانت له منفعة عقلائية ، يصحّ بيعه مع إمكان استيفائها ولو لم يستوفها ، أو لم تكن تلك المنفعة موافقة لغرضه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كون المعاملة غررية أيضاً مع تلك المنفعة ، إذا كان مرجوّ العود ، إن كان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الخطر ، فأيّ خطر على من أراد عتق رقبة ، إمّا للثواب ، أو لكفّارة عليه ، أو لشفقة إنسانية ؛ في أن يشتري آبقاً ويعتقه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إمكان الانتفاع الكذائي ، يخرجه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 لو كان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 أعمّ من الجهل بالحصول عنده ، كان غرراً ، ولكن قد عرفت عدم صحّة هذا الاحتمال</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القواعد صحّة بيع الآبق وما هو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تكون له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يحصل نفسه عنده ، كان آيساً منه أم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صحيحة النخّاس</w:t>
      </w:r>
      <w:r>
        <w:rPr>
          <w:rStyle w:val="FootnoteAnchor"/>
          <w:rtl w:val="true"/>
        </w:rPr>
        <w:footnoteReference w:id="807"/>
      </w:r>
      <w:r>
        <w:rPr>
          <w:rFonts w:ascii="Amiri" w:hAnsi="Amiri" w:eastAsia="Amiri" w:cs="Amiri"/>
          <w:color w:val="111111"/>
          <w:sz w:val="28"/>
          <w:sz w:val="28"/>
          <w:szCs w:val="28"/>
          <w:rtl w:val="true"/>
          <w:lang w:bidi="ar-SA"/>
        </w:rPr>
        <w:t>وموثّقة سماعة</w:t>
      </w:r>
      <w:r>
        <w:rPr>
          <w:rStyle w:val="FootnoteAnchor"/>
          <w:rtl w:val="true"/>
        </w:rPr>
        <w:footnoteReference w:id="808"/>
      </w:r>
      <w:r>
        <w:rPr>
          <w:rFonts w:ascii="Amiri" w:hAnsi="Amiri" w:eastAsia="Amiri" w:cs="Amiri"/>
          <w:color w:val="111111"/>
          <w:sz w:val="28"/>
          <w:sz w:val="28"/>
          <w:szCs w:val="28"/>
          <w:rtl w:val="true"/>
          <w:lang w:bidi="ar-SA"/>
        </w:rPr>
        <w:t xml:space="preserve">إلغاء الشارع الأقدس في خصوص الآبق ، منفعة عتقه ؛ فإنّ عدم تجويز بيعه مستقلاًّ ومنفرداً ، ليس إلاّ لأجل كون تلك المنفعة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المعتدّ بها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العدم ، وإلاّ فمقتضى العمومات صحّته ، والحمل على خلاف القواعد العقلائية والشرعية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الحكم بكون الثمن في مقابل الضميمة مع عدم القدرة عليه ، دليل على أنّ الموجب للصحّة حصوله عنده ، ومع عدمه يكون أكل المال في مقابله باطلاً ، وليس ذلك إلاّ لعدم الاعتناء بمنفعة 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تلك المنفعة غير المقصودة نوعاً ، إن أخرجت الشيء عن كونه بمنزلة التالف ، وصارت موجبة لصحّة البيع ، لأمكن وجود مثلها في غالب الموارد التي عدّ الشيء فيها تالفاً ، كالمسروق ، فللمالك أن يجعل العين المسروقة التي لا يرجى عودها ، مباحةً للسارق ، والمنهوبة كذلك مباحةً للغاصب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منهما عدم إلغاء تلك المنفعة في الآبق ؛ فإنّ الحكم بالصحّة مع الضميمة ، دليل على أنّ له منفعةً ما ، ولأجلها يصحّ جعله جزء المبيع ، وإعطاء الثمن بإزائه ، فلو كانت تلك المنفعة بمنزلة العدم شرعاً ، والفرض عدم وجود منفعة اُخرى له ، لكان ذلك موجباً لبطلان البيع على المجموع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بالبطلان منفرداً ، ليس لأجل عدم كون المعاملة عقلائية ، ولا لأجل سلب المنفعة عنه شرعاً ، ولا لأجل الغرر ، بل تعبّد محض </w:t>
      </w:r>
      <w:r>
        <w:rPr>
          <w:rFonts w:eastAsia="Amiri" w:cs="Amiri" w:ascii="Amiri" w:hAnsi="Amiri"/>
          <w:color w:val="111111"/>
          <w:sz w:val="28"/>
          <w:szCs w:val="28"/>
          <w:rtl w:val="true"/>
          <w:lang w:bidi="ar-SA"/>
        </w:rPr>
        <w:t xml:space="preserve">. </w:t>
      </w:r>
      <w:bookmarkStart w:id="393" w:name="pg15209_203984"/>
    </w:p>
    <w:p>
      <w:pPr>
        <w:pStyle w:val="Heading5"/>
        <w:numPr>
          <w:ilvl w:val="4"/>
          <w:numId w:val="1"/>
        </w:numPr>
        <w:rPr/>
      </w:pPr>
      <w:bookmarkStart w:id="394" w:name="__RefHeading___Toc2974565_2142443653"/>
      <w:bookmarkStart w:id="395" w:name="_Toc138"/>
      <w:bookmarkEnd w:id="393"/>
      <w:bookmarkEnd w:id="394"/>
      <w:r>
        <w:rPr>
          <w:rtl w:val="true"/>
        </w:rPr>
        <w:t>محتملات موثّقة سَماعة وبيان الحقّ منها</w:t>
      </w:r>
      <w:bookmarkEnd w:id="395"/>
    </w:p>
    <w:p>
      <w:pPr>
        <w:pStyle w:val="BookText"/>
        <w:rPr/>
      </w:pPr>
      <w:r>
        <w:rPr>
          <w:rFonts w:ascii="Amiri" w:hAnsi="Amiri" w:eastAsia="Amiri" w:cs="Amiri"/>
          <w:color w:val="111111"/>
          <w:sz w:val="28"/>
          <w:sz w:val="28"/>
          <w:szCs w:val="28"/>
          <w:rtl w:val="true"/>
          <w:lang w:bidi="ar-SA"/>
        </w:rPr>
        <w:t>وفي قوله عليه السلام في ذيل موثّقة سماعة</w:t>
      </w:r>
      <w:r>
        <w:rPr>
          <w:rStyle w:val="FootnoteAnchor"/>
          <w:rtl w:val="true"/>
        </w:rPr>
        <w:footnoteReference w:id="809"/>
      </w:r>
      <w:r>
        <w:rPr>
          <w:rFonts w:ascii="Amiri" w:hAnsi="Amiri" w:eastAsia="Amiri" w:cs="Amiri"/>
          <w:color w:val="111111"/>
          <w:sz w:val="28"/>
          <w:sz w:val="28"/>
          <w:szCs w:val="28"/>
          <w:rtl w:val="true"/>
          <w:lang w:bidi="ar-SA"/>
        </w:rPr>
        <w:t xml:space="preserve">،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العبد وهو آبق عن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له إلاّ أن يشتري معه شيئاً آخر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أشتري منك هذا الشيء وعبدك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العبد ، كان الذي نقده فيما اشترى منه</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 xml:space="preserve">احتمالات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يقدر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تعليماً للبائع كيفية البيع في الآبق مع الضميمة ؛ بأن يشتري العبد مع الضميمة بكذا وكذا ، ومع عدم القدرة عليه يشتري الشيء بهذا الثمن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بيعين في بيع ، عكس ما ورد في النصّ ؛ من جعل ثمنين لمبيع واحد على فرضين</w:t>
      </w:r>
      <w:r>
        <w:rPr>
          <w:rStyle w:val="FootnoteAnchor"/>
          <w:rtl w:val="true"/>
        </w:rPr>
        <w:footnoteReference w:id="811"/>
      </w:r>
      <w:r>
        <w:rPr>
          <w:rFonts w:ascii="Amiri" w:hAnsi="Amiri" w:eastAsia="Amiri" w:cs="Amiri"/>
          <w:color w:val="111111"/>
          <w:sz w:val="28"/>
          <w:sz w:val="28"/>
          <w:szCs w:val="28"/>
          <w:rtl w:val="true"/>
          <w:lang w:bidi="ar-SA"/>
        </w:rPr>
        <w:t xml:space="preserve">فيكون مبيعين بثمن واحد على 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القدرة ، </w:t>
      </w:r>
    </w:p>
    <w:p>
      <w:pPr>
        <w:pStyle w:val="BookText"/>
        <w:rPr/>
      </w:pPr>
      <w:r>
        <w:rPr>
          <w:rFonts w:ascii="Amiri" w:hAnsi="Amiri" w:eastAsia="Amiri" w:cs="Amiri"/>
          <w:color w:val="111111"/>
          <w:sz w:val="28"/>
          <w:sz w:val="28"/>
          <w:szCs w:val="28"/>
          <w:rtl w:val="true"/>
          <w:lang w:bidi="ar-SA"/>
        </w:rPr>
        <w:t xml:space="preserve">وفرض عدم القدرة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أشتري منك هذا العبد وهذا الشيء بعشرين مثلاً ، وإن لم أقدر على العبد أشتري الشيء بعشرين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لتعليم بيع وشرط في ضمنه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هذين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أن يكون الثمن بإزاء الشيء عند عدم 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حكماً شرعياً ، مع وقوع البيع على العبد والضميمة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عند عدم القدرة ، جعل الثمن بإزاء الضميمة ، فكان ذلك بصرف منه ، لا بجعل من المتبايعين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تعبيراً متعارفاً بحسب أغراض المشتري ، لا لبيان الحكم الشرعي ؛ فإنّ الأغراض في اشتراء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بخدمته وسائر منافعه الحاصلة تحت يد المولى ، والعتق ليس منها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لم يوجب بطلان البيع كما مرّ</w:t>
      </w:r>
      <w:r>
        <w:rPr>
          <w:rStyle w:val="FootnoteAnchor"/>
          <w:rtl w:val="true"/>
        </w:rPr>
        <w:footnoteReference w:id="812"/>
      </w:r>
      <w:r>
        <w:rPr>
          <w:rFonts w:ascii="Amiri" w:hAnsi="Amiri" w:eastAsia="Amiri" w:cs="Amiri"/>
          <w:color w:val="111111"/>
          <w:sz w:val="28"/>
          <w:sz w:val="28"/>
          <w:szCs w:val="28"/>
          <w:rtl w:val="true"/>
          <w:lang w:bidi="ar-SA"/>
        </w:rPr>
        <w:t xml:space="preserve">، لكن إذا أبق العبد يقال بحسب النظر إلى الأغراض النوعية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ماله قد خرج من يده وتلف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النظر يمكن أن تكون الرواية بصدد بيان هذا الأمر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حاصل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قدر على العبد فهو ، وإلاّ فلم يهدر ثمنه بلا شيء ، بل كان بإزاء ذلك الشيء الذي اشتراه معه ، لا بمعنى جعله بإزائه ، بل بمعنى بيان أنّ ما بإزاء المال ، دخل في كيسه في الجملة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الإشكال في مخالفة الاحتمالين الأوّلين للظاهر ، بل ينبغي القطع بخلافهما ، والاحتمال الثالث بعيد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يبعد أن يكون الاحتمال الأخير أوجه وأظهر ، وإن كان لا يخلو من مخالفة ظاهر ، لكنّه أهون من غيره ، واحتمال إلغاء الشارع ماليته ، إنّما هو في غير هذا الاحتمال الذي هو أرجح الاحتمالات ، وعليه تكون صحّة البيع مع الضميمة ، موافقة للقواعد ، وعدم الجواز منفرداً تعبّدياً مخالفاً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النقض بإمكان إباحة المال للغاصب والسارق ، فهو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الشيئين إذا لم يكن ارتباط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يعدّ كلّ واحد جزءاً للمجموع ، نظير الباب ذي مصراعين والنعلين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إلى بيعين ، فضمّ الثوب إلى العبد ، وبيعهما بلفظ واحد ، لا يوجب وحدة السلعة كالمثالين ، فما معنى عدم هدر ثمنه بناءً على الاحتمال الأخير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الضمّ لا أثر له في تصحيح البيع ، ولا يخرج به البيع عن الاستقلال ، فما وجه عدم الصحّة استقلالاً ، والصحّة مع الضميمة ، مع أ نّه لا فرق بينهما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ضمّ أحدهما إلى الآخر في مجرّد العبارة ، كما لو أراد بيع عبد وكتاب ، فقوّم كلاًّ منهما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بعتهما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الثمنين ، فلا يخرج باجتماعهما في صيغة واحدة عن البيعين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ضمّ إلى الآخر ، واعتبرا واحداً ، وأوقع البيع على المجموع الواحد</w:t>
      </w:r>
    </w:p>
    <w:p>
      <w:pPr>
        <w:pStyle w:val="BookText"/>
        <w:rPr/>
      </w:pPr>
      <w:r>
        <w:rPr>
          <w:rFonts w:ascii="Amiri" w:hAnsi="Amiri" w:eastAsia="Amiri" w:cs="Amiri"/>
          <w:color w:val="111111"/>
          <w:sz w:val="28"/>
          <w:sz w:val="28"/>
          <w:szCs w:val="28"/>
          <w:rtl w:val="true"/>
          <w:lang w:bidi="ar-SA"/>
        </w:rPr>
        <w:t xml:space="preserve">اعتباراً ، فيكون بيعاً واحداً ، والرواية ظاهرة في ذلك ، حيث لم يكتف فيها باشتراء العبد والثوب ، بل عقّب ذلك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أشتري منكم جاريتكم فلانة وهذا المتاع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في اعتبارهما واحداً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فالسلعة واحدة ، والبيع واحد ، فيصحّ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يقدر على العبد فثمنه لم يكن هدراً ، بل يكون بإزائه شيء في البيع الكذائي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 هنا 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العبد الآبق ، ولا الدابّة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أن يقدروا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مع ذلك شيء حاضر جاز بيعه ، يقع البيع على الحاضر</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أنّ البيع مصروف إلى الحاضر ، لكنّها رواية غير معتمدة ، مخالفة للقواعد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المشتري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عالماً بالظفر به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بعدمه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مطمئنّاً بالظفر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آيساً منه ، 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بيع الآبق منفرداً ومع الضميمة ، صحيح بحسب القواعد ، وأنّ شرط الانضمام تعبّدي محض ، لا لدفع السفه والأكل بالباطل ، ولا لدفع الغرر</w:t>
      </w:r>
      <w:r>
        <w:rPr>
          <w:rStyle w:val="FootnoteAnchor"/>
          <w:rtl w:val="true"/>
        </w:rPr>
        <w:footnoteReference w:id="814"/>
      </w:r>
      <w:r>
        <w:rPr>
          <w:rFonts w:ascii="Amiri" w:hAnsi="Amiri" w:eastAsia="Amiri" w:cs="Amiri"/>
          <w:color w:val="111111"/>
          <w:sz w:val="28"/>
          <w:sz w:val="28"/>
          <w:szCs w:val="28"/>
          <w:rtl w:val="true"/>
          <w:lang w:bidi="ar-SA"/>
        </w:rPr>
        <w:t xml:space="preserve">، فلا بدّ في الخروج عن مقتضى القواعد من الاقتصار على ما تشمله الروايتان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صحيحة النخّاس</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قوبل فيها بين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المتفاهم منها عدم الجواز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لأمكنت المناقشة في دلالة الموثّقة</w:t>
      </w:r>
      <w:r>
        <w:rPr>
          <w:rStyle w:val="FootnoteAnchor"/>
          <w:rtl w:val="true"/>
        </w:rPr>
        <w:footnoteReference w:id="816"/>
      </w:r>
      <w:r>
        <w:rPr>
          <w:rFonts w:ascii="Amiri" w:hAnsi="Amiri" w:eastAsia="Amiri" w:cs="Amiri"/>
          <w:color w:val="111111"/>
          <w:sz w:val="28"/>
          <w:sz w:val="28"/>
          <w:szCs w:val="28"/>
          <w:rtl w:val="true"/>
          <w:lang w:bidi="ar-SA"/>
        </w:rPr>
        <w:t xml:space="preserve">بل الحمل على الإرشاد إلى ما هو صلاح المشتري ، أظهر </w:t>
      </w:r>
      <w:bookmarkStart w:id="396" w:name="pg15209_203988"/>
    </w:p>
    <w:p>
      <w:pPr>
        <w:pStyle w:val="BookText"/>
        <w:rPr/>
      </w:pPr>
      <w:bookmarkEnd w:id="396"/>
      <w:r>
        <w:rPr>
          <w:rFonts w:ascii="Amiri" w:hAnsi="Amiri" w:eastAsia="Amiri" w:cs="Amiri"/>
          <w:color w:val="111111"/>
          <w:sz w:val="28"/>
          <w:sz w:val="28"/>
          <w:szCs w:val="28"/>
          <w:rtl w:val="true"/>
          <w:lang w:bidi="ar-SA"/>
        </w:rPr>
        <w:t xml:space="preserve">فيها ، ولا سيّما بحسب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حيث قال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فيهما واحد ، وهو عدم الجواز بلا ضميمة </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2974567_2142443653"/>
      <w:bookmarkStart w:id="398" w:name="_Toc139"/>
      <w:bookmarkEnd w:id="397"/>
      <w:r>
        <w:rPr>
          <w:rtl w:val="true"/>
        </w:rPr>
        <w:t>صحيحة النخّاس ومحتملاتها</w:t>
      </w:r>
      <w:bookmarkEnd w:id="398"/>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عليه السلام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 لي أن أشتري من القوم الجارية الآبقة ، واُعطيهم الثمن ، وأطلبها أنا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شراؤها إلاّ أن تشتري منهم معها ثوباً أو متاعاً ، فتقول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أشتري منكم جاريتكم فلانة وهذا المتاع بكذا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جائز</w:t>
      </w:r>
      <w:r>
        <w:rPr>
          <w:rFonts w:eastAsia="Amiri" w:cs="Amiri" w:ascii="Amiri" w:hAnsi="Amiri"/>
          <w:color w:val="111111"/>
          <w:sz w:val="28"/>
          <w:szCs w:val="28"/>
          <w:rtl w:val="true"/>
          <w:lang w:bidi="ar-SA"/>
        </w:rPr>
        <w:t>»</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شراؤها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وأطلبها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الآبقة لا يصحّ شراؤها مطلقاً إلاّ مع الضميمة ، فتنقسم جميع صور بيع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يصحّ ، وما يصحّ ؛ بحكم الإطلاق في المستثنى منه ، وتبعية المستثنى له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يكون ناظراً إلى ما يتوقّف عليه الطلب ، وهو رجاء الظفر ، فيكون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شراؤها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شراء الآبقة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علم الظفر بها ، </w:t>
      </w:r>
    </w:p>
    <w:p>
      <w:pPr>
        <w:pStyle w:val="BookText"/>
        <w:rPr/>
      </w:pPr>
      <w:r>
        <w:rPr>
          <w:rFonts w:ascii="Amiri" w:hAnsi="Amiri" w:eastAsia="Amiri" w:cs="Amiri"/>
          <w:color w:val="111111"/>
          <w:sz w:val="28"/>
          <w:sz w:val="28"/>
          <w:szCs w:val="28"/>
          <w:rtl w:val="true"/>
          <w:lang w:bidi="ar-SA"/>
        </w:rPr>
        <w:t xml:space="preserve">أو يرجى ذلك ، ويرد الاستثناء عليه ، فغير ذلك من الصور تخرج عن مفادها ، فتقع صحيحة حال الانفراد حتّى المعلوم عدمه ، فضلاً عن صورة اليأس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شراءها حتّى مع العلم بعدم الظفر بها ، ليس سفهياً ، ولا غررياً ، ولا أكلاً للمال بالباطل</w:t>
      </w:r>
      <w:r>
        <w:rPr>
          <w:rStyle w:val="FootnoteAnchor"/>
          <w:rtl w:val="true"/>
        </w:rPr>
        <w:footnoteReference w:id="820"/>
      </w:r>
      <w:r>
        <w:rPr>
          <w:rFonts w:ascii="Amiri" w:hAnsi="Amiri" w:eastAsia="Amiri" w:cs="Amiri"/>
          <w:color w:val="111111"/>
          <w:sz w:val="28"/>
          <w:sz w:val="28"/>
          <w:szCs w:val="28"/>
          <w:rtl w:val="true"/>
          <w:lang w:bidi="ar-SA"/>
        </w:rPr>
        <w:t xml:space="preserve">، بعد كون العتق في الكفّارات وللّه ، من المنافع المرغوب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شرط الانضمام من الشرائط التعبّدية كما أشرنا إليه</w:t>
      </w:r>
      <w:r>
        <w:rPr>
          <w:rStyle w:val="FootnoteAnchor"/>
          <w:rtl w:val="true"/>
        </w:rPr>
        <w:footnoteReference w:id="821"/>
      </w:r>
      <w:r>
        <w:rPr>
          <w:rFonts w:ascii="Amiri" w:hAnsi="Amiri" w:eastAsia="Amiri" w:cs="Amiri"/>
          <w:color w:val="111111"/>
          <w:sz w:val="28"/>
          <w:sz w:val="28"/>
          <w:szCs w:val="28"/>
          <w:rtl w:val="true"/>
          <w:lang w:bidi="ar-SA"/>
        </w:rPr>
        <w:t xml:space="preserve">، ولا طريق للعقول إلى مناطه ، وليس لأجل الغرر ونحوه أيضاً ، لم تصحّ دعوى المناط القطعي ، ولا دعوى إلغاء الخصوصية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أغمضنا عن ذلك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يفهم العقلاء والعرف من عدم صحّة الشراء في صورة رجاء الظفر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بمناسبات مغروسة في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صحّته مع العلم بعدم الظفر بها ، أو مع اليأس عنه ، يكون المستثنى منه شاملاً لجميع الصور ، ومقتضى الاستثناء صحّتها مع الضميمة ، فتصير النتيجة كالاحتمال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المستثنى منه ولو بمعاضدة فهم العرف ، لجميع الصور ، واختصاص الاستثناء بخصوص بعضها كالمرجوّ الظفر</w:t>
      </w:r>
      <w:r>
        <w:rPr>
          <w:rStyle w:val="FootnoteAnchor"/>
          <w:rtl w:val="true"/>
        </w:rPr>
        <w:footnoteReference w:id="822"/>
      </w:r>
      <w:r>
        <w:rPr>
          <w:rFonts w:ascii="Amiri" w:hAnsi="Amiri" w:eastAsia="Amiri" w:cs="Amiri"/>
          <w:color w:val="111111"/>
          <w:sz w:val="28"/>
          <w:sz w:val="28"/>
          <w:szCs w:val="28"/>
          <w:rtl w:val="true"/>
          <w:lang w:bidi="ar-SA"/>
        </w:rPr>
        <w:t xml:space="preserve">، لا تخلو من مجازفة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احتمال آخر ، ولعلّه الأقرب ، وهو عدم الإطلاق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شراؤها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المورد مرجوّ الظفر به ، وعدم التقييد أيضاً ، فتكون </w:t>
      </w:r>
    </w:p>
    <w:p>
      <w:pPr>
        <w:pStyle w:val="BookText"/>
        <w:rPr/>
      </w:pP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مورد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اليأس عن الظفر بها ، أو العلم بعدمه ، يصحّ إمّا مطلقاً ، أو مع الضميمة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القاعدة البطلان ، يكون الكلام على 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إطلاق موثّقة سماعة</w:t>
      </w:r>
      <w:r>
        <w:rPr>
          <w:rStyle w:val="FootnoteAnchor"/>
          <w:rtl w:val="true"/>
        </w:rPr>
        <w:footnoteReference w:id="823"/>
      </w:r>
      <w:r>
        <w:rPr>
          <w:rFonts w:ascii="Amiri" w:hAnsi="Amiri" w:eastAsia="Amiri" w:cs="Amiri"/>
          <w:color w:val="111111"/>
          <w:sz w:val="28"/>
          <w:sz w:val="28"/>
          <w:szCs w:val="28"/>
          <w:rtl w:val="true"/>
          <w:lang w:bidi="ar-SA"/>
        </w:rPr>
        <w:t xml:space="preserve">مع الإغماض عن ذيلها ، واحتمال انصرافه إلى مرجوّ الظفر به أو معلومه ؛ بدعوى أنّ العقلاء غالباً ، لا يقدمون على اشتراء ما لا يرجى الظفر به ، أو المعلوم عدمه ، في غير محلّه مع كون تلك المنفعة عقلائية مقصودة ، ومجرّد الغلبة لا توجب الانصراف ، فترك الاستفصال وعدم التقييد في السؤال ، دليل 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ذيلها ، فلا يصلح للقرينية على أنّ مورد السؤال ممّا يرجى الظفر به ، كما ادّعاه الشيخ الأعظم قدّس سرّه </w:t>
      </w:r>
      <w:r>
        <w:rPr>
          <w:rStyle w:val="FootnoteAnchor"/>
          <w:rtl w:val="true"/>
        </w:rPr>
        <w:footnoteReference w:id="824"/>
      </w:r>
      <w:r>
        <w:rPr>
          <w:rFonts w:ascii="Amiri" w:hAnsi="Amiri" w:eastAsia="Amiri" w:cs="Amiri"/>
          <w:color w:val="111111"/>
          <w:sz w:val="28"/>
          <w:sz w:val="28"/>
          <w:szCs w:val="28"/>
          <w:rtl w:val="true"/>
          <w:lang w:bidi="ar-SA"/>
        </w:rPr>
        <w:t xml:space="preserve">؛ لعدم دلالة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يقدر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على ذلك ؛ لأنّ للقدرة واقعية ، علم المشتري بها أم لا ، فيصحّ أن يقال عند إلقاء كلّي أو مطلق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يقدر عليه 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أن يكون ذلك في مورد الرجاء ، بل ولا وجه له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يؤخذ بإطلاق الصدر ، ولا تصلح الصحيحة لتقييده بعد ما عرفت من الاحتمالات فيها ، وترجيح الأخير منها </w:t>
      </w:r>
      <w:r>
        <w:rPr>
          <w:rStyle w:val="FootnoteAnchor"/>
          <w:rtl w:val="true"/>
        </w:rPr>
        <w:footnoteReference w:id="825"/>
      </w:r>
      <w:r>
        <w:rPr>
          <w:rFonts w:ascii="Amiri" w:hAnsi="Amiri" w:eastAsia="Amiri" w:cs="Amiri"/>
          <w:color w:val="111111"/>
          <w:sz w:val="28"/>
          <w:sz w:val="28"/>
          <w:szCs w:val="28"/>
          <w:rtl w:val="true"/>
          <w:lang w:bidi="ar-SA"/>
        </w:rPr>
        <w:t xml:space="preserve">؛ وهو عدم الإطلاق والتقييد ، لعدم تقييد فيها ؛ لا في السؤال ، ولا في الجواب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القيد مقيّد </w:t>
      </w:r>
      <w:bookmarkStart w:id="399" w:name="pg15209_203991"/>
    </w:p>
    <w:p>
      <w:pPr>
        <w:pStyle w:val="BookText"/>
        <w:rPr/>
      </w:pPr>
      <w:bookmarkEnd w:id="399"/>
      <w:r>
        <w:rPr>
          <w:rFonts w:ascii="Amiri" w:hAnsi="Amiri" w:eastAsia="Amiri" w:cs="Amiri"/>
          <w:color w:val="111111"/>
          <w:sz w:val="28"/>
          <w:sz w:val="28"/>
          <w:szCs w:val="28"/>
          <w:rtl w:val="true"/>
          <w:lang w:bidi="ar-SA"/>
        </w:rPr>
        <w:t xml:space="preserve">لإطلاق الموثّقة ، بل غاية الأمر كون المورد ممّا يرجى الظفر به ، وهو غير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وجود المفهوم للقيد أيضاً ، خلاف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الآبق مطلقاً لا يجوز بيعه منفرداً ، ويجوز مع الضميمة ، وأنّ عدم الجواز تعبّدي على خلاف القواعد </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2974569_2142443653"/>
      <w:bookmarkStart w:id="401" w:name="_Toc140"/>
      <w:bookmarkEnd w:id="400"/>
      <w:r>
        <w:rPr>
          <w:rtl w:val="true"/>
        </w:rPr>
        <w:t>صحّة بيع الآبق مع الضميمة إن كانت السلعة واحدة</w:t>
      </w:r>
      <w:bookmarkEnd w:id="401"/>
    </w:p>
    <w:p>
      <w:pPr>
        <w:pStyle w:val="BookText"/>
        <w:rPr/>
      </w:pPr>
      <w:r>
        <w:rPr>
          <w:rFonts w:ascii="Amiri" w:hAnsi="Amiri" w:eastAsia="Amiri" w:cs="Amiri"/>
          <w:color w:val="111111"/>
          <w:sz w:val="28"/>
          <w:sz w:val="28"/>
          <w:szCs w:val="28"/>
          <w:rtl w:val="true"/>
          <w:lang w:bidi="ar-SA"/>
        </w:rPr>
        <w:t>ثمّ إنّ الظاهر كما أشرنا إليه</w:t>
      </w:r>
      <w:r>
        <w:rPr>
          <w:rStyle w:val="FootnoteAnchor"/>
          <w:rtl w:val="true"/>
        </w:rPr>
        <w:footnoteReference w:id="826"/>
      </w:r>
      <w:r>
        <w:rPr>
          <w:rFonts w:ascii="Amiri" w:hAnsi="Amiri" w:eastAsia="Amiri" w:cs="Amiri"/>
          <w:color w:val="111111"/>
          <w:sz w:val="28"/>
          <w:sz w:val="28"/>
          <w:szCs w:val="28"/>
          <w:rtl w:val="true"/>
          <w:lang w:bidi="ar-SA"/>
        </w:rPr>
        <w:t xml:space="preserve">، وجود عناية خاصّة في بيان كيفية البيع مع الضميمة ؛ بحيث تصير السلعة واحدة ، والبيع واحداً ، فلا يجوز ضمّ المنفعة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بيعها ؛ لأنّ الضميمة حينئذٍ لا بدّ وأن تكون بنحو الاشتراط ، والشرط جعل في جعل ، فينحلّ إلى بيع وشرط ، وهو خلاف المتفاهم من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وخلاف ذيلها ؛ فإنّ الظاهر منه أنّ الثمن في البيع لم يهدر بلا عوض ، مع أنّ الذيل ليس تعليلاً ، ولا حكماً شرعياً كما تقدّم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لا بدّ وأن تكون الضميمة حاضرة ، أو بحكمها ، أو معلومة الحصول عنده ، فلو أبق عبدان ، وعلم رجوع أحدهما إجمالاً ، لم يصحّ بيع أحدهما بلا ضميمة ، ويصحّ بيعهما معاً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إسراء الحكم من الآبق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كالدابّة الشاردة ، والمتاع المفقود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402" w:name="pg15209_203992"/>
    </w:p>
    <w:p>
      <w:pPr>
        <w:pStyle w:val="BookText"/>
        <w:rPr/>
      </w:pPr>
      <w:bookmarkEnd w:id="402"/>
      <w:r>
        <w:rPr>
          <w:rFonts w:ascii="Amiri" w:hAnsi="Amiri" w:eastAsia="Amiri" w:cs="Amiri"/>
          <w:color w:val="111111"/>
          <w:sz w:val="28"/>
          <w:sz w:val="28"/>
          <w:szCs w:val="28"/>
          <w:rtl w:val="true"/>
          <w:lang w:bidi="ar-SA"/>
        </w:rPr>
        <w:t>إشكال بل منع ، نعم وردت روايات خاصّة</w:t>
      </w:r>
      <w:r>
        <w:rPr>
          <w:rStyle w:val="FootnoteAnchor"/>
          <w:rtl w:val="true"/>
        </w:rPr>
        <w:footnoteReference w:id="829"/>
      </w:r>
      <w:r>
        <w:rPr>
          <w:rFonts w:ascii="Amiri" w:hAnsi="Amiri" w:eastAsia="Amiri" w:cs="Amiri"/>
          <w:color w:val="111111"/>
          <w:sz w:val="28"/>
          <w:sz w:val="28"/>
          <w:szCs w:val="28"/>
          <w:rtl w:val="true"/>
          <w:lang w:bidi="ar-SA"/>
        </w:rPr>
        <w:t>تدلّ على صحّة بيع المجهول مع الضميمة ، والبحث فيها ، وفي مقدار دلالتها ، وصحّة إلحاق مطلق المجهول به ، موكول إلى محلّه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2974571_2142443653"/>
      <w:bookmarkStart w:id="404" w:name="_Toc141"/>
      <w:bookmarkEnd w:id="403"/>
      <w:r>
        <w:rPr>
          <w:rtl w:val="true"/>
        </w:rPr>
        <w:t xml:space="preserve">النسبة بين روايتي النخّاس وسماعة وبين حديث </w:t>
      </w:r>
      <w:r>
        <w:rPr>
          <w:rtl w:val="true"/>
        </w:rPr>
        <w:t>«</w:t>
      </w:r>
      <w:r>
        <w:rPr>
          <w:rtl w:val="true"/>
        </w:rPr>
        <w:t xml:space="preserve">كلّ مبيع </w:t>
      </w:r>
      <w:r>
        <w:rPr>
          <w:rtl w:val="true"/>
        </w:rPr>
        <w:t>. . . »</w:t>
      </w:r>
      <w:bookmarkEnd w:id="404"/>
    </w:p>
    <w:p>
      <w:pPr>
        <w:pStyle w:val="BookText"/>
        <w:rPr/>
      </w:pPr>
      <w:r>
        <w:rPr>
          <w:rFonts w:ascii="Amiri" w:hAnsi="Amiri" w:eastAsia="Amiri" w:cs="Amiri"/>
          <w:color w:val="111111"/>
          <w:sz w:val="28"/>
          <w:sz w:val="28"/>
          <w:szCs w:val="28"/>
          <w:rtl w:val="true"/>
          <w:lang w:bidi="ar-SA"/>
        </w:rPr>
        <w:t xml:space="preserve">ثمّ إنّه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البيع في الآبق مع الضميمة على المجموع من حيث هو ، وعدم دلالة ذيل موثّقة سماعة</w:t>
      </w:r>
      <w:r>
        <w:rPr>
          <w:rStyle w:val="FootnoteAnchor"/>
          <w:rtl w:val="true"/>
        </w:rPr>
        <w:footnoteReference w:id="831"/>
      </w:r>
      <w:r>
        <w:rPr>
          <w:rFonts w:ascii="Amiri" w:hAnsi="Amiri" w:eastAsia="Amiri" w:cs="Amiri"/>
          <w:color w:val="111111"/>
          <w:sz w:val="28"/>
          <w:sz w:val="28"/>
          <w:szCs w:val="28"/>
          <w:rtl w:val="true"/>
          <w:lang w:bidi="ar-SA"/>
        </w:rPr>
        <w:t>على صرف البيع أو الثمن إلى الضميمة عند عدم القدرة على الآبق ، وأنّ البيع الكذائي عقلائي</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بين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وبين الروايتين في الباب</w:t>
      </w:r>
      <w:r>
        <w:rPr>
          <w:rStyle w:val="FootnoteAnchor"/>
          <w:rtl w:val="true"/>
        </w:rPr>
        <w:footnoteReference w:id="834"/>
      </w:r>
      <w:r>
        <w:rPr>
          <w:rFonts w:ascii="Amiri" w:hAnsi="Amiri" w:eastAsia="Amiri" w:cs="Amiri"/>
          <w:color w:val="111111"/>
          <w:sz w:val="28"/>
          <w:sz w:val="28"/>
          <w:szCs w:val="28"/>
          <w:rtl w:val="true"/>
          <w:lang w:bidi="ar-SA"/>
        </w:rPr>
        <w:t xml:space="preserve">مخالفة ، ويكون حال المبيع هاهنا كسائر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تلف البعض مشمول للنبوي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مفاده انفساخ البيع قبل التلف آناً ما ، فمع تلف الآبق حقيقة ، ينفسخ البيع بالنسبة إليه ، ويردّ إلى المشتري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يقابله من الثمن </w:t>
      </w:r>
      <w:r>
        <w:rPr>
          <w:rFonts w:eastAsia="Amiri" w:cs="Amiri" w:ascii="Amiri" w:hAnsi="Amiri"/>
          <w:color w:val="111111"/>
          <w:sz w:val="28"/>
          <w:szCs w:val="28"/>
          <w:rtl w:val="true"/>
          <w:lang w:bidi="ar-SA"/>
        </w:rPr>
        <w:t xml:space="preserve">. </w:t>
      </w:r>
      <w:bookmarkStart w:id="405" w:name="pg15209_203993"/>
    </w:p>
    <w:p>
      <w:pPr>
        <w:pStyle w:val="BookText"/>
        <w:rPr/>
      </w:pPr>
      <w:bookmarkEnd w:id="405"/>
      <w:r>
        <w:rPr>
          <w:rFonts w:ascii="Amiri" w:hAnsi="Amiri" w:eastAsia="Amiri" w:cs="Amiri"/>
          <w:color w:val="111111"/>
          <w:sz w:val="28"/>
          <w:sz w:val="28"/>
          <w:szCs w:val="28"/>
          <w:rtl w:val="true"/>
          <w:lang w:bidi="ar-SA"/>
        </w:rPr>
        <w:t xml:space="preserve">وكذا مع اليأس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بحكم التلف ، وكذا مع ارتداده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عتق الكافر غير صحيح ؛ لا في الكفّارات ، ولا في غيرها ، فيكون بحكم التلف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والفروع التي ذكرها الشيخ الأعظم قدّس سرّه </w:t>
      </w:r>
      <w:r>
        <w:rPr>
          <w:rStyle w:val="FootnoteAnchor"/>
          <w:rtl w:val="true"/>
        </w:rPr>
        <w:footnoteReference w:id="835"/>
      </w:r>
      <w:r>
        <w:rPr>
          <w:rFonts w:ascii="Amiri" w:hAnsi="Amiri" w:eastAsia="Amiri" w:cs="Amiri"/>
          <w:color w:val="111111"/>
          <w:sz w:val="28"/>
          <w:sz w:val="28"/>
          <w:szCs w:val="28"/>
          <w:rtl w:val="true"/>
          <w:lang w:bidi="ar-SA"/>
        </w:rPr>
        <w:t xml:space="preserve">، مبنيّة غالباً على صرف الثمن عند عدم القدرة إلى الضميمة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بالصرف ، تكون موثّقة سماعة حاكمة على النبوي ؛ لأنّ مقتضاه رجوع ما قابله من الثمن ، ويكون الضمان ضمان المعاوضة ، ومقتضى الموثّقة رفع المقابلة </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2974573_2142443653"/>
      <w:bookmarkStart w:id="407" w:name="_Toc142"/>
      <w:bookmarkEnd w:id="406"/>
      <w:r>
        <w:rPr>
          <w:rtl w:val="true"/>
        </w:rPr>
        <w:t>اعتبار القدرة في جميع المعاملات</w:t>
      </w:r>
      <w:bookmarkEnd w:id="407"/>
    </w:p>
    <w:p>
      <w:pPr>
        <w:pStyle w:val="BookText"/>
        <w:rPr/>
      </w:pPr>
      <w:r>
        <w:rPr>
          <w:rFonts w:ascii="Amiri" w:hAnsi="Amiri" w:eastAsia="Amiri" w:cs="Amiri"/>
          <w:color w:val="111111"/>
          <w:sz w:val="28"/>
          <w:sz w:val="28"/>
          <w:szCs w:val="28"/>
          <w:rtl w:val="true"/>
          <w:lang w:bidi="ar-SA"/>
        </w:rPr>
        <w:t>وهل تلحق سائر المعاملات بالبيع في اعتبار القدرة على التسليم مطلقاً ، أم لا كذلك ؟</w:t>
      </w:r>
    </w:p>
    <w:p>
      <w:pPr>
        <w:pStyle w:val="BookText"/>
        <w:rPr/>
      </w:pPr>
      <w:r>
        <w:rPr>
          <w:rFonts w:ascii="Amiri" w:hAnsi="Amiri" w:eastAsia="Amiri" w:cs="Amiri"/>
          <w:color w:val="111111"/>
          <w:sz w:val="28"/>
          <w:sz w:val="28"/>
          <w:szCs w:val="28"/>
          <w:rtl w:val="true"/>
          <w:lang w:bidi="ar-SA"/>
        </w:rPr>
        <w:t xml:space="preserve">أم يفصّل بين مثل الصلح ، الذي مبناه على المسامحة والإيقاع على غير المعلوم غالباً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الصلح ورد في مورد الغرر ، فيقدّم على النهي عن الغرر ، وبين غيره ؟</w:t>
      </w:r>
    </w:p>
    <w:p>
      <w:pPr>
        <w:pStyle w:val="BookText"/>
        <w:rPr/>
      </w:pPr>
      <w:r>
        <w:rPr>
          <w:rFonts w:ascii="Amiri" w:hAnsi="Amiri" w:eastAsia="Amiri" w:cs="Amiri"/>
          <w:color w:val="111111"/>
          <w:sz w:val="28"/>
          <w:sz w:val="28"/>
          <w:szCs w:val="28"/>
          <w:rtl w:val="true"/>
          <w:lang w:bidi="ar-SA"/>
        </w:rPr>
        <w:t xml:space="preserve">مبنى الإلحاق إمّا إلغاء الخصوصية عن البيع ، وإمّا التمسّك بالنبوي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عن الغرر</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ومبنى عدمه إنكار إلغائها، وعدم انجبار المرسلة الثانية، أو إنكار دلالتهما على المطلوب ، ولا سيّما المرسلة الثانية ؛ فإنّ النهي عن الغرر ، يصحّ بلا مسامحة إن كان المراد منه الخديعة ، فيكون مولوياً دالاًّ على تحريم الغرر ؛ أي الخديعة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إن اُريد منه الجهالة أو الخطر ، فلا بدّ من الالتزام بمسامحة فيه ؛ لأنّ النهي عن الجهالة والخطر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المقصود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بنحو الحقيقة ، فلا بدّ من تقدير شيء ؛ بأن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الغرر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ونحوه خلاف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اعتبار القدرة على التسليم أو التسلّم إن كان عرفياً ، فلا يفرّق فيه بين البيع ، والمعاملات التي هي مبنيّة على الأخذ والإعطاء كالإجارة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استند إلى المرسلة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صلي الله عليه و آله وسلم عن الغرر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العلاّمة</w:t>
      </w:r>
      <w:r>
        <w:rPr>
          <w:rStyle w:val="FootnoteAnchor"/>
          <w:rtl w:val="true"/>
        </w:rPr>
        <w:footnoteReference w:id="836"/>
      </w:r>
      <w:r>
        <w:rPr>
          <w:rFonts w:ascii="Amiri" w:hAnsi="Amiri" w:eastAsia="Amiri" w:cs="Amiri"/>
          <w:color w:val="111111"/>
          <w:sz w:val="28"/>
          <w:sz w:val="28"/>
          <w:szCs w:val="28"/>
          <w:rtl w:val="true"/>
          <w:lang w:bidi="ar-SA"/>
        </w:rPr>
        <w:t xml:space="preserve">، ولم يسبقه غيره ، وأنّ ما ذكره ليس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صلي الله عليه و آله وسلم عن بيع الغرر</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وإنّما 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ناشئ من قلّة التتبّع ؛ فإنّ 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البيع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بالنبوي الأوّل</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الضمان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وفي كتاب الشركة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تمسّك بالنبوي الثاني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ابن زهرة في كتاب الشركة تمسّك به</w:t>
      </w:r>
      <w:r>
        <w:rPr>
          <w:rStyle w:val="FootnoteAnchor"/>
          <w:rtl w:val="true"/>
        </w:rPr>
        <w:footnoteReference w:id="842"/>
      </w:r>
      <w:r>
        <w:rPr>
          <w:rFonts w:ascii="Amiri" w:hAnsi="Amiri" w:eastAsia="Amiri" w:cs="Amiri"/>
          <w:color w:val="111111"/>
          <w:sz w:val="28"/>
          <w:sz w:val="28"/>
          <w:szCs w:val="28"/>
          <w:rtl w:val="true"/>
          <w:lang w:bidi="ar-SA"/>
        </w:rPr>
        <w:t xml:space="preserve">، ومعلوم أنّ الشركة والضمان </w:t>
      </w:r>
    </w:p>
    <w:p>
      <w:pPr>
        <w:pStyle w:val="BookText"/>
        <w:rPr/>
      </w:pPr>
      <w:r>
        <w:rPr>
          <w:rFonts w:ascii="Amiri" w:hAnsi="Amiri" w:eastAsia="Amiri" w:cs="Amiri"/>
          <w:color w:val="111111"/>
          <w:sz w:val="28"/>
          <w:sz w:val="28"/>
          <w:szCs w:val="28"/>
          <w:rtl w:val="true"/>
          <w:lang w:bidi="ar-SA"/>
        </w:rPr>
        <w:t xml:space="preserve">غير مشمولين للنبوي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الإشكال في جبره ، مضافاً إلى الإشكال في دلالته كما تقدّم</w:t>
      </w:r>
      <w:r>
        <w:rPr>
          <w:rStyle w:val="FootnoteAnchor"/>
          <w:rtl w:val="true"/>
        </w:rPr>
        <w:footnoteReference w:id="843"/>
      </w:r>
      <w:r>
        <w:rPr>
          <w:rFonts w:ascii="Amiri" w:hAnsi="Amiri" w:eastAsia="Amiri" w:cs="Amiri"/>
          <w:color w:val="111111"/>
          <w:sz w:val="28"/>
          <w:sz w:val="28"/>
          <w:szCs w:val="28"/>
          <w:rtl w:val="true"/>
          <w:lang w:bidi="ar-SA"/>
        </w:rPr>
        <w:t>، وستأتي إن شاء اللّه تعالى تتمّة لذلك في بيع المجهول</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وردت 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سئل عن بيع السمك في الآجام ، واللبن في الضرع ، والصوف في ظهور 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يجوز ؛ لأ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مجهول غير معروف ، يقلّ ويكثر ، وهو غرر</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يتوهّم صحّة التمسّك بذيلها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اعتبار القدرة على التسليم في سائر المعاملات ، وعلى إجراء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الجهالة في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سائرها ؛ بدعوى أنّ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نفي الغرر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مع الغضّ عن سندها ؛ فإنّ الظاهر منها أنّ البيع الكذائي بيع أمر مجهول ، يقلّ ويكثر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 فلا يستفاد منها جريانه في غيره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لا بدّ وأن يكون بإطلاقها ، وهو لا يصحّ مع إمكان اتّكال المتكلّم على القرينة الموجودة الحافّة بالكلام ،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 فيما ذكرناه </w:t>
      </w:r>
      <w:r>
        <w:rPr>
          <w:rFonts w:eastAsia="Amiri" w:cs="Amiri" w:ascii="Amiri" w:hAnsi="Amiri"/>
          <w:color w:val="111111"/>
          <w:sz w:val="28"/>
          <w:szCs w:val="28"/>
          <w:rtl w:val="true"/>
          <w:lang w:bidi="ar-SA"/>
        </w:rPr>
        <w:t xml:space="preserve">. </w:t>
      </w:r>
      <w:bookmarkStart w:id="408" w:name="pg15209_203996"/>
    </w:p>
    <w:p>
      <w:pPr>
        <w:pStyle w:val="Heading3"/>
        <w:numPr>
          <w:ilvl w:val="2"/>
          <w:numId w:val="1"/>
        </w:numPr>
        <w:rPr/>
      </w:pPr>
      <w:bookmarkStart w:id="409" w:name="__RefHeading___Toc2974575_2142443653"/>
      <w:bookmarkStart w:id="410" w:name="_Toc143"/>
      <w:bookmarkEnd w:id="408"/>
      <w:bookmarkEnd w:id="409"/>
      <w:r>
        <w:rPr>
          <w:rtl w:val="true"/>
        </w:rPr>
        <w:t>الشرط الرابع</w:t>
      </w:r>
      <w:r>
        <w:rPr>
          <w:rtl w:val="true"/>
        </w:rPr>
        <w:t xml:space="preserve">: </w:t>
      </w:r>
      <w:r>
        <w:rPr>
          <w:rtl w:val="true"/>
        </w:rPr>
        <w:t>العلم بقدر الثمن والمثمن</w:t>
      </w:r>
      <w:bookmarkEnd w:id="41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1" w:name="__RefHeading___Toc2974577_2142443653"/>
      <w:bookmarkStart w:id="412" w:name="_Toc144"/>
      <w:bookmarkEnd w:id="411"/>
      <w:r>
        <w:rPr>
          <w:rtl w:val="true"/>
        </w:rPr>
        <w:t>اشارة</w:t>
      </w:r>
      <w:bookmarkEnd w:id="41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5209_203998"/>
      <w:bookmarkStart w:id="414" w:name="pg15209_203998"/>
      <w:bookmarkEnd w:id="414"/>
    </w:p>
    <w:p>
      <w:pPr>
        <w:pStyle w:val="Heading4"/>
        <w:numPr>
          <w:ilvl w:val="3"/>
          <w:numId w:val="1"/>
        </w:numPr>
        <w:rPr/>
      </w:pPr>
      <w:bookmarkStart w:id="415" w:name="pg15209_203998"/>
      <w:bookmarkStart w:id="416" w:name="__RefHeading___Toc2974579_2142443653"/>
      <w:bookmarkStart w:id="417" w:name="_Toc145"/>
      <w:bookmarkEnd w:id="415"/>
      <w:bookmarkEnd w:id="416"/>
      <w:r>
        <w:rPr>
          <w:rtl w:val="true"/>
        </w:rPr>
        <w:t>مسألة في العلم بقدر الثمن</w:t>
      </w:r>
      <w:bookmarkEnd w:id="417"/>
    </w:p>
    <w:p>
      <w:pPr>
        <w:pStyle w:val="Heading5"/>
        <w:numPr>
          <w:ilvl w:val="4"/>
          <w:numId w:val="1"/>
        </w:numPr>
        <w:rPr/>
      </w:pPr>
      <w:bookmarkStart w:id="418" w:name="__RefHeading___Toc2974581_2142443653"/>
      <w:bookmarkStart w:id="419" w:name="_Toc146"/>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العلم بالثمن قدراً </w:t>
      </w:r>
      <w:r>
        <w:rPr>
          <w:rStyle w:val="FootnoteAnchor"/>
          <w:rtl w:val="true"/>
        </w:rPr>
        <w:footnoteReference w:id="846"/>
      </w:r>
      <w:r>
        <w:rPr>
          <w:rFonts w:ascii="Amiri" w:hAnsi="Amiri" w:eastAsia="Amiri" w:cs="Amiri"/>
          <w:color w:val="111111"/>
          <w:sz w:val="28"/>
          <w:sz w:val="28"/>
          <w:szCs w:val="28"/>
          <w:rtl w:val="true"/>
          <w:lang w:bidi="ar-SA"/>
        </w:rPr>
        <w:t>، فلو باع بحكم أحدهما بطل ، وادّعي عليه الإجماع</w:t>
      </w:r>
      <w:r>
        <w:rPr>
          <w:rStyle w:val="FootnoteAnchor"/>
          <w:rtl w:val="true"/>
        </w:rPr>
        <w:footnoteReference w:id="847"/>
      </w:r>
      <w:r>
        <w:rPr>
          <w:rFonts w:ascii="Amiri" w:hAnsi="Amiri" w:eastAsia="Amiri" w:cs="Amiri"/>
          <w:color w:val="111111"/>
          <w:sz w:val="28"/>
          <w:sz w:val="28"/>
          <w:szCs w:val="28"/>
          <w:rtl w:val="true"/>
          <w:lang w:bidi="ar-SA"/>
        </w:rPr>
        <w:t>والاتّفاق</w:t>
      </w:r>
      <w:r>
        <w:rPr>
          <w:rStyle w:val="FootnoteAnchor"/>
          <w:rtl w:val="true"/>
        </w:rPr>
        <w:footnoteReference w:id="848"/>
      </w:r>
      <w:r>
        <w:rPr>
          <w:rFonts w:ascii="Amiri" w:hAnsi="Amiri" w:eastAsia="Amiri" w:cs="Amiri"/>
          <w:color w:val="111111"/>
          <w:sz w:val="28"/>
          <w:sz w:val="28"/>
          <w:szCs w:val="28"/>
          <w:rtl w:val="true"/>
          <w:lang w:bidi="ar-SA"/>
        </w:rPr>
        <w:t xml:space="preserve">، واستدلّ عليه باُمور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w:t>
      </w:r>
    </w:p>
    <w:p>
      <w:pPr>
        <w:pStyle w:val="Heading5"/>
        <w:numPr>
          <w:ilvl w:val="4"/>
          <w:numId w:val="1"/>
        </w:numPr>
        <w:rPr/>
      </w:pPr>
      <w:bookmarkStart w:id="420" w:name="__RefHeading___Toc2974583_2142443653"/>
      <w:bookmarkStart w:id="421" w:name="_Toc147"/>
      <w:bookmarkEnd w:id="420"/>
      <w:r>
        <w:rPr>
          <w:rtl w:val="true"/>
        </w:rPr>
        <w:t xml:space="preserve">أنّ هنا مسألتين، لكلّ منهما مأخذ خاصّ ، وقد وقع الخلط فيهما وفي مأخذهما </w:t>
      </w:r>
      <w:r>
        <w:rPr>
          <w:rtl w:val="true"/>
        </w:rPr>
        <w:t>:</w:t>
      </w:r>
      <w:bookmarkEnd w:id="421"/>
    </w:p>
    <w:p>
      <w:pPr>
        <w:pStyle w:val="Heading6"/>
        <w:numPr>
          <w:ilvl w:val="5"/>
          <w:numId w:val="1"/>
        </w:numPr>
        <w:rPr/>
      </w:pPr>
      <w:bookmarkStart w:id="422" w:name="__RefHeading___Toc2974585_2142443653"/>
      <w:bookmarkStart w:id="423" w:name="_Toc148"/>
      <w:bookmarkEnd w:id="422"/>
      <w:r>
        <w:rPr>
          <w:rtl w:val="true"/>
        </w:rPr>
        <w:t>الاُولى</w:t>
      </w:r>
      <w:r>
        <w:rPr>
          <w:rtl w:val="true"/>
        </w:rPr>
        <w:t xml:space="preserve">: </w:t>
      </w:r>
      <w:r>
        <w:rPr>
          <w:rtl w:val="true"/>
        </w:rPr>
        <w:t>اشتراط العلم بالثمن قدراً</w:t>
      </w:r>
      <w:bookmarkEnd w:id="42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تفرض بعد تمامية أركان البيع ؛ من ذكر المثمن ، والثمن ، وعقلائية المعاملة ؛ لأنّ الشروط رتبتها بعد ذلك كما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والسند فيه بعد دعوى الإجماع وعدم الخلاف</w:t>
      </w:r>
      <w:r>
        <w:rPr>
          <w:rStyle w:val="FootnoteAnchor"/>
          <w:rtl w:val="true"/>
        </w:rPr>
        <w:footnoteReference w:id="849"/>
      </w:r>
      <w:r>
        <w:rPr>
          <w:rFonts w:ascii="Amiri" w:hAnsi="Amiri" w:eastAsia="Amiri" w:cs="Amiri"/>
          <w:color w:val="111111"/>
          <w:sz w:val="28"/>
          <w:sz w:val="28"/>
          <w:szCs w:val="28"/>
          <w:rtl w:val="true"/>
          <w:lang w:bidi="ar-SA"/>
        </w:rPr>
        <w:t>، حديث الغرر</w:t>
      </w:r>
      <w:r>
        <w:rPr>
          <w:rStyle w:val="FootnoteAnchor"/>
          <w:rtl w:val="true"/>
        </w:rPr>
        <w:footnoteReference w:id="850"/>
      </w:r>
      <w:r>
        <w:rPr>
          <w:rFonts w:ascii="Amiri" w:hAnsi="Amiri" w:eastAsia="Amiri" w:cs="Amiri"/>
          <w:color w:val="111111"/>
          <w:sz w:val="28"/>
          <w:sz w:val="28"/>
          <w:szCs w:val="28"/>
          <w:rtl w:val="true"/>
          <w:lang w:bidi="ar-SA"/>
        </w:rPr>
        <w:t>ونحن وإن ناقشنا سابقاً في دلالته</w:t>
      </w:r>
      <w:r>
        <w:rPr>
          <w:rStyle w:val="FootnoteAnchor"/>
          <w:rtl w:val="true"/>
        </w:rPr>
        <w:footnoteReference w:id="851"/>
      </w:r>
      <w:r>
        <w:rPr>
          <w:rFonts w:ascii="Amiri" w:hAnsi="Amiri" w:eastAsia="Amiri" w:cs="Amiri"/>
          <w:color w:val="111111"/>
          <w:sz w:val="28"/>
          <w:sz w:val="28"/>
          <w:szCs w:val="28"/>
          <w:rtl w:val="true"/>
          <w:lang w:bidi="ar-SA"/>
        </w:rPr>
        <w:t xml:space="preserve">، لكن الإنصاف أ نّه بعد فهم علماء الفريقين منه ما هو المعروف المعهود ، لا يعتنى بالاحتمالات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جملة من الروايات ،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 عن آبائه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صلي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بيعاً إلى أجل لا يعرف ، أو بشيء لا يعرف ، فليس بيعه ببيع</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حمّاد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يشتري الثوب بدينار غير درهم ؛ لأ نّه لا يدري كم الدرهم من الدينار</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منها رواية اُخرى مع اختلاف في سندها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ميسّر</w:t>
      </w:r>
      <w:r>
        <w:rPr>
          <w:rStyle w:val="FootnoteAnchor"/>
          <w:rtl w:val="true"/>
        </w:rPr>
        <w:footnoteReference w:id="85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عن ميسّر</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كلام في أنّ الظاهر منهما ، أنّ الجهل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للجهل بمقدار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للكراهة ، الظاهر منها الفساد ولو بمناسبة الحكم والموضوع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أنّ الظاهر من التعليل ، أنّ الجهل بها دائمي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يدر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الأمر ليس كذلك ؛ إذ النسبة بين الدينار والدرهم ، أمر معهود ومعروف بين الصرّافين والمتبايعين ، خصوصاً في تلك الأعصار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حملهما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النسيئة ولو بقرينة بعض روايات اُخر ، كرواية السكوني المعتمدة</w:t>
      </w:r>
      <w:r>
        <w:rPr>
          <w:rStyle w:val="FootnoteAnchor"/>
          <w:rtl w:val="true"/>
        </w:rPr>
        <w:footnoteReference w:id="856"/>
      </w:r>
      <w:r>
        <w:rPr>
          <w:rFonts w:ascii="Amiri" w:hAnsi="Amiri" w:eastAsia="Amiri" w:cs="Amiri"/>
          <w:color w:val="111111"/>
          <w:sz w:val="28"/>
          <w:sz w:val="28"/>
          <w:szCs w:val="28"/>
          <w:rtl w:val="true"/>
          <w:lang w:bidi="ar-SA"/>
        </w:rPr>
        <w:t>ورواية وهب</w:t>
      </w:r>
      <w:r>
        <w:rPr>
          <w:rStyle w:val="FootnoteAnchor"/>
          <w:rtl w:val="true"/>
        </w:rPr>
        <w:footnoteReference w:id="857"/>
      </w:r>
      <w:r>
        <w:rPr>
          <w:rFonts w:ascii="Amiri" w:hAnsi="Amiri" w:eastAsia="Amiri" w:cs="Amiri"/>
          <w:color w:val="111111"/>
          <w:sz w:val="28"/>
          <w:sz w:val="28"/>
          <w:szCs w:val="28"/>
          <w:rtl w:val="true"/>
          <w:lang w:bidi="ar-SA"/>
        </w:rPr>
        <w:t xml:space="preserve">فإنّ النسبة في رأس الأجل ، مجهولة دائماً ، فتصحّ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على عدم صحّة جعل الثمن ديناراً غير درهم ، مع اختلاف الدنانير ، وكذا الدراهم أو أحدهما ، فلا بدّ من بيان دينار معيّن ودرهم كذلك ، حتّى تعلم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تبعد أقربية الأوّل ؛ لأنّ الظاهر أنّ الجهل تعلّق أوّلاً بالنسبة ، مع أنّ ذكرهما معرّفين في الكبرى يؤيّده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منهما أنّ تمام الموضوع للفساد ، هو الجهل بالثمن ، من غير دخالة للدينار والدرهم والجهل بنسبتهما ، فلو جعل غيرهما ثمناً وكان مجهولاً ، دخل في الكبرى وفسد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يظهر من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في سندها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 عن أبيه ، عن علي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السلعة بدينار غير درهم إلى 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 ؛ فلعلّ الدينار يصير بدرهم</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سبب البطلان ليس الجهل مطلقاً ، بل احتمال صيرورة البيع بلا ثمن ، كما لو باع شيئاً إلى أجل بدينار غير دينار ، فإنّ بطلانه ليس لأجل الجهل ، بل لخلوّ البيع عن الثمن ، وعدم صدق مفهوم البيع عليه ، ومع احتمال صيرورة الدينار بدرهم ، يكون البطلان لأجل كون المورد من الشبهة المصداقية لماهية البيع ، فلو كان مجرّد الجهل موجباً للبطلان ، لم يحسن تعليله بما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المستبعد جدّاً صيرورة الدينار بدرهم في وقت ، فيكون الكلام مبنيّاً على مبالغة ، ولا يراد منه المعنى الحقيقي ، بل يكون كناية عن تنزّل القيمة فاحشاً ، فيراد أنّ البيع فاسد ؛ لاحتمال تنزّل الدينار فاحشاً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ذلك لأجل عدم الفساد مع التنزّل القليل ، الذي لا يعدّ غرراً ، فيرجع مفادها إلى مفاد سائر الروايات </w:t>
      </w:r>
      <w:r>
        <w:rPr>
          <w:rFonts w:eastAsia="Amiri" w:cs="Amiri" w:ascii="Amiri" w:hAnsi="Amiri"/>
          <w:color w:val="111111"/>
          <w:sz w:val="28"/>
          <w:szCs w:val="28"/>
          <w:rtl w:val="true"/>
          <w:lang w:bidi="ar-SA"/>
        </w:rPr>
        <w:t xml:space="preserve">. </w:t>
      </w:r>
      <w:bookmarkStart w:id="424" w:name="pg15209_204002"/>
    </w:p>
    <w:p>
      <w:pPr>
        <w:pStyle w:val="BookText"/>
        <w:rPr/>
      </w:pPr>
      <w:bookmarkEnd w:id="424"/>
      <w:r>
        <w:rPr>
          <w:rFonts w:ascii="Amiri" w:hAnsi="Amiri" w:eastAsia="Amiri" w:cs="Amiri"/>
          <w:color w:val="111111"/>
          <w:sz w:val="28"/>
          <w:sz w:val="28"/>
          <w:szCs w:val="28"/>
          <w:rtl w:val="true"/>
          <w:lang w:bidi="ar-SA"/>
        </w:rPr>
        <w:t xml:space="preserve">وأمّا التقييد بالنسيئة في رواية وهب ، فالظاهر أ نّه لأجل تحقّق الجهالة لا لقيديتها لأصل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تلك الروايات بطلان البيع مع جهالة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ما إذا باع بحكم المشتري ، إذا كان المقصود بيع الشيء بعنوان كلّي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يعيّنه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يعيّنه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يعيّنه فيما بعد ، ففي الصورتين يكون الثمن مذكوراً في البيع وإن كان مجهولاً ، فدليل البطلان هو ما تقدّم </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2974587_2142443653"/>
      <w:bookmarkStart w:id="426" w:name="_Toc149"/>
      <w:bookmarkEnd w:id="425"/>
      <w:r>
        <w:rPr>
          <w:rtl w:val="true"/>
        </w:rPr>
        <w:t>الثانية</w:t>
      </w:r>
      <w:r>
        <w:rPr>
          <w:rtl w:val="true"/>
        </w:rPr>
        <w:t xml:space="preserve">: </w:t>
      </w:r>
      <w:r>
        <w:rPr>
          <w:rtl w:val="true"/>
        </w:rPr>
        <w:t>ما إذا لم يذكر الثمن في عقد البيع</w:t>
      </w:r>
      <w:bookmarkEnd w:id="426"/>
    </w:p>
    <w:p>
      <w:pPr>
        <w:pStyle w:val="Heading6"/>
        <w:numPr>
          <w:ilvl w:val="5"/>
          <w:numId w:val="1"/>
        </w:numPr>
        <w:rPr/>
      </w:pPr>
      <w:bookmarkStart w:id="427" w:name="__RefHeading___Toc2974589_2142443653"/>
      <w:bookmarkStart w:id="428" w:name="_Toc150"/>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كما إذا باعه بحكم المشتري ؛ على أن يكون المراد بيعه بلا ثمن فعلاً ، وإعطاء الاختيار للمشتري بتعيين الثمن بعد ذلك ، وهذا أيضاً باطل ، لكن لا للغرر ، ولا للأخبار المتقدّمة</w:t>
      </w:r>
      <w:r>
        <w:rPr>
          <w:rStyle w:val="FootnoteAnchor"/>
          <w:rtl w:val="true"/>
        </w:rPr>
        <w:footnoteReference w:id="859"/>
      </w:r>
      <w:r>
        <w:rPr>
          <w:rFonts w:ascii="Amiri" w:hAnsi="Amiri" w:eastAsia="Amiri" w:cs="Amiri"/>
          <w:color w:val="111111"/>
          <w:sz w:val="28"/>
          <w:sz w:val="28"/>
          <w:szCs w:val="28"/>
          <w:rtl w:val="true"/>
          <w:lang w:bidi="ar-SA"/>
        </w:rPr>
        <w:t xml:space="preserve">، بل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فهذا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بلا 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يصدق عليه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رفاعة النخّاس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ساومت رجلاً بجارية ، فباعنيها بحكمي ، فقبضتها منه على ذلك ، ثمّ بعثت إليه بألف درهم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ألف درهم حكمي عليك ، فأبى أن يقبلها منّي ، وقد كنت مسستها قبل أن أبعث إليه الألف درهم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أن تقوّم الجارية قيمة عادلة ، فإن كان قيمتها أكثر ممّا </w:t>
      </w:r>
    </w:p>
    <w:p>
      <w:pPr>
        <w:pStyle w:val="BookText"/>
        <w:rPr/>
      </w:pPr>
      <w:r>
        <w:rPr>
          <w:rFonts w:ascii="Amiri" w:hAnsi="Amiri" w:eastAsia="Amiri" w:cs="Amiri"/>
          <w:color w:val="111111"/>
          <w:sz w:val="28"/>
          <w:sz w:val="28"/>
          <w:szCs w:val="28"/>
          <w:rtl w:val="true"/>
          <w:lang w:bidi="ar-SA"/>
        </w:rPr>
        <w:t>بعثت إليه ، كان عليك أن تردّ إليه ما نقص من القيمة ، وإن كان قيمتها أقلّ ممّا بعثت إليه فهو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أصبت بها عيباً بعد ما مسستها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تردّها ، ولك أن تأخذ قيمة ما بين الصحّة والعيب</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فيحتمل فيها ذكر الثمن مجهولاً ؛ بأن يراد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باعنيها بحكمي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باعها بالثمن الذي يتعيّن بحكمي بعد ذلك ، فقال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بعتكها بالثمن الذي ستعيّنه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الثمن مذكوراً بنحو الإبهام ، وبه تمّ ركن المعاملة وإن كان فيها 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فيها عدم ذكر الثمن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بعتكها ، وتعيين الثمن موكول إلى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بلا ذكر الثمن ، فلم يتمّ ركنها ، ولم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فعلى هذا الاحتمال ، لا يمكن تطبيق شيء من فقرات الصحيحة على القواعد ، بل على فرض الأخذ بها ، يكون الحكم تعبّداً محضاً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يصحّ على هذا الاحتمال العمل بها ؛ لكون التعبّد كذلك مستبعداً جدّاً ، بل يمكن دعوى القطع بعدمه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 مّا على الاحتمال الآخر ؛ بأن كان الثمن مجهولاً ، وباع بالقيمة التي حكم بها المشتري ، فالظاهر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61"/>
      </w:r>
      <w:r>
        <w:rPr>
          <w:rFonts w:ascii="IRNazanin" w:hAnsi="IRNazanin" w:eastAsia="IRNazanin"/>
          <w:color w:val="111111"/>
          <w:sz w:val="28"/>
          <w:sz w:val="28"/>
          <w:szCs w:val="28"/>
          <w:rtl w:val="true"/>
          <w:lang w:bidi="fa-IR"/>
        </w:rPr>
        <w:t xml:space="preserve">العمل بها ، وعدم الاعتناء </w:t>
      </w:r>
      <w:bookmarkStart w:id="429" w:name="pg15209_204004"/>
    </w:p>
    <w:p>
      <w:pPr>
        <w:pStyle w:val="BookText"/>
        <w:rPr/>
      </w:pPr>
      <w:bookmarkEnd w:id="429"/>
      <w:r>
        <w:rPr>
          <w:rFonts w:ascii="IRNazanin" w:hAnsi="IRNazanin" w:eastAsia="IRNazanin"/>
          <w:color w:val="111111"/>
          <w:sz w:val="28"/>
          <w:sz w:val="28"/>
          <w:szCs w:val="28"/>
          <w:rtl w:val="true"/>
          <w:lang w:bidi="fa-IR"/>
        </w:rPr>
        <w:t>بالإجماع المنقول</w:t>
      </w:r>
      <w:r>
        <w:rPr>
          <w:rStyle w:val="FootnoteAnchor"/>
          <w:rtl w:val="true"/>
        </w:rPr>
        <w:footnoteReference w:id="862"/>
      </w:r>
      <w:r>
        <w:rPr>
          <w:rFonts w:ascii="IRNazanin" w:hAnsi="IRNazanin" w:eastAsia="IRNazanin"/>
          <w:color w:val="111111"/>
          <w:sz w:val="28"/>
          <w:sz w:val="28"/>
          <w:szCs w:val="28"/>
          <w:rtl w:val="true"/>
          <w:lang w:bidi="fa-IR"/>
        </w:rPr>
        <w:t>أو عدم الخلاف</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بظاهرها معرض عنها ، ولا حجّية في الخبر الذي أعرض عنه أصحابنا وإن كان صحيحاً صريحاً ؛ لما قرّر في محلّه من أ نّه لا دليل على حجّية خبر الواحد إلاّ السيرة العقلائية</w:t>
      </w:r>
      <w:r>
        <w:rPr>
          <w:rStyle w:val="FootnoteAnchor"/>
          <w:rtl w:val="true"/>
        </w:rPr>
        <w:footnoteReference w:id="864"/>
      </w:r>
      <w:r>
        <w:rPr>
          <w:rFonts w:ascii="Amiri" w:hAnsi="Amiri" w:eastAsia="Amiri" w:cs="Amiri"/>
          <w:color w:val="111111"/>
          <w:sz w:val="28"/>
          <w:sz w:val="28"/>
          <w:szCs w:val="28"/>
          <w:rtl w:val="true"/>
          <w:lang w:bidi="ar-SA"/>
        </w:rPr>
        <w:t xml:space="preserve">، ولا يعمل العقلاء بالخبر الذي أعرض عنه رواته وغيرهم ؛ من المتعبّدين بالعمل بخبر الواحد ، والتفصيل في مظانّه </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2974591_2142443653"/>
      <w:bookmarkStart w:id="431" w:name="_Toc151"/>
      <w:bookmarkEnd w:id="430"/>
      <w:r>
        <w:rPr>
          <w:rtl w:val="true"/>
        </w:rPr>
        <w:t>تأويلات صحيحة النخّاس</w:t>
      </w:r>
      <w:bookmarkEnd w:id="431"/>
    </w:p>
    <w:p>
      <w:pPr>
        <w:pStyle w:val="BookText"/>
        <w:rPr/>
      </w:pPr>
      <w:r>
        <w:rPr>
          <w:rFonts w:ascii="Amiri" w:hAnsi="Amiri" w:eastAsia="Amiri" w:cs="Amiri"/>
          <w:color w:val="111111"/>
          <w:sz w:val="28"/>
          <w:sz w:val="28"/>
          <w:szCs w:val="28"/>
          <w:rtl w:val="true"/>
          <w:lang w:bidi="ar-SA"/>
        </w:rPr>
        <w:t xml:space="preserve">وقد أوّلوا الصحيحة بتأويلات بعيدة ، ومع ذلك لم يأتوا بشيء يعالج تمام فقراتها ، فحملها الشيخ الأعظم قدّس سرّه </w:t>
      </w:r>
      <w:r>
        <w:rPr>
          <w:rStyle w:val="FootnoteAnchor"/>
          <w:rtl w:val="true"/>
        </w:rPr>
        <w:footnoteReference w:id="865"/>
      </w:r>
      <w:r>
        <w:rPr>
          <w:rFonts w:ascii="Amiri" w:hAnsi="Amiri" w:eastAsia="Amiri" w:cs="Amiri"/>
          <w:color w:val="111111"/>
          <w:sz w:val="28"/>
          <w:sz w:val="28"/>
          <w:szCs w:val="28"/>
          <w:rtl w:val="true"/>
          <w:lang w:bidi="ar-SA"/>
        </w:rPr>
        <w:t xml:space="preserve">على ما هو في غاية البعد ، ومع ذلك لم يتعرّض للإشكال المتوجّه إلى بعض فقراتها ، وهو التفكيك بين كون القيمة أقلّ من الثمن، وبين كونها أكثر، كيف أمر عليه السلام في جانب الأكثر بإيصال الزيادة؛ لأجل خيار الغبن ، وحكم في جانب الأقلّ بأنّ الزيادة له ، الظاهر منه أن لا خيار 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ردّ الثمن ظاهر في عدم قبول المعاملة ، فهو بمنزلة الفسخ ، ومعه لا وجه لإيصال تتمّة القيمة ، بل لا بدّ من عقد جديد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بعضهم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باعنيها بحكمي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وكّله في بيعها بالقيمة التي يعيّنها ، لا القيمة الواقعية ، فله خيار الغبن ، دون المشتري</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نظره إن كان تمام الموضوع ، فلا وجه للخيار مطلقاً ، وإن كان طريقاً لتشخيص الواقع ، ووقعت المعاملة على ما عيّنه ، لا على الواقع ، فالغبن حاصل في طرف الزيادة للبائع ، وفي طرف النقيصة للمشتري ، فما وجه التفكيك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الحمل على التوكيل في غاية البعد ، كما أنّ في الغبن ليس إلاّ الخيار ، وليس فيه 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المساومة تقع تارة على ازدياد الثمن ونقصه ، من غير تعرّض للقيمة الواقعية ، فيقول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الجارية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فيتسالمان على شيء ، فيوقعان البيع ، ففي مثلها ليس حكم من أحد المتعاملين في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الواقع ، فيقول المشتري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القيمة الواقعية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البائع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إن رضي البائع بحكم المشتري بأنّ القيمة كذا ، وأوقعا البيع بحكمه ، كان البيع صحيحاً ؛ لعدم الجهل بالثمن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زادت قيمة المبيع عمّا حكم به ، يرجع إلى المشتري بالزيادة ؛ لقاعدة الغرر ، ولو زاد الثمن لم يرجع المشتري إلى البائع ، وكانت الزيادة له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تتعرّض الرواية لخيار الغبن رأساً ، وبهذا ينطبق مضمونها على القواعد ، ولو كان فيها بعض إشعارات على خلاف ما ذكرناه لا يعتنى به ، وعليه تحمل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432" w:name="pg15209_204006"/>
    </w:p>
    <w:p>
      <w:pPr>
        <w:pStyle w:val="Heading4"/>
        <w:numPr>
          <w:ilvl w:val="3"/>
          <w:numId w:val="1"/>
        </w:numPr>
        <w:rPr/>
      </w:pPr>
      <w:bookmarkStart w:id="433" w:name="__RefHeading___Toc2974593_2142443653"/>
      <w:bookmarkStart w:id="434" w:name="_Toc152"/>
      <w:bookmarkEnd w:id="432"/>
      <w:bookmarkEnd w:id="433"/>
      <w:r>
        <w:rPr>
          <w:rtl w:val="true"/>
        </w:rPr>
        <w:t>مسألة في العلم بقدر المثمن</w:t>
      </w:r>
      <w:bookmarkEnd w:id="434"/>
    </w:p>
    <w:p>
      <w:pPr>
        <w:pStyle w:val="Heading5"/>
        <w:numPr>
          <w:ilvl w:val="4"/>
          <w:numId w:val="1"/>
        </w:numPr>
        <w:rPr/>
      </w:pPr>
      <w:bookmarkStart w:id="435" w:name="__RefHeading___Toc2974595_2142443653"/>
      <w:bookmarkStart w:id="436" w:name="_Toc153"/>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يشترط العلم بقدر المثمن ، ولا إشكال فيه إجمالاً ، وادّعي عليه الإجماع</w:t>
      </w:r>
      <w:r>
        <w:rPr>
          <w:rStyle w:val="FootnoteAnchor"/>
          <w:rtl w:val="true"/>
        </w:rPr>
        <w:footnoteReference w:id="868"/>
      </w:r>
      <w:r>
        <w:rPr>
          <w:rFonts w:ascii="IRNazanin" w:hAnsi="IRNazanin" w:eastAsia="IRNazanin"/>
          <w:color w:val="111111"/>
          <w:sz w:val="28"/>
          <w:sz w:val="28"/>
          <w:szCs w:val="28"/>
          <w:rtl w:val="true"/>
          <w:lang w:bidi="fa-IR"/>
        </w:rPr>
        <w:t>وعدم الخلاف</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حديث الغرر</w:t>
      </w:r>
      <w:r>
        <w:rPr>
          <w:rStyle w:val="FootnoteAnchor"/>
          <w:rtl w:val="true"/>
        </w:rPr>
        <w:footnoteReference w:id="870"/>
      </w:r>
      <w:r>
        <w:rPr>
          <w:rFonts w:ascii="Amiri" w:hAnsi="Amiri" w:eastAsia="Amiri" w:cs="Amiri"/>
          <w:color w:val="111111"/>
          <w:sz w:val="28"/>
          <w:sz w:val="28"/>
          <w:szCs w:val="28"/>
          <w:rtl w:val="true"/>
          <w:lang w:bidi="ar-SA"/>
        </w:rPr>
        <w:t xml:space="preserve">ومرسلة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أئمّتنا عليهم السلام من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صلي الله عليه و 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نهى عن بيع الصُبْرة بالصُبْرة ، ولا يدرى ما كيل هذه من كيل هذه</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سئل عن رجلين ، باع كلّ واحد منهما حصّته من دار ، بحصّة لصاحبه من دار اُخرى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جائز إذا علما جميعاً ما باعاه واشترياه ، فإن لم يعلماه أو </w:t>
      </w:r>
    </w:p>
    <w:p>
      <w:pPr>
        <w:pStyle w:val="BookText"/>
        <w:rPr/>
      </w:pPr>
      <w:r>
        <w:rPr>
          <w:rFonts w:ascii="Amiri" w:hAnsi="Amiri" w:eastAsia="Amiri" w:cs="Amiri"/>
          <w:color w:val="111111"/>
          <w:sz w:val="28"/>
          <w:sz w:val="28"/>
          <w:szCs w:val="28"/>
          <w:rtl w:val="true"/>
          <w:lang w:bidi="ar-SA"/>
        </w:rPr>
        <w:t>لم يعلم أحدهما ، فالبيع باطل</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دعوى استفادته من الأدلّة الواردة في الثمن ؛ أي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كره أن يشتري الثوب بدينار غير درهم ؛ لأ نّه لا يدري كم الدينار من الدرهم</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ولو بمناسبات مغروسة في الأذهان ؛ بدعوى أنّ البطلان لأجل أنّ الجهل بالنسبة ، يوجب الجهل بالثمن ، الموجب للجهل بالبيع ، وأنّ المناط في البطلان هو الجهل بمقدار الأخذ والإعطاء ، فلو باع ديناراً غير درهم بشيء ، يفهم من الرواية البطلان لما ذكر ، وكذا الجهل في سائر المبيعات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خصوص المكيل صحيحة الحلبي ، عن أبي عبداللّه عليه السلام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رجل طعاماً عدلاً بكيل معلوم ، وأنّ صاحبه قال للمشتري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 منّي هذا العدل الآخر بغير كيل ، فإنّ فيه مثل ما في الآخر الذي ابتعت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بكيل</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طعام سمّيت فيه كيلاً فإنّه لا يصلح مجازفة ، هذا ممّا يكره من بيع الطعام</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437" w:name="pg15209_204008"/>
    </w:p>
    <w:p>
      <w:pPr>
        <w:pStyle w:val="BookText"/>
        <w:rPr/>
      </w:pPr>
      <w:bookmarkEnd w:id="437"/>
      <w:r>
        <w:rPr>
          <w:rFonts w:ascii="Amiri" w:hAnsi="Amiri" w:eastAsia="Amiri" w:cs="Amiri"/>
          <w:color w:val="111111"/>
          <w:sz w:val="28"/>
          <w:sz w:val="28"/>
          <w:szCs w:val="28"/>
          <w:rtl w:val="true"/>
          <w:lang w:bidi="ar-SA"/>
        </w:rPr>
        <w:t xml:space="preserve">وعنه في الصحيح ،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سمّيت فيه كيلاً فلا يصلح بيعه مجازفة ، هذا ممّا يكره من بيع الطعام</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 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صحيحة اُخرى للحلبي</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 وقع فيها التقطيع </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2974597_2142443653"/>
      <w:bookmarkStart w:id="439" w:name="_Toc154"/>
      <w:bookmarkEnd w:id="438"/>
      <w:r>
        <w:rPr>
          <w:rtl w:val="true"/>
        </w:rPr>
        <w:t>الكلام في ذيل صحيحة الحلبي</w:t>
      </w:r>
      <w:bookmarkEnd w:id="439"/>
    </w:p>
    <w:p>
      <w:pPr>
        <w:pStyle w:val="BookText"/>
        <w:rPr/>
      </w:pPr>
      <w:r>
        <w:rPr>
          <w:rFonts w:ascii="Amiri" w:hAnsi="Amiri" w:eastAsia="Amiri" w:cs="Amiri"/>
          <w:color w:val="111111"/>
          <w:sz w:val="28"/>
          <w:sz w:val="28"/>
          <w:szCs w:val="28"/>
          <w:rtl w:val="true"/>
          <w:lang w:bidi="ar-SA"/>
        </w:rPr>
        <w:t xml:space="preserve">ويقع الكلام في ذيلها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نظر إلى صدرها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لحاظه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فيها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الأعظم قدّس سرّه على أ نّه كناية عن كون الطعام مكيلاً</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فيه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نسبته إلى الكيل ، أو ذكرت فيه الكيل ، كناية عن كونه مكيلاً ، فالمعنى أنّ كلّ طعام يكون مكيلاً لا يصلح فيه الجزاف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في إشكال ، وهو أنّ الطعام لا يكون إلاّ مكيلاً ، فاحتمل أنّ التقسيم بلحاظ الزرع واستبعده</w:t>
      </w:r>
      <w:r>
        <w:rPr>
          <w:rStyle w:val="FootnoteAnchor"/>
          <w:rtl w:val="true"/>
        </w:rPr>
        <w:footnoteReference w:id="878"/>
      </w:r>
      <w:r>
        <w:rPr>
          <w:rFonts w:ascii="Amiri" w:hAnsi="Amiri" w:eastAsia="Amiri" w:cs="Amiri"/>
          <w:color w:val="111111"/>
          <w:sz w:val="28"/>
          <w:sz w:val="28"/>
          <w:szCs w:val="28"/>
          <w:rtl w:val="true"/>
          <w:lang w:bidi="ar-SA"/>
        </w:rPr>
        <w:t xml:space="preserve">، مع أنّ الطعام لا يختصّ بالحبوب ، بل يطلق على </w:t>
      </w:r>
    </w:p>
    <w:p>
      <w:pPr>
        <w:pStyle w:val="BookText"/>
        <w:rPr/>
      </w:pPr>
      <w:r>
        <w:rPr>
          <w:rFonts w:ascii="Amiri" w:hAnsi="Amiri" w:eastAsia="Amiri" w:cs="Amiri"/>
          <w:color w:val="111111"/>
          <w:sz w:val="28"/>
          <w:sz w:val="28"/>
          <w:szCs w:val="28"/>
          <w:rtl w:val="true"/>
          <w:lang w:bidi="ar-SA"/>
        </w:rPr>
        <w:t xml:space="preserve">اللحوم ، بل وعلى الفواكه أيضاً ، فلا إشكال من هذه الجهة ، إنّما الكلام في ظهوره فيما ذكره ، فإنّه خلاف ظاهر في خلاف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فيه أنّ ما سمّيت وذكرت فيه كيلاً معيّناً عند المقاولة ، لا يجوز بيعه جزافاً ؛ بمعنى أنّ المقاولة إذا وقعت على كيل، ثمّ أردت تعيين صبرة مثلاً منطبقة على الكيل حدساً وجزافاً لم يصلح، وهذا غير كون المكيل لا يصلح بيعه جزافاً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على هذا الفرض أيضاً ، الاستدلال به على المقصود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المتفاهم عرفاً منه ، أنّ ما هو تمام الموضوع في البطلان وعدم الصلوح ، هو الجزاف ، من غير دخالة للمقاولة السابقة ، ولا لتطبيق الصبرة على الكيل ، فالسبب التامّ بنظر العرف هو البيع جزافاً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يقع الكلام في نكتة ذكر تسمية الكيل ، وهي تظهر بملاحظة صدرها ؛ من فرض السائل الاشتراء بكيل معلوم ، ثمّ أراد ابتياع سائر المتاع بلا كيل ؛ باحتمال كون العدل الآخر مثله ، فقوله عليه السلام هذا لمسبوقيته بقول السائل ، لا لخصوصية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الاتّكال على قول البائع في المقام ؛ فلأنّ 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النوع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 حدس وتخمين ؛ فإنّ الكيل والتعيين الدقيق في الأطعمة وغيرها ، إنّما هو عند البيع ؛ إذ لا داعي لصاحبها في تحمّل مشقّة ذلك قبل عرض المبيع على المشتري ، مع أنّ الغالب عدم الاتّكال على قوله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مثل ما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إخباراً عن أ نّه كاله ، بل هو إخبار بالتساوي حدساً ، وهو غير مسموع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الظاهر من الكبرى التي في ذيلها ، أ نّها منطبقة على المورد ، فيستكشف منها أنّ المورد كان من الجزاف ، لا من الاتّكال على قول البائع في تعيين الكيل ، فإنّه ليس من الجزاف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الظاهر أنّ ما رواه الحلبي ، ليست روايات متعدّدة ، بل رواية واحدة وقع فيها التقطيع ، وقد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بيعه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بنينا على وحدة الرواية ، وأولوية السقوط من الزيادة ، كانت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 ذيلها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بيعه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هذا التعبير فيما لو كان البائع كاله ، فيظهر منه أنّ البائع أراد البيع جزافاً ، فلا منافاة بين الصحيحة وقول المشهور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الغضّ عن جميع ذلك ، يكون إطلاقاً قابلاً للتقييد ببعض الروايات ، كرواية أبي العطارد</w:t>
      </w:r>
      <w:r>
        <w:rPr>
          <w:rStyle w:val="FootnoteAnchor"/>
          <w:rtl w:val="true"/>
        </w:rPr>
        <w:footnoteReference w:id="881"/>
      </w:r>
      <w:r>
        <w:rPr>
          <w:rFonts w:ascii="Amiri" w:hAnsi="Amiri" w:eastAsia="Amiri" w:cs="Amiri"/>
          <w:color w:val="111111"/>
          <w:sz w:val="28"/>
          <w:sz w:val="28"/>
          <w:szCs w:val="28"/>
          <w:rtl w:val="true"/>
          <w:lang w:bidi="ar-SA"/>
        </w:rPr>
        <w:t>وموثّقة محمّد بن حمران</w:t>
      </w:r>
      <w:r>
        <w:rPr>
          <w:rStyle w:val="FootnoteAnchor"/>
          <w:rtl w:val="true"/>
        </w:rPr>
        <w:footnoteReference w:id="882"/>
      </w:r>
      <w:r>
        <w:rPr>
          <w:rFonts w:ascii="Amiri" w:hAnsi="Amiri" w:eastAsia="Amiri" w:cs="Amiri"/>
          <w:color w:val="111111"/>
          <w:sz w:val="28"/>
          <w:sz w:val="28"/>
          <w:szCs w:val="28"/>
          <w:rtl w:val="true"/>
          <w:lang w:bidi="ar-SA"/>
        </w:rPr>
        <w:t xml:space="preserve">وصحيحة عبد الرحمان بن </w:t>
      </w:r>
      <w:bookmarkStart w:id="440" w:name="pg15209_204011"/>
    </w:p>
    <w:p>
      <w:pPr>
        <w:pStyle w:val="BookText"/>
        <w:rPr/>
      </w:pPr>
      <w:bookmarkEnd w:id="440"/>
      <w:r>
        <w:rPr>
          <w:rFonts w:ascii="Amiri" w:hAnsi="Amiri" w:eastAsia="Amiri" w:cs="Amiri"/>
          <w:color w:val="111111"/>
          <w:sz w:val="28"/>
          <w:sz w:val="28"/>
          <w:szCs w:val="28"/>
          <w:rtl w:val="true"/>
          <w:lang w:bidi="ar-SA"/>
        </w:rPr>
        <w:t>أبي عبداللّه‌</w:t>
      </w:r>
      <w:r>
        <w:rPr>
          <w:rStyle w:val="FootnoteAnchor"/>
          <w:rtl w:val="true"/>
        </w:rPr>
        <w:footnoteReference w:id="883"/>
      </w:r>
      <w:r>
        <w:rPr>
          <w:rFonts w:ascii="Amiri" w:hAnsi="Amiri" w:eastAsia="Amiri" w:cs="Amiri"/>
          <w:color w:val="111111"/>
          <w:sz w:val="28"/>
          <w:sz w:val="28"/>
          <w:szCs w:val="28"/>
          <w:rtl w:val="true"/>
          <w:lang w:bidi="ar-SA"/>
        </w:rPr>
        <w:t>وموثّقة سماعة</w:t>
      </w:r>
      <w:r>
        <w:rPr>
          <w:rStyle w:val="FootnoteAnchor"/>
          <w:rtl w:val="true"/>
        </w:rPr>
        <w:footnoteReference w:id="884"/>
      </w:r>
      <w:r>
        <w:rPr>
          <w:rFonts w:ascii="Amiri" w:hAnsi="Amiri" w:eastAsia="Amiri" w:cs="Amiri"/>
          <w:color w:val="111111"/>
          <w:sz w:val="28"/>
          <w:sz w:val="28"/>
          <w:szCs w:val="28"/>
          <w:rtl w:val="true"/>
          <w:lang w:bidi="ar-SA"/>
        </w:rPr>
        <w:t xml:space="preserve">ممّا يظهر منها الجواز في بعض الصور ، فراجعها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الاستدلال بالصحيحة على اعتبار العلم بالمثمن مطلقاً ، سواء كان من المكيل ، أو الموزون ، أو المعدود ، أو غيرها ؛ لما تقدّم من أنّ المتفاهم العرفي من مثله ، أنّ البطلان لأجل الجزاف وعدم العلم ، من غير دخل للمكيل في ذلك ، وإنّما ذكر المكيل لمسبوقيته بالذكر ، فلا ينبغي الإشكال في استفادة كبرى كلّية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ينبغي الإشكال في دلالتها على الفساد ؛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ولا سيّما في المعاملات ، ولا سيّما مع مناسبة الحكم والموضوع ، مع أنّ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ظهور للكراهة في المعنى المصطلح منها ولا سيّما في المعاملات </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2974599_2142443653"/>
      <w:bookmarkStart w:id="442" w:name="_Toc155"/>
      <w:bookmarkEnd w:id="441"/>
      <w:r>
        <w:rPr>
          <w:rtl w:val="true"/>
        </w:rPr>
        <w:t>الاستدلال بروايات اُخرى على اعتبار العلم بقدر المثمن</w:t>
      </w:r>
      <w:bookmarkEnd w:id="44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اعتبار الكيل جملة اُخرى من الروايات ، كمرسلة ابن بكير</w:t>
      </w:r>
      <w:r>
        <w:rPr>
          <w:rStyle w:val="FootnoteAnchor"/>
          <w:rtl w:val="true"/>
        </w:rPr>
        <w:footnoteReference w:id="886"/>
      </w:r>
      <w:r>
        <w:rPr>
          <w:rFonts w:ascii="Amiri" w:hAnsi="Amiri" w:eastAsia="Amiri" w:cs="Amiri"/>
          <w:color w:val="111111"/>
          <w:sz w:val="28"/>
          <w:sz w:val="28"/>
          <w:szCs w:val="28"/>
          <w:rtl w:val="true"/>
          <w:lang w:bidi="ar-SA"/>
        </w:rPr>
        <w:t xml:space="preserve">وموثّقة سماعة ، وفيها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الطعام وما يكال ويوزن ، هل </w:t>
      </w:r>
    </w:p>
    <w:p>
      <w:pPr>
        <w:pStyle w:val="BookText"/>
        <w:rPr/>
      </w:pPr>
      <w:r>
        <w:rPr>
          <w:rFonts w:ascii="Amiri" w:hAnsi="Amiri" w:eastAsia="Amiri" w:cs="Amiri"/>
          <w:color w:val="111111"/>
          <w:sz w:val="28"/>
          <w:sz w:val="28"/>
          <w:szCs w:val="28"/>
          <w:rtl w:val="true"/>
          <w:lang w:bidi="ar-SA"/>
        </w:rPr>
        <w:t>يصلح شراؤه بغير كيل ولا وزن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 تأتي رجلاً في طعام قد كيل ووزن تشتري منه مرابحة ، فلا بأس إن اشتريته منه ولم تكله ولم تزنه ، إذا كان المشتري الأوّل قد أخذه بكيل أو وزن ، وقلت له عند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اُربحك كذا وكذا ، وقد رضيت بكيلك ووزنك فلا بأس</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بكيله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الائتمان به ، فتوافق مثل رواية أبي العطارد وغيرها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التفصيل بين الاشتراء والبيع في صحيحة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سأل أبا عبداللّه عليه السلام عن الرجل أشتري منه بكيله واُصدّقه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 ولكن لا تبعه حتّى تكيله</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ونحوها موثّقة محمّد بن حمران</w:t>
      </w:r>
      <w:r>
        <w:rPr>
          <w:rStyle w:val="FootnoteAnchor"/>
          <w:rtl w:val="true"/>
        </w:rPr>
        <w:footnoteReference w:id="890"/>
      </w:r>
      <w:r>
        <w:rPr>
          <w:rFonts w:ascii="Amiri" w:hAnsi="Amiri" w:eastAsia="Amiri" w:cs="Amiri"/>
          <w:color w:val="111111"/>
          <w:sz w:val="28"/>
          <w:sz w:val="28"/>
          <w:szCs w:val="28"/>
          <w:rtl w:val="true"/>
          <w:lang w:bidi="ar-SA"/>
        </w:rPr>
        <w:t xml:space="preserve">فليس تفصيلاً في المسألة ، بل يمكن أن يكون المراد بها ، أنّ تصديق البائع الملازم للوثوق ، يوجب خروج البيع عن المجازفة ، ولكن لا يثبت به الواقع شرعاً ، حتّى يجوز الإخبار بالكيل المبتلى به عند بيعه ، كما أنّ القاضي مثلاً يجوز له الاتّكال على قول البائع بكيله في الاشتراء منه ، لكن لا يجوز له قبول شهادته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المراد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تبعه حتّى تكيله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بكيل ، كما ورد ذلك في </w:t>
      </w:r>
    </w:p>
    <w:p>
      <w:pPr>
        <w:pStyle w:val="BookText"/>
        <w:rPr/>
      </w:pPr>
      <w:r>
        <w:rPr>
          <w:rFonts w:ascii="Amiri" w:hAnsi="Amiri" w:eastAsia="Amiri" w:cs="Amiri"/>
          <w:color w:val="111111"/>
          <w:sz w:val="28"/>
          <w:sz w:val="28"/>
          <w:szCs w:val="28"/>
          <w:rtl w:val="true"/>
          <w:lang w:bidi="ar-SA"/>
        </w:rPr>
        <w:t xml:space="preserve">روايات كثيرة بهذا التعبير وغيره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جواز بيع المبيع قبل قبضه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حملت</w:t>
      </w:r>
      <w:r>
        <w:rPr>
          <w:rStyle w:val="FootnoteAnchor"/>
          <w:rtl w:val="true"/>
        </w:rPr>
        <w:footnoteReference w:id="892"/>
      </w:r>
      <w:r>
        <w:rPr>
          <w:rFonts w:ascii="Amiri" w:hAnsi="Amiri" w:eastAsia="Amiri" w:cs="Amiri"/>
          <w:color w:val="111111"/>
          <w:sz w:val="28"/>
          <w:sz w:val="28"/>
          <w:szCs w:val="28"/>
          <w:rtl w:val="true"/>
          <w:lang w:bidi="ar-SA"/>
        </w:rPr>
        <w:t>صحيحة الحلبي المتقدّمة في صدر البحث</w:t>
      </w:r>
      <w:r>
        <w:rPr>
          <w:rStyle w:val="FootnoteAnchor"/>
          <w:rtl w:val="true"/>
        </w:rPr>
        <w:footnoteReference w:id="893"/>
      </w:r>
      <w:r>
        <w:rPr>
          <w:rFonts w:ascii="Amiri" w:hAnsi="Amiri" w:eastAsia="Amiri" w:cs="Amiri"/>
          <w:color w:val="111111"/>
          <w:sz w:val="28"/>
          <w:sz w:val="28"/>
          <w:szCs w:val="28"/>
          <w:rtl w:val="true"/>
          <w:lang w:bidi="ar-SA"/>
        </w:rPr>
        <w:t xml:space="preserve">على ذلك ، واُخرجت عن مورد البحث ، ولكنّه خلاف ظاهرها جدّاً ، بل بعض روايات ذلك الباب أيضاً ، لا يبعد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مربوطاً بمسألتنا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صحيحة الحلبي ، ولا سيّما مع لحاظ صدرها ، واحتمال كون الذيل رواية مستقلّة خصوصاً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خلاف الظاهر ، بل الأظهر تقطيعها ، وذكر جملة منها 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لا يصحّ مجازفة ، ولا يلزم في الخروج عن المجازفة قيام البيّنة ، بل يجوز الاتّكال على كيل البائع عند الائتمان به والتصديق لقوله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موثّقة يعقوب بن شعيب</w:t>
      </w:r>
      <w:r>
        <w:rPr>
          <w:rStyle w:val="FootnoteAnchor"/>
          <w:rtl w:val="true"/>
        </w:rPr>
        <w:footnoteReference w:id="894"/>
      </w:r>
      <w:r>
        <w:rPr>
          <w:rFonts w:ascii="Amiri" w:hAnsi="Amiri" w:eastAsia="Amiri" w:cs="Amiri"/>
          <w:color w:val="111111"/>
          <w:sz w:val="28"/>
          <w:sz w:val="28"/>
          <w:szCs w:val="28"/>
          <w:rtl w:val="true"/>
          <w:lang w:bidi="ar-SA"/>
        </w:rPr>
        <w:t xml:space="preserve">فغير مربوطة بالبيع ، فلا منافاة بينها وبين ما تقدّم </w:t>
      </w:r>
      <w:r>
        <w:rPr>
          <w:rFonts w:eastAsia="Amiri" w:cs="Amiri" w:ascii="Amiri" w:hAnsi="Amiri"/>
          <w:color w:val="111111"/>
          <w:sz w:val="28"/>
          <w:szCs w:val="28"/>
          <w:rtl w:val="true"/>
          <w:lang w:bidi="ar-SA"/>
        </w:rPr>
        <w:t xml:space="preserve">. </w:t>
      </w:r>
      <w:bookmarkStart w:id="443" w:name="pg15209_204014"/>
    </w:p>
    <w:p>
      <w:pPr>
        <w:pStyle w:val="BookText"/>
        <w:rPr/>
      </w:pPr>
      <w:bookmarkEnd w:id="443"/>
      <w:r>
        <w:rPr>
          <w:rFonts w:ascii="Amiri" w:hAnsi="Amiri" w:eastAsia="Amiri" w:cs="Amiri"/>
          <w:color w:val="111111"/>
          <w:sz w:val="28"/>
          <w:sz w:val="28"/>
          <w:szCs w:val="28"/>
          <w:rtl w:val="true"/>
          <w:lang w:bidi="ar-SA"/>
        </w:rPr>
        <w:t xml:space="preserve">وأمّا رواية عبد الرحمان بن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بيعاً فيه كيل أو وزن بغيره ، ثمّ يأخذ على نحو ما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xml:space="preserve">فمضافاً إلى ضعفها </w:t>
      </w:r>
      <w:r>
        <w:rPr>
          <w:rStyle w:val="FootnoteAnchor"/>
          <w:rtl w:val="true"/>
        </w:rPr>
        <w:footnoteReference w:id="896"/>
      </w:r>
      <w:r>
        <w:rPr>
          <w:rFonts w:ascii="Amiri" w:hAnsi="Amiri" w:eastAsia="Amiri" w:cs="Amiri"/>
          <w:color w:val="111111"/>
          <w:sz w:val="28"/>
          <w:sz w:val="28"/>
          <w:szCs w:val="28"/>
          <w:rtl w:val="true"/>
          <w:lang w:bidi="ar-SA"/>
        </w:rPr>
        <w:t xml:space="preserve">، لا شبهة في وقوع التصحيف فيها ، والأصحّ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والعين المهملة من تعيين العيار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ونسخة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2974601_2142443653"/>
      <w:bookmarkStart w:id="445" w:name="_Toc156"/>
      <w:bookmarkEnd w:id="444"/>
      <w:r>
        <w:rPr>
          <w:rtl w:val="true"/>
        </w:rPr>
        <w:t>لزوم الأخذ بعنواني الغرر والمجازفة</w:t>
      </w:r>
      <w:bookmarkEnd w:id="445"/>
    </w:p>
    <w:p>
      <w:pPr>
        <w:pStyle w:val="BookText"/>
        <w:rPr/>
      </w:pPr>
      <w:r>
        <w:rPr>
          <w:rFonts w:ascii="Amiri" w:hAnsi="Amiri" w:eastAsia="Amiri" w:cs="Amiri"/>
          <w:color w:val="111111"/>
          <w:sz w:val="28"/>
          <w:sz w:val="28"/>
          <w:szCs w:val="28"/>
          <w:rtl w:val="true"/>
          <w:lang w:bidi="ar-SA"/>
        </w:rPr>
        <w:t xml:space="preserve">ثمّ إنّ المذكور في المسألة إلى هاهنا 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الثمن من التعليل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نّه لا يدري كم الدينار من الدرهم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تلك الروايات التي وردت في المكيل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بيعه مجازفة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هي عناوين مستقلّة ، فالغرر المنهيّ عنه شيء مستقلّ يوجب البطلان ، وكذا العنوانان الآخران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يرجع بعضها إلى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كلّ من العنوانين الآخرين موجباً للبطلان ؛ بعلّية الغرر ، أو بكونه 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يكونان من مصاديقه ومحقّقاته ؟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قلنا بأنّ الغرر بمعنى الجهل ، يكون عنوان ما ورد في الثمن عبارة اُخرى عنه ، وما ورد في المكيل من مصاديقه ، فلا يكون في المسألة إلاّ عنوان واحد ، هو عنوان الغرر والجهل ، وبطلان البيع مجازفة إنّما هو للجهل بمقدار المبيع ، وهو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سئل عن بيع السمك في الآجام ، واللبن في الضرع ، والصوف في ظهور 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يجوز ؛ لأ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مجهول غير معروف ، يقلّ ويكثر ، وهو غرر</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فالمنع عن بيع المجازفة أيضاً كذلك ؛ فإنّه مجهول ، يقلّ ويكثر وغرر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يكون بيع مقدار من الطعام ، بما يقابله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جنسه أو من غيره المساوي له في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 ؛ للجهل بالمقدار ، فما أفاده الشيخ قدّس سرّه </w:t>
      </w:r>
      <w:r>
        <w:rPr>
          <w:rStyle w:val="FootnoteAnchor"/>
          <w:rtl w:val="true"/>
        </w:rPr>
        <w:footnoteReference w:id="900"/>
      </w:r>
      <w:r>
        <w:rPr>
          <w:rFonts w:ascii="Amiri" w:hAnsi="Amiri" w:eastAsia="Amiri" w:cs="Amiri"/>
          <w:color w:val="111111"/>
          <w:sz w:val="28"/>
          <w:sz w:val="28"/>
          <w:szCs w:val="28"/>
          <w:rtl w:val="true"/>
          <w:lang w:bidi="ar-SA"/>
        </w:rPr>
        <w:t>، مبنيّ على كون الغرر بمعنى الخطر ، لا الجهل ، وهو يضادّ مبناه السابق</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إن كان الغرر بمعنى الخطر ، أو بمعنى فعل ما لا يؤمن معه من الضرر ، فلا يرجع إليه عنوان الجهل ، وما ورد في الثمن من الروايات ، وكذا العنوان الآخر ، ولا يكون العنوانان من مصاديقه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البحث عن كون الغرر شخصياً أو نوعياً </w:t>
      </w:r>
      <w:r>
        <w:rPr>
          <w:rStyle w:val="FootnoteAnchor"/>
          <w:rtl w:val="true"/>
        </w:rPr>
        <w:footnoteReference w:id="902"/>
      </w:r>
      <w:r>
        <w:rPr>
          <w:rFonts w:ascii="Amiri" w:hAnsi="Amiri" w:eastAsia="Amiri" w:cs="Amiri"/>
          <w:color w:val="111111"/>
          <w:sz w:val="28"/>
          <w:sz w:val="28"/>
          <w:szCs w:val="28"/>
          <w:rtl w:val="true"/>
          <w:lang w:bidi="ar-SA"/>
        </w:rPr>
        <w:t xml:space="preserve">، مبنيّ على عدم كون الغرر بمعنى الجهل ، وعلى كون ما ورد في المكيل لحكمة الغرر ، والأوّل خلاف مبناه ، والثاني لا دليل عليه ، كما لا دليل على علّية الغرر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الأخذ بعنوان الغرر وعنوان المجازفة في المكيل سواء كان فيه غرر أم لا ، ففيما لا يلزم منه الخطر أو الضرر ، لا يشمله دليل الغرر بناءً على كونه بمعناهما ، ولكن لو كان مكيلاً يبطل إذا كان جزافاً وبلا كيل ، كالمثال المتقدّم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والأخذ بالعنوان ليس لأجل كون الغرر حكمة لا علّة ؛ لعدم الدليل على شيء منهما ، بل للزوم الأخذ بالحجّة بعنوانها ، صدق عليها عنوان آخر أم لا </w:t>
      </w:r>
      <w:r>
        <w:rPr>
          <w:rFonts w:eastAsia="Amiri" w:cs="Amiri" w:ascii="Amiri" w:hAnsi="Amiri"/>
          <w:color w:val="111111"/>
          <w:sz w:val="28"/>
          <w:szCs w:val="28"/>
          <w:rtl w:val="true"/>
          <w:lang w:bidi="ar-SA"/>
        </w:rPr>
        <w:t xml:space="preserve">. </w:t>
      </w:r>
      <w:bookmarkStart w:id="446" w:name="pg15209_204017"/>
    </w:p>
    <w:p>
      <w:pPr>
        <w:pStyle w:val="Heading5"/>
        <w:numPr>
          <w:ilvl w:val="4"/>
          <w:numId w:val="1"/>
        </w:numPr>
        <w:rPr/>
      </w:pPr>
      <w:bookmarkStart w:id="447" w:name="__RefHeading___Toc2974603_2142443653"/>
      <w:bookmarkStart w:id="448" w:name="_Toc157"/>
      <w:bookmarkEnd w:id="446"/>
      <w:bookmarkEnd w:id="447"/>
      <w:r>
        <w:rPr>
          <w:rtl w:val="true"/>
        </w:rPr>
        <w:t>المراد من بيع المجازفة</w:t>
      </w:r>
      <w:bookmarkEnd w:id="448"/>
    </w:p>
    <w:p>
      <w:pPr>
        <w:pStyle w:val="BookText"/>
        <w:rPr/>
      </w:pPr>
      <w:r>
        <w:rPr>
          <w:rFonts w:ascii="Amiri" w:hAnsi="Amiri" w:eastAsia="Amiri" w:cs="Amiri"/>
          <w:color w:val="111111"/>
          <w:sz w:val="28"/>
          <w:sz w:val="28"/>
          <w:szCs w:val="28"/>
          <w:rtl w:val="true"/>
          <w:lang w:bidi="ar-SA"/>
        </w:rPr>
        <w:t xml:space="preserve">ثمّ إنّ الظاهر أنّ البيع مجازفةً ، بيع الشيء بلا مقياس وميزان ، كبيع صبرة مثلاً ، وأمّا لزوم العلم بمقدار الكيل وزناً أو العكس فلا ، فلو تعارف كيل في مصر ، ولم يعلم مقداره وزناً ، أو وُزن ولم يعلم حدّه بالكيل ، لا يكون البيع جزافاً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دخل غريب في مصرٍ ، يتعارف فيه كيل خاصّ غير كيل بلده ، أو لم يتعارف في بلده إلاّ الوزن ، لم يكن بيعه بكيلهم المتعارف مجازفة ، بل ولا غرراً بمعنى الخطر وإن كان مجهول الوزن ، بل يمكن دعوى انصراف النهي عن بيع الغرر عن مثله ، فالكيل بنفسه مقياس لتعيين المقادير كالوزن ، ولا دليل على أنّ الوزن أصل ، وحدوث الكيل بعده للسهولة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لا يبعد أن يكون الأقدم والأصل في ابتداء التمدّن ، هو التقدير بمثل الكفّ في المقادير القليلة ، وبالمشاهدة في غيرها ، ثمّ بالمكاييل البسيطة قبل عصر الفلزّ ، كالظروف المصنوعة من الطين ، أو ألياف الأشجار ونحوهما ، ثمّ بعد التقدّم في الصناعات صنعت الموازين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بالأحجار المضبوطة حجماً ، كان أقدم من التقدير بالأحجار المضبوطة وزناً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استشهد به الشيخ الأعظم قدّس سرّه لأصالة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المكاييل المتعارفة في الأماكن المتفرّقة على اختلافها في المقدار ، ليس لها مأخذ إلاّ الوزن ؛ </w:t>
      </w:r>
    </w:p>
    <w:p>
      <w:pPr>
        <w:pStyle w:val="BookText"/>
        <w:rPr/>
      </w:pPr>
      <w:r>
        <w:rPr>
          <w:rFonts w:ascii="Amiri" w:hAnsi="Amiri" w:eastAsia="Amiri" w:cs="Amiri"/>
          <w:color w:val="111111"/>
          <w:sz w:val="28"/>
          <w:sz w:val="28"/>
          <w:szCs w:val="28"/>
          <w:rtl w:val="true"/>
          <w:lang w:bidi="ar-SA"/>
        </w:rPr>
        <w:t>إذ ليس هنا كيل تقاس المكاييل عليه</w:t>
      </w:r>
      <w:r>
        <w:rPr>
          <w:rStyle w:val="FootnoteAnchor"/>
          <w:rtl w:val="true"/>
        </w:rPr>
        <w:footnoteReference w:id="904"/>
      </w:r>
      <w:r>
        <w:rPr>
          <w:rFonts w:ascii="Amiri" w:hAnsi="Amiri" w:eastAsia="Amiri" w:cs="Amiri"/>
          <w:color w:val="111111"/>
          <w:sz w:val="28"/>
          <w:sz w:val="28"/>
          <w:szCs w:val="28"/>
          <w:rtl w:val="true"/>
          <w:lang w:bidi="ar-SA"/>
        </w:rPr>
        <w:t xml:space="preserve">غير واضح ؛ فإنّ الموازين أيضاً في البلاد المتفرّقة مختلفة المقدار جدّاً ، كالمنّ التبريزي ، والمنّ الشاهي والرازي ممّا كان متعارفاً في طهران ، والمنّ في بروجرد ، وفي لرستان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وليس هنا ما يرجع إليه سائر الأمنان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اختلاف الأمنان والمكاييل ؛ لاختلاف الطوائف في العيش ، وقلّة الارتباط بينهم ، ثمّ بعد حصول كثرة الارتباطات ، صار في أكثر البقاع ميزان واحد متداولاً ، إلى أن صار الكيلو متعارفاً ووزناً ثابتاً ، فاختلاف المكاييل ليس شاهداً على أصالة الوزن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كثرة السؤال والجواب عن الكيل في عصر النبي صلي الله عليه و آله وسلم والأئمّة عليهم السلام ، وقلّة السؤال عن الوزن بالنسبة إلى الكيل ، أ نّه كان أكثر تداولاً من الوزن ، وهو غير بعيد بالنسبة إلى الحجاز في ذلك العصر ، بل بالنسبة إلى العراق بحسب وضع معيشتهم في أكثر بلاده وبقاعه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والمظنون أنّ الكيل بقي في تلك الأصقاع من الأعصار القديمة ، ثمّ بعد ذلك ضمّ إليه الوزن ، ثمّ تعارف هذا وهجر الآخر تدريجاً إلى زماننا </w:t>
      </w:r>
      <w:r>
        <w:rPr>
          <w:rFonts w:eastAsia="Amiri" w:cs="Amiri" w:ascii="Amiri" w:hAnsi="Amiri"/>
          <w:color w:val="111111"/>
          <w:sz w:val="28"/>
          <w:szCs w:val="28"/>
          <w:rtl w:val="true"/>
          <w:lang w:bidi="ar-SA"/>
        </w:rPr>
        <w:t xml:space="preserve">. </w:t>
      </w:r>
      <w:bookmarkStart w:id="449" w:name="pg15209_204019"/>
    </w:p>
    <w:p>
      <w:pPr>
        <w:pStyle w:val="Heading5"/>
        <w:numPr>
          <w:ilvl w:val="4"/>
          <w:numId w:val="1"/>
        </w:numPr>
        <w:rPr/>
      </w:pPr>
      <w:bookmarkStart w:id="450" w:name="__RefHeading___Toc2974605_2142443653"/>
      <w:bookmarkStart w:id="451" w:name="_Toc158"/>
      <w:bookmarkEnd w:id="449"/>
      <w:bookmarkEnd w:id="450"/>
      <w:r>
        <w:rPr>
          <w:rtl w:val="true"/>
        </w:rPr>
        <w:t>جواز بيع المكيل بالوزن وبالعكس</w:t>
      </w:r>
      <w:bookmarkEnd w:id="451"/>
    </w:p>
    <w:p>
      <w:pPr>
        <w:pStyle w:val="BookText"/>
        <w:rPr/>
      </w:pPr>
      <w:r>
        <w:rPr>
          <w:rFonts w:ascii="Amiri" w:hAnsi="Amiri" w:eastAsia="Amiri" w:cs="Amiri"/>
          <w:color w:val="111111"/>
          <w:sz w:val="28"/>
          <w:sz w:val="28"/>
          <w:szCs w:val="28"/>
          <w:rtl w:val="true"/>
          <w:lang w:bidi="ar-SA"/>
        </w:rPr>
        <w:t xml:space="preserve">ثمّ إنّ البحث عن جواز بيع المكيل وزناً وبالعكس والتفصيل ، مبنيّ على كيفية الاستفادة من الأدلّة ، وأمّا الاعتبارات المذكورة في كلامهم ، فلا يصحّ الاعتماد عليها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الخروج عن عموم أدلّة تنفيذ العقود وإطلاقها </w:t>
      </w:r>
      <w:r>
        <w:rPr>
          <w:rStyle w:val="FootnoteAnchor"/>
          <w:rtl w:val="true"/>
        </w:rPr>
        <w:footnoteReference w:id="905"/>
      </w:r>
      <w:r>
        <w:rPr>
          <w:rFonts w:ascii="Amiri" w:hAnsi="Amiri" w:eastAsia="Amiri" w:cs="Amiri"/>
          <w:color w:val="111111"/>
          <w:sz w:val="28"/>
          <w:sz w:val="28"/>
          <w:szCs w:val="28"/>
          <w:rtl w:val="true"/>
          <w:lang w:bidi="ar-SA"/>
        </w:rPr>
        <w:t xml:space="preserve">من دلالة دليل ، وورود مخصّص ومقيّد ، وليس في الباب إلاّ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صلي الله عليه و آله وسلم عن الغرر</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والروايات الدالّة على أنّ الجهل بالثمن مضرّ</w:t>
      </w:r>
      <w:r>
        <w:rPr>
          <w:rStyle w:val="FootnoteAnchor"/>
          <w:rtl w:val="true"/>
        </w:rPr>
        <w:footnoteReference w:id="907"/>
      </w:r>
      <w:r>
        <w:rPr>
          <w:rFonts w:ascii="IRNazanin" w:hAnsi="IRNazanin" w:eastAsia="IRNazanin"/>
          <w:color w:val="111111"/>
          <w:sz w:val="28"/>
          <w:sz w:val="28"/>
          <w:szCs w:val="28"/>
          <w:rtl w:val="true"/>
          <w:lang w:bidi="fa-IR"/>
        </w:rPr>
        <w:t>المستفاد منها حال المثمن على ما تقدّم</w:t>
      </w:r>
      <w:r>
        <w:rPr>
          <w:rStyle w:val="FootnoteAnchor"/>
          <w:rtl w:val="true"/>
        </w:rPr>
        <w:footnoteReference w:id="908"/>
      </w:r>
      <w:r>
        <w:rPr>
          <w:rFonts w:ascii="Amiri" w:hAnsi="Amiri" w:eastAsia="Amiri" w:cs="Amiri"/>
          <w:color w:val="111111"/>
          <w:sz w:val="28"/>
          <w:sz w:val="28"/>
          <w:szCs w:val="28"/>
          <w:rtl w:val="true"/>
          <w:lang w:bidi="ar-SA"/>
        </w:rPr>
        <w:t xml:space="preserve">، وكذا ما تقدّم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وإن كانت </w:t>
      </w:r>
    </w:p>
    <w:p>
      <w:pPr>
        <w:pStyle w:val="BookText"/>
        <w:rPr/>
      </w:pPr>
      <w:r>
        <w:rPr>
          <w:rFonts w:ascii="Amiri" w:hAnsi="Amiri" w:eastAsia="Amiri" w:cs="Amiri"/>
          <w:color w:val="111111"/>
          <w:sz w:val="28"/>
          <w:sz w:val="28"/>
          <w:szCs w:val="28"/>
          <w:rtl w:val="true"/>
          <w:lang w:bidi="ar-SA"/>
        </w:rPr>
        <w:t>مرسلة ضعيفة ، وما دلّت على عدم صلوح البيع مجازفة كصحيحة الحلبي المتقدّمة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وشيء منها لا يصلح لتقييد الأدلّة وتخصيصها ؛ فإنّ البيع بالمقاييس الرائجة ليس غرراً ، سواء كان الغرر بمعنى الجهل ، أو بمعنى الخطر ؛ ضرورة أنّ دليل الغرر ، لم يرد لردّ البيع بالمكاييل وتخصيصه بالموازين أو بالعكس ، وأصالة الوزن قد عرفت حالها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فالغرر هو بيع الشيء بلا مقياس متداول ، كبيع صبرة بصبرة ، وأمّا بيع كيل من الطعام فليس فيه غرر وإن لم يعلم المتبايعان وزنه ، كما أنّ البيع بالوزن غير غرري وإن لم يعلما كيله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الشيخ الأعظم قدّس سرّه من أنّ الكيل من حيث هو ، لا يوجب في الموزونات معرفة زائدة على ما يحصل بالمشاهدة ، فالقول بالجواز مرجعه إلى كفاية المشاهدة</w:t>
      </w:r>
      <w:r>
        <w:rPr>
          <w:rStyle w:val="FootnoteAnchor"/>
          <w:rtl w:val="true"/>
        </w:rPr>
        <w:footnoteReference w:id="912"/>
      </w:r>
      <w:r>
        <w:rPr>
          <w:rFonts w:ascii="Amiri" w:hAnsi="Amiri" w:eastAsia="Amiri" w:cs="Amiri"/>
          <w:color w:val="111111"/>
          <w:sz w:val="28"/>
          <w:sz w:val="28"/>
          <w:szCs w:val="28"/>
          <w:rtl w:val="true"/>
          <w:lang w:bidi="ar-SA"/>
        </w:rPr>
        <w:t xml:space="preserve">غير مرضيّ ؛ ضرورة أنّ البيع بالمشاهدة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صبرة بصبرة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مجهول بمجهول ، محتمل للزيادة والنقيصة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الكيل ، فإنّه مضبوط غير محتمل للزيادة والنقيصة المعتنى بهما عرفاً وشرعاً ، فلا يرجع إلى المشاهدة ، وإلاّ رجع الوزن أيضاً إليها ؛ لأنّ مجرّد تسمية شيء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إلاّ كون هذا المقدار المشاهد موافقاً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 المنّ كذا مقداراً من المثاقيل ، وكلّ مثقال كذا مقداراً من الحمّص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أمراً مغفولاً عنه إلاّ عند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خروجه عن الرجوع إلى المشاهدة ، ولو كان تعارف الوزن في شيء موجباً للغرر إذا بيع كيلاً ، فلا ينبغي التفصيل ، بل لازمه المنع من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الكيل المتعارف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بالنسبة إلى بعض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الغرر وإن لم يكن متعارفاً بالنسبة إلى متاع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الغرر بيع بلا مقاييس معروفة ، كالكيل والوزن في المكيلات والموزونات ، ولو كيل ما يتعارف فيه الوزن أو بالعكس ، خرج عن الجهالة والغرر إذا كان المقياس لهما ، وإن تعارف في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الحال في الروايات الواردة في الثمن ، وكذا في صحيحة الحلبي ، فإنّ بيع ما يتعارف فيه الكيل وزناً أو بالعكس ، ليس جزافاً ولا بيع مجهول ، إذا كان كلّ منهما مقياساً له ، وإن تعارف أحدهما لعارض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فالجزاف بيع شيء بلا مقياس ، أو بمقياس ليس له ، كبيع القطن بالكيل ، أو الظروف الصينية بالوزن ، فالمقياس بغير ما هو مقياس للشيء موجب للغرر ، وأمّا إذا كان مقياساً له ، لكن تعارف مقياس آخر فيه ، فالظاهر الجواز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الكيل أو الوزن لتشخيص المالية ، فإذا كيل ما هو موزون في المتعارف أو بالعكس ، لم تعلم ماليته</w:t>
      </w:r>
      <w:r>
        <w:rPr>
          <w:rStyle w:val="FootnoteAnchor"/>
          <w:rtl w:val="true"/>
        </w:rPr>
        <w:footnoteReference w:id="913"/>
      </w:r>
      <w:r>
        <w:rPr>
          <w:rFonts w:ascii="Amiri" w:hAnsi="Amiri" w:eastAsia="Amiri" w:cs="Amiri"/>
          <w:color w:val="111111"/>
          <w:sz w:val="28"/>
          <w:sz w:val="28"/>
          <w:szCs w:val="28"/>
          <w:rtl w:val="true"/>
          <w:lang w:bidi="ar-SA"/>
        </w:rPr>
        <w:t xml:space="preserve">غير مرضيّ ؛ لأنّ الجهل بالمالية لا يوجب البطلان ، ولا يكون معه البيع غررياً أو جزافاً ، فمن دخل مصراً ، </w:t>
      </w:r>
      <w:bookmarkStart w:id="452" w:name="pg15209_204022"/>
    </w:p>
    <w:p>
      <w:pPr>
        <w:pStyle w:val="BookText"/>
        <w:rPr/>
      </w:pPr>
      <w:bookmarkEnd w:id="452"/>
      <w:r>
        <w:rPr>
          <w:rFonts w:ascii="Amiri" w:hAnsi="Amiri" w:eastAsia="Amiri" w:cs="Amiri"/>
          <w:color w:val="111111"/>
          <w:sz w:val="28"/>
          <w:sz w:val="28"/>
          <w:szCs w:val="28"/>
          <w:rtl w:val="true"/>
          <w:lang w:bidi="ar-SA"/>
        </w:rPr>
        <w:t xml:space="preserve">واشترى شيئاً معلوم المقدار والأوصاف مع الجهل بقيمته السوقية ، صحّ بيعه ، وله الخيار مع الغبن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شكّ في صدق الغرر والجزاف في موارد تبديل الكيل بالوزن أو بالعكس ، يؤخذ بإطلاق أدلّة تنفيذ البيع كما مرّ</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2974607_2142443653"/>
      <w:bookmarkStart w:id="454" w:name="_Toc159"/>
      <w:bookmarkEnd w:id="453"/>
      <w:r>
        <w:rPr>
          <w:rtl w:val="true"/>
        </w:rPr>
        <w:t>جواز التبديل بشرط التعارف</w:t>
      </w:r>
      <w:bookmarkEnd w:id="454"/>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 من عدم الجزاف والغرر فيما إذا كيل ما يتعارف فيه الوزن أو بالعكس ، إنّما هو فيما إذا كان الكيل والوزن فيهما مقياساً عرفاً ، وإن تعارف أحدهما فيه لعارض لا لكونه غير مقياسه ، إلاّ إذا صار أحد المقياسين متروكاً مطلقاً ، كالكيل في هذا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الحقيقة هذا الفرض خارج عن محلّ البحث ؛ لأنّ اقتراح الكيل في هذا العصر بالنسبة إلى طعام ، إنّما هو من الاقتراحات الشخصية غير المعتبرة ، بخلاف ما إذا كان الكيل متعارفاً ، كعصر النبي والأئمّة عليهم السلام ؛ ممّا يظهر من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الكتاب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الكيل كان مستقلاًّ في قبال الوزن ، وأنّ الكيل كان متعارفاً ، بل أكثر من تعارف الوزن كما أشرنا إليه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xml:space="preserve">ظاهر في أنّ الكيل في قبال الوزن ، </w:t>
      </w:r>
    </w:p>
    <w:p>
      <w:pPr>
        <w:pStyle w:val="BookText"/>
        <w:rPr/>
      </w:pPr>
      <w:r>
        <w:rPr>
          <w:rFonts w:ascii="Amiri" w:hAnsi="Amiri" w:eastAsia="Amiri" w:cs="Amiri"/>
          <w:color w:val="111111"/>
          <w:sz w:val="28"/>
          <w:sz w:val="28"/>
          <w:szCs w:val="28"/>
          <w:rtl w:val="true"/>
          <w:lang w:bidi="ar-SA"/>
        </w:rPr>
        <w:t>ولا سيّما مع العطف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يظهر من الأخبار أيضاً ، ففي صحيحة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الرجل يبيع البيع قبل أن يقبضه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مالم يكن كيل أو وزن فلا تبعه حتّى تكيله أو تزنه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صحيحة منصور بن حازم</w:t>
      </w:r>
      <w:r>
        <w:rPr>
          <w:rStyle w:val="FootnoteAnchor"/>
          <w:rtl w:val="true"/>
        </w:rPr>
        <w:footnoteReference w:id="918"/>
      </w:r>
      <w:r>
        <w:rPr>
          <w:rFonts w:ascii="Amiri" w:hAnsi="Amiri" w:eastAsia="Amiri" w:cs="Amiri"/>
          <w:color w:val="111111"/>
          <w:sz w:val="28"/>
          <w:sz w:val="28"/>
          <w:szCs w:val="28"/>
          <w:rtl w:val="true"/>
          <w:lang w:bidi="ar-SA"/>
        </w:rPr>
        <w:t>ورواية أبي بصير</w:t>
      </w:r>
      <w:r>
        <w:rPr>
          <w:rStyle w:val="FootnoteAnchor"/>
          <w:rtl w:val="true"/>
        </w:rPr>
        <w:footnoteReference w:id="919"/>
      </w:r>
      <w:r>
        <w:rPr>
          <w:rFonts w:ascii="Amiri" w:hAnsi="Amiri" w:eastAsia="Amiri" w:cs="Amiri"/>
          <w:color w:val="111111"/>
          <w:sz w:val="28"/>
          <w:sz w:val="28"/>
          <w:szCs w:val="28"/>
          <w:rtl w:val="true"/>
          <w:lang w:bidi="ar-SA"/>
        </w:rPr>
        <w:t>ورواية منصور</w:t>
      </w:r>
      <w:r>
        <w:rPr>
          <w:rStyle w:val="FootnoteAnchor"/>
          <w:rtl w:val="true"/>
        </w:rPr>
        <w:footnoteReference w:id="92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921"/>
      </w:r>
      <w:r>
        <w:rPr>
          <w:rFonts w:ascii="Amiri" w:hAnsi="Amiri" w:eastAsia="Amiri" w:cs="Amiri"/>
          <w:color w:val="111111"/>
          <w:sz w:val="28"/>
          <w:sz w:val="28"/>
          <w:szCs w:val="28"/>
          <w:rtl w:val="true"/>
          <w:lang w:bidi="ar-SA"/>
        </w:rPr>
        <w:t xml:space="preserve">ممّا هي ظاهرة في استقلال الكيل ، وعدم كونه لتعيين الوزن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يظهر من بعض الروايات ، أنّ بعض المكاييل كان مقدّراً بالوزن</w:t>
      </w:r>
      <w:r>
        <w:rPr>
          <w:rStyle w:val="FootnoteAnchor"/>
          <w:rtl w:val="true"/>
        </w:rPr>
        <w:footnoteReference w:id="922"/>
      </w:r>
      <w:r>
        <w:rPr>
          <w:rFonts w:ascii="Amiri" w:hAnsi="Amiri" w:eastAsia="Amiri" w:cs="Amiri"/>
          <w:color w:val="111111"/>
          <w:sz w:val="28"/>
          <w:sz w:val="28"/>
          <w:szCs w:val="28"/>
          <w:rtl w:val="true"/>
          <w:lang w:bidi="ar-SA"/>
        </w:rPr>
        <w:t xml:space="preserve">، كالصاع ، والرطل ، بل الكرّ أيضاً ، لكن يحتمل كون أمثال ذلك مكاييل برأسها </w:t>
      </w:r>
      <w:bookmarkStart w:id="455" w:name="pg15209_204024"/>
    </w:p>
    <w:p>
      <w:pPr>
        <w:pStyle w:val="BookText"/>
        <w:rPr/>
      </w:pPr>
      <w:bookmarkEnd w:id="455"/>
      <w:r>
        <w:rPr>
          <w:rFonts w:ascii="Amiri" w:hAnsi="Amiri" w:eastAsia="Amiri" w:cs="Amiri"/>
          <w:color w:val="111111"/>
          <w:sz w:val="28"/>
          <w:sz w:val="28"/>
          <w:szCs w:val="28"/>
          <w:rtl w:val="true"/>
          <w:lang w:bidi="ar-SA"/>
        </w:rPr>
        <w:t>حتّى المدّ ، كما صرّح به أهل اللغة</w:t>
      </w:r>
      <w:r>
        <w:rPr>
          <w:rStyle w:val="FootnoteAnchor"/>
          <w:rtl w:val="true"/>
        </w:rPr>
        <w:footnoteReference w:id="923"/>
      </w:r>
      <w:r>
        <w:rPr>
          <w:rFonts w:ascii="Amiri" w:hAnsi="Amiri" w:eastAsia="Amiri" w:cs="Amiri"/>
          <w:color w:val="111111"/>
          <w:sz w:val="28"/>
          <w:sz w:val="28"/>
          <w:szCs w:val="28"/>
          <w:rtl w:val="true"/>
          <w:lang w:bidi="ar-SA"/>
        </w:rPr>
        <w:t xml:space="preserve">، وإنّما قدّرت بالوزن فيما بعد ، لا أنّ الوزن فيها 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بينها وبين ما تقدّم ؛ لاحتمال تداول كليهما في أرجاء الحجاز ، بل واحتمال كون الكيل متداولاً في ذلك العصر بين أعراب البوادي ، الذين كانوا بعيدين عن الحضارة ، والوزن والكيل متعارفين في الأمصار ، ففي بعض الروايات ذكر وسق النبي صلي الله عليه و آله وسلم ، وقدّر بستّين صاعاً </w:t>
      </w:r>
      <w:r>
        <w:rPr>
          <w:rStyle w:val="FootnoteAnchor"/>
          <w:rtl w:val="true"/>
        </w:rPr>
        <w:footnoteReference w:id="924"/>
      </w:r>
      <w:r>
        <w:rPr>
          <w:rFonts w:ascii="Amiri" w:hAnsi="Amiri" w:eastAsia="Amiri" w:cs="Amiri"/>
          <w:color w:val="111111"/>
          <w:sz w:val="28"/>
          <w:sz w:val="28"/>
          <w:szCs w:val="28"/>
          <w:rtl w:val="true"/>
          <w:lang w:bidi="ar-SA"/>
        </w:rPr>
        <w:t xml:space="preserve">والظاهر منه أنّ النبي صلي الله عليه و آله وسلم قدّره بهذا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الوسق كان في الأصل حمل بعير ، ثمّ قدّره النبي صلي الله عليه و آله وسلم بستّين صاعاً ؛ لتعيين مقدار الزكاة ، أو لغير ذلك ، والتحقيق يحتاج إلى تتبّع ومجال واسع </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2974609_2142443653"/>
      <w:bookmarkStart w:id="457" w:name="_Toc160"/>
      <w:bookmarkEnd w:id="456"/>
      <w:r>
        <w:rPr>
          <w:rtl w:val="true"/>
        </w:rPr>
        <w:t>اختلاف المقاييس باختلاف الأمتعة</w:t>
      </w:r>
      <w:bookmarkEnd w:id="45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المقاييس بالنسبة إلى الأمتعة مختلفة ، فقد لا يكون لشيء مقياس ولا يمكن تشخيصه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يخرج عن الجزاف والغرر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بالمشاهدة ، وذلك فيما كانت أفراد ماهيته مختلفة بحسب الكيفية ، كالأحجار الكريمة التي لا يمكن رفع الجهالة عنها إلاّ بالمشاهدة ، بل بالرجوع إلى أهل الخبرة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العدّ مقياساً لا غير ؛ بحيث لو وزن أو كيل بطل ؛ للغرر والجزاف ، إلاّ أن يكون الوزن طريقاً وأمارة إلى العدد ، وذلك مثل الظروف المصنوعة في المعامل من الزجاج أو البلّور المتماثلة أفرادها ، فلو وزن مقدار منها ، من غير أن يكون الوزن أمارة للعدّ بطل ؛ للغرر والجزاف ، فإنّ الوزن ليس مقياساً لمثلها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الجوز المتعارف فيه العدّ ، فإنّ الكيل أو الوزن فيه ، لا يخرج البيع عن الغرر والجزاف ، بعد ما لم يكونا مقياسين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حتّى في مثل الجوز الذي تختلف أفراده يسيراً ، أن يجعل الكيل أو الوزن طريقاً إلى العدّ ؛ فإنّ الاختلاف اليسير الذي لا يعتني به العقلاء ، لا يوجب الغرر والجزاف ، وعلى هذا تحمل صحيحة الحلبي في الجوز</w:t>
      </w:r>
      <w:r>
        <w:rPr>
          <w:rStyle w:val="FootnoteAnchor"/>
          <w:rtl w:val="true"/>
        </w:rPr>
        <w:footnoteReference w:id="925"/>
      </w:r>
      <w:r>
        <w:rPr>
          <w:rFonts w:ascii="IRNazanin" w:hAnsi="IRNazanin" w:eastAsia="IRNazanin"/>
          <w:color w:val="111111"/>
          <w:sz w:val="28"/>
          <w:sz w:val="28"/>
          <w:szCs w:val="28"/>
          <w:rtl w:val="true"/>
          <w:lang w:bidi="fa-IR"/>
        </w:rPr>
        <w:t xml:space="preserve">لا على الجواز حال الاضطرار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يكون المقياس الكيل فقط دون الوزن ، وقد يكون بالعكس ، فلا بدّ في رفع الغرر في كلّ مورد من التقدير بمقياسه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الدراهم والدنانير المصنوعة من الفضّة والذهب ، والمسكوكة بسكّة المعاملة ، لها مادّة ذات قيمة ، وهيئة وسكّة ذات قيمة أيضاً ؛ بحيث لو خرجت عن الرواج بإبطال الدولة سكّتها ، لخرجت عن القيمة الرائجة للسكّة ، وأمّا قيمة مادّتها فتبقى على ما هي عليه مثل غيرها من الذهب والفضّة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رواجها تعدّ من المعدود ، ولا ينظر المتعاملان إلى وزنها ، بل النظر إلى </w:t>
      </w:r>
      <w:bookmarkStart w:id="458" w:name="pg15209_204026"/>
    </w:p>
    <w:p>
      <w:pPr>
        <w:pStyle w:val="BookText"/>
        <w:rPr/>
      </w:pPr>
      <w:bookmarkEnd w:id="458"/>
      <w:r>
        <w:rPr>
          <w:rFonts w:ascii="Amiri" w:hAnsi="Amiri" w:eastAsia="Amiri" w:cs="Amiri"/>
          <w:color w:val="111111"/>
          <w:sz w:val="28"/>
          <w:sz w:val="28"/>
          <w:szCs w:val="28"/>
          <w:rtl w:val="true"/>
          <w:lang w:bidi="ar-SA"/>
        </w:rPr>
        <w:t xml:space="preserve">عددها وقيمتها الرائجة ، فيكون العدّ مقياساً لها في الخروج عن الغرر والجزاف ، لا الوزن أو الكيل ، فلو وزن مقدار من الليرات ، مع عدم كون الوزن لتعيين العدد ، كانت المعاملة معه غرراً وجزافاً ، بخلاف العدّ مع عدم العلم بالوزن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خروجها عن الرواج ، يصير الاعتبار في القيمة بمادّتها ، ويكون المقياس فيها حينئذٍ الوزن لا العدّ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اُحرز أنّ الرائج منها كان ناقصاً عن الحدّ المضروب المتداول ، يعدّ معيوباً ، وللمتعامل خيار العيب ؛ لكون المادّة أيضاً دخيلة في القيمة ، ولمّا كانت المادّة فيها من الموزون ، جرى عليها حكم الربا ، ولا بدّ في الخروج عنه من أن يكون التعامل بهما مثلاً بمثل </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2974611_2142443653"/>
      <w:bookmarkStart w:id="460" w:name="_Toc161"/>
      <w:bookmarkEnd w:id="459"/>
      <w:r>
        <w:rPr>
          <w:rtl w:val="true"/>
        </w:rPr>
        <w:t>هل المناط في المكيلية والموزونية بعصر النبي صلي الله عليه و آله وسلم</w:t>
      </w:r>
      <w:bookmarkEnd w:id="460"/>
    </w:p>
    <w:p>
      <w:pPr>
        <w:pStyle w:val="BookText"/>
        <w:rPr/>
      </w:pPr>
      <w:r>
        <w:rPr>
          <w:rFonts w:ascii="Amiri" w:hAnsi="Amiri" w:eastAsia="Amiri" w:cs="Amiri"/>
          <w:color w:val="111111"/>
          <w:sz w:val="28"/>
          <w:sz w:val="28"/>
          <w:szCs w:val="28"/>
          <w:rtl w:val="true"/>
          <w:lang w:bidi="ar-SA"/>
        </w:rPr>
        <w:t xml:space="preserve">ثمّ إنّه وقع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المناط في المكيل والموزون في هذه المسألة ومسألة الربا ، هل هو المكيل والموزون في عصر النبي صلي الله عليه و آله وسلم ، فما كان مكيلاً أو موزوناً في زمانه ، لا يجوز بيعه بغيرهما ، ولا يجوز التفاضل فيه وإن صار بعد عصره معدوداً ، فالمكيل مكيل زمانه ، والموزون كذلك ؟</w:t>
      </w:r>
    </w:p>
    <w:p>
      <w:pPr>
        <w:pStyle w:val="BookText"/>
        <w:rPr/>
      </w:pPr>
      <w:r>
        <w:rPr>
          <w:rFonts w:ascii="Amiri" w:hAnsi="Amiri" w:eastAsia="Amiri" w:cs="Amiri"/>
          <w:color w:val="111111"/>
          <w:sz w:val="28"/>
          <w:sz w:val="28"/>
          <w:szCs w:val="28"/>
          <w:rtl w:val="true"/>
          <w:lang w:bidi="ar-SA"/>
        </w:rPr>
        <w:t xml:space="preserve">وقد نسب إلى المشهور أنّ العبرة في التقدير بزمان النبي صلي الله عليه و آله وسلم ، ثمّ بما اتّفقت عليه البلاد ، ثمّ بما تعارف في كلّ بلدة بالنسبة إليها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يمكن تكفّل الأدلّة الواردة في البابين بإثبات هذا الحكم على نحو الترتّب ؟ </w:t>
      </w:r>
    </w:p>
    <w:p>
      <w:pPr>
        <w:pStyle w:val="BookText"/>
        <w:rPr/>
      </w:pPr>
      <w:r>
        <w:rPr>
          <w:rFonts w:ascii="Amiri" w:hAnsi="Amiri" w:eastAsia="Amiri" w:cs="Amiri"/>
          <w:color w:val="111111"/>
          <w:sz w:val="28"/>
          <w:sz w:val="28"/>
          <w:szCs w:val="28"/>
          <w:rtl w:val="true"/>
          <w:lang w:bidi="ar-SA"/>
        </w:rPr>
        <w:t xml:space="preserve">الظاهر عدم إمكانه ؛ لأنّ قوله عليه السلام في صحيحة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سمّيت فيه كيلاً ، فلا يصلح بيعه مجازفة</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دلالته على أنّ المكيل لا يصلح بغير 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يراد منه المكيل في عصره عليه السلام ، فلا يعقل إثبات القسمين المترتّبين به ، أو يراد منه أحدهما ، فلا يعقل استفادة غيره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إيفاء تلك الأحكام المرتّبة بلفظ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ضمّت إليها مقطوعة علي بن إبراهيم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ينظر فيما يكال أو يوزن إلاّ إلى العامّة ، ولا يؤخذ فيه بالخاصّة</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xml:space="preserve">وحملت الصحيحة على ما كان مكيلاً في خصوص عصر النبي صلي الله عليه و آله وسلم ، والمقطوعة على ما لم يكن في عصره عليه السلام مكيلاً ، لأمكن أن يستفاد منهما بعض ما عن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 نّها ليست من لفظ الإمام عليه السلام ، بل من قبيل فتوى الفقيه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إمكان استفادة 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الاعتبار في المكيل والموزون بعصر النبي صلي الله عليه و آله وسلم </w:t>
      </w:r>
      <w:r>
        <w:rPr>
          <w:rStyle w:val="FootnoteAnchor"/>
          <w:rtl w:val="true"/>
        </w:rPr>
        <w:footnoteReference w:id="929"/>
      </w:r>
      <w:r>
        <w:rPr>
          <w:rFonts w:ascii="Amiri" w:hAnsi="Amiri" w:eastAsia="Amiri" w:cs="Amiri"/>
          <w:color w:val="111111"/>
          <w:sz w:val="28"/>
          <w:sz w:val="28"/>
          <w:szCs w:val="28"/>
          <w:rtl w:val="true"/>
          <w:lang w:bidi="ar-SA"/>
        </w:rPr>
        <w:t xml:space="preserve">، فبيانه أنّ قوله عليه السلام في موثّقة منصور بن حازم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يكال أو يوزن فلا يصلح مثلين بمثل ، إذا كان من جنس واحد</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وكذا ما في صحيحة </w:t>
      </w:r>
    </w:p>
    <w:p>
      <w:pPr>
        <w:pStyle w:val="BookText"/>
        <w:rPr/>
      </w:pPr>
      <w:r>
        <w:rPr>
          <w:rFonts w:ascii="Amiri" w:hAnsi="Amiri" w:eastAsia="Amiri" w:cs="Amiri"/>
          <w:color w:val="111111"/>
          <w:sz w:val="28"/>
          <w:sz w:val="28"/>
          <w:szCs w:val="28"/>
          <w:rtl w:val="true"/>
          <w:lang w:bidi="ar-SA"/>
        </w:rPr>
        <w:t xml:space="preserve">الحلبي ،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نعت القضيّة الحقيقية ، أو على نعت القضيّة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 والوزن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على نحو الموضوعية ، أو على نحو الكاشفية والعنوانية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كاشفاً عن مطلق الموضوعات التي تكال وتوزن ، أو ستكال وتوزن ، ويمكن أن يكون كاشفاً عن الأجناس التي تكال أو توزن في عصر النبي صلي الله عليه و آله وسلم ، ولوازم الصور معلومة عند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ومبنى استفادة ما هو المنسوب إلى المشهور ، حمل القضيّة على الحقيقية ،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المكيل والموزون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وكاشفاً عن الأجناس المكيلة أو الموزونة في عصره صلي الله عليه و آله وسلم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المكيل والموزون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الذهب والفضّة والحنطة والشعير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وإنّما جمع في التعبير اختصاراً ،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الأشخاص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الحقيقة ، يكون ذلك مشابهاً من جهة بالقضيّة الخارجية ؛ لأنّ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طريقاً إلى خصوص الأجناس المكيلة والموزونة في عصره عليه السلام ، لا إلى كلّ ما يوزن ويكال ، ومن جهة بالقضيّة الحقيقية ؛ لأنّ المشار إليها ليست الطبائع المتقيّدة بزمان خاصّ أو مكان خاصّ ، ولا أفرادها </w:t>
      </w:r>
    </w:p>
    <w:p>
      <w:pPr>
        <w:pStyle w:val="BookText"/>
        <w:rPr/>
      </w:pPr>
      <w:r>
        <w:rPr>
          <w:rFonts w:ascii="Amiri" w:hAnsi="Amiri" w:eastAsia="Amiri" w:cs="Amiri"/>
          <w:color w:val="111111"/>
          <w:sz w:val="28"/>
          <w:sz w:val="28"/>
          <w:szCs w:val="28"/>
          <w:rtl w:val="true"/>
          <w:lang w:bidi="ar-SA"/>
        </w:rPr>
        <w:t xml:space="preserve">الموجودة في ذلك العصر ، بل نفس تلك الطبائع القابلة للصدق على الموجود في كلّ زمان ومكان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فتصير نتيجة ذلك التقييد وذاك الإطلاق ، هو القول المشهور ؛ أي الأجناس التي كانت مكيلة أو موزونة في عصر الشارع ، لا يجوز التفاضل فيها في كلّ عصر ومصر ، إذا كان الجنس واحداً ، ولا بدّ فيها من التعامل بالكيل والوزن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أخذ الموضوع في الروايات على وجه الموضوعية ، لكن بنحو القضيّة الخارجية ؛ أي متقيّداً بما لا ينطبق إلاّ على ما هو الموجود في عصره ، وجعل الحكم عليه بنحو الإطلاق ؛ أي كلّ ما كان يكال في عصره ، لا يجوز بيعه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عصر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مثلين بمثل إذا كان الجنس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هذا الباب ، إنّما هو بعد الفراغ عن أنّ أدلّة اعتبار الكيل والوزن ، مستقلّة في قبال دليل النهي عن الغرر ، كما تقدّم الكلام فيه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فلو كان الدليل منحصراً بالغرر ، وكان اعتبار الكيل والوزن لكونهما من مصاديق رفع الغرر ، لم يبق مجال لهذا البحث ؛ لأنّ 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يكونان موضوعين لحكم في الشرع ، بل الموضوع هو الغرر ونفيه ، وإن أمكن البحث على هذا الفرض أيضاً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يرتفع به الغرر في عصره صلي الله عليه و آله وسلم ، لا بدّ وأن يرتفع به في كلّ عصر ، فيكون موضوع الحكم ، رفع الغرر بطريق خاصّ، لكنّه كما ترى لا يرجع إلى محصّل، هذا كلّه بحسب التصوّر</w:t>
      </w:r>
      <w:r>
        <w:rPr>
          <w:rFonts w:eastAsia="Amiri" w:cs="Amiri" w:ascii="Amiri" w:hAnsi="Amiri"/>
          <w:color w:val="111111"/>
          <w:sz w:val="28"/>
          <w:szCs w:val="28"/>
          <w:rtl w:val="true"/>
          <w:lang w:bidi="ar-SA"/>
        </w:rPr>
        <w:t xml:space="preserve">. </w:t>
      </w:r>
      <w:bookmarkStart w:id="461" w:name="pg15209_204030"/>
    </w:p>
    <w:p>
      <w:pPr>
        <w:pStyle w:val="Heading5"/>
        <w:numPr>
          <w:ilvl w:val="4"/>
          <w:numId w:val="1"/>
        </w:numPr>
        <w:rPr/>
      </w:pPr>
      <w:bookmarkStart w:id="462" w:name="__RefHeading___Toc2974613_2142443653"/>
      <w:bookmarkStart w:id="463" w:name="_Toc162"/>
      <w:bookmarkEnd w:id="461"/>
      <w:bookmarkEnd w:id="462"/>
      <w:r>
        <w:rPr>
          <w:rtl w:val="true"/>
        </w:rPr>
        <w:t>موضوعية المكيل والموزون إثباتاً</w:t>
      </w:r>
      <w:bookmarkEnd w:id="463"/>
    </w:p>
    <w:p>
      <w:pPr>
        <w:pStyle w:val="BookText"/>
        <w:rPr/>
      </w:pPr>
      <w:r>
        <w:rPr>
          <w:rFonts w:ascii="Amiri" w:hAnsi="Amiri" w:eastAsia="Amiri" w:cs="Amiri"/>
          <w:color w:val="111111"/>
          <w:sz w:val="28"/>
          <w:sz w:val="28"/>
          <w:szCs w:val="28"/>
          <w:rtl w:val="true"/>
          <w:lang w:bidi="ar-SA"/>
        </w:rPr>
        <w:t>وأمّا ما يظهر من الأدلّة خصوصاً الأدلّة الواردة في باب الربا</w:t>
      </w:r>
      <w:r>
        <w:rPr>
          <w:rStyle w:val="FootnoteAnchor"/>
          <w:rtl w:val="true"/>
        </w:rPr>
        <w:footnoteReference w:id="932"/>
      </w:r>
      <w:r>
        <w:rPr>
          <w:rFonts w:ascii="Amiri" w:hAnsi="Amiri" w:eastAsia="Amiri" w:cs="Amiri"/>
          <w:color w:val="111111"/>
          <w:sz w:val="28"/>
          <w:sz w:val="28"/>
          <w:szCs w:val="28"/>
          <w:rtl w:val="true"/>
          <w:lang w:bidi="ar-SA"/>
        </w:rPr>
        <w:t xml:space="preserve">، فهو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المكيل والموزون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يكال ويوزن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في الموضوع ، وأنّ الحكم متعلّق بعنوانهما على نحو الموضوعية ؛ لأنّ أخذ العنوان على نحو الطريقية مخالف للظاهر ، كما في الأمثال والنظائر ، ويحتاج إلى دلالة مفقودة في المقام ، كما أنّ الظاهر أنّ القضيّة كالحقيقية ؛ قضاءً لإطلاق الأدلّة وعمومها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ما ذكر أنّ المكيل والموزون في كلّ عصر ومصر ، يترتّب عليه الحكم في باب الربا ، وفي هذا الباب ، ومع تغيّر العنوان يسقط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 العنوان مشيراً إلى غيره كما في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متقيّداً بزمان النبي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لظواهر الأدلّة وإطلاقها ، من غير فرق بين باب الربا وما نحن فيه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طعام سمّيت فيه كيلاً فلا يصلح بيعه مجازفة</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وقوله عليه السلام في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الطعام وما يكال ويوزن ، هل يصلح شراؤه بغير كيل ولا وزن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r>
        <w:rPr>
          <w:rStyle w:val="FootnoteAnchor"/>
          <w:rtl w:val="true"/>
        </w:rPr>
        <w:footnoteReference w:id="934"/>
      </w:r>
      <w:r>
        <w:rPr>
          <w:rFonts w:ascii="Amiri" w:hAnsi="Amiri" w:eastAsia="Amiri" w:cs="Amiri"/>
          <w:color w:val="111111"/>
          <w:sz w:val="28"/>
          <w:sz w:val="28"/>
          <w:szCs w:val="28"/>
          <w:rtl w:val="true"/>
          <w:lang w:bidi="ar-SA"/>
        </w:rPr>
        <w:t xml:space="preserve">، ظاهران في موضوعية العنوان ، وكون القضيّة حقيقية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وأوضح منهما ما ورد في الربا، كقوله عليه السلام في موثّقة منصور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يكال أو يوزن ، فلا يصلح مثلين بمثل إذا كان من جنس واحد ، فإذا كان لا يكال ولا يوزن ، فلا بأس به اثنين بواحد</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xml:space="preserve">ولا سيّما بعد وقوع الكبريين بعد السؤال عن عدّة أشياء لم تكن موزونة ولا مكيلة ، كالبيضة ، والثوب ، والفرس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فتصير الكبرى كالنصّ في أنّ الميزان هو العنوانان لا الأشخاص ، وأ نّهما على نعت الكلّي ، لا المخصوص بمكان أو زمان ، ولا سيّما مع ورود الروايات في عصر الصادقين ، لا النبي صلي الله عليه و آله وسلم ، فلا إشكال في دلالة الروايات على خلاف ما نسب إلى المشهور</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أفاده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في هذا الباب أخذ المكيل والموزون على نحو الموضوعية ، ونفي البعد عن الكاشفية والعنوانية لأجناس خاصّة في باب الربا </w:t>
      </w:r>
      <w:r>
        <w:rPr>
          <w:rStyle w:val="FootnoteAnchor"/>
          <w:rtl w:val="true"/>
        </w:rPr>
        <w:footnoteReference w:id="937"/>
      </w:r>
      <w:r>
        <w:rPr>
          <w:rFonts w:ascii="Amiri" w:hAnsi="Amiri" w:eastAsia="Amiri" w:cs="Amiri"/>
          <w:color w:val="111111"/>
          <w:sz w:val="28"/>
          <w:sz w:val="28"/>
          <w:szCs w:val="28"/>
          <w:rtl w:val="true"/>
          <w:lang w:bidi="ar-SA"/>
        </w:rPr>
        <w:t xml:space="preserve">غير موجّه ؛ لأظهرية روايات الربا في الموضوعية كما أشرنا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عليها أيضاً رواية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الشاة بالشاتين ، والبيضة بالبيضتين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يكن كيلاً أو وزناً</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ولا سيّما على احتمال أن يكون </w:t>
      </w:r>
    </w:p>
    <w:p>
      <w:pPr>
        <w:pStyle w:val="BookText"/>
        <w:rPr/>
      </w:pPr>
      <w:r>
        <w:rPr>
          <w:rFonts w:ascii="Amiri" w:hAnsi="Amiri" w:eastAsia="Amiri" w:cs="Amiri"/>
          <w:color w:val="111111"/>
          <w:sz w:val="28"/>
          <w:sz w:val="28"/>
          <w:szCs w:val="28"/>
          <w:rtl w:val="true"/>
          <w:lang w:bidi="ar-SA"/>
        </w:rPr>
        <w:t xml:space="preserve">المراد ، أنّ المذكورين ما داما غير مكيلين ولا موزونين فلا بأس ، فالبيضة ما دامت معدودة وكذا الشاة ، لا بأس بالتفاضل ، وإذا صارتا موزونتين ، أو الشاة موزونة والبيضة مكيلة ، فلا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تفصيل المحقّق الخراساني قدّس سرّه ، هو ذكر جملة من المكيل والموزون بالخصوص في الروايات</w:t>
      </w:r>
      <w:r>
        <w:rPr>
          <w:rStyle w:val="FootnoteAnchor"/>
          <w:rtl w:val="true"/>
        </w:rPr>
        <w:footnoteReference w:id="939"/>
      </w:r>
      <w:r>
        <w:rPr>
          <w:rFonts w:ascii="Amiri" w:hAnsi="Amiri" w:eastAsia="Amiri" w:cs="Amiri"/>
          <w:color w:val="111111"/>
          <w:sz w:val="28"/>
          <w:sz w:val="28"/>
          <w:szCs w:val="28"/>
          <w:rtl w:val="true"/>
          <w:lang w:bidi="ar-SA"/>
        </w:rPr>
        <w:t xml:space="preserve">، وهو كما ترى ، أو اشتهى تطبيق الروايات على المشهور ولو بتكلّف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كلامه بعض المناقشات ، منها أ نّه مع ادّعائه ظهور العنوانين هاهنا في الموضوعية ، جعل المناط رفع الغرر والجهالة بهما وهذا ينافي الموضوعية ، بل هو عين العنوانية ، لكن إلى رفع الغرر ؛ إذ معنى الموضوعية والسببية ، أنّ لنفس العنوان دخالة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 نّهما تمام الموضوع في قبال الغرر ، فكان عليه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أدلّة الباب الطريقية إلى الغرر ، ومن أدلّة الربا الطريقية إلى الأجناس الخاصّة ، وفي كلتا الدعويين إشكال ومنع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إمكان استفادة قول المشهور من الروايات بالوجهين المتقدّمين</w:t>
      </w:r>
      <w:r>
        <w:rPr>
          <w:rStyle w:val="FootnoteAnchor"/>
          <w:rtl w:val="true"/>
        </w:rPr>
        <w:footnoteReference w:id="940"/>
      </w:r>
      <w:r>
        <w:rPr>
          <w:rFonts w:ascii="Amiri" w:hAnsi="Amiri" w:eastAsia="Amiri" w:cs="Amiri"/>
          <w:color w:val="111111"/>
          <w:sz w:val="28"/>
          <w:sz w:val="28"/>
          <w:szCs w:val="28"/>
          <w:rtl w:val="true"/>
          <w:lang w:bidi="ar-SA"/>
        </w:rPr>
        <w:t xml:space="preserve">، إنّما يصحّ لو كان المشهور الاعتبار بما كان مكيلاً في مصر النبي صلي الله عليه و آله وسلم ، كالمدينة ، أو مكّة المعظّمة ، مع فرض عدم تغيير في عصره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قامت الشهرة أو قام الإجماع ، على أنّ المكيل أو الموزون في </w:t>
      </w:r>
    </w:p>
    <w:p>
      <w:pPr>
        <w:pStyle w:val="BookText"/>
        <w:rPr/>
      </w:pPr>
      <w:r>
        <w:rPr>
          <w:rFonts w:ascii="Amiri" w:hAnsi="Amiri" w:eastAsia="Amiri" w:cs="Amiri"/>
          <w:color w:val="111111"/>
          <w:sz w:val="28"/>
          <w:sz w:val="28"/>
          <w:szCs w:val="28"/>
          <w:rtl w:val="true"/>
          <w:lang w:bidi="ar-SA"/>
        </w:rPr>
        <w:t xml:space="preserve">عصر النبي صلي الله عليه و آله وسلم ، يجري فيه الربا مطلقاً ، ولا بدّ فيه من الكيل أو الوزن مطلقاً ، وأنّ غيرهما في عصره لا يجري فيه الحكمان مطلقاً ، فيشكل الأمر ؛ فإنّه لا شبهة في أنّ سكّان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القاطنين في الأمصار ، والمتفرّقين في البوادي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متوافقين في التقدير بالنسبة إلى جميع الأجناس ؛ بحيث كان المكيل في المدينة المنوّرة مكيلاً في جميع الأرض ، والموزون والمعدود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اختلاف الناس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جنس في عصره في محلّ مكيلاً ، وفي محلّ معدوداً ، وفي محلّ آخر يباع بالمشاهدة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تكون العناوين إشارة وطريقاً إلى الأجناس ، ولا يكون التقييد في الموضوع أيضاً مفيداً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المراد أنّ ما كان مكيلاً في جميع البلدان في عصره فهو مكيل مطلقاً ، يمكن الإفادة بالتقييد ، كما يمكن الإشارة إليه بنحو الإجمال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حكيت دعوى الإجماع</w:t>
      </w:r>
      <w:r>
        <w:rPr>
          <w:rStyle w:val="FootnoteAnchor"/>
          <w:rtl w:val="true"/>
        </w:rPr>
        <w:footnoteReference w:id="941"/>
      </w:r>
      <w:r>
        <w:rPr>
          <w:rFonts w:ascii="Amiri" w:hAnsi="Amiri" w:eastAsia="Amiri" w:cs="Amiri"/>
          <w:color w:val="111111"/>
          <w:sz w:val="28"/>
          <w:sz w:val="28"/>
          <w:szCs w:val="28"/>
          <w:rtl w:val="true"/>
          <w:lang w:bidi="ar-SA"/>
        </w:rPr>
        <w:t xml:space="preserve">على الحكمين في المكيل والموزون في عصره صلي الله عليه و آله وسلم ، وعلى عدمهما في غير المكيل والموزون في عصره ، كالمعدود ، والمشاهد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قيام الإجماع على أنّ في عصر النبي صلي الله عليه و آله وسلم ، إذا كان شيء مكيلاً أو موزوناً في جميع الأقطار ، يجري فيه الربا في الجميع ، وإذا كان مكيلاً في بلد ، ومعدوداً في بلد ، يجري فيه الربا في بلد الكيل إلى آخر الدهر ، ولا يجري في </w:t>
      </w:r>
      <w:bookmarkStart w:id="464" w:name="pg15209_204034"/>
    </w:p>
    <w:p>
      <w:pPr>
        <w:pStyle w:val="BookText"/>
        <w:rPr/>
      </w:pPr>
      <w:bookmarkEnd w:id="464"/>
      <w:r>
        <w:rPr>
          <w:rFonts w:ascii="Amiri" w:hAnsi="Amiri" w:eastAsia="Amiri" w:cs="Amiri"/>
          <w:color w:val="111111"/>
          <w:sz w:val="28"/>
          <w:sz w:val="28"/>
          <w:szCs w:val="28"/>
          <w:rtl w:val="true"/>
          <w:lang w:bidi="ar-SA"/>
        </w:rPr>
        <w:t xml:space="preserve">بلد العدّ كذلك ، كانت إفادة الحكم بالأخبار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بل متعذّرة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تصحّ بتقييدات ، لا بتقييد واحد ، والأمر سهل بعد أن لا واقعية لهذه التصوّرات ، ولا خفاء في ظهور الأخبار </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2974615_2142443653"/>
      <w:bookmarkStart w:id="466" w:name="_Toc163"/>
      <w:bookmarkEnd w:id="465"/>
      <w:r>
        <w:rPr>
          <w:rtl w:val="true"/>
        </w:rPr>
        <w:t>حكم الشكّ في المكيلية والموزونية</w:t>
      </w:r>
      <w:bookmarkEnd w:id="466"/>
    </w:p>
    <w:p>
      <w:pPr>
        <w:pStyle w:val="BookText"/>
        <w:rPr/>
      </w:pPr>
      <w:r>
        <w:rPr>
          <w:rFonts w:ascii="Amiri" w:hAnsi="Amiri" w:eastAsia="Amiri" w:cs="Amiri"/>
          <w:color w:val="111111"/>
          <w:sz w:val="28"/>
          <w:sz w:val="28"/>
          <w:szCs w:val="28"/>
          <w:rtl w:val="true"/>
          <w:lang w:bidi="ar-SA"/>
        </w:rPr>
        <w:t xml:space="preserve">ثمّ على فرض قيام الإجماع أو الشهرة المعتبرة في المسألة ، لا بدّ من بيان حكم حال الشكّ والجهل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الإجماع من تعلّقه إمّا بعنوان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المكيل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تعلّقه بأشياء خارجية ، ويكون العنوان مشيراً إليها ، لا متعلّقاً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تخلو الأخبار من الدلالة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بنحو القضيّة الحقيقية ، أو القضيّة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الموضوع نفس العناوين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العناوين مشيرة إلى الأجناس الخارجية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فرض أنّ الحكم تعلّق بالعناوين ، وكانت لها موضوعية في الإجماع والأخبار ، لا يصحّ التمسّك بشيء من الأدلّة ؛ لا عمومات وإطلاقات تنفيذ البيع ، ولا الأخبار ، ولا الإجماع ؛ لكون المورد من الشبهة المصداقية للإجماع المتعلّق بالعنوان الكلّي المخصّص للأدلّة ، إلاّ أن يحرز الموضوع بالأصل ، وسيأتي الكلام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كانت الأخبار بنحو القضيّة الحقيقية ، وكان الإجماع بنحو الإشارة ، يجب الرجوع إليها ، لا إلى الإجماع ، ولا إلى عمومات صحّة البيع ؛ لأنّ الإجماع معتبر في المتيقّن ، ولا يكون متعلّقاً بالعنوان حتّى تصير الشبهة مصداقية ، فالمرجع هي الأخبار المخصّصة للآيات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الأخبار أيضاً مشيرة إلى الأجناس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نفى البعد عنه المحقّق الخراساني قدّس سرّه بالنسبة إلى أخبار الربا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المرجع هو عموم الكتاب وإطلاقه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الأخبار مشيرة ، والإجماع على العنوان ، لا يصحّ الرجوع إلى شيء من الكتاب والسنّة والإجماع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إحراز موضوع الإجماع والأخبار بالاستصحاب ، لو فرض العلم بكون الشيء مكيلاً قبل عصر النبي صلي الله عليه و آله وسلم ، وشكّ في بقائه كذلك ، أو بكونه مكيلاً في هذا العصر ، وشكّ في كونه كذلك في عصر النبي صلي الله عليه و آله وسلم ، على فرض حجّية الاستصحاب القهقري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الفلاني كان مكيلاً قبل عصره ، فهو كذلك في عصره ، فيحرز به موضوع الإجماع والأخبار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جريانه ، أمّا إذا كان العنوان مأخوذاً على نحو الإشارة ؛ فلأنّ استصحاب كون الشيء مكيلاً في عصره ، لا يثبت كونه مشاراً إليه بالإجماع أو الأخبار ، والفرض عدم كون المكيل موضوعاً ، فالأصل لإثبات مشموليته للإجماع والأخبار ، لا لإحراز الموضوع المتعلّق للحكم ، وهو مثبت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إن كان الموضوع نفس العناوين متقيّدة بزمان النبي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كان مكيلاً في زمانه يجري فيه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واُريد بالاستصحاب إلى زمانه إحراز الموضوع ؛ فلأنّ وحدة القضيّة المتيقّنة والمشكوك فيها معتبرة في الاستصحاب ، فإن كان الموضوع هو المكيل في زمانه على وجه القيدية ، فليست له حالة سابقة متيقّنة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استصحاب نفس العناوين إلى زمانه ، وإثبات القيد بالقطع ، فهو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 شيء مكيلاً في عصر النبي صلي الله عليه و آله وسلم ، ليس متيقّناً حتّى يستصحب ، ويحرز به موضوع الإجماع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المعلوم كون الشيء مكيلاً في عصر قبل عصر النبي صلي الله عليه و آله وسلم ، على أن يكون الزمان ظرفاً لا قيداً ، وإلاّ يصير أفحش ، ومع ظرفيته وإن اتّحدت القضيّة المتيقّنة والقضيّة المشكوك فيها ، وجرى الاستصحاب ، لكن لا يمكن إثبات الحكم للمقيّد بزمانه بذلك إلاّ بالأصل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 الموضوع في الإجماع أو الشهرة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المكيل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التقييد ، كما هو ظاهر المنقول منهما ، بل لا معنى للظرفية في المقام ؛ لعدم حصول ما هو المطلوب من الإجماع كما لا يخفى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في الموارد المشكوك فيها استصحاب عدم المكيلية والموزونية في عصره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الموارد المشكوك فيها ، إن كانت من الأطعمة أو الثمرات ونحوها ، فكلّها مسبوقة في عصره بعدمهما في حالة ، كالثمرة على الشجرة ، والزرع قبل حصاده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شكّ في صيرورتها ممّا يكال أو يوزن ، بعد تبدّل تلك الحالة في عصره صلي الله عليه و آله وسلم ، تستصحب الحالة السابقة ، فتندرج في الكبرى الشرعية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لا يكون مكيلاً أو موزوناً في عصره ، لا يجري فيه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ادّعي الإجماع</w:t>
      </w:r>
      <w:r>
        <w:rPr>
          <w:rStyle w:val="FootnoteAnchor"/>
          <w:rtl w:val="true"/>
        </w:rPr>
        <w:footnoteReference w:id="943"/>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 استصحاب عدم كونها معدودة في عصره ، أو ممّا بيع مشاهدة ؛ لعدم أثر شرعي له ، ولا يثبت به القسم المقابل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فرض الإجماع أو الشهرة المعتبرة ، ولكن يمكن منعهما حتّى في باب الربا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الدعاوي في المسألة متعارضة ؛ فإنّ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عادة الحجاز على عهده صلي الله عليه و آله وسلم في شيء الكيل ، لم يجز إلاّ كيلاً في سائر البلاد ، وما كانت فيه وزناً ، لم يجز فيه إلاّ وزناً في سائر البلاد ، والمكيال مكيال أهل المدينة ، والميزان ميزان أهل مكّة ، هذا كلّه بلا خلاف</w:t>
      </w:r>
      <w:r>
        <w:rPr>
          <w:rStyle w:val="FootnoteAnchor"/>
          <w:rtl w:val="true"/>
        </w:rPr>
        <w:footnoteReference w:id="944"/>
      </w:r>
      <w:r>
        <w:rPr>
          <w:rFonts w:ascii="Amiri" w:hAnsi="Amiri" w:eastAsia="Amiri" w:cs="Amiri"/>
          <w:color w:val="111111"/>
          <w:sz w:val="28"/>
          <w:sz w:val="28"/>
          <w:szCs w:val="28"/>
          <w:rtl w:val="true"/>
          <w:lang w:bidi="ar-SA"/>
        </w:rPr>
        <w:t xml:space="preserve">انتهى ، مع ورود بعض المناقشات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صدره ، أنّ المناط عادة الحجاز ، ومن ذيله أنّ المناط في الكيل المدينة ، وفي الوزن مكّة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أنّ الموزون لا يجوز فيه الكيل وبالعكس ، وهو مسألة خلافية بلا إشكال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ذيله ، أنّ اللازم تبعية سائر البلاد لمكيال أهل المدينة ، فلا يجوز بيع المكيل بمكيال آخر ، ولميزان أهل مكّة ، فلا يجوز العدول إلى ميزان آخر ، ولا أظنّ التزام أحد من الفقهاء بذلك ، فلا بدّ من تأويله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معارض بما ادّعي عليه الإجماع ، كالمحكيّ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المناط في الكيل والوزن على عصر النبي صلي الله عليه و آله وسلم ، فما ثبت أ نّه مكيل وموزون في عصره ، بني عليه حكم الربا إجماعاً ، وإن تغيّر بعد ذلك ، وما علم أ نّه غير مكيل ولا موزون في عصره ، فليس بربوي إجماعاً</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مقتضى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في الحجاز عادة في عهده صلي الله عليه و آله وسلم ، لم يجز في سائر البلدان التخلّف عنه، ومقتضى الثاني، أنّ ما كان مكيلاً أو موزوناً في عصره صلي الله عليه و آله وسلم ولو في غير الحجاز ، فهو ربوي ، فلا عبرة بالحجاز خاصّة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ينقل الاعتبار بعادة الشرع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xml:space="preserve">وجملة من الكتب المتأخّرة عنها </w:t>
      </w:r>
      <w:r>
        <w:rPr>
          <w:rStyle w:val="FootnoteAnchor"/>
          <w:rtl w:val="true"/>
        </w:rPr>
        <w:footnoteReference w:id="947"/>
      </w:r>
      <w:r>
        <w:rPr>
          <w:rFonts w:ascii="Amiri" w:hAnsi="Amiri" w:eastAsia="Amiri" w:cs="Amiri"/>
          <w:color w:val="111111"/>
          <w:sz w:val="28"/>
          <w:sz w:val="28"/>
          <w:szCs w:val="28"/>
          <w:rtl w:val="true"/>
          <w:lang w:bidi="ar-SA"/>
        </w:rPr>
        <w:t>، ونقل عن القاضي</w:t>
      </w:r>
      <w:r>
        <w:rPr>
          <w:rStyle w:val="FootnoteAnchor"/>
          <w:rtl w:val="true"/>
        </w:rPr>
        <w:footnoteReference w:id="948"/>
      </w:r>
      <w:r>
        <w:rPr>
          <w:rFonts w:ascii="Amiri" w:hAnsi="Amiri" w:eastAsia="Amiri" w:cs="Amiri"/>
          <w:color w:val="111111"/>
          <w:sz w:val="28"/>
          <w:sz w:val="28"/>
          <w:szCs w:val="28"/>
          <w:rtl w:val="true"/>
          <w:lang w:bidi="ar-SA"/>
        </w:rPr>
        <w:t xml:space="preserve">أيضاً ، والظاهر خلوّ كتب القدماء عن الفتوى بها ، وإلاّ لنقلها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مع كثرة تتبّعه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تخلّل الاجتهاد في البين ؛ ضرورة استناد جمع منهم إلى أنّ الألفاظ الواردة في الأخبار تحمل على عرف الشرع ، وإذا لم يعلم عرفه حملت على العرف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قواعدهم ، حمل الألفاظ الواردة في الأخبار على عرفهم ، فما علم حاله في عرفهم ، جرى الحكم بذلك عليه ، وما لم يعلم يرجع فيه إلى العامّ ، كما بيّن في الاُصول</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العبارة غير ما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الواجب في معاني الألفاظ الواردة في الأخبار ، حملها على عرفهم</w:t>
      </w:r>
      <w:r>
        <w:rPr>
          <w:rStyle w:val="FootnoteAnchor"/>
          <w:rtl w:val="true"/>
        </w:rPr>
        <w:footnoteReference w:id="951"/>
      </w:r>
      <w:r>
        <w:rPr>
          <w:rFonts w:ascii="Amiri" w:hAnsi="Amiri" w:eastAsia="Amiri" w:cs="Amiri"/>
          <w:color w:val="111111"/>
          <w:sz w:val="28"/>
          <w:sz w:val="28"/>
          <w:szCs w:val="28"/>
          <w:rtl w:val="true"/>
          <w:lang w:bidi="ar-SA"/>
        </w:rPr>
        <w:t xml:space="preserve">حتّى يرد عليها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وغيره</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الكلام ليس في معنى اللفظ ؛ لأنّ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منها أنّ الألفاظ بعد معلومية مفاهيمها ، تحمل على عادة الشرع ، ولعلّ منشأ ذلك دعوى انصرافها إليها وإن كانت فاسدة ، ومعه تكون دعوى الإجماع معلّلة ، وفي مثل ذلك لا حجّية له ، فضلاً عن 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فرض استنادهم أو استناد جمع منهم إلى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 لم يصحّ الاستناد إلى إجماعهم ؛ فإنّ ورود الإشكال عليهم ، لا يخرج الإجماع عن كونه معلّلاً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الأمر في المقام ومسألة الربا سهل ، إذا ادّعي الإجماع على أنّ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علم من عادة الشرع يجب مراعاته ، فإنّ ما علم من عادته ، يكون في هذه الأعصار أيضاً باقياً عليها ، وما لم يعلم أو علم عدم وجوده في ذلك العصر ، لم يقم إجماع عليه ، فيعمل فيه على القواعد ومقتضى الأخبار ، بعد عدم إحراز قيام الإجماع على العنوان حتّى تصير الشبهة مصداقية ، فتدبّر </w:t>
      </w:r>
      <w:r>
        <w:rPr>
          <w:rFonts w:eastAsia="Amiri" w:cs="Amiri" w:ascii="Amiri" w:hAnsi="Amiri"/>
          <w:color w:val="111111"/>
          <w:sz w:val="28"/>
          <w:szCs w:val="28"/>
          <w:rtl w:val="true"/>
          <w:lang w:bidi="ar-SA"/>
        </w:rPr>
        <w:t xml:space="preserve">. </w:t>
      </w:r>
      <w:bookmarkStart w:id="467" w:name="pg15209_204041"/>
    </w:p>
    <w:p>
      <w:pPr>
        <w:pStyle w:val="Heading4"/>
        <w:numPr>
          <w:ilvl w:val="3"/>
          <w:numId w:val="1"/>
        </w:numPr>
        <w:rPr/>
      </w:pPr>
      <w:bookmarkStart w:id="468" w:name="__RefHeading___Toc2974617_2142443653"/>
      <w:bookmarkStart w:id="469" w:name="_Toc164"/>
      <w:bookmarkEnd w:id="467"/>
      <w:bookmarkEnd w:id="468"/>
      <w:r>
        <w:rPr>
          <w:rtl w:val="true"/>
        </w:rPr>
        <w:t>مسألة في جواز الاعتماد على إخبار البائع بمقدار المبيع</w:t>
      </w:r>
      <w:bookmarkEnd w:id="469"/>
    </w:p>
    <w:p>
      <w:pPr>
        <w:pStyle w:val="Heading5"/>
        <w:numPr>
          <w:ilvl w:val="4"/>
          <w:numId w:val="1"/>
        </w:numPr>
        <w:rPr/>
      </w:pPr>
      <w:bookmarkStart w:id="470" w:name="__RefHeading___Toc2974619_2142443653"/>
      <w:bookmarkStart w:id="471" w:name="_Toc165"/>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 xml:space="preserve">لو أخبر البائع بمقدار المبيع ، جاز الاعتماد عليه على المشهور ، كما ادّعاها الشيخ الأعظم قدّس سرّه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أخبره البائع بكيله ، ثمّ باعه بذلك الكيل ، صحّ عندنا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جواز الاعتماد في الكيل والوزن على إخبار البائع</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الجميع ، عدم الفرق بين كون المخبر مؤتمناً وعدمه ، ولا بين حصول الظنّ أو الوثوق بقوله وعدمه ، ولا بين تصديق المشتري إيّاه وعدمه ، ولا بين عدالته وعدمها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الطعام وما يكال ويوزن ، </w:t>
      </w:r>
    </w:p>
    <w:p>
      <w:pPr>
        <w:pStyle w:val="BookText"/>
        <w:rPr/>
      </w:pPr>
      <w:r>
        <w:rPr>
          <w:rFonts w:ascii="Amiri" w:hAnsi="Amiri" w:eastAsia="Amiri" w:cs="Amiri"/>
          <w:color w:val="111111"/>
          <w:sz w:val="28"/>
          <w:sz w:val="28"/>
          <w:szCs w:val="28"/>
          <w:rtl w:val="true"/>
          <w:lang w:bidi="ar-SA"/>
        </w:rPr>
        <w:t>هل يصلح شراؤه بغير كيل ولا وزن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 تأتي رجلاً في طعام قد كيل ووزن تشتري منه مرابحة ، فلا بأس إن اشتريته منه ولم تكله ولم تزنه ، إذا كان المشتري الأوّل قد أخذه بكيل أو وزن ، وقلت له عند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اُربحك كذا وكذا ، وقد رضيت بكيلك ووزنك فلا بأس</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التجارة ، أبواب عقد البيع وشروطه ،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أنّ الرضا بكيله ووزنه ، تمام الموضوع للصحّة ، وكون الغالب في موارد الرضا بهما ما إذا كان المشتري واثقاً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الانصراف ، بعد كون الرضا بهما كثيراً ما لجهات اُخر ، ولو كان للوثوق به دخالة في الصحّة ، لم يجز السكوت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يصلح شراؤه بغير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بالبيع مجازفة بلا كيل ولا وزن ؛ لمجرّد الحدس والتخمين لبعض الأغراض ، كمشقّة الكيل والوزن ، أو الاشتغال بأمر أهمّ ، ففي مثله لا يكون الرضا بهما لأجل الوثوق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عبدالملك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مائة راوية من زيت ، فأعترض راوية أو اثنتين فأتّزنهما ، ثمّ آخذ سائره على قدر ذلك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منها رواية عبد الرحمان بن أبي عبداللّه‌</w:t>
      </w:r>
      <w:r>
        <w:rPr>
          <w:rStyle w:val="FootnoteAnchor"/>
          <w:rtl w:val="true"/>
        </w:rPr>
        <w:footnoteReference w:id="959"/>
      </w:r>
      <w:r>
        <w:rPr>
          <w:rFonts w:ascii="Amiri" w:hAnsi="Amiri" w:eastAsia="Amiri" w:cs="Amiri"/>
          <w:color w:val="111111"/>
          <w:sz w:val="28"/>
          <w:sz w:val="28"/>
          <w:szCs w:val="28"/>
          <w:rtl w:val="true"/>
          <w:lang w:bidi="ar-SA"/>
        </w:rPr>
        <w:t xml:space="preserve">بناءً على أنّ المراد أخذ سائرها بإخبار البائع ؛ بدعوى كون المتعارف ذلك ، وأمّا على احتمال كون البائع أيضاً جاهلاً ، وجعل المشتري والبائع وزن راوية أو راويتين طريقاً إلى غيرها ، فتخرج عن محطّ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فالمتّبع هو إطلاق الموثّقة ، ولا ترفع اليد عنه إلاّ بحجّة ، وهي مفقودة ، والروايات الواردة في المقام لا تصلح لتقييدها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صحيحة عبد الرحمان بن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سأل أبا عبداللّه عليه السلام عن الرجل يشتري الطعام ، أشتريه منه بكيله واُصدّقه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 ولكن لا تبعه حتّى تكيله</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موثّقة محمّد بن حمران</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فلوقوع القيد فيها في كلام الراوي ، فيصحّ الجواب ولو على فرض اعتبار إخباره بنحو الإطلاق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رواية أبي العطارد ، عن أبي عبداللّه 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الكرّ والكرّين ، فيقول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أعطنيه بكيلك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ائتمنك فلا بأس</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عدم اعتبار إخباره إلاّ مع الائتمان ، سواء كان المراد الإخبار بمقدار أعداد المكاييل ، أو كان إخباره بأنّ مكياله كسائر المكاييل المتعارفة ، ولم يكن ناقصاً منها ، فإنّه على الفرض الثاني أيضاً يفهم منه أنّ الاتّكال على إخباره مطلقاً ، لا يجوز إلاّ مع الائتمان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الرواية ضعيفة</w:t>
      </w:r>
      <w:r>
        <w:rPr>
          <w:rStyle w:val="FootnoteAnchor"/>
          <w:rtl w:val="true"/>
        </w:rPr>
        <w:footnoteReference w:id="963"/>
      </w:r>
      <w:r>
        <w:rPr>
          <w:rFonts w:ascii="Amiri" w:hAnsi="Amiri" w:eastAsia="Amiri" w:cs="Amiri"/>
          <w:color w:val="111111"/>
          <w:sz w:val="28"/>
          <w:sz w:val="28"/>
          <w:szCs w:val="28"/>
          <w:rtl w:val="true"/>
          <w:lang w:bidi="ar-SA"/>
        </w:rPr>
        <w:t xml:space="preserve">لا تصلح للتقييد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مرسلة ابن بكير ، عن رجل من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الرجل يشتري الجصّ ، فيكيل بعضه ، ويأخذ البقيّة بغير 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يأخذ كلّه بتصديقه ، وإمّا أن يكيله كلّه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إرسالها ، وظهورها في الكيل في مقام الاستيفاء ، ولا أقلّ من احتمال ذلك احتمالاً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كاحتمال التفصيل بين تصديق البائع كيله وعدمه ، كما لا يبعد أن يكون أقرب ، وعليه فهي تدلّ بإطلاقها على المقصود ، وتكون مؤيّدة للموثّقة ، أو التفصيل بين تصديق المشتري البائع وغيره ، أو التفصيل بين حصول الوثوق وغيره ، أو بين الائتمان وغيره ، ومعها لا تصلح لتقييد الموثّقة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صحيحة الحلبي ؛ فلما مرّ من الكلام فيها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بقرائن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كان عن حدس ، وفي مثله لا يتّكل على قول البائع</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الغضّ عنه ، فلا شبهة في أنّ ذلك أحد المحتملات ، ومقتضى عدم الاستفصال عدم صحّة البيع مطلقاً ، سواء أخبر البائع بكيله حسّاً ، أو أخبر حدساً ، وطريق الجمع بينها وبين الموثّقة هو الصحّة مع الإخبار بكيله عن حسّ دون حدس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الموثّقة صريحة في جواز الاتّكال ، وهي ظاهرة في عدم الصحّة ، وطريق الجمع الحمل على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مناقشة في الموثّقة ، وهي أنّ الظاهر منها ، لزوم إحراز أصل الوزن والكيل بطريق عقلائي أو شرعي ، لا بنفس إخبار البائع ، وبعد إحرازه ، يكون إخباره بمقدار الأكيال كافياً في صحّته ،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بإطلاقها في قبول قوله في عدد المكاييل ، لم تدلّ على قبول قوله في تحقّق الكيل ، فلا بدّ من إحرازه بالعلم أو البيّنة ، وكفاية إخباره ولو حصل منه الوثوق محلّ إشكال ؛ فإنّ الموضوعات لا تثبت إلاّ بالبيّنة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كفاية قوله في تحقّق أصل الكيل إذا كان ثقة ، أو حصل الوثوق به ، وعدم الحاجة في ذلك إلى البيّنة ، تظهر من بعض الروايات الاُخر ، مثل 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w:t>
      </w:r>
      <w:r>
        <w:rPr>
          <w:rStyle w:val="FootnoteAnchor"/>
          <w:rtl w:val="true"/>
        </w:rPr>
        <w:footnoteReference w:id="966"/>
      </w:r>
      <w:r>
        <w:rPr>
          <w:rFonts w:ascii="Amiri" w:hAnsi="Amiri" w:eastAsia="Amiri" w:cs="Amiri"/>
          <w:color w:val="111111"/>
          <w:sz w:val="28"/>
          <w:sz w:val="28"/>
          <w:szCs w:val="28"/>
          <w:rtl w:val="true"/>
          <w:lang w:bidi="ar-SA"/>
        </w:rPr>
        <w:t>، ومرسلة ابن بكير</w:t>
      </w:r>
      <w:r>
        <w:rPr>
          <w:rStyle w:val="FootnoteAnchor"/>
          <w:rtl w:val="true"/>
        </w:rPr>
        <w:footnoteReference w:id="967"/>
      </w:r>
      <w:r>
        <w:rPr>
          <w:rFonts w:ascii="Amiri" w:hAnsi="Amiri" w:eastAsia="Amiri" w:cs="Amiri"/>
          <w:color w:val="111111"/>
          <w:sz w:val="28"/>
          <w:sz w:val="28"/>
          <w:szCs w:val="28"/>
          <w:rtl w:val="true"/>
          <w:lang w:bidi="ar-SA"/>
        </w:rPr>
        <w:t xml:space="preserve">، على كلا الاحتمالين </w:t>
      </w:r>
    </w:p>
    <w:p>
      <w:pPr>
        <w:pStyle w:val="BookText"/>
        <w:rPr/>
      </w:pPr>
      <w:r>
        <w:rPr>
          <w:rFonts w:ascii="Amiri" w:hAnsi="Amiri" w:eastAsia="Amiri" w:cs="Amiri"/>
          <w:color w:val="111111"/>
          <w:sz w:val="28"/>
          <w:sz w:val="28"/>
          <w:szCs w:val="28"/>
          <w:rtl w:val="true"/>
          <w:lang w:bidi="ar-SA"/>
        </w:rPr>
        <w:t xml:space="preserve">فيها ، وإنّ التفصيل بين أصل الكيل ومقداره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مخالفاً لمعقد محكيّ الاتّفاق وعدم الخلاف المتقدّمين</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في الغاية ، بل لا ينقدح في الأذهان من الموثّقة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ذلك في مقابل الجزاف وعدم الكيل والوزن ، كما في سؤاله ، فيكون المراد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الرضا بكيله ، وجواز الاتّكال على قوله ، فتدبّر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احتمال كون مفاد الموثّقة ، كرواية عبدالملك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الطعام فأكتاله ، ومعي من قد شهد الكيل ، وإنّما أكتاله لنفسي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فأبيعه إيّاه على ذلك الكيل الذي اكتلته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مسألة اُخرى غير ما نحن بصدده ، ردّاً على بعض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حيث زعم أنّ شهود الكيل لا يكفي</w:t>
      </w:r>
      <w:r>
        <w:rPr>
          <w:rStyle w:val="FootnoteAnchor"/>
          <w:rtl w:val="true"/>
        </w:rPr>
        <w:footnoteReference w:id="970"/>
      </w:r>
      <w:r>
        <w:rPr>
          <w:rFonts w:ascii="Amiri" w:hAnsi="Amiri" w:eastAsia="Amiri" w:cs="Amiri"/>
          <w:color w:val="111111"/>
          <w:sz w:val="28"/>
          <w:sz w:val="28"/>
          <w:szCs w:val="28"/>
          <w:rtl w:val="true"/>
          <w:lang w:bidi="ar-SA"/>
        </w:rPr>
        <w:t>، بل لا بدّ من الكيل بنفسه ، وإن استدلّ بها بعضهم للمقام</w:t>
      </w:r>
      <w:r>
        <w:rPr>
          <w:rStyle w:val="FootnoteAnchor"/>
          <w:rtl w:val="true"/>
        </w:rPr>
        <w:footnoteReference w:id="971"/>
      </w:r>
      <w:r>
        <w:rPr>
          <w:rFonts w:ascii="Amiri" w:hAnsi="Amiri" w:eastAsia="Amiri" w:cs="Amiri"/>
          <w:color w:val="111111"/>
          <w:sz w:val="28"/>
          <w:sz w:val="28"/>
          <w:szCs w:val="28"/>
          <w:rtl w:val="true"/>
          <w:lang w:bidi="ar-SA"/>
        </w:rPr>
        <w:t xml:space="preserve">، وذكرها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Style w:val="FootnoteAnchor"/>
          <w:rtl w:val="true"/>
        </w:rPr>
        <w:footnoteReference w:id="972"/>
      </w:r>
      <w:r>
        <w:rPr>
          <w:rFonts w:ascii="Amiri" w:hAnsi="Amiri" w:eastAsia="Amiri" w:cs="Amiri"/>
          <w:color w:val="111111"/>
          <w:sz w:val="28"/>
          <w:sz w:val="28"/>
          <w:szCs w:val="28"/>
          <w:rtl w:val="true"/>
          <w:lang w:bidi="ar-SA"/>
        </w:rPr>
        <w:t>؛ بدعوى أنّ المراد من الموثّقة هو الردّ عليهم في تلك المسألة أيضاً ، وأنّ الكيل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ثبت ، لا يحتاج إلى كيل آخر عند البيع </w:t>
      </w:r>
      <w:r>
        <w:rPr>
          <w:rFonts w:eastAsia="Amiri" w:cs="Amiri" w:ascii="Amiri" w:hAnsi="Amiri"/>
          <w:color w:val="111111"/>
          <w:sz w:val="28"/>
          <w:szCs w:val="28"/>
          <w:rtl w:val="true"/>
          <w:lang w:bidi="ar-SA"/>
        </w:rPr>
        <w:t xml:space="preserve">. </w:t>
      </w:r>
      <w:bookmarkStart w:id="472" w:name="pg15209_204047"/>
    </w:p>
    <w:p>
      <w:pPr>
        <w:pStyle w:val="BookText"/>
        <w:rPr/>
      </w:pPr>
      <w:bookmarkEnd w:id="472"/>
      <w:r>
        <w:rPr>
          <w:rFonts w:ascii="Amiri" w:hAnsi="Amiri" w:eastAsia="Amiri" w:cs="Amiri"/>
          <w:color w:val="111111"/>
          <w:sz w:val="28"/>
          <w:sz w:val="28"/>
          <w:szCs w:val="28"/>
          <w:rtl w:val="true"/>
          <w:lang w:bidi="ar-SA"/>
        </w:rPr>
        <w:t xml:space="preserve">فهو خلاف ظاهرها ؛ فإنّ السؤال إنّما هو عن الاشتراء بغير كيل ، لا عنه مع كيل البائع ، ومشاهدة المشتري ، فلا ينبغي الإشكال في أنّ الموثّقة مربوطة بمسألتنا هذه </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2974621_2142443653"/>
      <w:bookmarkStart w:id="474" w:name="_Toc166"/>
      <w:bookmarkEnd w:id="473"/>
      <w:r>
        <w:rPr>
          <w:rtl w:val="true"/>
        </w:rPr>
        <w:t>هل أنّ إخبار البائع بالكيل يوجب صحّة المعاملة ؟</w:t>
      </w:r>
      <w:bookmarkEnd w:id="474"/>
    </w:p>
    <w:p>
      <w:pPr>
        <w:pStyle w:val="BookText"/>
        <w:rPr/>
      </w:pPr>
      <w:r>
        <w:rPr>
          <w:rFonts w:ascii="Amiri" w:hAnsi="Amiri" w:eastAsia="Amiri" w:cs="Amiri"/>
          <w:color w:val="111111"/>
          <w:sz w:val="28"/>
          <w:sz w:val="28"/>
          <w:szCs w:val="28"/>
          <w:rtl w:val="true"/>
          <w:lang w:bidi="ar-SA"/>
        </w:rPr>
        <w:t>ثمّ إنّه مع الغضّ عن الروايات المتقدّمة ، ينبغي البحث عن أنّ إخبار البائع بالكيل ، هل يوجب صحّة المعاملة أو لا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المستند في اشتراط صحّة البيع بما ذكر حديث الغرر</w:t>
      </w:r>
      <w:r>
        <w:rPr>
          <w:rStyle w:val="FootnoteAnchor"/>
          <w:rtl w:val="true"/>
        </w:rPr>
        <w:footnoteReference w:id="973"/>
      </w:r>
      <w:r>
        <w:rPr>
          <w:rFonts w:ascii="Amiri" w:hAnsi="Amiri" w:eastAsia="Amiri" w:cs="Amiri"/>
          <w:color w:val="111111"/>
          <w:sz w:val="28"/>
          <w:sz w:val="28"/>
          <w:szCs w:val="28"/>
          <w:rtl w:val="true"/>
          <w:lang w:bidi="ar-SA"/>
        </w:rPr>
        <w:t xml:space="preserve">وكان المراد به هو الجهالة ، أو مثل قوله في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أئمّتنا عليهم السلام من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بيع الصبرة بالصبرة ، ولا يدري ما كيل هذه من كيل هذه</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xml:space="preserve">ومرسلة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xml:space="preserve">فلا ترتفع الجهالة ، ولا يتحقّق العلم بمجرّد الخبر ، ولا بخبر الثقة ، ولا الخبر الموثوق به ، إلاّ إذا كان الوثوق والاطمئنان بالواقع بحدّ ، يعدّ عند العرف علماً ودراية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المستند صدر صحيحة الحلبي</w:t>
      </w:r>
      <w:r>
        <w:rPr>
          <w:rStyle w:val="FootnoteAnchor"/>
          <w:rtl w:val="true"/>
        </w:rPr>
        <w:footnoteReference w:id="976"/>
      </w:r>
      <w:r>
        <w:rPr>
          <w:rFonts w:ascii="Amiri" w:hAnsi="Amiri" w:eastAsia="Amiri" w:cs="Amiri"/>
          <w:color w:val="111111"/>
          <w:sz w:val="28"/>
          <w:sz w:val="28"/>
          <w:szCs w:val="28"/>
          <w:rtl w:val="true"/>
          <w:lang w:bidi="ar-SA"/>
        </w:rPr>
        <w:t xml:space="preserve">، وكان الكيل معتبراً ؛ لقوله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إلاّ بكيل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الكيل بخبره إلاّ إذا حصل الاطمئنان والوثوق به بنحو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المستند ذيلها ، أو سائر روايات الحلبي</w:t>
      </w:r>
      <w:r>
        <w:rPr>
          <w:rStyle w:val="FootnoteAnchor"/>
          <w:rtl w:val="true"/>
        </w:rPr>
        <w:footnoteReference w:id="977"/>
      </w:r>
      <w:r>
        <w:rPr>
          <w:rFonts w:ascii="Amiri" w:hAnsi="Amiri" w:eastAsia="Amiri" w:cs="Amiri"/>
          <w:color w:val="111111"/>
          <w:sz w:val="28"/>
          <w:sz w:val="28"/>
          <w:szCs w:val="28"/>
          <w:rtl w:val="true"/>
          <w:lang w:bidi="ar-SA"/>
        </w:rPr>
        <w:t xml:space="preserve">، وكان المعتبر هو الخروج عن المجازفة ، فالظاهر خروجه عنها بإخبار البائع ، ولو كان فاسقاً أو مجهول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مع كونه متّهماً ، أو كاذباً في أقواله ، ولا يبالي بشيء ، يشكل الخروج عنها بإخباره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المستند حديث الغرر ، وكان المراد به الخطر المعاملي ، أو عدم الأمن من الضرر ، يخرج البيع بإخباره عن الخطر والضرر ؛ لأنّ البيع في المقادير يقع مبنيّاً عليه ؛ بمعنى أنّ البائع إذا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الطعام الكذائي مقداره خمسون مكيالاً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منه ما هو الخمسون ، يقع البيع على الشيء ملحوظاً تقديره ؛ لأنّ جزء المبيع ليس من قبيل وصفه ، حتّى يقع البيع تارة مبنيّاً عليه ، واُخرى بنحو الداعي ، فحينئذٍ يؤمن من الخطر والضرر بلحاظ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صحّة الشرط متوقّفة على صحّة البيع ، فلو كانت صحّته متوقّفة على صحّته لزم الدور</w:t>
      </w:r>
      <w:r>
        <w:rPr>
          <w:rStyle w:val="FootnoteAnchor"/>
          <w:rtl w:val="true"/>
        </w:rPr>
        <w:footnoteReference w:id="978"/>
      </w:r>
      <w:r>
        <w:rPr>
          <w:rFonts w:ascii="Amiri" w:hAnsi="Amiri" w:eastAsia="Amiri" w:cs="Amiri"/>
          <w:color w:val="111111"/>
          <w:sz w:val="28"/>
          <w:sz w:val="28"/>
          <w:szCs w:val="28"/>
          <w:rtl w:val="true"/>
          <w:lang w:bidi="ar-SA"/>
        </w:rPr>
        <w:t xml:space="preserve">ليس بشيء ؛ لأنّ الدور معي ، لا واقعي كما لا يخفى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ثبوت الخيار من أحكام الصحّة المشروطة بأن لا يكون هنا </w:t>
      </w:r>
      <w:bookmarkStart w:id="475" w:name="pg15209_204049"/>
    </w:p>
    <w:p>
      <w:pPr>
        <w:pStyle w:val="BookText"/>
        <w:rPr/>
      </w:pPr>
      <w:bookmarkEnd w:id="475"/>
      <w:r>
        <w:rPr>
          <w:rFonts w:ascii="IRNazanin" w:hAnsi="IRNazanin" w:eastAsia="IRNazanin"/>
          <w:color w:val="111111"/>
          <w:sz w:val="28"/>
          <w:sz w:val="28"/>
          <w:szCs w:val="28"/>
          <w:rtl w:val="true"/>
          <w:lang w:bidi="fa-IR"/>
        </w:rPr>
        <w:t>غرر</w:t>
      </w:r>
      <w:r>
        <w:rPr>
          <w:rStyle w:val="FootnoteAnchor"/>
          <w:rtl w:val="true"/>
        </w:rPr>
        <w:footnoteReference w:id="979"/>
      </w:r>
      <w:r>
        <w:rPr>
          <w:rFonts w:ascii="Amiri" w:hAnsi="Amiri" w:eastAsia="Amiri" w:cs="Amiri"/>
          <w:color w:val="111111"/>
          <w:sz w:val="28"/>
          <w:sz w:val="28"/>
          <w:szCs w:val="28"/>
          <w:rtl w:val="true"/>
          <w:lang w:bidi="ar-SA"/>
        </w:rPr>
        <w:t xml:space="preserve">مدفوع بأنّ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الخطر ، ونفس جعل البيع خيارياً يوجب رفعه ، ولا يلزم أن يتحقّق العقد صحيحاً ثمّ يثبت الخيار فيه ، بل لا معنى له فيما ذكر ، بل البناء المذكور يدفع الغرر ؛ بلحاظ ثبوت الخيار بعد تحقّقه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الغرر بمعنى الجهالة ، فلا يدفع بالبناء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الأعظم قدّس سرّه في المقام</w:t>
      </w:r>
      <w:r>
        <w:rPr>
          <w:rStyle w:val="FootnoteAnchor"/>
          <w:rtl w:val="true"/>
        </w:rPr>
        <w:footnoteReference w:id="980"/>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على فرض اعتبار الكيل ، يكفي الظنّ الحاصل بالخبر</w:t>
      </w:r>
      <w:r>
        <w:rPr>
          <w:rStyle w:val="FootnoteAnchor"/>
          <w:rtl w:val="true"/>
        </w:rPr>
        <w:footnoteReference w:id="981"/>
      </w:r>
      <w:r>
        <w:rPr>
          <w:rFonts w:ascii="Amiri" w:hAnsi="Amiri" w:eastAsia="Amiri" w:cs="Amiri"/>
          <w:color w:val="111111"/>
          <w:sz w:val="28"/>
          <w:sz w:val="28"/>
          <w:szCs w:val="28"/>
          <w:rtl w:val="true"/>
          <w:lang w:bidi="ar-SA"/>
        </w:rPr>
        <w:t xml:space="preserve">منظور فيه ، بل على فرضه لا بدّ من ثبوته بالطرق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حصل الوثوق والاطمئنان فالظاهر كفايته ، كما أشرنا إليه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2974623_2142443653"/>
      <w:bookmarkStart w:id="477" w:name="_Toc167"/>
      <w:bookmarkEnd w:id="476"/>
      <w:r>
        <w:rPr>
          <w:rtl w:val="true"/>
        </w:rPr>
        <w:t>بحث في روايات الباب ثبوتاً وإثباتاً</w:t>
      </w:r>
      <w:bookmarkEnd w:id="477"/>
    </w:p>
    <w:p>
      <w:pPr>
        <w:pStyle w:val="BookText"/>
        <w:rPr/>
      </w:pPr>
      <w:r>
        <w:rPr>
          <w:rFonts w:ascii="Amiri" w:hAnsi="Amiri" w:eastAsia="Amiri" w:cs="Amiri"/>
          <w:color w:val="111111"/>
          <w:sz w:val="28"/>
          <w:sz w:val="28"/>
          <w:szCs w:val="28"/>
          <w:rtl w:val="true"/>
          <w:lang w:bidi="ar-SA"/>
        </w:rPr>
        <w:t xml:space="preserve">هذا كلّه مع الغضّ عن أخبار الباب ، وأمّا بالنظر إليها فالمحتملات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كاحتمال جعل الشارع خبر البائع حجّة على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إنفاذ طريقيته إليه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خصوص مقدار المبيع حال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وكاحتمال اعتباره طريقيته العقلائية مطلقاً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خصوص ما ذكر آنفاً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ولازم هذه الاحتمالات إسقاط الشارع شرائط الشاهد ، واعتبار البيّنة في خصوص هذا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وكاحتمال اقتصاره في صحّة البيع على إخبار البائع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الطريق العقلائي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واقتصاره إمّا لأجل أنّ ما هو المعتبر في صحّته عدم الجزاف ، ومع إخباره يخرج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لأجل أنّ المانع الغرر بمعنى الخطر ، ومعه لا غرر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لأجل تخصيص قاعدة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بمعنى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التي بهذه المثابة ، ولا غرو فيه ، كما خصّصت في غير 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الإثبات ، فقد ادّعى الشيخ الأعظم قدّس سرّه دلالة الروايات على اعتبار كون الخبر طريقاً عرفياً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يمكن أن يكون شاهداً عليه ، إمّا موثّقة محمّد بن حمران</w:t>
      </w:r>
      <w:r>
        <w:rPr>
          <w:rStyle w:val="FootnoteAnchor"/>
          <w:rtl w:val="true"/>
        </w:rPr>
        <w:footnoteReference w:id="984"/>
      </w:r>
      <w:r>
        <w:rPr>
          <w:rFonts w:ascii="Amiri" w:hAnsi="Amiri" w:eastAsia="Amiri" w:cs="Amiri"/>
          <w:color w:val="111111"/>
          <w:sz w:val="28"/>
          <w:sz w:val="28"/>
          <w:szCs w:val="28"/>
          <w:rtl w:val="true"/>
          <w:lang w:bidi="ar-SA"/>
        </w:rPr>
        <w:t>وصحيحة عبد الرحمان بن أبي عبداللّه‌</w:t>
      </w:r>
      <w:r>
        <w:rPr>
          <w:rStyle w:val="FootnoteAnchor"/>
          <w:rtl w:val="true"/>
        </w:rPr>
        <w:footnoteReference w:id="985"/>
      </w:r>
      <w:r>
        <w:rPr>
          <w:rFonts w:ascii="Amiri" w:hAnsi="Amiri" w:eastAsia="Amiri" w:cs="Amiri"/>
          <w:color w:val="111111"/>
          <w:sz w:val="28"/>
          <w:sz w:val="28"/>
          <w:szCs w:val="28"/>
          <w:rtl w:val="true"/>
          <w:lang w:bidi="ar-SA"/>
        </w:rPr>
        <w:t xml:space="preserve">حيث عبّر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المشتري يصدّق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والتصديق إنّما هو في الطريق العقلائي ، دون غيره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كان المراد ، أنّ الطريق العقلائي نافذ عند الشرع مطلقاً ، فهو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مخالفته لذيل الروايتين ؛ لأنّ لازم نفوذ الطريق مطلقاً ، هو جواز الإخبار به ، وجواز البيع بلا كيل آخر ، وقد صرّح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جواز البيع حتّى يكيله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يدلّ على المطلوب ؛ لأنّ نفي البأس ، لا يدلّ إلاّ على صحّة البيع في الصورة المفروضة ، وأمّا كون الخبر أمارة وطريقاً اعتبره الشارع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القيد واقع في السؤال ، والجواب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له على اعتبار خصوص الطريق العقلائي ، ولعلّ عدم البأس لازم الإخبار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مع عدم دليل على التوسعة ، يجب الاقتصار على المورد ، وهذا غير الشهادة والدلالة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رواية أبي العطارد</w:t>
      </w:r>
      <w:r>
        <w:rPr>
          <w:rStyle w:val="FootnoteAnchor"/>
          <w:rtl w:val="true"/>
        </w:rPr>
        <w:footnoteReference w:id="986"/>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ضعفها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متعرّضة لموضوع آخر غير ما نحن فيه ، وهو الإخبار بعدد المكاييل ، إلاّ أن يدّعى عدم الفرق بينهما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مرسلة ابن بكير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يأخذ كلّه بتصديقه ، وإمّا أن يكيله كلّه</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xml:space="preserve">، وهي على خلاف المقصود أدلّ ؛ لأنّ الظاهر إضافة المصدر إلى الفاعل ، وإضافته إلى المفعول تحتاج إلى التقدير المخالف للأصل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المراد على هذا الاحتمال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إمّا أن يأخذ بتصديقه تحقّق الكيل ، ولازمه جواز الاتّكال على قوله مطلقاً ، وإمّا أن يكيل الكلّ إذا لم يصدّقه ، ولا أقلّ من حصول هذا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لا تدلّ هذه ولا التي قبلها ، على اعتبار الخبر طريقاً عرفياً إلى الواقع مطلقاً ، بل غاية الأمر أ نّه مع قيام الطريق أو الطريق العرفي ، يصحّ البيع ، فيمكن أن يكون وجه الصحّة الخروج عن الجزاف ، إن كان المعتبر في الصحّة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الأمن من الوقوع في الضرر والخطر بإخباره ، إن كان المعتبر هو رفع الغرر بمعنى الخطر المعاملي ، كما تقدّم من ملازمة الإخبار في المقام لوقوع البيع مبنيّاً عليه ، ومعه يؤمن الخطر ؛ لثبوت الخيار مع التخلّف</w:t>
      </w:r>
      <w:r>
        <w:rPr>
          <w:rStyle w:val="FootnoteAnchor"/>
          <w:rtl w:val="true"/>
        </w:rPr>
        <w:footnoteReference w:id="989"/>
      </w:r>
      <w:r>
        <w:rPr>
          <w:rFonts w:ascii="Amiri" w:hAnsi="Amiri" w:eastAsia="Amiri" w:cs="Amiri"/>
          <w:color w:val="111111"/>
          <w:sz w:val="28"/>
          <w:sz w:val="28"/>
          <w:szCs w:val="28"/>
          <w:rtl w:val="true"/>
          <w:lang w:bidi="ar-SA"/>
        </w:rPr>
        <w:t xml:space="preserve">، أو لتخصيص دليل الغرر إذا كان المراد منه الجهل ، وكذا ما هو بمثابته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مخصّص لموثّقة سماعة</w:t>
      </w:r>
      <w:r>
        <w:rPr>
          <w:rStyle w:val="FootnoteAnchor"/>
          <w:rtl w:val="true"/>
        </w:rPr>
        <w:footnoteReference w:id="990"/>
      </w:r>
      <w:r>
        <w:rPr>
          <w:rFonts w:ascii="Amiri" w:hAnsi="Amiri" w:eastAsia="Amiri" w:cs="Amiri"/>
          <w:color w:val="111111"/>
          <w:sz w:val="28"/>
          <w:sz w:val="28"/>
          <w:szCs w:val="28"/>
          <w:rtl w:val="true"/>
          <w:lang w:bidi="ar-SA"/>
        </w:rPr>
        <w:t xml:space="preserve">، فهي بإطلاقها تدلّ على صحّة البيع مع الرضا بكيل البائع ، ودليل على أنّ الإخبار 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ثقة أم لا ، أو مورد تصديق المشتري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لصحّة البيع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الموافق لدعوى عدم الخلاف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ولما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الإشعار بالاتّفاق</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478" w:name="pg15209_204053"/>
    </w:p>
    <w:p>
      <w:pPr>
        <w:pStyle w:val="Heading5"/>
        <w:numPr>
          <w:ilvl w:val="4"/>
          <w:numId w:val="1"/>
        </w:numPr>
        <w:rPr/>
      </w:pPr>
      <w:bookmarkStart w:id="479" w:name="__RefHeading___Toc2974625_2142443653"/>
      <w:bookmarkStart w:id="480" w:name="_Toc168"/>
      <w:bookmarkEnd w:id="478"/>
      <w:bookmarkEnd w:id="479"/>
      <w:r>
        <w:rPr>
          <w:rtl w:val="true"/>
        </w:rPr>
        <w:t>حكم مخالفة قول البائع للواقع</w:t>
      </w:r>
      <w:bookmarkEnd w:id="480"/>
    </w:p>
    <w:p>
      <w:pPr>
        <w:pStyle w:val="BookText"/>
        <w:rPr/>
      </w:pPr>
      <w:r>
        <w:rPr>
          <w:rFonts w:ascii="Amiri" w:hAnsi="Amiri" w:eastAsia="Amiri" w:cs="Amiri"/>
          <w:color w:val="111111"/>
          <w:sz w:val="28"/>
          <w:sz w:val="28"/>
          <w:szCs w:val="28"/>
          <w:rtl w:val="true"/>
          <w:lang w:bidi="ar-SA"/>
        </w:rPr>
        <w:t xml:space="preserve">ثمّ على تقدير الحكم بالصحّة من هذه الجهة ، لا إشكال فيها إذا طابق الواقع ، وأمّا إذا خالفه بالنقيصة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يحتمل البطلان ؛ لمخالفة الواقع لعنوان المبيع المأخوذ في العقد ، وتقدّم العنوان على الإشارة ، فكما أنّ الإشارة إلى موجود خارجي مباين للعنوان المأخوذ في العقد ، لا تصحّح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 نّه حمار ، فإنّ البيع يقع باطلاً ؛ لعدم تحقّق العنوان المأخوذ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المقام ؛</w:t>
      </w:r>
    </w:p>
    <w:p>
      <w:pPr>
        <w:pStyle w:val="BookText"/>
        <w:rPr/>
      </w:pPr>
      <w:r>
        <w:rPr>
          <w:rFonts w:ascii="Amiri" w:hAnsi="Amiri" w:eastAsia="Amiri" w:cs="Amiri"/>
          <w:color w:val="111111"/>
          <w:sz w:val="28"/>
          <w:sz w:val="28"/>
          <w:szCs w:val="28"/>
          <w:rtl w:val="true"/>
          <w:lang w:bidi="ar-SA"/>
        </w:rPr>
        <w:t xml:space="preserve">فإنّ الأقلّ والأكثر متباينان في مقام العنوانية ، ولا ينطبق 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المحدود بما هو، من مقوّمات المعاملة ، وليس حاله كالأوصاف الخارجة عن ذات المبيع ، فما هو مورد العقد مفقود في الخارج ، وما هو في الخارج وهو بعض العنوان ، لم يقع عليه العقد</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تخلّف مقدار المبيع ، وتخلّف عنوانه ، وإن كان مرجعهما إلى تخلّف الجنس والعنوان ، والنقض من قبيل الثاني ، وأمّا تخلّف المقدار فلا يوجب البطلان ؛ لأنّ العقد ينحلّ إلى عقود عديدة بحسب أجزاء المبيع ، فما هو موجود من الأجزاء ، وقعت عليه العقود انحلالاً ، وما فقد ليس بشيء حتّى يقع العقد عليه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توقّف حلّ العقدة على الالتزام بانحلال العقد إلى عقود كثيرة ، </w:t>
      </w:r>
    </w:p>
    <w:p>
      <w:pPr>
        <w:pStyle w:val="BookText"/>
        <w:rPr/>
      </w:pPr>
      <w:r>
        <w:rPr>
          <w:rFonts w:ascii="Amiri" w:hAnsi="Amiri" w:eastAsia="Amiri" w:cs="Amiri"/>
          <w:color w:val="111111"/>
          <w:sz w:val="28"/>
          <w:sz w:val="28"/>
          <w:szCs w:val="28"/>
          <w:rtl w:val="true"/>
          <w:lang w:bidi="ar-SA"/>
        </w:rPr>
        <w:t xml:space="preserve">حسب أجزاء المعقود عليه ، فالقول بالبطلان متعيّن ؛ لأنّ الانحلال المذكور لا أصل له ؛ لا عقلاً ، ولا عرفاً ؛ ضرورة عدم تعدّد القرار بين المتعاقدين ، والانحلال إلى العقود والبيوع ، لا يمكن إلاّ مع تحقّق قرارات مندكّة في قرار واحد ، موجودة بوجوده ، والقرار والعقد لا بدّ من تصوّر أطرافه وسائر مباديه ، المفقود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القائل بالانحلال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يقول به بنحو من المجاز والمسامحة والتنزيل ، فلا يمكن له ترتيب أثر شرعي وحقيقي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يقول بالانحلال الحقيقي ، وأنّ هنا بيوعاً عديدة وعقوداً متعدّدة ، فلازمه نقل الجميع مرّة ، ثمّ تكرّره في الكسور المتصوّرة للعين ، وتعدّده أيضاً بعدد أجزائها المعيّنة ، وهو كما ترى ، والانحلال بلا نقل انحلال إلى غير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لازم الانحلال حقيقة ، عدم الخيار من باب تبعّض الصفقة ، ولا ثبوت خيار العيب بالنسبة إلى الجميع إذا كان بعضه معيباً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الواحد الواقع على الموضوع الواحد ، يوجب تمليك هذا الواحد ، وتمليكه موجب لملكية المشتري ، ولازمه مالكيته لجميع الأجزاء بقرار واحد ، وعقد واحد ، وتمليك واحد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وقع منهم في الخطابات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إلى المؤمنين ينحلّ إلى خطابات حسب عددهم</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غير مرضيّ كما قلنا في محلّه</w:t>
      </w:r>
      <w:r>
        <w:rPr>
          <w:rStyle w:val="FootnoteAnchor"/>
          <w:rtl w:val="true"/>
        </w:rPr>
        <w:footnoteReference w:id="996"/>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واحد ، والمخاطب كثير ، نظير النداء المتوجّه إلى جماعة ، الذي لا ينحلّ إلى نداءات ، بل بنداء واحد ينادي المنادي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يجاب به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الجنس الواحد ، والأجناس المتباينة</w:t>
      </w:r>
      <w:r>
        <w:rPr>
          <w:rStyle w:val="FootnoteAnchor"/>
          <w:rtl w:val="true"/>
        </w:rPr>
        <w:footnoteReference w:id="997"/>
      </w:r>
      <w:r>
        <w:rPr>
          <w:rFonts w:ascii="Amiri" w:hAnsi="Amiri" w:eastAsia="Amiri" w:cs="Amiri"/>
          <w:color w:val="111111"/>
          <w:sz w:val="28"/>
          <w:sz w:val="28"/>
          <w:szCs w:val="28"/>
          <w:rtl w:val="true"/>
          <w:lang w:bidi="ar-SA"/>
        </w:rPr>
        <w:t xml:space="preserve">، فهو أيضاً لا ينحلّ به الإشكال ؛ فإنّ الاختلاف بين المبيع والخارج إذا كان فاحشاً ، يكون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تخلّف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أشار إلى بيت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ما فيه من الحنطة ، وهي ألف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فيه صاعاً واحداً بطل ؛ لعدم انطباق العنوان ، ولا سبيل للصحّة وإن كان الجنس واحداً ، ولا يمكن تصحيحه بالانحلال</w:t>
      </w:r>
      <w:r>
        <w:rPr>
          <w:rStyle w:val="FootnoteAnchor"/>
          <w:rtl w:val="true"/>
        </w:rPr>
        <w:footnoteReference w:id="998"/>
      </w:r>
      <w:r>
        <w:rPr>
          <w:rFonts w:ascii="Amiri" w:hAnsi="Amiri" w:eastAsia="Amiri" w:cs="Amiri"/>
          <w:color w:val="111111"/>
          <w:sz w:val="28"/>
          <w:sz w:val="28"/>
          <w:szCs w:val="28"/>
          <w:rtl w:val="true"/>
          <w:lang w:bidi="ar-SA"/>
        </w:rPr>
        <w:t xml:space="preserve">أيضاً ، مع أنّ لازم القولين صحّته ، وهو كما ترى مخالف لحكم العرف المتّبع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سبيل في مثله للقول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من قبيل تخلّف الوصف</w:t>
      </w:r>
      <w:r>
        <w:rPr>
          <w:rStyle w:val="FootnoteAnchor"/>
          <w:rtl w:val="true"/>
        </w:rPr>
        <w:footnoteReference w:id="999"/>
      </w:r>
      <w:r>
        <w:rPr>
          <w:rFonts w:ascii="Amiri" w:hAnsi="Amiri" w:eastAsia="Amiri" w:cs="Amiri"/>
          <w:color w:val="111111"/>
          <w:sz w:val="28"/>
          <w:sz w:val="28"/>
          <w:szCs w:val="28"/>
          <w:rtl w:val="true"/>
          <w:lang w:bidi="ar-SA"/>
        </w:rPr>
        <w:t xml:space="preserve">أو نظيره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قد يرى أنّ المشار إليه هو المعقود عليه ، ويقدّم الإشارة على العنوان ، كما لو أشار إلى فرس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الفرس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أشار إلى امرأة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ونحوهما المقادير إذا كان النقص أو الزيادة غير مضرّين بهذيّته وشخصيته عرفاً ، ويحسب كالحالات من هذه الجهة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الأمر كذلك في وحدة القضيّة المتيقّنة والمشكوك فيها في </w:t>
      </w:r>
    </w:p>
    <w:p>
      <w:pPr>
        <w:pStyle w:val="BookText"/>
        <w:rPr/>
      </w:pPr>
      <w:r>
        <w:rPr>
          <w:rFonts w:ascii="Amiri" w:hAnsi="Amiri" w:eastAsia="Amiri" w:cs="Amiri"/>
          <w:color w:val="111111"/>
          <w:sz w:val="28"/>
          <w:sz w:val="28"/>
          <w:szCs w:val="28"/>
          <w:rtl w:val="true"/>
          <w:lang w:bidi="ar-SA"/>
        </w:rPr>
        <w:t xml:space="preserve">الاستصحاب ، فإذا كان مقدار من الماء موجوداً في الخارج ، علم بأ نّه كرّ ، ثمّ اُريق مقدار كفّ أو كفّين منه ، وشكّ في بقاء الكرّية ، فلا إشكال في صحّة الاستصحاب ، وبقاء شخصية موضوع القضيّة المتيقّنة عرفاً ، فيشار إلى الماء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كرّاً وشكّ في بقاء كرّيته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الشخصية باقية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لو أشار إلى صبرة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الصبرة التي هي ألف صاع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 العقد وقع عليها بوجودها الخارجي ، ولو نقص منها صاع أو صيعان قليلة ، لما أوجب اختلاف عنوان المبيع وشخصيته ، وتقدّم الإشارة على العنوان نظير الأوصاف ، وإن لم تكن منها عرفاً ، فلا إشكال في صحّة البيع ، كما أ نّه لا إشكال في كونه خيارياً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الكمّية من قبيل الدواعي ، أو قد تكون كذلك ، فالعقد وقع على الخارج الموجود بداعي كونه بمقدار خاصّ ، نظير وقوع العقد على شيء بداعي وصف خاصّ ، فالبيع لازم ؛ لعدم كونه مبنيّاً عليه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مدفوع ؛ لأنّ وقوع العقد على شيء متقدّر بمقدار خاصّ ، ليس سبيله الوقوع على الذات بداعي صفته ؛ فإنّ المقدار ليس وصفاً عرفاً ، بل جزء من المبيع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الخفّة والثقل من الكيفيات ، والكمّية المتّصلة والمنفصلة كلّها من الأعراض والأوصاف</w:t>
      </w:r>
      <w:r>
        <w:rPr>
          <w:rStyle w:val="FootnoteAnchor"/>
          <w:rtl w:val="true"/>
        </w:rPr>
        <w:footnoteReference w:id="1001"/>
      </w:r>
      <w:r>
        <w:rPr>
          <w:rFonts w:ascii="Amiri" w:hAnsi="Amiri" w:eastAsia="Amiri" w:cs="Amiri"/>
          <w:color w:val="111111"/>
          <w:sz w:val="28"/>
          <w:sz w:val="28"/>
          <w:szCs w:val="28"/>
          <w:rtl w:val="true"/>
          <w:lang w:bidi="ar-SA"/>
        </w:rPr>
        <w:t xml:space="preserve">خلط بين حكم العرف والعقل ، والفقه والفلسفة ، </w:t>
      </w:r>
      <w:bookmarkStart w:id="481" w:name="pg15209_204057"/>
    </w:p>
    <w:p>
      <w:pPr>
        <w:pStyle w:val="BookText"/>
        <w:rPr/>
      </w:pPr>
      <w:bookmarkEnd w:id="481"/>
      <w:r>
        <w:rPr>
          <w:rFonts w:ascii="Amiri" w:hAnsi="Amiri" w:eastAsia="Amiri" w:cs="Amiri"/>
          <w:color w:val="111111"/>
          <w:sz w:val="28"/>
          <w:sz w:val="28"/>
          <w:szCs w:val="28"/>
          <w:rtl w:val="true"/>
          <w:lang w:bidi="ar-SA"/>
        </w:rPr>
        <w:t xml:space="preserve">ومع كون المقدار من أجزاء المبيع ، لا يقع البيع إلاّ بلحاظه ، وهو أولى بالخيار من الوصف المبنيّ عليه </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2974627_2142443653"/>
      <w:bookmarkStart w:id="483" w:name="_Toc169"/>
      <w:bookmarkEnd w:id="482"/>
      <w:r>
        <w:rPr>
          <w:rtl w:val="true"/>
        </w:rPr>
        <w:t>ثبوت خيار التبعّض عند كذب البائع</w:t>
      </w:r>
      <w:bookmarkEnd w:id="483"/>
    </w:p>
    <w:p>
      <w:pPr>
        <w:pStyle w:val="BookText"/>
        <w:rPr/>
      </w:pPr>
      <w:r>
        <w:rPr>
          <w:rFonts w:ascii="Amiri" w:hAnsi="Amiri" w:eastAsia="Amiri" w:cs="Amiri"/>
          <w:color w:val="111111"/>
          <w:sz w:val="28"/>
          <w:sz w:val="28"/>
          <w:szCs w:val="28"/>
          <w:rtl w:val="true"/>
          <w:lang w:bidi="ar-SA"/>
        </w:rPr>
        <w:t xml:space="preserve">وهل الخيار خيار تخلّف الوصف ، أو خيار تبعّض الصفقة ؟ فعلى الأوّل يلزم التخيير بين الفسخ والقبول بجميع الثمن ،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الأوفق بنظر العرف هو الثاني ؛ لما أشرنا إليه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إذا وقع على الموجود الخارجي ، كان لازمه مقابلة تمام الثمن لتمام الموجود ، وبعضه لبعضه بالنسبة ، فالتقسيط بهذا المعنى صحيح ، لكن لا يفيد ، وبمعنى عدم وقوع بعض الثمن مقابل شيء ، اللازم منه بقاؤه على ملك المشتري مفيد ، لكن مخالف لتسليم أنّ العقد وقع على الخارج ، لا على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وقوع البيع على متقدّر من غير لحاظ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وقع البيع على صبرة مجهول المقدار ، أو على فرش مجهول 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وقوعه عليه مع لحاظ مقداره مبنيّاً على مقدار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المشتري ابتاع كلّ صاع أو كلّ ذراع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يقسّط الثمن على الصيعان أو على الأذرع ، نعم بعد الوزن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صاع صار بكذا</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وإن وقع على الموجود الخارجي أيضاً ، لكن بلحاظ تقدّره بمقدار خاصّ ، فالتقسيط وقع عرفاً بين الثمن ، والصيعان أو الأذرع ،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كلّ صاع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ببيوع متعدّدة أو منحلّة ، بل وقعت المقابلة عرفاً في العقد الواحد بين كلّ صاع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اشترى الصبرة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المتقدّرة بعشرة 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دراهم ، فقد اشترى كلّ صاع بدرهم ، فإذا نقص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مقابل الثمن 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حكم العرف ، فالخيار خيار التبعّض ظاهراً بحسب نظر العرف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الإشكال والجواب فيما إذا زاد المقدار عمّا أخبر به ، متقاربان مع الإشكال والجواب فيما إذا نقص عمّا أخبر به ، والبيع صحيح وخياري ، والخيار هو خيار العيب للمشتري ، وتمام الكلام عند تعرّضهم للمسألة </w:t>
      </w:r>
      <w:r>
        <w:rPr>
          <w:rFonts w:eastAsia="Amiri" w:cs="Amiri" w:ascii="Amiri" w:hAnsi="Amiri"/>
          <w:color w:val="111111"/>
          <w:sz w:val="28"/>
          <w:szCs w:val="28"/>
          <w:rtl w:val="true"/>
          <w:lang w:bidi="ar-SA"/>
        </w:rPr>
        <w:t xml:space="preserve">. </w:t>
      </w:r>
      <w:bookmarkStart w:id="484" w:name="pg15209_204059"/>
    </w:p>
    <w:p>
      <w:pPr>
        <w:pStyle w:val="Heading4"/>
        <w:numPr>
          <w:ilvl w:val="3"/>
          <w:numId w:val="1"/>
        </w:numPr>
        <w:rPr/>
      </w:pPr>
      <w:bookmarkStart w:id="485" w:name="__RefHeading___Toc2974629_2142443653"/>
      <w:bookmarkStart w:id="486" w:name="_Toc170"/>
      <w:bookmarkEnd w:id="484"/>
      <w:bookmarkEnd w:id="485"/>
      <w:r>
        <w:rPr>
          <w:rtl w:val="true"/>
        </w:rPr>
        <w:t>مسألة في كفاية المشاهدة في مختلف الأجزاء</w:t>
      </w:r>
      <w:bookmarkEnd w:id="486"/>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المشاهدة في مختلف الأجزاء ، كالثوب ، والدار ، والغنم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عليه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الثوب المشاهد صحيح بلا خلاف</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تكفي المشاهدة في الأرض والثوب وإن لم يذرعا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بيع قطيع الغنم وإن لم يعلم عددها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مع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الاُستاذ</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أ نّه بعد ما ذكر ما عليه الأصحاب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قاعدة الغرر مثبتة ، لا يسوغ هدمها إلاّ </w:t>
      </w:r>
    </w:p>
    <w:p>
      <w:pPr>
        <w:pStyle w:val="BookText"/>
        <w:rPr/>
      </w:pPr>
      <w:r>
        <w:rPr>
          <w:rFonts w:ascii="Amiri" w:hAnsi="Amiri" w:eastAsia="Amiri" w:cs="Amiri"/>
          <w:color w:val="111111"/>
          <w:sz w:val="28"/>
          <w:sz w:val="28"/>
          <w:szCs w:val="28"/>
          <w:rtl w:val="true"/>
          <w:lang w:bidi="ar-SA"/>
        </w:rPr>
        <w:t xml:space="preserve">بأقوى ، وأ نّى لنا بذلك ؟ </w:t>
      </w:r>
      <w:r>
        <w:rPr>
          <w:rFonts w:eastAsia="Amiri" w:cs="Amiri" w:ascii="Amiri" w:hAnsi="Amiri"/>
          <w:color w:val="111111"/>
          <w:sz w:val="28"/>
          <w:szCs w:val="28"/>
          <w:rtl w:val="true"/>
          <w:lang w:bidi="ar-SA"/>
        </w:rPr>
        <w:t>!</w:t>
      </w:r>
      <w:r>
        <w:rPr>
          <w:rStyle w:val="FootnoteAnchor"/>
          <w:rtl w:val="true"/>
        </w:rPr>
        <w:footnoteReference w:id="100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يتعارف بيعه الآن بالمشاهدة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الموزون ، كالكلأ ، وأقسام الرطبة ، والقصيل ، وبعض أقسام الخشب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المذروع ، كأراضي البيوت والبساتين وأقسام البسط وإن كان يباع ذرعاً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موزوناً فعلاً ، ولكن تختلف ماليته باختلاف وزنه ، كالأغنام ونحوها إذا كان المقصود بيعها للذبح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طريق لتشخيصه إلاّ المشاهدة ، كالأحجار الكريمة ، والفرس ، والحمار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ولا كلام في الأخير ، وأمّا في غيره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التعارف يخرجه</w:t>
      </w:r>
    </w:p>
    <w:p>
      <w:pPr>
        <w:pStyle w:val="BookText"/>
        <w:rPr/>
      </w:pPr>
      <w:r>
        <w:rPr>
          <w:rFonts w:ascii="Amiri" w:hAnsi="Amiri" w:eastAsia="Amiri" w:cs="Amiri"/>
          <w:color w:val="111111"/>
          <w:sz w:val="28"/>
          <w:sz w:val="28"/>
          <w:szCs w:val="28"/>
          <w:rtl w:val="true"/>
          <w:lang w:bidi="ar-SA"/>
        </w:rPr>
        <w:t xml:space="preserve">عن الغرر ، فلا يكون ما تتعارف فيه المشاهدة غررياً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الخروج الموضوعي فيمكن إنكاره ؛ فإنّ الغرر إن كان بمعنى الجهالة ، فلا إشكال في كون ما ذكر مجهول المقدار ، ومجرّد التعارف أو المسامحة من المتبايعين أو الابتذال ، لا يوجب رفعها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التعارف ، يخرجه عن كونه موزوناً أو مذروعاً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الغرر لا يختصّ بالموزون والمذروع ونحوهما ، ولا إشكال في أنّ اختلاف المقدار ، موجب لاختلاف </w:t>
      </w:r>
    </w:p>
    <w:p>
      <w:pPr>
        <w:pStyle w:val="BookText"/>
        <w:rPr/>
      </w:pPr>
      <w:r>
        <w:rPr>
          <w:rFonts w:ascii="Amiri" w:hAnsi="Amiri" w:eastAsia="Amiri" w:cs="Amiri"/>
          <w:color w:val="111111"/>
          <w:sz w:val="28"/>
          <w:sz w:val="28"/>
          <w:szCs w:val="28"/>
          <w:rtl w:val="true"/>
          <w:lang w:bidi="ar-SA"/>
        </w:rPr>
        <w:t xml:space="preserve">القيمة ، فلو اشترى بالمشاهدة بستاناً ، فيه أشجار كثيرة ملتفّة من الأقسام المختلفة ، لا ينبغي الإشكال في كون البيع غررياً وإن مسحت أرضه ، فضلاً عن عدم المساحة ، وكذا الدور المشتملة على الأرض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الغرر بمعنى الخطر المعاملي ، فالبيع فيه خطري ؛ لاختلاف القيم باختلاف الوزن والذرع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ثبت أنّ بيعه كان متعارفاً بالمشاهدة حتّى في عصر الشارع الأقدس ، يصحّ بيعه كذلك ، لا للخروج موضوعاً ، بل إمّا بدعوى أنّ مصبّ نهي النبي صلي الله عليه و آله وسلم عن بيع الغرر أو عن الغرر ، غير أمثال ذلك ؛ ممّا كان متعارفاً في عصر النبي والأئمّة صلوات اللّه وسلامه عليهم ، وإلاّ كان عليهم الردع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حديث واحد أو حديثين ، لا يصلح للردع عن السيرة وطريقة العقلاء في المعاملات السوقية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قلناه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 لظَّنَّ لاَ يُغْنِى مِنَ ا لْحَقِّ شَيْئاً</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لا يصلح للردع عن السيرة الشائعة في سوق المسلمين وبلادهم ، كالعمل بالظواهر ، وخبر الثقة ، واليد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ونحوها ، بل لا بدّ في الردع عنها من التصريحات والإنكارات الشديدة ، نظير إنكار الربا والقمار</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بالالتزام بالتخصيص في دليله ، ولا غرو فيه ، كالتخصيص في بيع الثمار ونحوها ممّا وردت فيها الأدلّة ، ولا شبهة في أنّ موردها من الغرر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والفرق بين الخروج موضوعاً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 في الأوّل لا نحتاج إلى إثبات دليل مخصّص ، كالإجماع ، والسيرة ؛ ممّا لا بدّ فيه من الأخذ بالقدر المتيقّن من مورد الإجماع ، ومن ثبوت اتّصال السيرة بعصر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الجهالة الموجب لرفع الغرر ، لا يعتبر فيه رفعها من جميع الجهات ، فلو كان شيء من الموزونات ، لا بدّ من رفعها من جهة الوزن ، وأمّا الكيل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كان الوزن في شيء متعارفاً ، فلا يدفع غرره بالكيل والعدّ وبالعكس ، فلو وزن ما تعارف فيه الكيل ، لا يدفع به الغرر ، بل لا بدّ من رفع الغرر في الجهة المتعارفة ولو تغيّر تعارف التقدير تغيّر ما به يقدّر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بيع شيء تارة بالوزن ، واُخرى بالعدّ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كالقثّاء ، والباذنجان ، بل والخبز في بعض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غرره بالعدّ في البيع كذلك ، وبالوزن في البيع وزناً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تعارفت فيه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كالأغنام، والجمال، وكالعشب، والكلأ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رفع الجهالة فيه من المشاهدة ، ولا ترفع بغيرها حتّى الوزن ، فضلاً عن العدّ ؛ لأنّ تقدير ماليته وتعيينها في العرف ، إنّما هو بها لا</w:t>
      </w:r>
    </w:p>
    <w:p>
      <w:pPr>
        <w:pStyle w:val="BookText"/>
        <w:rPr/>
      </w:pPr>
      <w:r>
        <w:rPr>
          <w:rFonts w:ascii="Amiri" w:hAnsi="Amiri" w:eastAsia="Amiri" w:cs="Amiri"/>
          <w:color w:val="111111"/>
          <w:sz w:val="28"/>
          <w:sz w:val="28"/>
          <w:szCs w:val="28"/>
          <w:rtl w:val="true"/>
          <w:lang w:bidi="ar-SA"/>
        </w:rPr>
        <w:t xml:space="preserve">بغيرها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وزن ما تتعارف فيه المشاهدة كالأغنام ، أو ذرع ما يتعارف فيه غيره كالثوب المخيط ، لم ترفع بهما الجهالة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الأحمال التي تتقدّر ماليتها بها ، فلا بدّ من مشاهدة الحمل حتّى ترفع جهالته بالمقايسة إلى غيره من أشباهه ، فلو وزن لم ترتفع جهالته من حيث تقدير ماليته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أ نّه ليس في أمثال ذلك غرر إن كان بمعنى الجهالة ، فكذا ليس فيها خطر معاملي ؛ فإنّ المفروض وقوع المعاملات عليها بالمشاهدة ، ويكون مدار البيع والشراء كذلك ، بل العدول إلى غيرها موجب للخطر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شيء موزوناً ، وجعلت المشاهدة طريقاً إليه ، أو لم يوزن ؛ للتساهل والابتذال ، لا يرفع الغرر في الأوّل إلاّ بالوثوق والاطمئنان ، كما أنّ البيع في الثاني غرري ، ولا بدّ في الخروج عن دليل الغرر فيهما ، من إثبات كونهما كذلك في عصر النبي والأئمّة عليهم السلام ، أو قيام الإجماع في مثلهما </w:t>
      </w:r>
      <w:r>
        <w:rPr>
          <w:rFonts w:eastAsia="Amiri" w:cs="Amiri" w:ascii="Amiri" w:hAnsi="Amiri"/>
          <w:color w:val="111111"/>
          <w:sz w:val="28"/>
          <w:szCs w:val="28"/>
          <w:rtl w:val="true"/>
          <w:lang w:bidi="ar-SA"/>
        </w:rPr>
        <w:t xml:space="preserve">. </w:t>
      </w:r>
      <w:bookmarkStart w:id="487" w:name="pg15209_204064"/>
    </w:p>
    <w:p>
      <w:pPr>
        <w:pStyle w:val="Heading4"/>
        <w:numPr>
          <w:ilvl w:val="3"/>
          <w:numId w:val="1"/>
        </w:numPr>
        <w:rPr/>
      </w:pPr>
      <w:bookmarkStart w:id="488" w:name="__RefHeading___Toc2974631_2142443653"/>
      <w:bookmarkStart w:id="489" w:name="_Toc171"/>
      <w:bookmarkEnd w:id="487"/>
      <w:bookmarkEnd w:id="488"/>
      <w:r>
        <w:rPr>
          <w:rtl w:val="true"/>
        </w:rPr>
        <w:t>مسألة في الوجوه المتصوّرة في بيع بعضٍ من جملةٍ متساوية الأجزاء</w:t>
      </w:r>
      <w:bookmarkEnd w:id="489"/>
    </w:p>
    <w:p>
      <w:pPr>
        <w:pStyle w:val="Heading5"/>
        <w:numPr>
          <w:ilvl w:val="4"/>
          <w:numId w:val="1"/>
        </w:numPr>
        <w:rPr/>
      </w:pPr>
      <w:bookmarkStart w:id="490" w:name="__RefHeading___Toc2974633_2142443653"/>
      <w:bookmarkStart w:id="491" w:name="_Toc172"/>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بيع بعضٍ من جملةٍ متساوية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كصاع من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وجوه </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2974635_2142443653"/>
      <w:bookmarkStart w:id="493" w:name="_Toc173"/>
      <w:bookmarkEnd w:id="492"/>
      <w:r>
        <w:rPr>
          <w:rtl w:val="true"/>
        </w:rPr>
        <w:t xml:space="preserve">الأوّل </w:t>
      </w:r>
      <w:r>
        <w:rPr>
          <w:rtl w:val="true"/>
        </w:rPr>
        <w:t xml:space="preserve">: </w:t>
      </w:r>
      <w:r>
        <w:rPr>
          <w:rtl w:val="true"/>
        </w:rPr>
        <w:t>أن يبيع ذلك على نحو الكسر المشاع</w:t>
      </w:r>
      <w:bookmarkEnd w:id="493"/>
    </w:p>
    <w:p>
      <w:pPr>
        <w:pStyle w:val="Heading6"/>
        <w:numPr>
          <w:ilvl w:val="5"/>
          <w:numId w:val="1"/>
        </w:numPr>
        <w:rPr/>
      </w:pPr>
      <w:bookmarkStart w:id="494" w:name="__RefHeading___Toc2974637_2142443653"/>
      <w:bookmarkStart w:id="495" w:name="_Toc174"/>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بأن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 المشاع في الصبرة ، فإن كانت الصبرة عشرة أصوع ، يكون ذلك عشرها ، أو خمسةً يكون خمسها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بالبحث هاهنا مقام الثبوت ، لا الظهور والدلالة ، ولا إشكال في صحّته ، ولا في كونه مشاعاً ، ولا يعتبر علم البائع والمشتري في هذا الفرض بعدد صيعان الصبرة ومقدارها ؛ لأنّ المبيع متقدّر بالصاع ، وهو معلوم ، واختلاف نسبته إلى الصبرة ، لا يوجب جهالة في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باع عشر الصبرة ، لا بدّ من العلم بمقدار الصبرة ، حتّى يرفع الغرر عن المبيع ؛ لاختلاف العشر باختلاف الصبرة ، وأمّا الصاع فلا يختلف باختلافها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الصحّة في هذه الصورة ، بين متساوية الأجزاء ومختلفتها ، </w:t>
      </w:r>
      <w:bookmarkStart w:id="496" w:name="pg15209_204065"/>
    </w:p>
    <w:p>
      <w:pPr>
        <w:pStyle w:val="BookText"/>
        <w:rPr/>
      </w:pPr>
      <w:bookmarkEnd w:id="496"/>
      <w:r>
        <w:rPr>
          <w:rFonts w:ascii="Amiri" w:hAnsi="Amiri" w:eastAsia="Amiri" w:cs="Amiri"/>
          <w:color w:val="111111"/>
          <w:sz w:val="28"/>
          <w:sz w:val="28"/>
          <w:szCs w:val="28"/>
          <w:rtl w:val="true"/>
          <w:lang w:bidi="ar-SA"/>
        </w:rPr>
        <w:t>وعنوان البحث وإن لم يشملها ، إلاّ أ نّه لأجل إدخال القسمين الأخيرين في البحث ؛ لعدم الإشكال في البطلان مع الاختلاف إذا كان البيع على النحوين الآتيين</w:t>
      </w:r>
      <w:r>
        <w:rPr>
          <w:rStyle w:val="FootnoteAnchor"/>
          <w:rtl w:val="true"/>
        </w:rPr>
        <w:footnoteReference w:id="1011"/>
      </w:r>
      <w:r>
        <w:rPr>
          <w:rFonts w:ascii="Amiri" w:hAnsi="Amiri" w:eastAsia="Amiri" w:cs="Amiri"/>
          <w:color w:val="111111"/>
          <w:sz w:val="28"/>
          <w:sz w:val="28"/>
          <w:szCs w:val="28"/>
          <w:rtl w:val="true"/>
          <w:lang w:bidi="ar-SA"/>
        </w:rPr>
        <w:t xml:space="preserve">، فإذا باع نصف العبدين بنحو الإشاعة ، لا ينبغي الإشكال في صحّته ، وإن اختلفت قيمتهما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لو قصد الإشاعة في عبد من عبدين ، أو شاة من شاتين بطل، بخلاف الذراع في الأرض</w:t>
      </w:r>
      <w:r>
        <w:rPr>
          <w:rStyle w:val="FootnoteAnchor"/>
          <w:rtl w:val="true"/>
        </w:rPr>
        <w:footnoteReference w:id="1012"/>
      </w:r>
      <w:r>
        <w:rPr>
          <w:rFonts w:ascii="Amiri" w:hAnsi="Amiri" w:eastAsia="Amiri" w:cs="Amiri"/>
          <w:color w:val="111111"/>
          <w:sz w:val="28"/>
          <w:sz w:val="28"/>
          <w:szCs w:val="28"/>
          <w:rtl w:val="true"/>
          <w:lang w:bidi="ar-SA"/>
        </w:rPr>
        <w:t>لم يتّضح منه أ نّه خلاف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نظره إلى أنّ العبد ليس مشاعاً في العبدين ؛ لأنّ نصف المشاع لا يصدق عليه العبد ، ولا يكون إطلاقه عليه من المجاز المتعارف ، فبطل لأجل ذلك ، وإن لم يكن ذلك أيضاً مرضيّاً </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2974639_2142443653"/>
      <w:bookmarkStart w:id="498" w:name="_Toc175"/>
      <w:bookmarkEnd w:id="497"/>
      <w:r>
        <w:rPr>
          <w:rtl w:val="true"/>
        </w:rPr>
        <w:t>حول بناء المحقّق النائيني المسألة على الجزء الذي لا يتجزّأ</w:t>
      </w:r>
      <w:bookmarkEnd w:id="498"/>
    </w:p>
    <w:p>
      <w:pPr>
        <w:pStyle w:val="BookText"/>
        <w:rPr/>
      </w:pPr>
      <w:r>
        <w:rPr>
          <w:rFonts w:ascii="Amiri" w:hAnsi="Amiri" w:eastAsia="Amiri" w:cs="Amiri"/>
          <w:color w:val="111111"/>
          <w:sz w:val="28"/>
          <w:sz w:val="28"/>
          <w:szCs w:val="28"/>
          <w:rtl w:val="true"/>
          <w:lang w:bidi="ar-SA"/>
        </w:rPr>
        <w:t>ثمّ إنّه قد مرّت جملة من الكلام في حقيقة المشاع ، عند التعرّض لبيع نصف الدار في الفضولي</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ونزيدك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الأعاظم قدّس سرّه ، بنى القول بالشركة وعدمها في صورة الإشاعة ، على الخلاف المعروف بين الفلاسفة والمتكلّمين</w:t>
      </w:r>
      <w:r>
        <w:rPr>
          <w:rStyle w:val="FootnoteAnchor"/>
          <w:rtl w:val="true"/>
        </w:rPr>
        <w:footnoteReference w:id="1014"/>
      </w:r>
      <w:r>
        <w:rPr>
          <w:rFonts w:ascii="Amiri" w:hAnsi="Amiri" w:eastAsia="Amiri" w:cs="Amiri"/>
          <w:color w:val="111111"/>
          <w:sz w:val="28"/>
          <w:sz w:val="28"/>
          <w:szCs w:val="28"/>
          <w:rtl w:val="true"/>
          <w:lang w:bidi="ar-SA"/>
        </w:rPr>
        <w:t xml:space="preserve">، في مسألة كون </w:t>
      </w:r>
    </w:p>
    <w:p>
      <w:pPr>
        <w:pStyle w:val="BookText"/>
        <w:rPr/>
      </w:pPr>
      <w:r>
        <w:rPr>
          <w:rFonts w:ascii="Amiri" w:hAnsi="Amiri" w:eastAsia="Amiri" w:cs="Amiri"/>
          <w:color w:val="111111"/>
          <w:sz w:val="28"/>
          <w:sz w:val="28"/>
          <w:szCs w:val="28"/>
          <w:rtl w:val="true"/>
          <w:lang w:bidi="ar-SA"/>
        </w:rPr>
        <w:t xml:space="preserve">الجسم مركّباً من الأجزاء التي لا تتجزّأ وعدمه ، وبنى الخلاف في أنّ القسمة بيع أو إفراز حقّ ، على الخلاف في تلك المسألة أيضاً ، ثمّ ذهب إلى القول الحقّ في تلك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النصف المشاع كلّي ، قابل للانطباق على النصف من أيّ طرف من الجسم ، فبالقسمة يميّز ، ويخرج عن الإبهام والكلّية ، ويعيّن في الطرف الشرقي أو الغربي</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فيه ؛ ضرورة أنّ الشركة والإشاعة والإفراز ، كلّها من المعاني الاعتبارية العقلائية ، لا الفلسفية ، وابتناء مسألة عرفية سوقية رائجة عند طوائف الناس ، على تلك المسألة العقلية ،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أصل المطلب أيضاً غير صحيح ؛ فإنّ الجزء الذي لا يتجزّأ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مادّة الأجسام على رأي</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 حتّى بالمكبّرات العظيمة ، ومثله كما لا يكون مالاً ، لا يكون ملكاً ؛ فإنّ الملك اعتبار عقلائي لجهات عقلائية ، ومن الواضح أنّ مثل تلك الأجزاء لا تقع تحت الاعتبار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بعد ضمّ ملايين منها على القول المزيّف ، يعدّ شيئاً محسوساً قابلاً لاعتبار الملكية ، وبعد ضمّ ملايين اُخرى إليها ، يصير مالاً أيضاً ، وأمّا كلّ جزء بنفسه الذي يكون أصغر من الهباء بكثير ، فلا يعتبر شيئاً وملكاً ومالاً في العرف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كلّياً ؛ لصدقه على كلّ صبرة فيها كسر مشاع ، وعلى كلّ كسر فرض في الصبرة الخارجية ، لكن ما ملكه المالكان من الكسر المشاع الخارجي ، لا يكون كلّياً ؛ لأنّ الكلّي بما هو كلّي ، لا يعقل وجوده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 لو كان كلّياً ، بقيت العين الخارجية بلا مالك ، مثلاً إذا مات شخص عن ورّاث ، يكون نصيبهم الكسور المشاعة ، فلو كانت تلك الكسور كلّيات ، للزم عدم نقل مال الميّت إلى أحد من الورثة ؛ لأنّ ماله جزئي حقيقي ، وكلّ ما وجد فيه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النصف المشاع كلّي ، قابل للانطباق على النصف من أيّ طرف من الجسم ، فبالقسمة يميّز ويخرج عن الإبهام ، غير مرضيّ ؛ لأنّ ما هو كلّي قابل لما ذكر ، غير مملوك لأحد في فرض مملوكية العين الخارجية لأشخاص بنحو الكسر المشاع ، وما هو مملوك ، هو الموجود الخارجي من الكسر ، وهو غير 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مملوكية كلّ طرف من الجسم بنحو الكسر المشاع ، فليس معناه مملوكيته لأحد الشريكين ؛ ضرورة أ نّه قبل الإفراز ، يكون كلّ طرف فرض للعين مشتركاً بينهما ، لا ملكاً لأحدهما بنحو الإبهام ، وبالقسمة يخرج عنه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كلّ طرف من العين مملوكاً بنحو الكسر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مملوكية العين بنحو ذلك ، فكما أنّ العين إذا كانت ملكاً لشخص واحد ، يكون كلّ طرف منها ملكاً له ، ولا تكون تلك الملكية كلّية ، ولا العين كلّية ، كذلك لو </w:t>
      </w:r>
    </w:p>
    <w:p>
      <w:pPr>
        <w:pStyle w:val="BookText"/>
        <w:rPr/>
      </w:pPr>
      <w:r>
        <w:rPr>
          <w:rFonts w:ascii="Amiri" w:hAnsi="Amiri" w:eastAsia="Amiri" w:cs="Amiri"/>
          <w:color w:val="111111"/>
          <w:sz w:val="28"/>
          <w:sz w:val="28"/>
          <w:szCs w:val="28"/>
          <w:rtl w:val="true"/>
          <w:lang w:bidi="ar-SA"/>
        </w:rPr>
        <w:t xml:space="preserve">كانت مشتركة بينهما ، يكون كلّ طرف منها مشتركاً بمقتضى الاشتراك في الجميع ، وهذا غير مربوط بالكلّية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منشأ الخلط من الأعلام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معناه ، الذي هو بحسب العرف واللغة بمعنى الاشتراك في السهام ، في قبال الإفراز وتقسيم السهام</w:t>
      </w:r>
      <w:r>
        <w:rPr>
          <w:rStyle w:val="FootnoteAnchor"/>
          <w:rtl w:val="true"/>
        </w:rPr>
        <w:footnoteReference w:id="1017"/>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الساري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وقع في بعض الكلمات</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منه الاشتراك في الجميع ، في مقابل الاشتراك لا بنحو الإشاعة والسريان ، كما إذا كان أحد الشخصين مالكاً لبعض مرافق البيت مثلاً ، والآخر لبعض آخر ، فيقال مسامحة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شريكان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من اللفظين أنّ الشياع والسريان ملازمان للكلّية ، مع أنّ المشاع ؛ أي المشترك ، والساري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سريان الاشتراك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الجزئية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المسألة ، لا تبتني على مسألة الجزء الذي لا يتجزّأ ، ولا على كون الأنصاف موجودة في الجسم بنحو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عن بعضهم في باب بيع نصف الدار</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مسألة الشركة والإشاعة ، لا تختصّ بالأجسام المتّصلة المركّبة من المادّة والصورة ، بل تجري في المنفصلات كالحبوب ؛ فإنّ الاشتراك فيها عرفاً إنّما هو في المجموع ، من غير نظر إلى كلّ حبّة ، وإلى الأجزاء أو الأنصاف الموجودة فيها </w:t>
      </w:r>
      <w:r>
        <w:rPr>
          <w:rFonts w:eastAsia="Amiri" w:cs="Amiri" w:ascii="Amiri" w:hAnsi="Amiri"/>
          <w:color w:val="111111"/>
          <w:sz w:val="28"/>
          <w:szCs w:val="28"/>
          <w:rtl w:val="true"/>
          <w:lang w:bidi="ar-SA"/>
        </w:rPr>
        <w:t xml:space="preserve">. </w:t>
      </w:r>
      <w:bookmarkStart w:id="499" w:name="pg15209_204069"/>
    </w:p>
    <w:p>
      <w:pPr>
        <w:pStyle w:val="BookText"/>
        <w:rPr/>
      </w:pPr>
      <w:bookmarkEnd w:id="499"/>
      <w:r>
        <w:rPr>
          <w:rFonts w:ascii="Amiri" w:hAnsi="Amiri" w:eastAsia="Amiri" w:cs="Amiri"/>
          <w:color w:val="111111"/>
          <w:sz w:val="28"/>
          <w:sz w:val="28"/>
          <w:szCs w:val="28"/>
          <w:rtl w:val="true"/>
          <w:lang w:bidi="ar-SA"/>
        </w:rPr>
        <w:t xml:space="preserve">وكذا تجري في الديون والحقوق والمنافع ؛ ممّا لا سبيل لمسألة الجوهر الفرد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الأجزاء أو الكسور المتحقّقة ، أو المفروضة في الأجسام المتّصلة والمنفصلة ، كلّها معيّنات مشخّصات ، لا تعقل فيها الإشاعة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معنى الإشاعة والسريان ، أنّ تلك القسمة المساوية لقسمة اُخرى ، متساوية النسبة إلى تمام أجزاء ذلك الموجود بالفعل</w:t>
      </w:r>
      <w:r>
        <w:rPr>
          <w:rStyle w:val="FootnoteAnchor"/>
          <w:rtl w:val="true"/>
        </w:rPr>
        <w:footnoteReference w:id="1020"/>
      </w:r>
      <w:r>
        <w:rPr>
          <w:rFonts w:ascii="Amiri" w:hAnsi="Amiri" w:eastAsia="Amiri" w:cs="Amiri"/>
          <w:color w:val="111111"/>
          <w:sz w:val="28"/>
          <w:sz w:val="28"/>
          <w:szCs w:val="28"/>
          <w:rtl w:val="true"/>
          <w:lang w:bidi="ar-SA"/>
        </w:rPr>
        <w:t xml:space="preserve">لا يرجع إلى محصّل ؛ لأنّ نسبة نصف المجموع إلى نصف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مختلفة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الكسور ليست موجودة إلاّ بالقوّة ، ومعنى وجودها بالقوّة ، أنّ قوّة وجودها موجودة ، لا نفس الكسور ، ولا تعقل النسبة بين الأعدام وقد مرّ الكلام مع القائل في بيع نصف الدار ، فراجع</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ابتناء المسائل العرفية على العقليات ، خروج عن طريق الفقاهة </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2974641_2142443653"/>
      <w:bookmarkStart w:id="501" w:name="_Toc176"/>
      <w:bookmarkEnd w:id="500"/>
      <w:r>
        <w:rPr>
          <w:rtl w:val="true"/>
        </w:rPr>
        <w:t>التحقيق في المقام</w:t>
      </w:r>
      <w:bookmarkEnd w:id="50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الإفراز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اعتباري للملك أو الحقّ ، بين شخصين أو أشخاص ، فنفس الأعيان الخارجية إذا لم تكن ملكاً لأحد كالمباحات ، لا تتّصف بالإشاعة والإفراز ، وإنّما تتّصف بالاتّصال </w:t>
      </w:r>
    </w:p>
    <w:p>
      <w:pPr>
        <w:pStyle w:val="BookText"/>
        <w:rPr/>
      </w:pPr>
      <w:r>
        <w:rPr>
          <w:rFonts w:ascii="Amiri" w:hAnsi="Amiri" w:eastAsia="Amiri" w:cs="Amiri"/>
          <w:color w:val="111111"/>
          <w:sz w:val="28"/>
          <w:sz w:val="28"/>
          <w:szCs w:val="28"/>
          <w:rtl w:val="true"/>
          <w:lang w:bidi="ar-SA"/>
        </w:rPr>
        <w:t xml:space="preserve">والانفصال ، وإذا صارت ملكاً لواحد لا تتّصف بهما أيضاً ، فلا يقال للبيت الذي ملكه شخص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نصفه 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ملكه شخصان أو أشخاص ، فيأتي حديث 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مقابلها الإفراز ، وهما معنيان اعتباريان ، لا حقيقة لهما في الخارج كالجواهر والأعراض ، فكما أنّ الملك من الاعتباريات ، كذلك إشاعته وإفرازه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إذا اتّصل مملوك شخص بمملوك شخص آخر ، لا يصيران مشاعاً ومشتركاً ، وإذا انفصل المشاع لا يصير مفروزاً ، وإذا اختلط مثل الجوز بالجوز واللوز باللوز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لهما امتياز بحسب الواقع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تتحقّق الإشاعة ولا الشركة ، وإذا أوقعا عقد الشركة تحقّقت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إذا انقسم ما هو مشاع ، لا يصير مفروزاً إلاّ بقرار بينهما ، كالقرعة أو التصالح ، وهذا أدلّ دليل على اعتباريتهما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آخر ، فهو أجنبيّ عمّا هو المعهود في باب الشركة في العرف ، واللغة ، وعند الفقهاء ، هذا ممّا لا ينبغي الإشكال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 أنّ ما يقع البيع عليه ، إنّما هو نفس الكسر ، كالنصف ، والثلث ، لا الكسر المشاع ؛ أي المشترك ، ضرورة أنّ الإشاعة والاشتراك تعرض للملك بعد انتقال نصفه إلى الآخر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للإشاعة معنيين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الملك ، كما في اللغة ، مقابل إفراز السهام</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يطلق على الكسر قبل البيع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النصف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شائع في الألسن ، فما معنى هذه الإشاعة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الجسم متشخّص ، وكلّ جزء فرض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بنحو الكسر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متشخّص بتشخّصه ، فالكسر قبل وجوده ليس بشيء ، وبعد تحقّقه يكون شيئاً موجوداً في الخارج ، متعيّناً متشخّصاً ، لا يكون فيه إبهام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الإشكال في الكسر الذي يقع مورد البيع والنقل ، فإذا باع النصف ، والفرض أ نّه لا يكون كلّياً ، فلا بدّ من أن يكون النصف الخارجي ، وهو متشخّص ومتعيّن أينما فرض ووجد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 تلك المسائل ، لا بدّ وأن يقع في محيط العرف والعقلاء ، لا على الموازين الفلسفية والعقلية الدقيقة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الكسر في الجسم ، قد يراد منه المبهم في مقابل المعيّن ، وقد يراد منه الكلّي مقابل الجزئي ، وقد يراد منه نفس الكسر بلا لحاظ تعيّنه ، فإذا لوحظ نصف البيت الموجود في الخارج ، ولم يرد منه النصف المعيّن ، كالنصف الشرقي ، أو الغربي مثلاً ، ووقع البيع عليه ، يكون حكمه العرفي الاشتراك والإشاعة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والبيت وإن لم يكن مشتملاً على النصف وغيره من الكسور عقلاً ، لكن البائع إذا أراد جعله مورد النقل ، يعتبر ويفرض نصفه بلا قيد فرضاً واقعياً ، كالملكية </w:t>
      </w:r>
      <w:bookmarkStart w:id="502" w:name="pg15209_204072"/>
    </w:p>
    <w:p>
      <w:pPr>
        <w:pStyle w:val="BookText"/>
        <w:rPr/>
      </w:pPr>
      <w:bookmarkEnd w:id="502"/>
      <w:r>
        <w:rPr>
          <w:rFonts w:ascii="Amiri" w:hAnsi="Amiri" w:eastAsia="Amiri" w:cs="Amiri"/>
          <w:color w:val="111111"/>
          <w:sz w:val="28"/>
          <w:sz w:val="28"/>
          <w:szCs w:val="28"/>
          <w:rtl w:val="true"/>
          <w:lang w:bidi="ar-SA"/>
        </w:rPr>
        <w:t xml:space="preserve">التي هي من الاعتبارات ، لكنّها من الأوصاف الخارجية في الاعتبار ، ويكون وعاء المعتبر في الخارج ؛ بمعنى أنّ العرف اعتبر الملكية في الخارج ، ويحمل على العين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الشائع من غير تجوّز ، فالاعتبار وعاؤه العقل ، والمعتبر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والنصف بالمعنى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النصف بلا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موجوداً خارجياً ، لكنّ العرف يفرضه في الخارج بلا تعيّن ،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النصف يكون موجوداً اعتبارياً ؛ فإنّه واضح المنع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النصف اعتبر بلا تعيّن ، أو لم يعتبر فيه التعيّن ، ولازمه العقلائي الاشتراك والإشاعة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يرى أنّ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عنوان وتعيّن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الجسم ، وإن كان حكم العقل على خلافه ، كما 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 الذي هو عشرون ذراعاً ، فيه عشر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الخطّ عقلاً متّصل واحد ، ولا يكون العشر موجوداً فيه بالفعل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العرف يلاحظون الكسر المشاع في العين فيبيعونه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بيع الكسر ، ولا في كونه مشتركاً بين البائع والمشتري ومشاعاً </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2974643_2142443653"/>
      <w:bookmarkStart w:id="504" w:name="_Toc177"/>
      <w:bookmarkEnd w:id="503"/>
      <w:r>
        <w:rPr>
          <w:rtl w:val="true"/>
        </w:rPr>
        <w:t xml:space="preserve">الثاني من الوجوه </w:t>
      </w:r>
      <w:r>
        <w:rPr>
          <w:rtl w:val="true"/>
        </w:rPr>
        <w:t xml:space="preserve">: </w:t>
      </w:r>
      <w:r>
        <w:rPr>
          <w:rtl w:val="true"/>
        </w:rPr>
        <w:t>الفرد المنتشر</w:t>
      </w:r>
      <w:bookmarkEnd w:id="504"/>
    </w:p>
    <w:p>
      <w:pPr>
        <w:pStyle w:val="Heading6"/>
        <w:numPr>
          <w:ilvl w:val="5"/>
          <w:numId w:val="1"/>
        </w:numPr>
        <w:rPr/>
      </w:pPr>
      <w:bookmarkStart w:id="505" w:name="__RefHeading___Toc2974645_2142443653"/>
      <w:bookmarkStart w:id="506" w:name="_Toc178"/>
      <w:bookmarkEnd w:id="505"/>
      <w:r>
        <w:rPr>
          <w:rtl w:val="true"/>
        </w:rPr>
        <w:t>اشارة</w:t>
      </w:r>
      <w:bookmarkEnd w:id="50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يصحّ أن يكون 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المشاع ، والكلّي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الفرد المردّد بالحمل الشائع ، أو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الفرد المردّد بالحمل الأوّلي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 العبدين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ثبوتاً وبحسب الفرض 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القابل للصدق على كلّ واحد ، فهو من قبيل الكلّي في المعيّن ؛ لعدم اعتبار كثرة الأفراد في الكلّي في المعيّن ، فإنّ الكلّية</w:t>
      </w:r>
    </w:p>
    <w:p>
      <w:pPr>
        <w:pStyle w:val="BookText"/>
        <w:rPr/>
      </w:pPr>
      <w:r>
        <w:rPr>
          <w:rFonts w:ascii="Amiri" w:hAnsi="Amiri" w:eastAsia="Amiri" w:cs="Amiri"/>
          <w:color w:val="111111"/>
          <w:sz w:val="28"/>
          <w:sz w:val="28"/>
          <w:szCs w:val="28"/>
          <w:rtl w:val="true"/>
          <w:lang w:bidi="ar-SA"/>
        </w:rPr>
        <w:t xml:space="preserve">راجعة إلى المفهوم ، فما هو قابل للصدق على الكثيرين ، كلّي وإن فرض امتناع فرد له ، كمفهوم شريك البارئ ، أو امتناع ما سوى فرد واحد له ، كمفهوم واجب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 كلّي مصداقه هذا وهذا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الواحد المعيّن واقعاً ، المجهول عند المتبايعين ، خارج عن المقسم ، ولا يكون مورد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الفرد المردّد مفهوماً وبالحمل الأوّلي ، لا يرد عليه الإشكال العقلي الذي في الفرد المنتشر ، ولكن لا إشكال في بطلانه ؛ لعدم إمكان تحقّق مصداق له ، فإنّ المصاديق ليست مصاديق الفرد المردّد ، ومعه لا يكون البيع عقلائياً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الفرد المردّد بالحمل الشائع ، فهو لا واقعية له ؛ لا خارجاً ، ولا عقلاً ، ولا يكون قابلاً للتصوّر ، فضلاً عن جعله مورد الإضافة والنقل ولو إنشاءً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المتصوّر ليس إلاّ مفهوم الفرد المردّد ، نظير المعدوم المطلق ، وشريك البارئ ، فإنّ المتصوّر منهما ليس إلاّ المفهوم ، بل ليس المفهوم حاكياً عنهما ؛ لعدم واقعية لهما ، وعدم إمكان الحكاية والإشارة وأمثالهما فيهما وفي أمثالهما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يمكن عقد قضيّة موجبة فيهما ، والموجبات ظاهراً ، لا بدّ من إرجاعها إلى السوالب المحصّلة بنفي الموضوع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البارئ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المعدوم </w:t>
      </w:r>
      <w:bookmarkStart w:id="507" w:name="pg15209_204074"/>
    </w:p>
    <w:p>
      <w:pPr>
        <w:pStyle w:val="BookText"/>
        <w:rPr/>
      </w:pPr>
      <w:bookmarkEnd w:id="507"/>
      <w:r>
        <w:rPr>
          <w:rFonts w:ascii="Amiri" w:hAnsi="Amiri" w:eastAsia="Amiri" w:cs="Amiri"/>
          <w:color w:val="111111"/>
          <w:sz w:val="28"/>
          <w:sz w:val="28"/>
          <w:szCs w:val="28"/>
          <w:rtl w:val="true"/>
          <w:lang w:bidi="ar-SA"/>
        </w:rPr>
        <w:t>المطلق قبال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مؤوّلان إلى السالبات ؛ لامتناع عقد الإيجاب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الفرد المردّد بالحمل الشائع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يرجع إلى سالبة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بيعه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الراجعة إلى عدم تحقّق البيع بعدم تحقّق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المردّد ليس بشيء ؛ لا عقلاً ، ولا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فيتوهّم منه أنّ البيع تعلّق به بالحمل الشائع ، مع أ نّه بهذا الحمل ليس بشيء ، ولا يعقل تعلّق البيع به ، فليس أمثال ذلك إلاّ توهّماً محضاً ، واختراعاً ذهنياً ، تتخيّل له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في عدم تعقّل تحقّق البيع 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 وليس مثله بيعاً باطلاً ، بل لا يكون بيعاً ، ولا شيئاً مذكوراً ، فلا يكون بطلان ذلك مستنداً إلى الأدلّة الشرعية من الغرر وغيره </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2974647_2142443653"/>
      <w:bookmarkStart w:id="509" w:name="_Toc179"/>
      <w:bookmarkEnd w:id="508"/>
      <w:r>
        <w:rPr>
          <w:rtl w:val="true"/>
        </w:rPr>
        <w:t>النصوص الموهمة لتعلّق الحكم بالفرد المنتشر والمردّد</w:t>
      </w:r>
      <w:bookmarkEnd w:id="509"/>
    </w:p>
    <w:p>
      <w:pPr>
        <w:pStyle w:val="BookText"/>
        <w:rPr/>
      </w:pPr>
      <w:r>
        <w:rPr>
          <w:rFonts w:ascii="Amiri" w:hAnsi="Amiri" w:eastAsia="Amiri" w:cs="Amiri"/>
          <w:color w:val="111111"/>
          <w:sz w:val="28"/>
          <w:sz w:val="28"/>
          <w:szCs w:val="28"/>
          <w:rtl w:val="true"/>
          <w:lang w:bidi="ar-SA"/>
        </w:rPr>
        <w:t xml:space="preserve">ثمّ إنّه قد ورد في النصوص الشرعية ، ما يوهم أنّ الحكم فيها على الفرد المنتشر والمردّد بالحمل الشائع ، كصحيحة جميل بن درّاج ،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خمساً في 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يخلّي سبيل أيّتهنّ شاء ، ويمسك الأربع</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ونظيرها ما ورد في مجوسي أسلم ، وله سبع نسوة ، حيث ورد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يمسك </w:t>
      </w:r>
    </w:p>
    <w:p>
      <w:pPr>
        <w:pStyle w:val="BookText"/>
        <w:rPr/>
      </w:pPr>
      <w:r>
        <w:rPr>
          <w:rFonts w:ascii="Amiri" w:hAnsi="Amiri" w:eastAsia="Amiri" w:cs="Amiri"/>
          <w:color w:val="111111"/>
          <w:sz w:val="28"/>
          <w:sz w:val="28"/>
          <w:szCs w:val="28"/>
          <w:rtl w:val="true"/>
          <w:lang w:bidi="ar-SA"/>
        </w:rPr>
        <w:t>أربعاً ، ويطلّق ثلاثاً</w:t>
      </w:r>
      <w:r>
        <w:rPr>
          <w:rFonts w:eastAsia="Amiri" w:cs="Amiri" w:ascii="Amiri" w:hAnsi="Amiri"/>
          <w:color w:val="111111"/>
          <w:sz w:val="28"/>
          <w:szCs w:val="28"/>
          <w:rtl w:val="true"/>
          <w:lang w:bidi="ar-SA"/>
        </w:rPr>
        <w:t>»</w:t>
      </w:r>
      <w:r>
        <w:rPr>
          <w:rStyle w:val="FootnoteAnchor"/>
          <w:rtl w:val="true"/>
        </w:rPr>
        <w:footnoteReference w:id="102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الصحّة في أربع مردّدة في الجميع ، والبطلان في الزائدة المردّدة فيه ، عين الفرد المردّد الممتنع تعلّق الحكم به ، وقد أفتى أصحابنا أو جمع منهم بمضامينها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الامتناع ؛ لأنّ العقد وقع على المعيّنات ، نظير وقوعه على المحرّم والمحلّل</w:t>
      </w:r>
      <w:r>
        <w:rPr>
          <w:rStyle w:val="FootnoteAnchor"/>
          <w:rtl w:val="true"/>
        </w:rPr>
        <w:footnoteReference w:id="1027"/>
      </w:r>
      <w:r>
        <w:rPr>
          <w:rFonts w:ascii="Amiri" w:hAnsi="Amiri" w:eastAsia="Amiri" w:cs="Amiri"/>
          <w:color w:val="111111"/>
          <w:sz w:val="28"/>
          <w:sz w:val="28"/>
          <w:szCs w:val="28"/>
          <w:rtl w:val="true"/>
          <w:lang w:bidi="ar-SA"/>
        </w:rPr>
        <w:t>غير مسموعة ؛ لأ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وإن وقع على الخمس مثلاً معيّنة ، لكن لم يؤثّر في واحدة منها مبهمة ، والإبهام في الواحدة موجب للإبهام في الأربع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الصحّة في تلك الموارد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بأنّ الممنوع في الزائد على النصاب ، إنّما هي الزوجية المستقرّة المترتّبة عليها آثارها ، دون مثل المقام الذي لا تترتّب عليها آثارها إلاّ بعد الاختيار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قلنا في مالكية العمودين ، فإنّ المستقرّة منها ممنوعة ، وأمّا الملكية </w:t>
      </w:r>
    </w:p>
    <w:p>
      <w:pPr>
        <w:pStyle w:val="BookText"/>
        <w:rPr/>
      </w:pPr>
      <w:r>
        <w:rPr>
          <w:rFonts w:ascii="Amiri" w:hAnsi="Amiri" w:eastAsia="Amiri" w:cs="Amiri"/>
          <w:color w:val="111111"/>
          <w:sz w:val="28"/>
          <w:sz w:val="28"/>
          <w:szCs w:val="28"/>
          <w:rtl w:val="true"/>
          <w:lang w:bidi="ar-SA"/>
        </w:rPr>
        <w:t>التي لا يترتّب عليها إلاّ العتق ، فلا مانع منها ، والأدلّة منصرفة إلى الملكية المعهودة المترتّبة عليها الآثار</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بأنّ العقد الإنشائي المتعلّق بالخمس ، لم يؤثّر واقعاً في شيء منها إلاّ بعد الاختيار ، فصحّة العقد تكون مراعاة إلى حال الاختيار ، نظير بيع الفضولي ، فالإنشاء تعلّق بالمعيّنات ، ولكن يؤثّر في اللاتي يختارهنّ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بأنّ العقد وإن تعلّق بالمعيّنات ، لكن لا يؤثّر إلاّ في الأربع منهنّ بنحو الكلّي ، القابل للصدق على كلّ أربع فرضت ، وبالاختيار يتعيّن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بأنّ العقد أثّر في الأربع اللاتي يختارهنّ في علم اللّه ، فالأربع المتعقّبة بالاختيار أزواجه ، والاختيار كاشف عمّا 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الوجوه تأتي في الكتابي الذي أسلم ، وله زائد على النصاب ؛ لعدم الفرق بين الابتداء والاستدامة ، وإن كان التقرير مغايراً للتقرير فيه ، كما يظهر بالتأمّل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طرح الصحيحة المفتى بها ، بعد إمكان رفع الإشكال العقلي بوجه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ما ورد في عتق أبي جعفر عليه السلام ثلث عبيده عند الموت ، وإخراج أبي عبداللّه عليه السلام إيّاه بالقرعة</w:t>
      </w:r>
      <w:r>
        <w:rPr>
          <w:rStyle w:val="FootnoteAnchor"/>
          <w:rtl w:val="true"/>
        </w:rPr>
        <w:footnoteReference w:id="1029"/>
      </w:r>
      <w:r>
        <w:rPr>
          <w:rFonts w:ascii="Amiri" w:hAnsi="Amiri" w:eastAsia="Amiri" w:cs="Amiri"/>
          <w:color w:val="111111"/>
          <w:sz w:val="28"/>
          <w:sz w:val="28"/>
          <w:szCs w:val="28"/>
          <w:rtl w:val="true"/>
          <w:lang w:bidi="ar-SA"/>
        </w:rPr>
        <w:t xml:space="preserve">فهو من قبيل الكلّي في المعيّن ، فإن أعتقهم عند موته أو بعده ، كان إنشاء العتق جزء السبب ، والقرعة متمّمة </w:t>
      </w:r>
      <w:r>
        <w:rPr>
          <w:rFonts w:eastAsia="Amiri" w:cs="Amiri" w:ascii="Amiri" w:hAnsi="Amiri"/>
          <w:color w:val="111111"/>
          <w:sz w:val="28"/>
          <w:szCs w:val="28"/>
          <w:rtl w:val="true"/>
          <w:lang w:bidi="ar-SA"/>
        </w:rPr>
        <w:t xml:space="preserve">. </w:t>
      </w:r>
      <w:bookmarkStart w:id="510" w:name="pg15209_204077"/>
    </w:p>
    <w:p>
      <w:pPr>
        <w:pStyle w:val="BookText"/>
        <w:rPr/>
      </w:pPr>
      <w:bookmarkEnd w:id="510"/>
      <w:r>
        <w:rPr>
          <w:rFonts w:ascii="Amiri" w:hAnsi="Amiri" w:eastAsia="Amiri" w:cs="Amiri"/>
          <w:color w:val="111111"/>
          <w:sz w:val="28"/>
          <w:sz w:val="28"/>
          <w:szCs w:val="28"/>
          <w:rtl w:val="true"/>
          <w:lang w:bidi="ar-SA"/>
        </w:rPr>
        <w:t xml:space="preserve">وإن كان من قبيل الإيصاء بالعتق ، يكون نظير الواجب التخييري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ظاهر الرواية هو العتق ، ولهذا أخرج الثلث بالقرعة </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2974649_2142443653"/>
      <w:bookmarkStart w:id="512" w:name="_Toc180"/>
      <w:bookmarkEnd w:id="511"/>
      <w:r>
        <w:rPr>
          <w:rtl w:val="true"/>
        </w:rPr>
        <w:t>تخيّل كون العلم الإجمالي من قبيل المتعلّق بالفرد المنتشر</w:t>
      </w:r>
      <w:bookmarkEnd w:id="512"/>
    </w:p>
    <w:p>
      <w:pPr>
        <w:pStyle w:val="BookText"/>
        <w:rPr/>
      </w:pPr>
      <w:r>
        <w:rPr>
          <w:rFonts w:ascii="Amiri" w:hAnsi="Amiri" w:eastAsia="Amiri" w:cs="Amiri"/>
          <w:color w:val="111111"/>
          <w:sz w:val="28"/>
          <w:sz w:val="28"/>
          <w:szCs w:val="28"/>
          <w:rtl w:val="true"/>
          <w:lang w:bidi="ar-SA"/>
        </w:rPr>
        <w:t xml:space="preserve">وقد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المتعلّق بأحد الشيئين ، أو واحد من الأشياء ، من قبيل المتعلّق بالفرد المنتشر والواحد المبهم ، ولهذا 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نعلم بنجاسة واحد من الكؤوس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الإبهام والانتشار</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تحقّق المبهم ، والفرد المنتشر ، والواحد لا بعينه ، خارجاً وكذا ذهناً إلاّ بالحمل الأوّلي</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من الكؤوس مثلاً ، إذا كان معلوماً بالإجمال ، فإن نظرنا إلى الواقع ، لا يكون النجس إلاّ الواحد الشخصي المعيّن ، ولا يعقل انتشاره وإبهامه وهو واحد بعينه وموجود مشخّص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باقي الكؤوس طاهراً ، فلا ينطبق الواحد النجس إلاّ عليه دون غيره ، فلا إبهام في الواقع ، ولا في المفهوم المنطبق عليه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نظرنا إلى العلم وكيفية تعلّقه به ، فهو أيضاً متعلّق بعنوان معيّن ومشخّص في العقل ، 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 الكؤوس الذي 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المعلوم بالذات ، والمعلوم بواسطته وبالعرض ليس إلاّ ما ينطبق هذا العنوان عليه ، وهو النجس </w:t>
      </w:r>
    </w:p>
    <w:p>
      <w:pPr>
        <w:pStyle w:val="BookText"/>
        <w:rPr/>
      </w:pPr>
      <w:r>
        <w:rPr>
          <w:rFonts w:ascii="Amiri" w:hAnsi="Amiri" w:eastAsia="Amiri" w:cs="Amiri"/>
          <w:color w:val="111111"/>
          <w:sz w:val="28"/>
          <w:sz w:val="28"/>
          <w:szCs w:val="28"/>
          <w:rtl w:val="true"/>
          <w:lang w:bidi="ar-SA"/>
        </w:rPr>
        <w:t xml:space="preserve">الواقعي ، ولا يمكن انطباقه على غيره ؛ لأنّ ما هو معلوم بهذا العنوان ، لا يعقل تكثّره ولا انطباقه على غير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لمّا كان هذا المعلوم المعيّن مشتبهاً بين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تعلّق العلم بخصوصياته المميّزة له عن سائرها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 نّه معلوم معيّن واقعاً ، ومعلوم من جهة بلا إجمال ، ومشتبه من جهات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زيداً موجود في الدار ، ولا يعرفه بعينه ، وكان مشتبهاً بين جمع ، تعلّق علمه بأنّ زيداً موجود بينهم ، فعلمه متعلّق بشخصه ، بعنوان أ نّه زيد ، المشخّص الموجود ، غير القابل للتكثّر والإبهام ، والتردّد والانتشار ، وباسمه الموجود في الذهن المعلوم بالذات ، وهو أيضاً اسم شخص لا ينطبق على غيره ، ولا إبهام ولا إجمال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لمّا لم يعرفه بخصوصياته المعرّفة ، واشتبه عنده بين سائر الأفراد ، واحتمل أ نّه هذا الشخص ، أو ذاك ، أو ذلك ، يصحّ أن يقول بنحو القضيّة المنفصلة الحقيقية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إمّ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هذا ، أو ذاك ، أو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 الأفراد ، ويصحّ</w:t>
      </w:r>
    </w:p>
    <w:p>
      <w:pPr>
        <w:pStyle w:val="BookText"/>
        <w:rPr/>
      </w:pP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أنّ زيداً موجود في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أحد هؤلاء الأشخاص ، ولا أعرفه بعينه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هو المراد من العلم الإجمالي ، أو العلم بواحد لا بعينه ، لا أ نّه في الواقع أو الذهن يتحقّق الواحد المبهم اللا بعينه ؛ ممّا هو واضح الفساد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 أنّ الواجب في يوم الجمعة إمّا صلاة الظهر ، أو صلاة الجمعة ، يعلم أنّ واحداً معيّناً وجب في الشرع ، والصورة الذهنية الفريضة يوم الجمعة ، وهي غير قابلة للانطباق على الصلاتين ، بل لا تنطبق إلاّ على ما هي فريضة ، لكن لمّا </w:t>
      </w:r>
      <w:bookmarkStart w:id="513" w:name="pg15209_204079"/>
    </w:p>
    <w:p>
      <w:pPr>
        <w:pStyle w:val="BookText"/>
        <w:rPr/>
      </w:pPr>
      <w:bookmarkEnd w:id="513"/>
      <w:r>
        <w:rPr>
          <w:rFonts w:ascii="Amiri" w:hAnsi="Amiri" w:eastAsia="Amiri" w:cs="Amiri"/>
          <w:color w:val="111111"/>
          <w:sz w:val="28"/>
          <w:sz w:val="28"/>
          <w:szCs w:val="28"/>
          <w:rtl w:val="true"/>
          <w:lang w:bidi="ar-SA"/>
        </w:rPr>
        <w:t xml:space="preserve">كانت مشتبهة ، تصدق القضية المنفصلة الحقيقية ، ويصدق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عالم بفريضة معيّنة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اشتبهت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إجمال في العلم ، ولا في المعلوم بالعرض ، ولا في المعلوم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تعرّضنا لذلك بهذا التفصيل مع وضوح الأمر ؛ لوقوع الاشتباه فيه حتّى عند بعض المحقّقين والأعلام</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2974651_2142443653"/>
      <w:bookmarkStart w:id="515" w:name="_Toc181"/>
      <w:bookmarkEnd w:id="514"/>
      <w:r>
        <w:rPr>
          <w:rtl w:val="true"/>
        </w:rPr>
        <w:t>الثالث من الوجوه</w:t>
      </w:r>
      <w:r>
        <w:rPr>
          <w:rtl w:val="true"/>
        </w:rPr>
        <w:t xml:space="preserve">: </w:t>
      </w:r>
      <w:r>
        <w:rPr>
          <w:rtl w:val="true"/>
        </w:rPr>
        <w:t>الكلّي في المعيّن</w:t>
      </w:r>
      <w:bookmarkEnd w:id="515"/>
    </w:p>
    <w:p>
      <w:pPr>
        <w:pStyle w:val="BookText"/>
        <w:rPr/>
      </w:pPr>
      <w:r>
        <w:rPr>
          <w:rFonts w:ascii="Amiri" w:hAnsi="Amiri" w:eastAsia="Amiri" w:cs="Amiri"/>
          <w:color w:val="111111"/>
          <w:sz w:val="28"/>
          <w:sz w:val="28"/>
          <w:szCs w:val="28"/>
          <w:rtl w:val="true"/>
          <w:lang w:bidi="ar-SA"/>
        </w:rPr>
        <w:t>والفرق بينه وبين المشاع والفرد المردّد واضح ، ولا سيّما على ما قلناه في معنى المشاع</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الفرق بينه وبين الكلّي لا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كالكلّي المقيّد ، الذي لا ينطبق إلاّ على المصاديق التي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من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الكلّي في المعيّن ، إذا لم يخرج عن حدّ الكلّية ، فهو كسائر الكلّيات القابلة للصدق على كثيرين ، ولا إشكال في أنّ مالك الصبرة المعيّنة ، لا يملك إلاّ الصبرة الخارجية الجزئية الحقيقية ، وبتبعها يملك الأبعاض المعيّنة الموجودة الجزئية ، ولا يملك الكلّي المنطبق عليها ، أو على أبعاضها ، حتّى يكون له مملوكان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الصبرة الخارجية بأبعاضها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المنطبق على كلّ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نّا نرى في حكم العقلاء ، أنّ بيع الكلّي في المعيّن من غير المالك ، يعدّ بيع ملك الغير ، فيحتاج إلى الإجازة ، فمن باع شاة من قطيع الغير على نحو الكلّي في المعيّن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شاة الغير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بدّ بعد صحّة هذا الحكم العقلائي من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بكون الكلّي في المعيّن جزئياً خارجياً مردّداً ، وأ نّه مرادهم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فاسد عقلاً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بكون الكلّي مملوكاً في قبال الصبرة وأبعاضها ، وهو أيضاً فاسد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بإرجاع الكلّي في المعيّن إلى الإشاعة ، وهو أيضاً خلاف اعتبار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 بما هو ، مع الغضّ عن لحوق الاعتبارات المعاملية به ، معنىً واحد ، لا فرق بين مصاديقه وموارده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كلّيات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الكلّية بوجه ؛ فإنّ الكلّي هو المفهوم القابل للصدق على كثيرين ، وهو صادق على الاُمور العامّة كالشيء والممكن ، وعلى الماهيات الخاصّة كالإنسان والغنم والبقر ، وعلى الكلّيات المقيّدة وإن صار التقييد موجباً لعدم الصدق إلاّ على مصاديق محدودة أو على مصداق واحد أو على الكلّي المضاف إلى معيّن كالصاع من الصبرة الخارجية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من تلك العناوين كلّي ، قابل للصدق على كثيرين ، من غير افتراق بينها من هذه الحيثية ، وإنّما الافتراق بالإطلاق والتقييد ، وسعة الصدق وعدمها ممّا لا دخالة لهما في نفس الكلّي ، فالكلّي في المعيّن ، لا يفترق عن سائر الكلّيات من حيث الكلّية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إذا نظرنا إلى اعتبار العقلاء في باب المعاملات ، نرى أنّ الكلّيات بما هي كلّيات ، لا رغبة فيها ، ولا مالية لها من حيث هي ، بل مناط المالية والرغبات في مصاديقها ، وإنّما صارت الكلّيات أموالاً باعتبار المصاديق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وسقاً من الحنطة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ماليته باعتبار مالية مصاديقه ، وقابلية تطبيقه عليها ، واعتبار ذمم المتعاملين تابع لقدرتهم على مصاديق ما تعاملوا عليه ، لا باعتبار إضافتها إلى ذممهم ؛ ضرورة أنّ الإضافة إليها مغفول عنها في 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بعد تحقّق المعاملة على الكلّيات ، يرى العرف اشتغال ذمّته بها ، نظير اشتغالها بقيم المتلفات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الإضافة إلى الذمّة ، لا تجعل غير المال مالاً ، ولهذا لو أضاف من لا اعتبار له عند العقلاء إلى ذمّته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كان مسكيناً لا ترجى منه القدرة ولو بعد حين ، وأراد بيع عشرين وسقاً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اشتراه أحد ؛ لعدم اعتبار ذمّته وعهدته ، وعدم صيرورة الإضافة موجبة للمالية ، فمالية الكلّيات تابعة لمعتمدها ، كمالية الأوراق النقدية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المعتمد في الكلّيات غير المضافة إلى الخارج ، هو قدرة البائع على المصداق مع الوثوق بتحقّقه ، وعلى ذلك تدور المعاملات في الكلّيات ، كالسلف ونحوه ، وليس معتمدها هو الوجود الخارجي ، ولا ماليتها بإضافتها إلى الذمم ، هذا مع الغضّ عن الإشكال العقلي في الإضافة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الكلّيات المضافة إلى الخارج ، فهي بحسب اعتبار العقلاء ، كلّيات معتبرة لا في الذمم ، بل في خارجها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الأعيان الخارجية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فظرف الكلّيات غير المضافة هو الذمم ، وظرف الكلّيات في المعيّن هو الخارج ؛ أي الصبرة في المثال ، والخارج يساوق الشخصية إذا كان الموجود فيه حقيقياً ، وأمّا الموجود الاعتباري فلا يساوق الشخصية ، فالصاع من الصبرة كلّي كسائر الكلّيات ، وقابل للصدق على الكثيرين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الكلّي المقيّد ، الذي لا ينطبق إلاّ على ما في الصبرة الخارجية ، أنّ ظرف الكلّي المقيّد ذمّة البائع ، ومعتمده قدرته واعتبار ذمّته وعهدته ، وظرف الكلّي الخارجي هو الصبرة الخارجية ، وهي معتمده ، لا ذمّة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فالمشتري مالك لكلّي في الصبرة ، كما أ نّه في الفرض الأوّل مالك لكلّي في الذمّة ، ولمّا كان الكلّي اعتبر في الصبرة ، يقال عند بيع صاع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باع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ملك الغير معتمده ، وبيعه باعتباره ، كما تعتبر سائر الكلّيات في الذمّة ؛ لأ نّها معتمدها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ما ذكر ، عدم صحّة بيع الزائد على ما في الصبرة ؛ لعدم تحقّق المعتمد ، وعدم إمكان التسليم ؛ لأنّ الشخص لا يعقل تكرّره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 فهو وإن انحصر في مصداق أو مصاديق خارجية ، لكن لو اتّفق وجود فرد آخر ، يكون مصداقاً له ، بلا افتراق بينه وبين المصاديق الموجودة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الكلّيات غير المضافة إلى المعيّن ، تصير بعد البيع ديناً على البائع ، فلو مات تعلّق بتركته ، وأمّا الكلّي في المعيّن فليس على ذمّته ، ولا يكون ديناً ، بل لا بدّ من تعيينه من الصبرة ؛ لأنّ الكلّي اعتبر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المراد من الكلّي الخارجي ، لا أ نّه موجود حقيقي في الخارج ، فإنّه محال بوصف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ينبغي الإشكال في صحّة بيعه ، وعدم جهالة وإبهام في المبيع ، وعدم غرر فيه بأيّ معنىً فسّر ؛ فإنّه معلوم بجميع حدوده ، والمصاديق ليست مورداً للبيع ، ولا خطر فيه ؛ لتساوي مصاديقه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الفرد المنتشر على فرض تعقّله ، فبيعه غرري إن فسّر الغرر بالجهالة ، كما فسّره بها الشيخ الأعظم قدّس سرّه </w:t>
      </w:r>
      <w:r>
        <w:rPr>
          <w:rStyle w:val="FootnoteAnchor"/>
          <w:rtl w:val="true"/>
        </w:rPr>
        <w:footnoteReference w:id="1034"/>
      </w:r>
      <w:r>
        <w:rPr>
          <w:rFonts w:ascii="IRNazanin" w:hAnsi="IRNazanin" w:eastAsia="IRNazanin"/>
          <w:color w:val="111111"/>
          <w:sz w:val="28"/>
          <w:sz w:val="28"/>
          <w:szCs w:val="28"/>
          <w:rtl w:val="true"/>
          <w:lang w:bidi="fa-IR"/>
        </w:rPr>
        <w:t>ومن تبعه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قضيّة عدم معهودية بيع الكلّي في المعيّن</w:t>
      </w:r>
      <w:r>
        <w:rPr>
          <w:rStyle w:val="FootnoteAnchor"/>
          <w:rtl w:val="true"/>
        </w:rPr>
        <w:footnoteReference w:id="1036"/>
      </w:r>
      <w:r>
        <w:rPr>
          <w:rFonts w:ascii="Amiri" w:hAnsi="Amiri" w:eastAsia="Amiri" w:cs="Amiri"/>
          <w:color w:val="111111"/>
          <w:sz w:val="28"/>
          <w:sz w:val="28"/>
          <w:szCs w:val="28"/>
          <w:rtl w:val="true"/>
          <w:lang w:bidi="ar-SA"/>
        </w:rPr>
        <w:t xml:space="preserve">، فعلى فرض تسليمه لا يضرّ ؛ فإنّ احتمال دخالتها في صحّة البيع ، مدفوع بإطلاق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لزوم معهودية متعلّقات المعاملات مقطوع الفساد ، وإلاّ لزم بطلان بيع عامّة الموضوعات المستحدثة ، مضافاً إلى أ نّه معهود ، كما أشار الشيخ قدّس سرّه إليه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معهوديته صحيحة الأطنان</w:t>
      </w:r>
      <w:r>
        <w:rPr>
          <w:rStyle w:val="FootnoteAnchor"/>
          <w:rtl w:val="true"/>
        </w:rPr>
        <w:footnoteReference w:id="1038"/>
      </w:r>
      <w:r>
        <w:rPr>
          <w:rFonts w:ascii="Amiri" w:hAnsi="Amiri" w:eastAsia="Amiri" w:cs="Amiri"/>
          <w:color w:val="111111"/>
          <w:sz w:val="28"/>
          <w:sz w:val="28"/>
          <w:szCs w:val="28"/>
          <w:rtl w:val="true"/>
          <w:lang w:bidi="ar-SA"/>
        </w:rPr>
        <w:t xml:space="preserve">أيضاً لأنّ موردها ذلك ، لا الفرد المنتشر المستحيل تعقّله وتعلّق البيع به ، فالحكم بالصحّة فيها ، دليل على عدم كون موردها الفرد المنتشر ، كما هو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عناوين المعاملة محصورة فيما هي معهودة في عصر الشارع ، كالبيع ، والإجارة ، والصلح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ونحوها ، فالمعاملات المستحدثة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تنطبق على إحدى المعهودات باطلة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أيضاً فاسد ، يدفع احتماله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516" w:name="pg15209_204085"/>
    </w:p>
    <w:p>
      <w:pPr>
        <w:pStyle w:val="Heading4"/>
        <w:numPr>
          <w:ilvl w:val="3"/>
          <w:numId w:val="1"/>
        </w:numPr>
        <w:rPr/>
      </w:pPr>
      <w:bookmarkStart w:id="517" w:name="__RefHeading___Toc2974653_2142443653"/>
      <w:bookmarkStart w:id="518" w:name="_Toc182"/>
      <w:bookmarkEnd w:id="516"/>
      <w:bookmarkEnd w:id="517"/>
      <w:r>
        <w:rPr>
          <w:rtl w:val="true"/>
        </w:rPr>
        <w:t>مسألة في بيع صاع من الصبرة</w:t>
      </w:r>
      <w:bookmarkEnd w:id="518"/>
    </w:p>
    <w:p>
      <w:pPr>
        <w:pStyle w:val="Heading5"/>
        <w:numPr>
          <w:ilvl w:val="4"/>
          <w:numId w:val="1"/>
        </w:numPr>
        <w:rPr/>
      </w:pPr>
      <w:bookmarkStart w:id="519" w:name="__RefHeading___Toc2974655_2142443653"/>
      <w:bookmarkStart w:id="520" w:name="_Toc183"/>
      <w:bookmarkEnd w:id="519"/>
      <w:r>
        <w:rPr>
          <w:rtl w:val="true"/>
        </w:rPr>
        <w:t>في أنّ المراد من الصاع هو الكلّي في المعيّن</w:t>
      </w:r>
      <w:bookmarkEnd w:id="520"/>
    </w:p>
    <w:p>
      <w:pPr>
        <w:pStyle w:val="BookText"/>
        <w:rPr/>
      </w:pPr>
      <w:r>
        <w:rPr>
          <w:rFonts w:ascii="Amiri" w:hAnsi="Amiri" w:eastAsia="Amiri" w:cs="Amiri"/>
          <w:color w:val="111111"/>
          <w:sz w:val="28"/>
          <w:sz w:val="28"/>
          <w:szCs w:val="28"/>
          <w:rtl w:val="true"/>
          <w:lang w:bidi="ar-SA"/>
        </w:rPr>
        <w:t>لو باع صاعاً من صبرة ، ولم تكن قرينة على المراد ، فهل يحمل على الفرد المنتشر ، فيحكم ببطلانه ، أو على الإشاعة ، أو على الكلّي في المعيّن ؟</w:t>
      </w:r>
    </w:p>
    <w:p>
      <w:pPr>
        <w:pStyle w:val="BookText"/>
        <w:rPr/>
      </w:pPr>
      <w:r>
        <w:rPr>
          <w:rFonts w:ascii="Amiri" w:hAnsi="Amiri" w:eastAsia="Amiri" w:cs="Amiri"/>
          <w:color w:val="111111"/>
          <w:sz w:val="28"/>
          <w:sz w:val="28"/>
          <w:szCs w:val="28"/>
          <w:rtl w:val="true"/>
          <w:lang w:bidi="ar-SA"/>
        </w:rPr>
        <w:t xml:space="preserve">ويتّضح المراد بتوضيح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اسم لمكيال معلوم ، أو لمقدار كذلك ، فهو معنىً نفسي ، غير منسوب ، ولا مضاف إلى غيره ، كسائر المقادير ، مثل الذراع ، والمنّ ، ومراتب الأعداد الصحيحة ، كالواحد ، والاثنين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 ذلك ، فتصوّر الصاع وأشباهه ، لا يستلزم تصوّر شيء آخر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الكسور التي اُصولها تسعة ، فهي اُمور نسبية ، يتوقّف تصوّرها على تصوّر غيرها ، نظير الاُبوّة والبنوّة ، فإنّ تصوّر الثلث ، يلازم تصوّر الثلثين ، ولا يعقل انفكاكه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معنىً يخالف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الصاع على الإشاعة ، يحتاج إلى قرينة دالّة على استعماله في غير ما وضع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أن يكون المعنى العرفي ، هو الكسر المشاع الذي يقدّر بالصاع</w:t>
      </w:r>
      <w:r>
        <w:rPr>
          <w:rStyle w:val="FootnoteAnchor"/>
          <w:rtl w:val="true"/>
        </w:rPr>
        <w:footnoteReference w:id="1042"/>
      </w:r>
      <w:r>
        <w:rPr>
          <w:rFonts w:ascii="Amiri" w:hAnsi="Amiri" w:eastAsia="Amiri" w:cs="Amiri"/>
          <w:color w:val="111111"/>
          <w:sz w:val="28"/>
          <w:sz w:val="28"/>
          <w:szCs w:val="28"/>
          <w:rtl w:val="true"/>
          <w:lang w:bidi="ar-SA"/>
        </w:rPr>
        <w:t xml:space="preserve">، فهو غير مرضيّ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قيام قرينة عامّة على ذلك</w:t>
      </w:r>
      <w:r>
        <w:rPr>
          <w:rStyle w:val="FootnoteAnchor"/>
          <w:rtl w:val="true"/>
        </w:rPr>
        <w:footnoteReference w:id="1043"/>
      </w:r>
      <w:r>
        <w:rPr>
          <w:rFonts w:ascii="Amiri" w:hAnsi="Amiri" w:eastAsia="Amiri" w:cs="Amiri"/>
          <w:color w:val="111111"/>
          <w:sz w:val="28"/>
          <w:sz w:val="28"/>
          <w:szCs w:val="28"/>
          <w:rtl w:val="true"/>
          <w:lang w:bidi="ar-SA"/>
        </w:rPr>
        <w:t>، غير مسموعة ، بل المعنى العرفي هو المعنى اللغوي</w:t>
      </w:r>
      <w:r>
        <w:rPr>
          <w:rStyle w:val="FootnoteAnchor"/>
          <w:rtl w:val="true"/>
        </w:rPr>
        <w:footnoteReference w:id="1044"/>
      </w:r>
      <w:r>
        <w:rPr>
          <w:rFonts w:ascii="Amiri" w:hAnsi="Amiri" w:eastAsia="Amiri" w:cs="Amiri"/>
          <w:color w:val="111111"/>
          <w:sz w:val="28"/>
          <w:sz w:val="28"/>
          <w:szCs w:val="28"/>
          <w:rtl w:val="true"/>
          <w:lang w:bidi="ar-SA"/>
        </w:rPr>
        <w:t xml:space="preserve">بلا ريب ، هذا حال الدوران بين الصاع والكسر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الدوران بين الكلّي في المعيّن ، والفرد المنتشر ، فقد قال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الوضع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صاعاً من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المنتشر</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لنفس الطبيعة من غير قيد وشرط ، وتنوين غير التمكّن ، لا يدلّ إلاّ على الوحدة في مدخوله بالمعنى الحرفي ، فصاعٌ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كرجلٍ بالتنوين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إلاّ على صاع واحد ، إلاّ أنّ هذا دالّ على المقصود بالدلالة الاسمية ، وذاك بالدلالة الحرفية ، ولا يزيد في الدلالة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وإفادة الزائد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كالمجهولية عند المخاطب ، أو المتكلّم ، أو عندهما ، وكالإبهام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محتاجة إلى قرينة ودالّ آخر ، غير نفس اللفظ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دلالة اللفظ ، هو الصاع المقيّد بالوحدة لا غير ، وهذا هو الكلّي </w:t>
      </w:r>
    </w:p>
    <w:p>
      <w:pPr>
        <w:pStyle w:val="BookText"/>
        <w:rPr/>
      </w:pPr>
      <w:r>
        <w:rPr>
          <w:rFonts w:ascii="Amiri" w:hAnsi="Amiri" w:eastAsia="Amiri" w:cs="Amiri"/>
          <w:color w:val="111111"/>
          <w:sz w:val="28"/>
          <w:sz w:val="28"/>
          <w:szCs w:val="28"/>
          <w:rtl w:val="true"/>
          <w:lang w:bidi="ar-SA"/>
        </w:rPr>
        <w:t xml:space="preserve">من غير قيد ، وإذا اُضيف إلى الصبرة مثلاً ، تكون دلالة الجملة على الكلّي في المعيّن بدوالّ متعدّدة ، وهي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 والجارّ ، واسم الإشارة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الخصوصية الفردية التي هي مدلول الفرد المنتشر ، فلا دالّ في الكلام عليها ، فلو اُريد إفادتها ، لا بدّ من دلالة لفظية ، أو قرينة حالية ، ونحوها ، فمقتضى الوضع هو الكلّي في المعيّن ، وكذا مقتضى فهم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الظاهر من رواية بريد بن معاوية ،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عشرة آلاف طنّ من أنبار ، بعضه على بعض من أجمة واحدة ، والأنبار فيه ثلاثون ألف طنّ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فأصبحوا وقد وقع في القصب نار ، فاحترق منه عشرون ألف طنّ ، وبقي عشرة آلاف 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العشرة آلاف التي بقيت هي للمشتري ، والعشرون التي احترقت من مال البائع</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بالسبق إلى الفهم من الرواية</w:t>
      </w:r>
      <w:r>
        <w:rPr>
          <w:rStyle w:val="FootnoteAnchor"/>
          <w:rtl w:val="true"/>
        </w:rPr>
        <w:footnoteReference w:id="1047"/>
      </w:r>
      <w:r>
        <w:rPr>
          <w:rFonts w:ascii="Amiri" w:hAnsi="Amiri" w:eastAsia="Amiri" w:cs="Amiri"/>
          <w:color w:val="111111"/>
          <w:sz w:val="28"/>
          <w:sz w:val="28"/>
          <w:szCs w:val="28"/>
          <w:rtl w:val="true"/>
          <w:lang w:bidi="ar-SA"/>
        </w:rPr>
        <w:t xml:space="preserve">، متين لا ريب فيه </w:t>
      </w:r>
      <w:r>
        <w:rPr>
          <w:rFonts w:eastAsia="Amiri" w:cs="Amiri" w:ascii="Amiri" w:hAnsi="Amiri"/>
          <w:color w:val="111111"/>
          <w:sz w:val="28"/>
          <w:szCs w:val="28"/>
          <w:rtl w:val="true"/>
          <w:lang w:bidi="ar-SA"/>
        </w:rPr>
        <w:t xml:space="preserve">. </w:t>
      </w:r>
      <w:bookmarkStart w:id="521" w:name="pg15209_204088"/>
    </w:p>
    <w:p>
      <w:pPr>
        <w:pStyle w:val="Heading5"/>
        <w:numPr>
          <w:ilvl w:val="4"/>
          <w:numId w:val="1"/>
        </w:numPr>
        <w:rPr/>
      </w:pPr>
      <w:bookmarkStart w:id="522" w:name="__RefHeading___Toc2974657_2142443653"/>
      <w:bookmarkStart w:id="523" w:name="_Toc184"/>
      <w:bookmarkEnd w:id="521"/>
      <w:bookmarkEnd w:id="522"/>
      <w:r>
        <w:rPr>
          <w:rtl w:val="true"/>
        </w:rPr>
        <w:t>آثار القول بكون المبيع كلّياً في المعيّن</w:t>
      </w:r>
      <w:bookmarkEnd w:id="523"/>
    </w:p>
    <w:p>
      <w:pPr>
        <w:pStyle w:val="Heading6"/>
        <w:numPr>
          <w:ilvl w:val="5"/>
          <w:numId w:val="1"/>
        </w:numPr>
        <w:rPr/>
      </w:pPr>
      <w:bookmarkStart w:id="524" w:name="__RefHeading___Toc2974659_2142443653"/>
      <w:bookmarkStart w:id="525" w:name="_Toc185"/>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 xml:space="preserve">ثمّ إنّه يتفرّع على ما استظهرناه ؛ من كون المبيع كلّياً في المعيّن اُمور </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2974661_2142443653"/>
      <w:bookmarkStart w:id="527" w:name="_Toc186"/>
      <w:bookmarkEnd w:id="526"/>
      <w:r>
        <w:rPr/>
        <w:t>1</w:t>
      </w:r>
      <w:r>
        <w:rPr>
          <w:rtl w:val="true"/>
        </w:rPr>
        <w:t xml:space="preserve"> - </w:t>
      </w:r>
      <w:r>
        <w:rPr>
          <w:rtl w:val="true"/>
        </w:rPr>
        <w:t>ثبوت التخيير في تعيين المبيع للبائع لا المشتري</w:t>
      </w:r>
      <w:bookmarkEnd w:id="527"/>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التخيير في تعيينه بيد البائع ، بخلاف المشاع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على ما سلكناه في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البائع والمشتري شريكان في العين ، كشركة الوارثين في إرث مورّثهما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لأنّ الخارج على فرض الكلّي ، ليس ملكاً للمشتري ، وإنّما هو مالك لكلّي اعتبر في الصبرة ، قابل للصدق على كلّ صاع فرض فيها ، ولا فرق من هذه الجهة بين الكلّي في المعيّن ، والكلّي في 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المشتري مالك لجزء من الصبرة ، والبائع مالك لما عدا هذا الجزء ، فلا بدّ من أن يكون التعيين بنظرهما </w:t>
      </w:r>
      <w:r>
        <w:rPr>
          <w:rStyle w:val="FootnoteAnchor"/>
          <w:rtl w:val="true"/>
        </w:rPr>
        <w:footnoteReference w:id="1048"/>
      </w:r>
      <w:r>
        <w:rPr>
          <w:rFonts w:ascii="Amiri" w:hAnsi="Amiri" w:eastAsia="Amiri" w:cs="Amiri"/>
          <w:color w:val="111111"/>
          <w:sz w:val="28"/>
          <w:sz w:val="28"/>
          <w:szCs w:val="28"/>
          <w:rtl w:val="true"/>
          <w:lang w:bidi="ar-SA"/>
        </w:rPr>
        <w:t xml:space="preserve">خروج عن فرض الكلّي ؛ ضرورة أنّ الجزء الخارجي ، لا يعقل أن يكون كلّياً ، ولا يلزم من اعتباره في الصبرة ، صيرورة جزء منها ملكاً له ؛ لأنّ ملكية الكلّي القابل للصدق على كثيرين ، مخالفة لملكية الجزئي الخارجي غير القابل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الإشاعة فالخارج مشترك بينهما ، ومقتضى الشركة احتياج القسمة إلى التراضي ، وهو ظاهر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مسلك من ذهب إلى أنّ الكسر المشاع كلّي ، قابل للصدق على أيّ </w:t>
      </w:r>
    </w:p>
    <w:p>
      <w:pPr>
        <w:pStyle w:val="BookText"/>
        <w:rPr/>
      </w:pPr>
      <w:r>
        <w:rPr>
          <w:rFonts w:ascii="Amiri" w:hAnsi="Amiri" w:eastAsia="Amiri" w:cs="Amiri"/>
          <w:color w:val="111111"/>
          <w:sz w:val="28"/>
          <w:sz w:val="28"/>
          <w:szCs w:val="28"/>
          <w:rtl w:val="true"/>
          <w:lang w:bidi="ar-SA"/>
        </w:rPr>
        <w:t>كسر فرض في الصبرة</w:t>
      </w:r>
      <w:r>
        <w:rPr>
          <w:rStyle w:val="FootnoteAnchor"/>
          <w:rtl w:val="true"/>
        </w:rPr>
        <w:footnoteReference w:id="1049"/>
      </w:r>
      <w:r>
        <w:rPr>
          <w:rFonts w:ascii="Amiri" w:hAnsi="Amiri" w:eastAsia="Amiri" w:cs="Amiri"/>
          <w:color w:val="111111"/>
          <w:sz w:val="28"/>
          <w:sz w:val="28"/>
          <w:szCs w:val="28"/>
          <w:rtl w:val="true"/>
          <w:lang w:bidi="ar-SA"/>
        </w:rPr>
        <w:t xml:space="preserve">، فلا بدّ من الالتزام بكون التخيير للبائع ؛ بعين ما ذكر في الكلّي في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بعض الأعاظم قدّس سرّه من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الكلّي في المعيّن ، مجرّد عن جميع الخصوصيات الخارجية ، بخلاف المشاع ، فإنّ النصف القابل للانطباق على النصفين ، ملحوظ بمشخّصاته الخارجية ، غاية الأمر حيث إنّ النصف كلّي ، فالخصوصيات أيضاً كلّية ؛ أي خصوصية ما داخلة في المبيع ، ولهذا لا بدّ في التعيين من رضا الطرفين</w:t>
      </w:r>
      <w:r>
        <w:rPr>
          <w:rStyle w:val="FootnoteAnchor"/>
          <w:rtl w:val="true"/>
        </w:rPr>
        <w:footnoteReference w:id="1050"/>
      </w:r>
      <w:r>
        <w:rPr>
          <w:rFonts w:ascii="Amiri" w:hAnsi="Amiri" w:eastAsia="Amiri" w:cs="Amiri"/>
          <w:color w:val="111111"/>
          <w:sz w:val="28"/>
          <w:sz w:val="28"/>
          <w:szCs w:val="28"/>
          <w:rtl w:val="true"/>
          <w:lang w:bidi="ar-SA"/>
        </w:rPr>
        <w:t xml:space="preserve">لا يخلو من غرابة ؛ ضرورة أنّ الكلّي إذا قيّد بكلّي آخر ، لا يخرج عن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فالمشتري على فرض دخول الخصوصية بنحو الكلّية في ملكه ، لا يملك خصوصية معيّنة ، ولا يشترك مع البائع في الموجود الخارجي ، ولازم ذلك كون التخيير للمالك بعين ما قرّر في الكلّي في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فالكسر الكلّي المفروض في الصبرة بناءً على ما ذكره ، عين الكلّي في المعيّن ولو قيّد بخصوصية ما ؛ أي خصوصية كلّية قابلة للصدق على كلّ كسر فرض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التراضي من أحكام الشركة في العين الخارجية ، ومع عدم ملكيتها إلاّ للبائع ، وعدم ملك المشتري إلاّ الكلّي المتقيّد بخصوصية كلّية ، لا وجه لدخالة رضاه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الكسر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النصف ، أو الثلث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فيه </w:t>
      </w:r>
      <w:bookmarkStart w:id="528" w:name="pg15209_204090"/>
    </w:p>
    <w:p>
      <w:pPr>
        <w:pStyle w:val="BookText"/>
        <w:rPr/>
      </w:pPr>
      <w:bookmarkEnd w:id="528"/>
      <w:r>
        <w:rPr>
          <w:rFonts w:ascii="Amiri" w:hAnsi="Amiri" w:eastAsia="Amiri" w:cs="Amiri"/>
          <w:color w:val="111111"/>
          <w:sz w:val="28"/>
          <w:sz w:val="28"/>
          <w:szCs w:val="28"/>
          <w:rtl w:val="true"/>
          <w:lang w:bidi="ar-SA"/>
        </w:rPr>
        <w:t xml:space="preserve">الخصوصيات الخارجية ، فكما أنّ الصاع لا يكون إلاّ نفس ذاته ، والخصوصيات خارجة عنه ، كذلك الكسر ، لا يكون إلاّ نفس الثلث أو النصف مثلاً ، والخصوصيات خارجة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فإدخال الخصوصيات ولو بنحو الكلّي ، يحتاج إلى قيد زائد يمكن إلحاقه بالصاع ، كما يمكن إلحاقه بالنصف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بكلّية الكسر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كالالتزام بالافتراق بينهما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وجه له </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2974663_2142443653"/>
      <w:bookmarkStart w:id="530" w:name="_Toc187"/>
      <w:bookmarkEnd w:id="529"/>
      <w:r>
        <w:rPr/>
        <w:t>2</w:t>
      </w:r>
      <w:r>
        <w:rPr>
          <w:rtl w:val="true"/>
        </w:rPr>
        <w:t xml:space="preserve"> - </w:t>
      </w:r>
      <w:r>
        <w:rPr>
          <w:rtl w:val="true"/>
        </w:rPr>
        <w:t>انحصار حقّ المشتري بالباقي بعد التلف</w:t>
      </w:r>
      <w:bookmarkEnd w:id="53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تلف بعض الجملة ، وبقي مقدار تصدق عليه الطبيعة ، ينحصر حقّ المشتري فيه ، بناءً على الكلّي في المعيّن ؛ لأنّ المشتري ليس مالكاً للخارج المتلف ، وإنّما هو مالك للكلّي ، وهو باقٍ مع وجود مصداق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المشاع ؛ ضرورة أنّ التلف فيه تلف لمالهما المشترك ، فيكون التلف بنسبة ملك المشتري من التالف من التلف قبل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الباقي بناءً على الكلّي في المعيّن ، يصير متعيّناً ، ولا يحتاج إلى تعيين البائع أو لا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حكم العقل هو الثاني ؛ لأنّ الباقي ليس متعلّقاً لعقد البيع ، ولا مملوكاً للمشتري ، بل باقٍ على ملك البائع ، والانحصار لا يوجب صيرورة الكلّي جزئياً وغير المبيع مبيعاً ، نظير ما هو التحقيق في الواجب الموسّع بعد تضييق وقته ، فإنّ الأمر المتعلّق به ، لا يعقل تخلّفه عمّا هو عليه ، </w:t>
      </w:r>
    </w:p>
    <w:p>
      <w:pPr>
        <w:pStyle w:val="BookText"/>
        <w:rPr/>
      </w:pPr>
      <w:r>
        <w:rPr>
          <w:rFonts w:ascii="Amiri" w:hAnsi="Amiri" w:eastAsia="Amiri" w:cs="Amiri"/>
          <w:color w:val="111111"/>
          <w:sz w:val="28"/>
          <w:sz w:val="28"/>
          <w:szCs w:val="28"/>
          <w:rtl w:val="true"/>
          <w:lang w:bidi="ar-SA"/>
        </w:rPr>
        <w:t>فهو موسّع حتّى بعد تضييق وقته ، والتغيير والتبديل في الجعل والحكم غير معقول ، وإنّما الاختلاف قبل التضييق وبعده في حكم العقل ، لا في جعل الجاعل وحكم الحاكم ، فقبله يحكم العقل بالتخيير ، وبعده يحكم بعدمه ، ومع العصيان يكون عصياناً للواجب الموسّع ، لا المضيّق</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المقام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تعلّق به البيع هو الكلّي ، لا مصداقه ، وانحصار المصداق لا يوجب تغيير متعلّق البيع ، فالكلّي مبيع ، والمصداق باقٍ على ملك البائع ، ويتعيّن بتعيينه ، كما أنّ الكلّي المقيّد غير المعيّن ، لا يخرج عن الكلّية</w:t>
      </w:r>
    </w:p>
    <w:p>
      <w:pPr>
        <w:pStyle w:val="BookText"/>
        <w:rPr/>
      </w:pPr>
      <w:r>
        <w:rPr>
          <w:rFonts w:ascii="IRNazanin" w:hAnsi="IRNazanin" w:eastAsia="IRNazanin"/>
          <w:color w:val="111111"/>
          <w:sz w:val="28"/>
          <w:sz w:val="28"/>
          <w:szCs w:val="28"/>
          <w:rtl w:val="true"/>
          <w:lang w:bidi="fa-IR"/>
        </w:rPr>
        <w:t xml:space="preserve">بانحصار مصداقه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تطبيق الكلّي على الخارج ، غير تعلّق البيع به ، فما هو متعلّق الإنشاء والبيع ، هو الكلّي في المعيّن ، لكن قبل انحصاره في الواحد ، يكون كلّ فرد صالحاً لانطباق الكلّي عليه ، من دون أن يكون مصداقاً فعلياً له ؛ لعدم الترجيح ، وبعد الانحصار يصير منطبقاً عليه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تعيين البائع ، لا يوجب تغيير الإنشاء عمّا هو عليه ، كذلك تطبيق الكلّي لا يوجب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الكلّي في الذمّة ، والكلّي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الثاني لمّا فرض في الخارج كما تقدّم</w:t>
      </w:r>
      <w:r>
        <w:rPr>
          <w:rStyle w:val="FootnoteAnchor"/>
          <w:rtl w:val="true"/>
        </w:rPr>
        <w:footnoteReference w:id="1052"/>
      </w:r>
      <w:r>
        <w:rPr>
          <w:rFonts w:ascii="Amiri" w:hAnsi="Amiri" w:eastAsia="Amiri" w:cs="Amiri"/>
          <w:color w:val="111111"/>
          <w:sz w:val="28"/>
          <w:sz w:val="28"/>
          <w:szCs w:val="28"/>
          <w:rtl w:val="true"/>
          <w:lang w:bidi="ar-SA"/>
        </w:rPr>
        <w:t xml:space="preserve">، ففي مورد الانحصار ينطبق فعلاً عليه ، ويصير متعيّناً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 فلا ينطبق عليه قهراً ؛ لعدم إضافته إلى الخارج ، فتكون نسبته إلى </w:t>
      </w:r>
      <w:bookmarkStart w:id="531" w:name="pg15209_204092"/>
    </w:p>
    <w:p>
      <w:pPr>
        <w:pStyle w:val="BookText"/>
        <w:rPr/>
      </w:pPr>
      <w:bookmarkEnd w:id="531"/>
      <w:r>
        <w:rPr>
          <w:rFonts w:ascii="Amiri" w:hAnsi="Amiri" w:eastAsia="Amiri" w:cs="Amiri"/>
          <w:color w:val="111111"/>
          <w:sz w:val="28"/>
          <w:sz w:val="28"/>
          <w:szCs w:val="28"/>
          <w:rtl w:val="true"/>
          <w:lang w:bidi="ar-SA"/>
        </w:rPr>
        <w:t xml:space="preserve">الخارج وإلى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التطبيق حكم عرفي في الكلّي في المعيّن </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2974665_2142443653"/>
      <w:bookmarkStart w:id="533" w:name="_Toc188"/>
      <w:bookmarkEnd w:id="532"/>
      <w:r>
        <w:rPr/>
        <w:t>3</w:t>
      </w:r>
      <w:r>
        <w:rPr>
          <w:rtl w:val="true"/>
        </w:rPr>
        <w:t xml:space="preserve"> - </w:t>
      </w:r>
      <w:r>
        <w:rPr>
          <w:rtl w:val="true"/>
        </w:rPr>
        <w:t>اختصاص النماءات بالبائع</w:t>
      </w:r>
      <w:bookmarkEnd w:id="53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كانت للموجود الخارجي نماءات أو منافع ، فهي للبائع على الكلّي في المعيّن ، ومشتركة بينهما على الإشاعة ؛ لأنّ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المبيع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ملكاً للمشتري إلاّ بعد تعيين المصداق </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2974667_2142443653"/>
      <w:bookmarkStart w:id="535" w:name="_Toc189"/>
      <w:bookmarkEnd w:id="534"/>
      <w:r>
        <w:rPr/>
        <w:t>4</w:t>
      </w:r>
      <w:r>
        <w:rPr>
          <w:rtl w:val="true"/>
        </w:rPr>
        <w:t xml:space="preserve"> - </w:t>
      </w:r>
      <w:r>
        <w:rPr>
          <w:rtl w:val="true"/>
        </w:rPr>
        <w:t>اختصاص الباقي بالمشتري الأوّل</w:t>
      </w:r>
      <w:bookmarkEnd w:id="535"/>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باع البائع بعد ما باع صاعاً منها ، صاعاً آخر من آخر ، فعلى ما ذكرناه لو تلفت الصبرة ، وبقي صاع واحد ، كان ذلك للمشتري الأوّل ، وانفسخ البيع بالنسبة إلى الثاني ؛ لأنّ التلف قبل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 لما ذكره الشيخ الأعظم قدّس سرّه وتبعه بعض آخر</w:t>
      </w:r>
      <w:r>
        <w:rPr>
          <w:rStyle w:val="FootnoteAnchor"/>
          <w:rtl w:val="true"/>
        </w:rPr>
        <w:footnoteReference w:id="1053"/>
      </w:r>
      <w:r>
        <w:rPr>
          <w:rFonts w:ascii="Amiri" w:hAnsi="Amiri" w:eastAsia="Amiri" w:cs="Amiri"/>
          <w:color w:val="111111"/>
          <w:sz w:val="28"/>
          <w:sz w:val="28"/>
          <w:szCs w:val="28"/>
          <w:rtl w:val="true"/>
          <w:lang w:bidi="ar-SA"/>
        </w:rPr>
        <w:t>؛ من أنّ الكلّي المبيع ثانياً ، إنّما هو سارٍ في مال البائع ، وهو ما عدا الصاع من الصبرة ، فإذا تلف ما عدا الصاع ، فقد تلف جميع ما كان الكلّي فيه سارياً ، فقد تلف المبيع الثاني قبل القبض</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المفروض أ نّه باع صاعاً كلّياً ، ولم يكن هو ملكاً للبائع ، بل كان ملكه هو الصبرة الخارجية، المشخّصة المعيّنة الموجودة الجزئية، والصيعان التي فيها أجزاء </w:t>
      </w:r>
    </w:p>
    <w:p>
      <w:pPr>
        <w:pStyle w:val="BookText"/>
        <w:rPr/>
      </w:pPr>
      <w:r>
        <w:rPr>
          <w:rFonts w:ascii="Amiri" w:hAnsi="Amiri" w:eastAsia="Amiri" w:cs="Amiri"/>
          <w:color w:val="111111"/>
          <w:sz w:val="28"/>
          <w:sz w:val="28"/>
          <w:szCs w:val="28"/>
          <w:rtl w:val="true"/>
          <w:lang w:bidi="ar-SA"/>
        </w:rPr>
        <w:t xml:space="preserve">لها ، وهي موجودة جزئية ، ولا يعقل أن يكون الموجود الحقيقي الخارجي كلّياً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البائع جزئي حقيقي ، والمبيع كلّي ، وهما متقابلان ، فلا يكون ما هو ملكه مبيعاً ، وليس معنى الكلّي الخارجي أو الكلّي في المعيّن ، أنّ الصاع المتحقّق في الخارج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جزئي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واقعاً ؛ ضرورة امتناع ذلك عرفاً وعقلاً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الوجه في ذلك ، أنّ مقتضى لزوم الوفاء بالعقد عرفاً وشرعاً ، تحديد سلطنة البائع بالنسبة إلى الصبرة الخارجية ؛ لأنّ لازم بيع الصاع من الصبرة ، هو لزوم أدائه منها ، لا أداء صاع مطلقاً ، وليس للبائع بعد بيع صاع منها أن يبيع الصبرة بأجمعها ؛ لعدم سلطنته عليها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الكلّي المقيّد وإن انحصر مصداقه في الفرد الموجود خارجاً ، وبين الكلّي في المعيّن ، أنّ لزوم الأداء من الصبرة ، من مقتضيات البيع عرفاً وشرعاً في الثاني ، دون الأوّل ، ولازمه تحديد سلطنته ، ولازم ذلك عدم نفوذ بيعه إلاّ في الواحد من الباقي ، فيكون الكلّي المبيع ثانياً ، صاعاً من الصبرة ما عدا واحد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صرف الوجود أو الكلّي ، باقٍ إلى تلف الجميع ، وأنّ التعيّن من قبل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العدم ، فالتخصيص بلا مخصّص</w:t>
      </w:r>
      <w:r>
        <w:rPr>
          <w:rStyle w:val="FootnoteAnchor"/>
          <w:rtl w:val="true"/>
        </w:rPr>
        <w:footnoteReference w:id="1055"/>
      </w:r>
      <w:r>
        <w:rPr>
          <w:rFonts w:ascii="Amiri" w:hAnsi="Amiri" w:eastAsia="Amiri" w:cs="Amiri"/>
          <w:color w:val="111111"/>
          <w:sz w:val="28"/>
          <w:sz w:val="28"/>
          <w:szCs w:val="28"/>
          <w:rtl w:val="true"/>
          <w:lang w:bidi="ar-SA"/>
        </w:rPr>
        <w:t xml:space="preserve">غير وجيه ؛ لأنّ التعيّن إنّما هو لقصور السلطنة عرفاً وشرعاً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نرى بالضرورة لدى العرف ، أ نّه لو باع صاعاً منها ، لا يجوز له بيع </w:t>
      </w:r>
      <w:bookmarkStart w:id="536" w:name="pg15209_204094"/>
    </w:p>
    <w:p>
      <w:pPr>
        <w:pStyle w:val="BookText"/>
        <w:rPr/>
      </w:pPr>
      <w:bookmarkEnd w:id="536"/>
      <w:r>
        <w:rPr>
          <w:rFonts w:ascii="Amiri" w:hAnsi="Amiri" w:eastAsia="Amiri" w:cs="Amiri"/>
          <w:color w:val="111111"/>
          <w:sz w:val="28"/>
          <w:sz w:val="28"/>
          <w:szCs w:val="28"/>
          <w:rtl w:val="true"/>
          <w:lang w:bidi="ar-SA"/>
        </w:rPr>
        <w:t xml:space="preserve">الجميع ، وليس هذا إلاّ من أجل ما ذكر ، وهذا الحكم العرفي والشرعي ، يوجب حمل الكلّي المبيع ثانياً على صاع من الصبرة ما عدا صاع ، وهذا وجه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أحكام الكلّي في المعيّن ، مقابل الكلّي المقيّد في الذمّة ، فإنّ الثاني لا مساس له بالخارج بحسب مقتضى البيع ، بخلاف الأوّل ، ولهذا لو باع صاعاً من صبرة الغير يعدّ فضولياً ، فلو أذن صحّ ، ولزمه الأداء من صبرته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الصاع الباقي لهما ، فالظاهر أ نّه لم ينقلب إلى الإشاعة والاشتراك ، بل بقي لكلٍّ نصف الصاع بنحو الكلّي في المعيّن ، وللبائع اختيار 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لو بقي صاعان منها ، بقي الكلّي على حاله ، وكذا اختيار البائع ، هذا كلّه بناءً على الحمل على الكلّي في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الاشتراك والإشاعة ، فالحكم واضح ، ويكون الباقي مشتركاً ، وإن وقع الكلام سالفاً في كيفية الاشتراك، في مسألة من باع نصف الدار ، وكان مالكاً للنصف</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2974669_2142443653"/>
      <w:bookmarkStart w:id="538" w:name="_Toc190"/>
      <w:bookmarkEnd w:id="537"/>
      <w:r>
        <w:rPr>
          <w:rtl w:val="true"/>
        </w:rPr>
        <w:t>حكم قبض المشتري لجميع الصبرة</w:t>
      </w:r>
      <w:bookmarkEnd w:id="538"/>
    </w:p>
    <w:p>
      <w:pPr>
        <w:pStyle w:val="BookText"/>
        <w:rPr/>
      </w:pPr>
      <w:r>
        <w:rPr>
          <w:rFonts w:ascii="Amiri" w:hAnsi="Amiri" w:eastAsia="Amiri" w:cs="Amiri"/>
          <w:color w:val="111111"/>
          <w:sz w:val="28"/>
          <w:sz w:val="28"/>
          <w:szCs w:val="28"/>
          <w:rtl w:val="true"/>
          <w:lang w:bidi="ar-SA"/>
        </w:rPr>
        <w:t>ثمّ إنّ المبيع يبقى كلّياً ما لم يقبض ، ولا إشكال في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إذا قبض منفرداً عمّا عداه ، صار ملكاً للمشتري ؛ لانطباق الكلّي عليه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قبض الصبرة بأجمعها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إقباضها بعنوان إقباض الكلّي تبعاً ، فإنّ الكلّي بعد ما كان معتبراً في الصبرة ، يكون تلفه بتلفها ، وقبضه بقبضها ، ومعه يكون الإقباض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إقباض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لكون التلف بعد القبض ، فإذا تلفت الصبرة بأجمعها ، كان تلف الكلّي من مال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تلف بعضها يحسب على البائع ؛ لأنّ الكلّي باقٍ على حاله في ماله ، والخارج ملك للبائع ، ولم يحدث شيء إلاّ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تلف المبيع قبل القبض ، تعمّ الكلّيات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الإقباض بعد تعيين الصاع في المشاع ؛ بأن يجعل الصاع عشر الصبرة مثلاً ويسلّمها ، ليكون العشر ماله بنحو الكسر المشاع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على فرضه لا إشكال في حكمه ، إلاّ أنّ الشأن في كون ذلك النحو من التعيين بيد البائع ، فإنّه مشكل ، بل ممنوع ؛ لأنّ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متقابلان ، واعتبار كلّ غير اعتبار الآخر ، كما أنّ مصداق كلّ يخالف مصداق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قابل للانطباق على الكسر الخارجي في أيّ موضوع كان ، ولا ينطبق على الصاع المعيّن ، كما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الكلّي ، لا ينطبق على المشاع إلاّ مع تقدير وتجريد عن 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الإشاعة أمر زائد على الصاع الكلّي الذي هو المبيع ، وليس للبائع إلاّ تعيين المصداق ، لا تبديل الكلّي بالإشاعة إلاّ مع قراره مع المشتري ، وهو خارج عن الفرض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إقباض المجموع ، بعنوان الوفاء بالعقد في الصاع الكلّي ، </w:t>
      </w:r>
    </w:p>
    <w:p>
      <w:pPr>
        <w:pStyle w:val="BookText"/>
        <w:rPr/>
      </w:pPr>
      <w:r>
        <w:rPr>
          <w:rFonts w:ascii="Amiri" w:hAnsi="Amiri" w:eastAsia="Amiri" w:cs="Amiri"/>
          <w:color w:val="111111"/>
          <w:sz w:val="28"/>
          <w:sz w:val="28"/>
          <w:szCs w:val="28"/>
          <w:rtl w:val="true"/>
          <w:lang w:bidi="ar-SA"/>
        </w:rPr>
        <w:t xml:space="preserve">وبعنوان الأمانة في الباقي ؛ بمعنى انقلاب ملكه الشخصي إلى الكلّي ، فيكون كلّ من البائع والمشتري مالكاً 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محتمل كلام الشيخ الأعظم قدّس سرّه </w:t>
      </w:r>
      <w:r>
        <w:rPr>
          <w:rStyle w:val="FootnoteAnchor"/>
          <w:rtl w:val="true"/>
        </w:rPr>
        <w:footnoteReference w:id="1057"/>
      </w:r>
      <w:r>
        <w:rPr>
          <w:rFonts w:ascii="Amiri" w:hAnsi="Amiri" w:eastAsia="Amiri" w:cs="Amiri"/>
          <w:color w:val="111111"/>
          <w:sz w:val="28"/>
          <w:sz w:val="28"/>
          <w:szCs w:val="28"/>
          <w:rtl w:val="true"/>
          <w:lang w:bidi="ar-SA"/>
        </w:rPr>
        <w:t xml:space="preserve">،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 وكون التلف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البائع ليس مسلّطاً على ذلك الانقلاب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لا معنى معقول له ؛ لأنّ انقلاب ملكه الشخصي بمعنى انقلاب الخارج المتحقّق الجزئي إلى الكلّي، لا يعقل ، وبمعنى سلب الملك الخارجي ، وإثبات الكلّي ، لا يعقل أيضاً بلا سبب للسلب وللإثبات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لازم الاحتمالين ، خروج العين الخارجية عن ملكه ، وعدم دخولها في ملك الآخر ، وهو خلاف الواقع ؛ ضرورة أنّ العين بعد التسليم باقية في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الخارج بعد ملكهما للكلّي ، يصير ملكاً لهما بالإشاعة</w:t>
      </w:r>
      <w:r>
        <w:rPr>
          <w:rStyle w:val="FootnoteAnchor"/>
          <w:rtl w:val="true"/>
        </w:rPr>
        <w:footnoteReference w:id="1058"/>
      </w:r>
      <w:r>
        <w:rPr>
          <w:rFonts w:ascii="Amiri" w:hAnsi="Amiri" w:eastAsia="Amiri" w:cs="Amiri"/>
          <w:color w:val="111111"/>
          <w:sz w:val="28"/>
          <w:sz w:val="28"/>
          <w:szCs w:val="28"/>
          <w:rtl w:val="true"/>
          <w:lang w:bidi="ar-SA"/>
        </w:rPr>
        <w:t xml:space="preserve">مدفوع بأنّ لازمه كون كلّ منهما مالكاً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 والخارج ، وهو ممنوع جدّاً ، مع أ نّه لا سبب للتبديل بالإشاعة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ممّا ذكر فساداً ، أن يراد قلب الصاع الجزئي إلى الكلّي ، وانقلاب الصيعان الخارجية إلى الكلّي الاعتباري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تسليم المجموع لإيفاء مصداق الكلّي ، ولا يعقل ذلك إلاّ </w:t>
      </w:r>
    </w:p>
    <w:p>
      <w:pPr>
        <w:pStyle w:val="BookText"/>
        <w:rPr/>
      </w:pPr>
      <w:r>
        <w:rPr>
          <w:rFonts w:ascii="Amiri" w:hAnsi="Amiri" w:eastAsia="Amiri" w:cs="Amiri"/>
          <w:color w:val="111111"/>
          <w:sz w:val="28"/>
          <w:sz w:val="28"/>
          <w:szCs w:val="28"/>
          <w:rtl w:val="true"/>
          <w:lang w:bidi="ar-SA"/>
        </w:rPr>
        <w:t xml:space="preserve">بصيرورة الصاع مشاعاً حتّى ينطبق عليه الكلّي ، ولازمه الاشتراك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الوجه 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الإشاعة في هذا الوجه لازم إيفاء المصداق ، وفي ذلك بجعل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على فرض تماميته ، واضح الحكم ، لكن يرد عليه ما يرد على 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الإشاعة من مقتضيات عدم تعيّن المملوكين وامتيازهما ، نظير المالين المختلطين بنحو يرفع الامتياز بينهما عرفاً </w:t>
      </w:r>
      <w:r>
        <w:rPr>
          <w:rStyle w:val="FootnoteAnchor"/>
          <w:rtl w:val="true"/>
        </w:rPr>
        <w:footnoteReference w:id="1059"/>
      </w:r>
      <w:r>
        <w:rPr>
          <w:rFonts w:ascii="Amiri" w:hAnsi="Amiri" w:eastAsia="Amiri" w:cs="Amiri"/>
          <w:color w:val="111111"/>
          <w:sz w:val="28"/>
          <w:sz w:val="28"/>
          <w:szCs w:val="28"/>
          <w:rtl w:val="true"/>
          <w:lang w:bidi="ar-SA"/>
        </w:rPr>
        <w:t xml:space="preserve">فاسد ؛ لأنّ صيرورته شخصياً بهذا المعنى أوّل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إقباضه بعنوان الأمانة ؛ حتّى يعيّن حقّه الكلّي فيما بعد ، وهذا لا إشكال فيه ، لكن لا يصير بالقبض جزئياً ، ويكون حقّ التعيين للبائع ، فإن أذن للمشتري كان له ذلك أيضاً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إقباض الجميع المتضمّن لإقباض ماله الموجود في الصبرة ، لا يعقل أن يكون بعنوان الأمانة في تمامها ؛ لأنّ الأمانة لا تتعلّق بمال نفسه</w:t>
      </w:r>
      <w:r>
        <w:rPr>
          <w:rStyle w:val="FootnoteAnchor"/>
          <w:rtl w:val="true"/>
        </w:rPr>
        <w:footnoteReference w:id="1060"/>
      </w:r>
      <w:r>
        <w:rPr>
          <w:rFonts w:ascii="Amiri" w:hAnsi="Amiri" w:eastAsia="Amiri" w:cs="Amiri"/>
          <w:color w:val="111111"/>
          <w:sz w:val="28"/>
          <w:sz w:val="28"/>
          <w:szCs w:val="28"/>
          <w:rtl w:val="true"/>
          <w:lang w:bidi="ar-SA"/>
        </w:rPr>
        <w:t xml:space="preserve">إنّما يصحّ لو كان المراد أنّ الملك بعد الإشاعة جعل أمانة ، وهو غير مقصود هاهنا ، بل العين الخارجية التي هي ملك للبائع بتمامها ، جعلت أمانة ؛ حتّى يعيّن حقّه ، ويصير المعيّن ملكاً له </w:t>
      </w:r>
      <w:r>
        <w:rPr>
          <w:rFonts w:eastAsia="Amiri" w:cs="Amiri" w:ascii="Amiri" w:hAnsi="Amiri"/>
          <w:color w:val="111111"/>
          <w:sz w:val="28"/>
          <w:szCs w:val="28"/>
          <w:rtl w:val="true"/>
          <w:lang w:bidi="ar-SA"/>
        </w:rPr>
        <w:t xml:space="preserve">. </w:t>
      </w:r>
      <w:bookmarkStart w:id="539" w:name="pg15209_204098"/>
    </w:p>
    <w:p>
      <w:pPr>
        <w:pStyle w:val="Heading5"/>
        <w:numPr>
          <w:ilvl w:val="4"/>
          <w:numId w:val="1"/>
        </w:numPr>
        <w:rPr/>
      </w:pPr>
      <w:bookmarkStart w:id="540" w:name="__RefHeading___Toc2974671_2142443653"/>
      <w:bookmarkStart w:id="541" w:name="_Toc191"/>
      <w:bookmarkEnd w:id="539"/>
      <w:bookmarkEnd w:id="540"/>
      <w:r>
        <w:rPr>
          <w:rtl w:val="true"/>
        </w:rPr>
        <w:t>حكم ما لو باع ثمرة بستان واستثنى منها أرطالاً معلومة</w:t>
      </w:r>
      <w:bookmarkEnd w:id="541"/>
    </w:p>
    <w:p>
      <w:pPr>
        <w:pStyle w:val="Heading5"/>
        <w:numPr>
          <w:ilvl w:val="4"/>
          <w:numId w:val="1"/>
        </w:numPr>
        <w:rPr/>
      </w:pPr>
      <w:bookmarkStart w:id="542" w:name="__RefHeading___Toc2974673_2142443653"/>
      <w:bookmarkStart w:id="543" w:name="_Toc192"/>
      <w:bookmarkEnd w:id="542"/>
      <w:r>
        <w:rPr>
          <w:rtl w:val="true"/>
        </w:rPr>
        <w:t>في الفرق بين بيع صاع من الصبرة والمستثنى في بيع الثمرة</w:t>
      </w:r>
      <w:bookmarkEnd w:id="543"/>
    </w:p>
    <w:p>
      <w:pPr>
        <w:pStyle w:val="BookText"/>
        <w:rPr/>
      </w:pPr>
      <w:r>
        <w:rPr>
          <w:rFonts w:ascii="Amiri" w:hAnsi="Amiri" w:eastAsia="Amiri" w:cs="Amiri"/>
          <w:color w:val="111111"/>
          <w:sz w:val="28"/>
          <w:sz w:val="28"/>
          <w:szCs w:val="28"/>
          <w:rtl w:val="true"/>
          <w:lang w:bidi="ar-SA"/>
        </w:rPr>
        <w:t xml:space="preserve">ثمّ إنّهم ذكروا فيما إذا باع ثمرة بستان ، واستثنى منها أرطالاً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خاست الثمرة ، أو تلف بعضها ، سقط من المستثنى بحسابه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 تنزيل المستثنى على الإشاعة ، فوقع الإشكال</w:t>
      </w:r>
      <w:r>
        <w:rPr>
          <w:rStyle w:val="FootnoteAnchor"/>
          <w:rtl w:val="true"/>
        </w:rPr>
        <w:footnoteReference w:id="1062"/>
      </w:r>
      <w:r>
        <w:rPr>
          <w:rFonts w:ascii="Amiri" w:hAnsi="Amiri" w:eastAsia="Amiri" w:cs="Amiri"/>
          <w:color w:val="111111"/>
          <w:sz w:val="28"/>
          <w:sz w:val="28"/>
          <w:szCs w:val="28"/>
          <w:rtl w:val="true"/>
          <w:lang w:bidi="ar-SA"/>
        </w:rPr>
        <w:t>بعدم الفرق بين تلك المسألة ، ومسألة بيع صاع من الصبرة ، المحمول على الكلّي عندهم</w:t>
      </w:r>
      <w:r>
        <w:rPr>
          <w:rStyle w:val="FootnoteAnchor"/>
          <w:rtl w:val="true"/>
        </w:rPr>
        <w:footnoteReference w:id="1063"/>
      </w:r>
      <w:r>
        <w:rPr>
          <w:rFonts w:ascii="Amiri" w:hAnsi="Amiri" w:eastAsia="Amiri" w:cs="Amiri"/>
          <w:color w:val="111111"/>
          <w:sz w:val="28"/>
          <w:sz w:val="28"/>
          <w:szCs w:val="28"/>
          <w:rtl w:val="true"/>
          <w:lang w:bidi="ar-SA"/>
        </w:rPr>
        <w:t xml:space="preserve">، والإشكال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الفرق بحسب ظهور الكلام ؛ فإنّ الظاهر من المستثنى هو الكلّي ، ومع الاستثناء من البستان مثلاً ، يكون من الكلّي في المعيّن ، فيكون حال المستثنى ، حال المبيع في بيع صاع من الصبرة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إجرائهم حكم المشاع في التلف ، وحكم الكلّي في المعيّن في استقلال المشتري في التصرّف في الثمرات ، وصيرورة حقّ البائع فيما بقيت ، وأنّ تعيين حقّ البائع بيد المشتري ، وأ نّه لو تلف البعض بتفريط </w:t>
      </w:r>
    </w:p>
    <w:p>
      <w:pPr>
        <w:pStyle w:val="BookText"/>
        <w:rPr/>
      </w:pPr>
      <w:r>
        <w:rPr>
          <w:rFonts w:ascii="Amiri" w:hAnsi="Amiri" w:eastAsia="Amiri" w:cs="Amiri"/>
          <w:color w:val="111111"/>
          <w:sz w:val="28"/>
          <w:sz w:val="28"/>
          <w:szCs w:val="28"/>
          <w:rtl w:val="true"/>
          <w:lang w:bidi="ar-SA"/>
        </w:rPr>
        <w:t xml:space="preserve">المشتري ، كانت حصّة البائع في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بيان الفارق في مقام الظهور ، فلا بدّ له من بيان المحتملات في المسألتين ، وقد فرغنا عن محتملات بيع صاع من الصبرة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بينها هو الكلّي في المعيّن</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محتملات القضيّة الاستثنائية فأربعة ، بعد بطلان الفرد المردّد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المستثنى منه والمستثنى كلّياً ؛ بأن يكون المقصود بيع كلّي من الثمرات ، واُتي بالاستثناء لمجرّد تحديد المبيع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 بيع ما في الصبرة إلاّ عشرها ، قد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تسعة صيعان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الصبرة عشرة ، وقد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الصبرة إلاّ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عشرة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البيع بحسب الجدّ متعلّقاً بتسعة كلّية في الصبرة ، مع اختلاف في ألفاظ الإنشاء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فالألفاظ في الكلّ مستعملة في معانيها الحقيقية ، لكن يستفاد من المستثنى والمستثنى منه ، ما يستفاد من القضيّة الاُولى بحسب الجدّ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ذلك عدم الفرق بين المسألتين ؛ لا من ناحية البائع ، ولا المشتري ، بل هو عين بيع الكلّي في المعيّن ، مع اختلاف في التعبير ، فتكون جميع الثمرات الخارجية ملكاً للبائع ، وله التصرّف فيها بمقدار الاستثناء ، كما أنّ له اختيار التعيين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ملك كلّ من البائع والمشتري كلّياً ، كما يظهر من الشيخ قدّس سرّه </w:t>
      </w:r>
      <w:r>
        <w:rPr>
          <w:rStyle w:val="FootnoteAnchor"/>
          <w:rtl w:val="true"/>
        </w:rPr>
        <w:footnoteReference w:id="1065"/>
      </w:r>
      <w:r>
        <w:rPr>
          <w:rFonts w:ascii="Amiri" w:hAnsi="Amiri" w:eastAsia="Amiri" w:cs="Amiri"/>
          <w:color w:val="111111"/>
          <w:sz w:val="28"/>
          <w:sz w:val="28"/>
          <w:szCs w:val="28"/>
          <w:rtl w:val="true"/>
          <w:lang w:bidi="ar-SA"/>
        </w:rPr>
        <w:t xml:space="preserve">، بل ملك </w:t>
      </w:r>
    </w:p>
    <w:p>
      <w:pPr>
        <w:pStyle w:val="BookText"/>
        <w:rPr/>
      </w:pPr>
      <w:r>
        <w:rPr>
          <w:rFonts w:ascii="Amiri" w:hAnsi="Amiri" w:eastAsia="Amiri" w:cs="Amiri"/>
          <w:color w:val="111111"/>
          <w:sz w:val="28"/>
          <w:sz w:val="28"/>
          <w:szCs w:val="28"/>
          <w:rtl w:val="true"/>
          <w:lang w:bidi="ar-SA"/>
        </w:rPr>
        <w:t>المشتري كلّي في المعيّن ، وملك البائع جميع الصيعان أو الثمرات الخارجية ،</w:t>
      </w:r>
    </w:p>
    <w:p>
      <w:pPr>
        <w:pStyle w:val="BookText"/>
        <w:rPr/>
      </w:pPr>
      <w:r>
        <w:rPr>
          <w:rFonts w:ascii="Amiri" w:hAnsi="Amiri" w:eastAsia="Amiri" w:cs="Amiri"/>
          <w:color w:val="111111"/>
          <w:sz w:val="28"/>
          <w:sz w:val="28"/>
          <w:szCs w:val="28"/>
          <w:rtl w:val="true"/>
          <w:lang w:bidi="ar-SA"/>
        </w:rPr>
        <w:t xml:space="preserve">وإنّما اعتبر الكلّي في الصبرة ، أو في ثمرات البستان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جزئيين ؛ بأن باع الثمرات الموجودة خارجاً ، واستثنى منها أرطالاً خارجية ، ولا بدّ في صحّة هذا القسم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الإشاعة ؛ لعدم وجود الفرد المردّد والمبهم ، والمفروض عدم إخراج أرطال معيّنة معلومة أو مجهولة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على هذا الفرض ، يقع باطلاً أيضاً ، فلا محالة تحمل على الإشاعة ، ولازم الشركة عدم استقلال البائع وكذا المشتري في التصرّف ، وفي تعيين حقّ صاحبه ، كما أنّ لازمها حساب التلف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المستثنى منه جزئياً خارجياً ، والمستثنى كلّياً ؛ بأن يكون المستثنى منقطعاً ، وأراد بيع الجميع ، وتملّك صاع كلّي أو أرطال كلّية في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ولازمه على فرض صحّته ، صيرورة جميع ما في الخارج ملكاً للمشتري ، وكلّي في المعيّن ملكاً للبائع ، ويكون حال المشتري حينئذٍ ، حال البائع في بيع صاع من الصبرة ، وحال البائع حال المشتري فيه ، فللمشتري التصرّف مستقلاًّ ، وله التعيين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الثالث ، والمستثنى منقطع أيضاً ، ويحمل على الإشاعة ؛ لعدم إمكان غيرها ، أو بطلانه ، ويكون المراد بحسب الواقع بيع كلّي ما عدا مقدار المستثنى ، وإنّما اُتي بنحو الإشاعة ، واستثني الخارج الدالّ على تحديد ما استقلّ بالتصرّف فيه ؛ كناية عن مقدار المبيع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الخارج ملكاً للبائع ، له استقلال التصرّف بمقدار لا يوجب إفناء مصداق المبيع ، وبيده التعيين ، فيرجع لبّاً إلى الوجه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بحسب التصوّر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بحسب الاستظهار العرفي ، فيمكن الفرق بين تراكيب الجمل ، ففيما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ثمرة هذا البستان إلاّ عشرة أرطال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قدّم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الإشارة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المستثنى منه كالمستثنى ، ظاهر في الكلّي ؛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لنفس الماهية ، والإضافة لا توجب الخروج عن الكلّية ، بعد ورود استثناء كلّي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مثل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صيعان هذه الصبرة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الإضافة إنّما تفيد الجزئية ، إذا لم يكن معها استثناء عنوان كلّي ، وأمّا معه فلا دلالة لها على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يجعل المستثنى الظاهر في الكلّي ، قرينةً على كلّية المستثنى منه ، وموجباً لعدم الانصراف إلى الجزئي ،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بالانصراف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الأمر دائراً بين إرادة مصداق الكلّي بحسب الجدّ ، وإبقاء الانصراف على حاله ، وبين إرادة نفس الكلّي ، ورفع اليد عن الانصراف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المصداق أولى ؛ لأنّ الانصراف لا يوجب استعمال الكلّي في الجزئي حتّى يخالف الظاهر ، بل يوجب تعيين الإرادة الجدّية بتعدّد الدالّ والمدلول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فالانصراف وظهور الاستثناء في الاتّصال ، يعيّنان الإرادة الجدّية ، بعد استعمال الألفاظ في معانيها الحقيقية ،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الإنسان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w:t>
      </w:r>
    </w:p>
    <w:p>
      <w:pPr>
        <w:pStyle w:val="BookText"/>
        <w:rPr/>
      </w:pPr>
      <w:r>
        <w:rPr>
          <w:rFonts w:ascii="Amiri" w:hAnsi="Amiri" w:eastAsia="Amiri" w:cs="Amiri"/>
          <w:color w:val="111111"/>
          <w:sz w:val="28"/>
          <w:sz w:val="28"/>
          <w:szCs w:val="28"/>
          <w:rtl w:val="true"/>
          <w:lang w:bidi="ar-SA"/>
        </w:rPr>
        <w:t xml:space="preserve">زيد ،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في زيد ، بل استعمل في معناه ، والإشارة تفيد الانطباق ، وتعيّن الإرادة الجدّية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بذلك ، ما إذا قدّم الإشارة على الثمرة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الثمرات إلاّ خمسة صيعان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الإشارة تدلّ على أنّ المبيع شخص الثمرة ، والاستثناء ظاهر في الاتّصال ، فلا محالة يكون المستثنى جزئياً ، اُخرج من الجزئيات ، ويقدّم على ظهور المستثنى في الكلّي ؛ لأنّ ظهوره في ذلك ، لا ينافي الحمل على الجزئي ؛ من باب تعدّد الدالّ والمدلول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الأمر في المقام ، دائر بين إرادة المصداق مع خصوصية الإشاعة ، وهي أمر زائد على نفس المصداق ، وبين الحمل على الكلّي ، وإنكار الانصراف ، ورفع اليد عن ظهور الإشارة في المشار إليه الجزئي ، وترجيح أحدهما على الآخر ، غير ظاهر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عدم الانصراف في المثال الأوّل ؛ فإنّ الحمل على الإشاعة ، يحتاج إلى دلالة مفقودة في اللفظ ، والحمل عليها ؛ لأجل عدم تحقّق مصداق الكلّي بما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عليها بدلالة عقلية ، لا يرجّح على الحمل على مقابله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بملاحظة الأشباه والنظائر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المستثنى منه نفس الخارج ، والمستثنى كلّي في المعيّن ؛ بدعوى أنّ استثناء الكلّي في المعيّن ، لا يعدّ عرفاً من المنقطع ، ولا يكون مخالفاً للظاهر في نظر العرف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أشار إلى قطيع غنم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القطيع إلاّ واحداً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للحمل على الإشاعة ؛ بمعنى استثناء مقدار واحد مشاع في الجميع ، كما هو </w:t>
      </w:r>
    </w:p>
    <w:p>
      <w:pPr>
        <w:pStyle w:val="BookText"/>
        <w:rPr/>
      </w:pPr>
      <w:r>
        <w:rPr>
          <w:rFonts w:ascii="Amiri" w:hAnsi="Amiri" w:eastAsia="Amiri" w:cs="Amiri"/>
          <w:color w:val="111111"/>
          <w:sz w:val="28"/>
          <w:sz w:val="28"/>
          <w:szCs w:val="28"/>
          <w:rtl w:val="true"/>
          <w:lang w:bidi="ar-SA"/>
        </w:rPr>
        <w:t xml:space="preserve">واضح ، ولا على مصداق خارجي معيّن أو غيره ، بل يحمل على عنوان كلّي ، قابل للانطباق على كلّ فرد فرد بدلاً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 عدم الانقطاع عرفاً ، هو أنّ اعتبار الكلّي في المعيّن ، يوجب نحو وحدة بينهما ؛ بحيث لا يعدّ أحدهما غير الآخر في نظر العرف خارجاً ، ولو بنحو من المسامحة المغفول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العرف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القطيع إلاّ واحداً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خلاف ظاهر ، ولا يرونه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جائني القوم إلاّ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فالاستثناء متّصل عرفاً أو كمتّصل ، لا يخالف الظاهر في نظرهم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إشكال آخر ، وهو أنّ الاستثناء إخراج بعض ما ملّكه للمشتري ، لا تملّك جزء بعد تمليك الجميع له ، فضلاً عن تملّك كلّي بعد تمليك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بعد ما كان بناء العرف في أشباه المقام ، على كون حقّ التعيين للمشتري ، وأنّ له التصرّف استقلالاً ، وأنّ المتفاهم عرفاً من نحو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القطيع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هو القطيع الخارجي ، والمستثنى واحد منه كلّياً ، لا بدّ من متابعتهم في المقام ونحوه ، وتوجيه الكلام بما يوافق المتفاهم</w:t>
      </w:r>
    </w:p>
    <w:p>
      <w:pPr>
        <w:pStyle w:val="BookText"/>
        <w:rPr/>
      </w:pPr>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التوجيه بما أشرنا إليه ؛ من أنّ الاستثناء ليس بنظرهم منقطعاً ، وأنّ للبائع جعل كلّي في المعيّن لنفسه ، ومع قبول المشتري تكون الصبرة أو الثمرة له ، ومقدارٌ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سمّي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تلقّياً من المشتري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نبال به ، بعد ما كان موافقاً لنظر العرف ، وكانت الإشاعة بعيدة جدّاً ، ولا سيّما في مثل استثناء شاة من القطيع ؛ </w:t>
      </w:r>
    </w:p>
    <w:p>
      <w:pPr>
        <w:pStyle w:val="BookText"/>
        <w:rPr/>
      </w:pPr>
      <w:r>
        <w:rPr>
          <w:rFonts w:ascii="Amiri" w:hAnsi="Amiri" w:eastAsia="Amiri" w:cs="Amiri"/>
          <w:color w:val="111111"/>
          <w:sz w:val="28"/>
          <w:sz w:val="28"/>
          <w:szCs w:val="28"/>
          <w:rtl w:val="true"/>
          <w:lang w:bidi="ar-SA"/>
        </w:rPr>
        <w:t xml:space="preserve">فإنّ من الضروري عدم الإشاعة ، ومعلوم أنّ الاستثناء في الثمرات ، لا يكون بحسب نظر العرف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حمل المستثنى منه على الكلّي ، أيضاً </w:t>
      </w:r>
      <w:r>
        <w:rPr>
          <w:rStyle w:val="FootnoteAnchor"/>
          <w:rtl w:val="true"/>
        </w:rPr>
        <w:footnoteReference w:id="1066"/>
      </w:r>
      <w:r>
        <w:rPr>
          <w:rFonts w:ascii="Amiri" w:hAnsi="Amiri" w:eastAsia="Amiri" w:cs="Amiri"/>
          <w:color w:val="111111"/>
          <w:sz w:val="28"/>
          <w:sz w:val="28"/>
          <w:szCs w:val="28"/>
          <w:rtl w:val="true"/>
          <w:lang w:bidi="ar-SA"/>
        </w:rPr>
        <w:t xml:space="preserve">خلاف عمل العقلاء ، فيما إذا باع ثمرة البستان إلاّ صيعاناً 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في أمثال المقامات ، النظر إلى سوق العقلاء وعملهم وبنائهم ، لا النظر إلى القواعد العقلية أو العربية ، وتحميلها على العقلاء ، وقد اتّضح حال بنائهم وعملهم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ينبغي الإشكال ، في أنّ حال البائع هاهنا ، حال المشتري في مسألة بيع صاع من الصبرة ، وأنّ التلف لا يحسب إلاّ على المشتري ، وهو مستقلّ في التصرّفات ، وفي تعيين حقّ البائع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نسب إلى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التلف عليهما </w:t>
      </w:r>
      <w:r>
        <w:rPr>
          <w:rStyle w:val="FootnoteAnchor"/>
          <w:rtl w:val="true"/>
        </w:rPr>
        <w:footnoteReference w:id="1067"/>
      </w:r>
      <w:r>
        <w:rPr>
          <w:rFonts w:ascii="Amiri" w:hAnsi="Amiri" w:eastAsia="Amiri" w:cs="Amiri"/>
          <w:color w:val="111111"/>
          <w:sz w:val="28"/>
          <w:sz w:val="28"/>
          <w:szCs w:val="28"/>
          <w:rtl w:val="true"/>
          <w:lang w:bidi="ar-SA"/>
        </w:rPr>
        <w:t xml:space="preserve">لا وجه معتدّ به له ، وليست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تلك المسائل الفرعية ، التي تخلّل فيها الاجتهاد ، حجّةً قابلة للاعتماد عليها ، والتوجيهات التي تكلّفها الأعلام</w:t>
      </w:r>
      <w:r>
        <w:rPr>
          <w:rStyle w:val="FootnoteAnchor"/>
          <w:rtl w:val="true"/>
        </w:rPr>
        <w:footnoteReference w:id="1068"/>
      </w:r>
      <w:r>
        <w:rPr>
          <w:rFonts w:ascii="Amiri" w:hAnsi="Amiri" w:eastAsia="Amiri" w:cs="Amiri"/>
          <w:color w:val="111111"/>
          <w:sz w:val="28"/>
          <w:sz w:val="28"/>
          <w:szCs w:val="28"/>
          <w:rtl w:val="true"/>
          <w:lang w:bidi="ar-SA"/>
        </w:rPr>
        <w:t xml:space="preserve">، لا تغني من الحقّ شيئاً ، مع أ نّه لا تنحلّ بها العقدة نوعاً ، ولقد أجاب </w:t>
      </w:r>
    </w:p>
    <w:p>
      <w:pPr>
        <w:pStyle w:val="BookText"/>
        <w:rPr/>
      </w:pPr>
      <w:r>
        <w:rPr>
          <w:rFonts w:ascii="Amiri" w:hAnsi="Amiri" w:eastAsia="Amiri" w:cs="Amiri"/>
          <w:color w:val="111111"/>
          <w:sz w:val="28"/>
          <w:sz w:val="28"/>
          <w:szCs w:val="28"/>
          <w:rtl w:val="true"/>
          <w:lang w:bidi="ar-SA"/>
        </w:rPr>
        <w:t xml:space="preserve">الشيخ قدّس سرّه ومن بعده عن كثير منها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توجيه كلام المشهور على فرض عدم الإشاعة قبل التلف ، واختصاص الاشتراك بالتالف ؛ بدعوى أنّ المتبادر من الكلّي المستثنى ، هو الكلّي الشائع فيما لا يسلم للمشتري ، وأنّ هذا هو الفارق بين المسألتين ، بعد اشتراكهما في التنزيل على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الإشاعة من أوّل الأمر ، فالمستثنى منه والمستثنى ظاهران في الكلّي ، فكلّ من البائع والمشتري ، مالك لعنوان كلّي ، والموجود مشترك بينهما ، فيحسب التالف عليهما ؛ لأنّ تخصيص أحدهما به ترجيح بلا مرجّح ، بخلاف ما إذا كان المبيع كلّياً ؛ فإنّ الباقي ليس ملحوظاً بعنوان 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البائع في هذا الفرض وإن كان كلّياً بعد بيع الكلّي ، لكن ملكية البائع ليست بعنوان كلّي ، حتّى تبقى ما بقي ذلك العنوان ، ليكون الباقي بعد تلف البعض صادقاً عليه وعلى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واحد ، ليجيء الاشتراك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يبق إلاّ صاع ، كان الموجود مصداقاً لعنوان ملك المشتري فقط</w:t>
      </w:r>
      <w:r>
        <w:rPr>
          <w:rStyle w:val="FootnoteAnchor"/>
          <w:rtl w:val="true"/>
        </w:rPr>
        <w:footnoteReference w:id="1070"/>
      </w:r>
      <w:r>
        <w:rPr>
          <w:rFonts w:ascii="Amiri" w:hAnsi="Amiri" w:eastAsia="Amiri" w:cs="Amiri"/>
          <w:color w:val="111111"/>
          <w:sz w:val="28"/>
          <w:sz w:val="28"/>
          <w:szCs w:val="28"/>
          <w:rtl w:val="true"/>
          <w:lang w:bidi="ar-SA"/>
        </w:rPr>
        <w:t xml:space="preserve">، انتهى ملخّصاً ، فليس بوجيه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إرادة الكلّي في المعيّن في غير التالف ، والإشاعة في التالف ، ممّا لا يمكن إفادتهما بلفظ واحد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يراد به الكلّي ، أو المشاع ، وعلى فرض إمكان إرادتهما بتكلّف ، </w:t>
      </w:r>
    </w:p>
    <w:p>
      <w:pPr>
        <w:pStyle w:val="BookText"/>
        <w:rPr/>
      </w:pPr>
      <w:r>
        <w:rPr>
          <w:rFonts w:ascii="Amiri" w:hAnsi="Amiri" w:eastAsia="Amiri" w:cs="Amiri"/>
          <w:color w:val="111111"/>
          <w:sz w:val="28"/>
          <w:sz w:val="28"/>
          <w:szCs w:val="28"/>
          <w:rtl w:val="true"/>
          <w:lang w:bidi="ar-SA"/>
        </w:rPr>
        <w:t xml:space="preserve">لا شبهة في عدم كونهما مراداً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التالف في حال عدمه وتلفه شيئاً ، حتّى يعتبر ملكاً أو ملكاً مشاعاً ، فدعوى التبادر في مثله ، مخالفة للعقل والاعتبار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الإشاعة بعد التلف ، لا تصحّح كون التلف عليهما ، بعد فرض أنّ التلف وقع على مال المشتري ؛ لعدم الإشاعة حين التلف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الإشاعة وقعت قبل التلف آناً ما ، فهذا أفسد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سيتلف في علم اللّه يكون مشاعاً فكذلك ، مع أ نّه على فرض العلم بوقوع التلف فيما بعد ، يسقط استقلال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لازمه كون كلّ من البائع والمشتري بعد عقد البيع ، مالكاً لأمرين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الصبرة الخارجية بنحو الاشتراك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في المعيّن ، وهو ممّا يأباه العقل والعقلاء ، ولو لم يكن الخارج ملكاً لواحد منهما ، فهو أفسد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المشتري على فرض الاشتراك ، كما هو صريحه ، مستقلاًّ في التصرّف ، ولا في تعيين حصّة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ملك البائع في فرض بيع صاع من الصبرة ، إذا صار كلّياً كما أفاده ، فلا محالة يصير الخارج مشتركاً بينهما ، فيكون التلف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 نّه مع تسليمه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ملك البائع كلّياً ، أنكر كون ملكية البائع له بعنوان كلّي ، مع امتناع كون ملكه كلّياً ، وملكيته له غير 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والمظنون أنّ الشيخ الأعظم قدّس سرّه ، أراد ذكر وجه للمشهور ، لا تصديق ما ذكر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المبيع في بيع الصاع من الصبرة ، والمستثنى في مسألة الاستثناء كلّي ، ولا وجه للإشاعة ، إلاّ أنّ المشتري في الأوّل ، لا يملك إلاّ الكلّي </w:t>
      </w:r>
    </w:p>
    <w:p>
      <w:pPr>
        <w:pStyle w:val="BookText"/>
        <w:rPr/>
      </w:pPr>
      <w:r>
        <w:rPr>
          <w:rFonts w:ascii="Amiri" w:hAnsi="Amiri" w:eastAsia="Amiri" w:cs="Amiri"/>
          <w:color w:val="111111"/>
          <w:sz w:val="28"/>
          <w:sz w:val="28"/>
          <w:szCs w:val="28"/>
          <w:rtl w:val="true"/>
          <w:lang w:bidi="ar-SA"/>
        </w:rPr>
        <w:t xml:space="preserve">المجرّد عن جميع الخصوصيات ، فلا يحسب التالف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البائع في الاستثناء ، فيملك الكلّي مع الخصوصية ، فيحسب التالف عليهما ، ومقتضى استحقاقه الكلّي ، أن يستحقّ الباقي لو أتلف المشتري مقداراً من الثمرة ؛ لأ نّه لم يكن شريكاً معه مشاعاً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حصول الإشاعة بعد العقد ، فجواز تصرّفه إنّما هو لبناء المتعاقدين نوعاً في هذه المعاملة على استقلال المشتري ، فكأ نّه شرط ضمني ، ومع هذا البناء ، يكون تصرّفه موجباً لانصراف حقّه قهراً إلى التالف ، ومن التصرّف الإتلاف</w:t>
      </w:r>
      <w:r>
        <w:rPr>
          <w:rStyle w:val="FootnoteAnchor"/>
          <w:rtl w:val="true"/>
        </w:rPr>
        <w:footnoteReference w:id="1071"/>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ملاك للفرق بين الكلّي في الصبرة ، والمستثنى إذا كان المستثنى منه كلّياً كالمستثنى ، كما لا ملاك له إذا كان المستثنى كلّياً مع جزئية</w:t>
      </w:r>
    </w:p>
    <w:p>
      <w:pPr>
        <w:pStyle w:val="BookText"/>
        <w:rPr/>
      </w:pPr>
      <w:r>
        <w:rPr>
          <w:rFonts w:ascii="IRNazanin" w:hAnsi="IRNazanin" w:eastAsia="IRNazanin"/>
          <w:color w:val="111111"/>
          <w:sz w:val="28"/>
          <w:sz w:val="28"/>
          <w:szCs w:val="28"/>
          <w:rtl w:val="true"/>
          <w:lang w:bidi="fa-IR"/>
        </w:rPr>
        <w:t xml:space="preserve">المستثنى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الفرق ، إنّما هو من جهة ظهور الاستثناء في الاتّصال ، فلازمه أن يكون المستثنى جزئياً خارجياً ، وهو ملازم للإشاعة على ما ذكروه</w:t>
      </w:r>
      <w:r>
        <w:rPr>
          <w:rStyle w:val="FootnoteAnchor"/>
          <w:rtl w:val="true"/>
        </w:rPr>
        <w:footnoteReference w:id="1072"/>
      </w:r>
      <w:r>
        <w:rPr>
          <w:rFonts w:ascii="Amiri" w:hAnsi="Amiri" w:eastAsia="Amiri" w:cs="Amiri"/>
          <w:color w:val="111111"/>
          <w:sz w:val="28"/>
          <w:sz w:val="28"/>
          <w:szCs w:val="28"/>
          <w:rtl w:val="true"/>
          <w:lang w:bidi="ar-SA"/>
        </w:rPr>
        <w:t xml:space="preserve">، وهو منكر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تلك الخصوصية إن كانت خارجية وملازمة للمستثنى ، فلا يعقل أن يبقى المستثنى كلّياً ، مع أ نّه قائل بكلّيته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إضافة الكلّي إلى الخصوصيات ، فالكلّي في المعيّن أيضاً </w:t>
      </w:r>
      <w:bookmarkStart w:id="544" w:name="pg15209_204108"/>
    </w:p>
    <w:p>
      <w:pPr>
        <w:pStyle w:val="BookText"/>
        <w:rPr/>
      </w:pPr>
      <w:bookmarkEnd w:id="544"/>
      <w:r>
        <w:rPr>
          <w:rFonts w:ascii="Amiri" w:hAnsi="Amiri" w:eastAsia="Amiri" w:cs="Amiri"/>
          <w:color w:val="111111"/>
          <w:sz w:val="28"/>
          <w:sz w:val="28"/>
          <w:szCs w:val="28"/>
          <w:rtl w:val="true"/>
          <w:lang w:bidi="ar-SA"/>
        </w:rPr>
        <w:t xml:space="preserve">مضاف إليها ؛ إذ لا يكون كلّياً مجرّداً في 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الخصوصيات على نعت الكلّية ، فيكون المستثنى صاعاً متّصفاً بخصوصية كلّية ؛ أي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 محلّ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ينطبق على كلّ ما في الصبرة ، فيكون من قبيل ضمّ كلّي إلى كلّي ، قابل للانطباق على كلّ ما في الصبرة ، فهو لا يوجب كون التلف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ادّعى من بناء المتعاملين على استقلال تصرّف المشتري ، لا أصل له ، ولا دليل عليه ، وإنّما استقلاله لأجل كون الخارج له ، والمستثنى كلّياً في المعيّن بقرارهما كما تقدّم</w:t>
      </w:r>
      <w:r>
        <w:rPr>
          <w:rStyle w:val="FootnoteAnchor"/>
          <w:rtl w:val="true"/>
        </w:rPr>
        <w:footnoteReference w:id="1073"/>
      </w:r>
      <w:r>
        <w:rPr>
          <w:rFonts w:ascii="Amiri" w:hAnsi="Amiri" w:eastAsia="Amiri" w:cs="Amiri"/>
          <w:color w:val="111111"/>
          <w:sz w:val="28"/>
          <w:sz w:val="28"/>
          <w:szCs w:val="28"/>
          <w:rtl w:val="true"/>
          <w:lang w:bidi="ar-SA"/>
        </w:rPr>
        <w:t>، ولازم ما ذكره أن يكون بناء المتعاملين على إباحة تصرّفه فيه ، وعند الإتلاف أو التصرّف النقلي ، تقع المبادلة بين ماله ومال البائع ،</w:t>
      </w:r>
    </w:p>
    <w:p>
      <w:pPr>
        <w:pStyle w:val="BookText"/>
        <w:rPr/>
      </w:pP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ارتكاب تلك التكلّفات ، ممّا لا داعي له ، بعد عدم ثبوت الشهرة في المسألة ، وعدم حجّيتها في تلك المسألة الاجتهادية على فرض الثبوت </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2974675_2142443653"/>
      <w:bookmarkStart w:id="546" w:name="_Toc193"/>
      <w:bookmarkEnd w:id="545"/>
      <w:r>
        <w:rPr>
          <w:rtl w:val="true"/>
        </w:rPr>
        <w:t>صور بيع مقدار لم يعلم اشتمال الصبرة عليه</w:t>
      </w:r>
      <w:bookmarkEnd w:id="54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حكي عن الشهيد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أقسام بيع الصبرة عشرة</w:t>
      </w:r>
      <w:r>
        <w:rPr>
          <w:rStyle w:val="FootnoteAnchor"/>
          <w:rtl w:val="true"/>
        </w:rPr>
        <w:footnoteReference w:id="1074"/>
      </w:r>
      <w:r>
        <w:rPr>
          <w:rFonts w:ascii="Amiri" w:hAnsi="Amiri" w:eastAsia="Amiri" w:cs="Amiri"/>
          <w:color w:val="111111"/>
          <w:sz w:val="28"/>
          <w:sz w:val="28"/>
          <w:szCs w:val="28"/>
          <w:rtl w:val="true"/>
          <w:lang w:bidi="ar-SA"/>
        </w:rPr>
        <w:t xml:space="preserve">، والمراد أعمّ من البيع الصحيح ، فعليه تكون الأقسام أكثر ، والظاهر بلوغها إلى ثلاثين أو أكثر ، </w:t>
      </w:r>
      <w:bookmarkStart w:id="547" w:name="pg15209_204109"/>
    </w:p>
    <w:p>
      <w:pPr>
        <w:pStyle w:val="BookText"/>
        <w:rPr/>
      </w:pPr>
      <w:bookmarkEnd w:id="547"/>
      <w:r>
        <w:rPr>
          <w:rFonts w:ascii="Amiri" w:hAnsi="Amiri" w:eastAsia="Amiri" w:cs="Amiri"/>
          <w:color w:val="111111"/>
          <w:sz w:val="28"/>
          <w:sz w:val="28"/>
          <w:szCs w:val="28"/>
          <w:rtl w:val="true"/>
          <w:lang w:bidi="ar-SA"/>
        </w:rPr>
        <w:t>والصحيح منه أيضاً أكثر ممّا ذكره الشهيد قدّس سرّه وغيره</w:t>
      </w:r>
      <w:r>
        <w:rPr>
          <w:rStyle w:val="FootnoteAnchor"/>
          <w:rtl w:val="true"/>
        </w:rPr>
        <w:footnoteReference w:id="1075"/>
      </w:r>
      <w:r>
        <w:rPr>
          <w:rFonts w:ascii="IRNazanin" w:hAnsi="IRNazanin" w:eastAsia="IRNazanin"/>
          <w:color w:val="111111"/>
          <w:sz w:val="28"/>
          <w:sz w:val="28"/>
          <w:szCs w:val="28"/>
          <w:rtl w:val="true"/>
          <w:lang w:bidi="fa-IR"/>
        </w:rPr>
        <w:t xml:space="preserve">، والأمر سهل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والعمدة صرف الكلام إلى حال بيع مقدار لم يعلم اشتمالها عليه ، والأولى توسيع نطاق البحث ؛ لكونه مفيداً في غير مقام ، فنقول </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2974677_2142443653"/>
      <w:bookmarkStart w:id="549" w:name="_Toc194"/>
      <w:bookmarkEnd w:id="548"/>
      <w:r>
        <w:rPr>
          <w:rtl w:val="true"/>
        </w:rPr>
        <w:t>فيما لو تعلّق البيع بالصبرة الخارجية</w:t>
      </w:r>
      <w:bookmarkEnd w:id="549"/>
    </w:p>
    <w:p>
      <w:pPr>
        <w:pStyle w:val="BookText"/>
        <w:rPr/>
      </w:pPr>
      <w:r>
        <w:rPr>
          <w:rFonts w:ascii="Amiri" w:hAnsi="Amiri" w:eastAsia="Amiri" w:cs="Amiri"/>
          <w:color w:val="111111"/>
          <w:sz w:val="28"/>
          <w:sz w:val="28"/>
          <w:szCs w:val="28"/>
          <w:rtl w:val="true"/>
          <w:lang w:bidi="ar-SA"/>
        </w:rPr>
        <w:t xml:space="preserve">قد يقع البيع على الصبرة الخارجية ، وهو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على نفس الصبرة ، من غير تعلّقه بالصيعان ،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الصبرة بكذا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على جميع ما في الصبرة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جميع تلك الصيعان بكذا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على كلّ صاع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كلّ صاع فيها بكذا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أحرز المتبايعان اشتمال الصبرة على الصيعان المذكورة ، يصحّ البيع في جميع الصور ، وإن ظهر التخلّف ، ففي الصورتين الأوّلتين يخيّر المشتري بين القبول والفسخ ؛ لخيار تبعّض الصفقة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القبول ، هل يردّ الثمن إليه بمقدار التخلّف ؛ لتوزيع الثمن على الصيعان ، أو لا ؛ لأنّ الثمن وقع في مقابل الموجود على الصورة الاُولى ، وعلى الجميع بنحو الوحدة على الثانية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في الصورة الاُولى ، لم يقع مبنيّاً على العشرة مثلاً ، </w:t>
      </w:r>
    </w:p>
    <w:p>
      <w:pPr>
        <w:pStyle w:val="BookText"/>
        <w:rPr/>
      </w:pPr>
      <w:r>
        <w:rPr>
          <w:rFonts w:ascii="Amiri" w:hAnsi="Amiri" w:eastAsia="Amiri" w:cs="Amiri"/>
          <w:color w:val="111111"/>
          <w:sz w:val="28"/>
          <w:sz w:val="28"/>
          <w:szCs w:val="28"/>
          <w:rtl w:val="true"/>
          <w:lang w:bidi="ar-SA"/>
        </w:rPr>
        <w:t xml:space="preserve">بل وقع على الخارج مع إحراز كونه عشرة ، وفي مثله لا يثبت الخيار ، بل البيع صحيح 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 فهو مبنيّ على العشرة ، فله الخيار والقبول بلا توزيع الثمن ، والمسألة لا تخلو من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الثالثة ، فالظاهر الصحّة في المقدار الموجود ، والبطلان في المفقود ، ولا خيار له ؛ لأنّ العقد وقع على كلّ صاع ، وينحلّ عرفاً إلى بيع كلّ صاع ، بل إلى مبايعات عرفاً ، فهاهنا صفقات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في الصورتين الأوّلتين ، لو لم يعلم أنّ مقابل كلّ صاع أيّ مقدار من الثمن ، لا يضرّ بالصحّة ؛ لأنّ محطّ البيع الصبرة ، أو جميع الصيعان معاً ، لا كلّ واحد منها ، والثمن في مقابل ما ذكر ، وهو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العلم بالثمن والمثمن ، وهما الصبرة أو جميعها ، وتمام الثمن ، ولا يعتبر العلم بأنّ في مقابل كلّ صاع أيّ مقدار من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الأخيرة فبالعكس ؛ فإنّه لو لم يعلم مقدار مجموع الثمن ، وأنّ أيّ مقدار وقع في مقابل تمام الصبرة ، لا يضرّ بالصحّة ، فلو كانت المعاملة في تلك الصورة أيضاً ، واقعة على الجميع أو المجموع ، كان اللازم العلم بالثمن الذي في مقابلهما ، ولم يكفِ العلم بأجزاء الثمن في مقابل كلّ صاع ؛ لأ نّه لم تكن الصيعان متعلّقة للعقد فرضاً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صحّة البيع في تلك الصورة مع جهالة المجموع واضحة ؛ لعدم الغرر والجهالة بلا شبهة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يحرز اشتمال الصبرة على العشرة ، فباع الصبرة أو جميعها ، </w:t>
      </w:r>
    </w:p>
    <w:p>
      <w:pPr>
        <w:pStyle w:val="BookText"/>
        <w:rPr/>
      </w:pPr>
      <w:r>
        <w:rPr>
          <w:rFonts w:ascii="Amiri" w:hAnsi="Amiri" w:eastAsia="Amiri" w:cs="Amiri"/>
          <w:color w:val="111111"/>
          <w:sz w:val="28"/>
          <w:sz w:val="28"/>
          <w:szCs w:val="28"/>
          <w:rtl w:val="true"/>
          <w:lang w:bidi="ar-SA"/>
        </w:rPr>
        <w:t xml:space="preserve">بطل البيع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الغرر بمعنى الجهالة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العلم بالثمن والمثمن ولو لم يكن الغرر بمعناها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 الخيار لا يوجب حينئذٍ الصحّة ، لا لأنّ الخيار من الأحكام ، ولا بدّ من نفي الغرر مع قطع النظر عن الخيار ، بل لأنّ ثبوت الخيار لا يرفع الغرر بمعنى الجهالة ، ولا يوجب العلم بالمثمن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اضطربت كلمات الشيخ الأعظم قدّس سرّه وغيره في الغرر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جزموا بأ نّه الجهالة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منهم أ نّه بمعنى الخطر</w:t>
      </w:r>
      <w:r>
        <w:rPr>
          <w:rStyle w:val="FootnoteAnchor"/>
          <w:rtl w:val="true"/>
        </w:rPr>
        <w:footnoteReference w:id="1077"/>
      </w:r>
      <w:r>
        <w:rPr>
          <w:rFonts w:ascii="Amiri" w:hAnsi="Amiri" w:eastAsia="Amiri" w:cs="Amiri"/>
          <w:color w:val="111111"/>
          <w:sz w:val="28"/>
          <w:sz w:val="28"/>
          <w:szCs w:val="28"/>
          <w:rtl w:val="true"/>
          <w:lang w:bidi="ar-SA"/>
        </w:rPr>
        <w:t>، أو الإقدام على ما لا يؤمن معه من الضرر كالمقام</w:t>
      </w:r>
      <w:r>
        <w:rPr>
          <w:rStyle w:val="FootnoteAnchor"/>
          <w:rtl w:val="true"/>
        </w:rPr>
        <w:footnoteReference w:id="1078"/>
      </w:r>
      <w:r>
        <w:rPr>
          <w:rFonts w:ascii="Amiri" w:hAnsi="Amiri" w:eastAsia="Amiri" w:cs="Amiri"/>
          <w:color w:val="111111"/>
          <w:sz w:val="28"/>
          <w:sz w:val="28"/>
          <w:szCs w:val="28"/>
          <w:rtl w:val="true"/>
          <w:lang w:bidi="ar-SA"/>
        </w:rPr>
        <w:t xml:space="preserve">؛ فإنّ عدم الغرر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ادّعاه</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يستقيم ، بناءً على كونه بأحد المعنيين الأخيرين ، وأمّا بناءً على كونه بمعنى الجهالة ، فلا شبهة في عدم رفعها بالخيار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الغرر بمعنى الخطر ، أو الإقدام على ما لا يؤمن معه من الضرر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في جميع الصور لأجل الخيار ؛ لأنّ ما يرفع به الخطر ليس واقع الخيار حتّى يتوهّم الدور</w:t>
      </w:r>
      <w:r>
        <w:rPr>
          <w:rStyle w:val="FootnoteAnchor"/>
          <w:rtl w:val="true"/>
        </w:rPr>
        <w:footnoteReference w:id="1080"/>
      </w:r>
      <w:r>
        <w:rPr>
          <w:rFonts w:ascii="Amiri" w:hAnsi="Amiri" w:eastAsia="Amiri" w:cs="Amiri"/>
          <w:color w:val="111111"/>
          <w:sz w:val="28"/>
          <w:sz w:val="28"/>
          <w:szCs w:val="28"/>
          <w:rtl w:val="true"/>
          <w:lang w:bidi="ar-SA"/>
        </w:rPr>
        <w:t xml:space="preserve">، بل القطع بالخيار يرفعه ولو كان مخالفاً للواقع ، فلا تتوقّف الصحّة على الخيار </w:t>
      </w:r>
      <w:r>
        <w:rPr>
          <w:rFonts w:eastAsia="Amiri" w:cs="Amiri" w:ascii="Amiri" w:hAnsi="Amiri"/>
          <w:color w:val="111111"/>
          <w:sz w:val="28"/>
          <w:szCs w:val="28"/>
          <w:rtl w:val="true"/>
          <w:lang w:bidi="ar-SA"/>
        </w:rPr>
        <w:t xml:space="preserve">. </w:t>
      </w:r>
      <w:bookmarkStart w:id="550" w:name="pg15209_204112"/>
    </w:p>
    <w:p>
      <w:pPr>
        <w:pStyle w:val="BookText"/>
        <w:rPr/>
      </w:pPr>
      <w:bookmarkEnd w:id="550"/>
      <w:r>
        <w:rPr>
          <w:rFonts w:ascii="Amiri" w:hAnsi="Amiri" w:eastAsia="Amiri" w:cs="Amiri"/>
          <w:color w:val="111111"/>
          <w:sz w:val="28"/>
          <w:sz w:val="28"/>
          <w:szCs w:val="28"/>
          <w:rtl w:val="true"/>
          <w:lang w:bidi="ar-SA"/>
        </w:rPr>
        <w:t xml:space="preserve">مع أنّ التوقّف المعتبر في بطلان الدور ، ليس في مثل المقام ، بل الظاهر أنّ المقام من قبيل الدور المعي ، هذا كلّه بناءً على تعلّق البيع بالصبرة الخارجية </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2974679_2142443653"/>
      <w:bookmarkStart w:id="552" w:name="_Toc195"/>
      <w:bookmarkEnd w:id="551"/>
      <w:r>
        <w:rPr>
          <w:rtl w:val="true"/>
        </w:rPr>
        <w:t>فيما لو كان المبيع كلّياً في المعيّن</w:t>
      </w:r>
      <w:bookmarkEnd w:id="552"/>
    </w:p>
    <w:p>
      <w:pPr>
        <w:pStyle w:val="BookText"/>
        <w:rPr/>
      </w:pPr>
      <w:r>
        <w:rPr>
          <w:rFonts w:ascii="Amiri" w:hAnsi="Amiri" w:eastAsia="Amiri" w:cs="Amiri"/>
          <w:color w:val="111111"/>
          <w:sz w:val="28"/>
          <w:sz w:val="28"/>
          <w:szCs w:val="28"/>
          <w:rtl w:val="true"/>
          <w:lang w:bidi="ar-SA"/>
        </w:rPr>
        <w:t xml:space="preserve">وأمّا إذا كان المبيع كلّياً في المعيّن ، وشكّ في اشتمالها عليه ، كمن باع عشرة أصوع منها ، مع الشكّ في اشتمالها عليها ، فالظاهر أنّ المبيع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في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من قبيل القسم الأوّل وهو واضح ، ولا الثالث لأنّ الصيعان لم ينظر إليها بنفسها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المورد لعقد البيع والمنظور فيه ، هو العنوان الكلّي ؛ أي العشرة مثلاً ، ومع الشكّ في الاشتمال يشكّ في الصحّة ؛ للشكّ في تحقّق مصداق المبيع ، فيكون الحكم بالصحّة مراعىً ، فإن تبيّن الاشتمال صحّ ، وإلاّ 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البطلان للغرر ، فقد مرّ في باب اعتبار القدرة على التسليم المناقشة فيه لو كان بمعنى الجهالة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المبيع والثمن معلومان ، لا جهالة فيهما ، والظاهر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صلي الله عليه و آله وسلم عن بيع الغرر</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هو الجهالة فيه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وجهالة تحقّق المصداق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خارجة عن البيع ، وغير مشمولة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البطلان للغرر ، لأنّ اعتبار الشروط بعد تمامية ماهية البيع ، ومع الجهل باشتمال الصبرة على المقدار ، يشكّ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شيئاً بتخيّل الوجود ، فبان أ نّه معدوم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مع الغضّ عمّا ذكرناه ، والتمسّك بدليل الغرر ، فمع الجهل بالاشتمال ، هل يصحّ مع قيام الأمارة العقلائية على الاشتمال ؟</w:t>
      </w:r>
    </w:p>
    <w:p>
      <w:pPr>
        <w:pStyle w:val="BookText"/>
        <w:rPr/>
      </w:pPr>
      <w:r>
        <w:rPr>
          <w:rFonts w:ascii="Amiri" w:hAnsi="Amiri" w:eastAsia="Amiri" w:cs="Amiri"/>
          <w:color w:val="111111"/>
          <w:sz w:val="28"/>
          <w:sz w:val="28"/>
          <w:szCs w:val="28"/>
          <w:rtl w:val="true"/>
          <w:lang w:bidi="ar-SA"/>
        </w:rPr>
        <w:t>ومع فقدها ، هل يصحّ بالأصل لو كان له حالة سابقة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بأنّ المعتبر في صحّة البيع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تلك الصفة موضوعة لا كاشفة ، فلا يصحّ الاعتماد على الظنون الخاصّة ، إلاّ أن تدلّ أدلّة اعتبار الأمارات والاستصحاب ، على قيامها مقام القطع بما هو صفة خاصّة ، وقد حقّق في الاُصول عدم الدليل على ذلك</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خبر الثقة ، فلأنّ الدليل على اعتباره ، ليس إلاّ بناء العقلاء الممضى شرعاً ، وليس في الكتاب والسنّة ، ما يدلّ على حجّية خبر الثقة تأسيساً ، بل كلّها أدلّة إمضائية ، ومعلوم أنّ بناء العقلاء على العمل بالأمارات الظنّية ، ليس من جهة</w:t>
      </w:r>
    </w:p>
    <w:p>
      <w:pPr>
        <w:pStyle w:val="BookText"/>
        <w:rPr/>
      </w:pPr>
      <w:r>
        <w:rPr>
          <w:rFonts w:ascii="Amiri" w:hAnsi="Amiri" w:eastAsia="Amiri" w:cs="Amiri"/>
          <w:color w:val="111111"/>
          <w:sz w:val="28"/>
          <w:sz w:val="28"/>
          <w:szCs w:val="28"/>
          <w:rtl w:val="true"/>
          <w:lang w:bidi="ar-SA"/>
        </w:rPr>
        <w:t xml:space="preserve">قيامها مقام العلم ، بل هي معتبرة ومعتمدة بنفسها في قبال العلم ، نعم مع وجود العلم لا معنى للأمارة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البيّنة ، فلأ نّه لا يظهر من أدلّة اعتبارها ، تنزيل البيّنة منزلة العلم ؛ لا في باب القضاء ، ولا في غيره، كخبر مسعدة بن صدقة</w:t>
      </w:r>
      <w:r>
        <w:rPr>
          <w:rStyle w:val="FootnoteAnchor"/>
          <w:rtl w:val="true"/>
        </w:rPr>
        <w:footnoteReference w:id="1084"/>
      </w:r>
      <w:r>
        <w:rPr>
          <w:rFonts w:ascii="Amiri" w:hAnsi="Amiri" w:eastAsia="Amiri" w:cs="Amiri"/>
          <w:color w:val="111111"/>
          <w:sz w:val="28"/>
          <w:sz w:val="28"/>
          <w:szCs w:val="28"/>
          <w:rtl w:val="true"/>
          <w:lang w:bidi="ar-SA"/>
        </w:rPr>
        <w:t xml:space="preserve">فإنّ صدره وإن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إلاّ أن يعلم أ 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عدّ أشياء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كلّها على هذا ، حتّى يستبين لك غير ذلك ، أو تقوم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ويوهم الصدر والذيل أنّ البيّنة بمنزلة العلم ، لكن ذيله جعل العلم عديل البيّنة ، وعطف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والأظهر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الصدر أعمّ من العلم الوجداني ، ومن الوثوق ، والظنّ المعتبر ، كما أنّ لذلك التعميم شواهد في موارد مختلفة ، لا أنّ المراد منه العلم الوجداني ، وأنّ البيّنة تقوم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الاستصحاب العقلائي ، فمع عدم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بنائهم على العمل بعنوان الاستصحاب ، نعم ربّما يكون الثبوت في السابق ، موجباً للوثوق ببقائه ، لكنّه في مثل المقام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خبر الثقة ؛ في أنّ العمل به</w:t>
      </w:r>
    </w:p>
    <w:p>
      <w:pPr>
        <w:pStyle w:val="BookText"/>
        <w:rPr/>
      </w:pPr>
      <w:r>
        <w:rPr>
          <w:rFonts w:ascii="Amiri" w:hAnsi="Amiri" w:eastAsia="Amiri" w:cs="Amiri"/>
          <w:color w:val="111111"/>
          <w:sz w:val="28"/>
          <w:sz w:val="28"/>
          <w:szCs w:val="28"/>
          <w:rtl w:val="true"/>
          <w:lang w:bidi="ar-SA"/>
        </w:rPr>
        <w:t xml:space="preserve">ليس لقيامه مقام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الاستصحاب الشرعي ، فدليله قاصر عن إثبات إقامة الاستصحاب ، مقام القطع بما هو صفة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قيامه مقام القطع الطريقي ؛ بدعوى أنّ الاعتبار فيه ، هو التعبّد بترتيب أثر اليقين في زمان الشكّ ، ومحطّ أدلّته هو اليقين الطريقي ، وإرادة القطع بما هو صفة خاصّة مع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تستفاد من أدلّته ؛ لعدم الإطلاق ، أو للشكّ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الغضّ عمّا تقدّم</w:t>
      </w:r>
      <w:r>
        <w:rPr>
          <w:rStyle w:val="FootnoteAnchor"/>
          <w:rtl w:val="true"/>
        </w:rPr>
        <w:footnoteReference w:id="1085"/>
      </w:r>
      <w:r>
        <w:rPr>
          <w:rFonts w:ascii="Amiri" w:hAnsi="Amiri" w:eastAsia="Amiri" w:cs="Amiri"/>
          <w:color w:val="111111"/>
          <w:sz w:val="28"/>
          <w:sz w:val="28"/>
          <w:szCs w:val="28"/>
          <w:rtl w:val="true"/>
          <w:lang w:bidi="ar-SA"/>
        </w:rPr>
        <w:t xml:space="preserve">، والبناء على جواز التمسّك بالنبوي في المقام ، مع البناء على كون الغرر هو الجهل الوجداني ، مقابل العلم كذلك ؛ أي العلم الحقيقي ، لا ما هو أعمّ منه وممّا يحصل بالأمارات ، كما هو الشائع في استعمال الشارع على الظاهر ، فإنّه لا إشكال في رفع الغرر بها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ما هو الحقّ ؛ من أنّ دليل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بمعنى </w:t>
      </w:r>
    </w:p>
    <w:p>
      <w:pPr>
        <w:pStyle w:val="BookText"/>
        <w:rPr/>
      </w:pP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المقام ، وإنّما المستند للبطلان إمّا مثل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xml:space="preserve">بناءً على شموله للمقام ، أو عدم 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تشتمل الصبرة على المبيع ، فمع القطع بالاشتمال يصحّ في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كشف الخلاف ينكشف البطلان في الجميع ؛ لأنّ البيع وقع على عنوان لم يتحقّق في الخارج ، وما هو متحقّق ليس مصداق العنوان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متعلّقة للعقد ، لا تصدق على الخمسة ونحوها ممّا هي دون العشرة ، والمفروض أ نّه بيع واحد ، تعلّق بعنوان كلّي واحد ، لا بكلّيات عديدة يكون لكلّ مصداق ، وفي مثله يبطل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يقاس المقام ببيع الموجود الخارجي على أ نّه عشرة ، أو بيع المشار إليه بعنوان أ نّه عشرة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البيع في مثله وقع على الموجود الخارجي ، ومع التخلّف يكون له الخيار ، إمّا للتبعّض كما هو الظاهر ، أو للشرط ، أو للوصف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الكلّي فهو عنوان وحداني ، لا ينطبق على الناقص أو الزائد عليه ، فباع عنواناً لا مصداق له ، فلا وجه لخيار التبعّض هاهنا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المبيع الخارجي والكلّي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بيع فرس خارجي بوصف أ نّه عربي مثلاً ، وبين بيع الفرس العربي بنعت الكلّية ؛ فإنّ المبيع في الأوّل الموجود الخارجي، ومع التخلّف له خيار تخلّف الوصف، وأمّا في الثاني فلا ينطبق الكلّي على غير العربي ، فلو انكشف أ نّه لا واقعية له أصلاً ، بطل البيع </w:t>
      </w:r>
      <w:r>
        <w:rPr>
          <w:rFonts w:eastAsia="Amiri" w:cs="Amiri" w:ascii="Amiri" w:hAnsi="Amiri"/>
          <w:color w:val="111111"/>
          <w:sz w:val="28"/>
          <w:szCs w:val="28"/>
          <w:rtl w:val="true"/>
          <w:lang w:bidi="ar-SA"/>
        </w:rPr>
        <w:t xml:space="preserve">. </w:t>
      </w:r>
      <w:bookmarkStart w:id="553" w:name="pg15209_204116"/>
    </w:p>
    <w:p>
      <w:pPr>
        <w:pStyle w:val="BookText"/>
        <w:rPr/>
      </w:pPr>
      <w:bookmarkEnd w:id="553"/>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في مثل المقام ، يساعد على الصحّة في الموجود ، ويرى أنّ البيع وقع على عنوانٍ بعضه موجود ، نظير بيع ما يملك وما لا يملك صفقة واحدة ، وكذا بيع ما يملكه وما لا يملكه ، فإنّ الصحّة الفعلية في المملوك ، والبطلان أو الفضولية في غيره 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توقّف على وجود تمام العشرة ، لكن يرى العرف أنّ في بيع العشرة ، نقلت الخمسة ضمناً ، وهذا كافٍ في الصدق ؛ أي صدق بعض المبيع على الخارج ، فيكون له الخيار بعد صحّته في البعض وبطلانه في الآخر ؛ لتبعّض الصفقة ، ولعلّ الأوّل أوفق بالقواعد ، والثاني بنظر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بناءً 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المستند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فقد المبيع وعدم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إحراز الموضوع بالأمارات العقلائية وبالأصل ، من غير شبهة الإثبات ، وهو واضح </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2974681_2142443653"/>
      <w:bookmarkStart w:id="555" w:name="_Toc196"/>
      <w:bookmarkEnd w:id="554"/>
      <w:r>
        <w:rPr>
          <w:rtl w:val="true"/>
        </w:rPr>
        <w:t>فيما لو باع جميع الصبرة كلّ صاع بكذا</w:t>
      </w:r>
      <w:bookmarkEnd w:id="55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باع جميع الصبرة كلّ صاع بكذا ، فمع عدم العلم بمقدار الصبرة ، يبطل لو كان المستند حديث الغرر</w:t>
      </w:r>
      <w:r>
        <w:rPr>
          <w:rStyle w:val="FootnoteAnchor"/>
          <w:rtl w:val="true"/>
        </w:rPr>
        <w:footnoteReference w:id="1087"/>
      </w:r>
      <w:r>
        <w:rPr>
          <w:rFonts w:ascii="Amiri" w:hAnsi="Amiri" w:eastAsia="Amiri" w:cs="Amiri"/>
          <w:color w:val="111111"/>
          <w:sz w:val="28"/>
          <w:sz w:val="28"/>
          <w:szCs w:val="28"/>
          <w:rtl w:val="true"/>
          <w:lang w:bidi="ar-SA"/>
        </w:rPr>
        <w:t>بناءً على كون الغرر بمعنى الجهل أو كان المستند بعض الروايات السابقة ، الدالّة على اعتبار العلم بالمثمن والثمن</w:t>
      </w:r>
      <w:r>
        <w:rPr>
          <w:rStyle w:val="FootnoteAnchor"/>
          <w:rtl w:val="true"/>
        </w:rPr>
        <w:footnoteReference w:id="1088"/>
      </w:r>
      <w:r>
        <w:rPr>
          <w:rFonts w:ascii="Amiri" w:hAnsi="Amiri" w:eastAsia="Amiri" w:cs="Amiri"/>
          <w:color w:val="111111"/>
          <w:sz w:val="28"/>
          <w:sz w:val="28"/>
          <w:szCs w:val="28"/>
          <w:rtl w:val="true"/>
          <w:lang w:bidi="ar-SA"/>
        </w:rPr>
        <w:t xml:space="preserve">، ويصحّ لو كان المستند الحديث ، وكان الغرر فيه بمعنى الخطر ، أو الإقدام على ما لا يؤمن معه من الضرر ؛ ضرورة عدم الخطر والضرر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كان المستند ما دلّ على بطلان البيع جزافاً ، كصحيحة الحلبي المتقدّمة</w:t>
      </w:r>
      <w:r>
        <w:rPr>
          <w:rStyle w:val="FootnoteAnchor"/>
          <w:rtl w:val="true"/>
        </w:rPr>
        <w:footnoteReference w:id="1089"/>
      </w:r>
      <w:r>
        <w:rPr>
          <w:rFonts w:ascii="Amiri" w:hAnsi="Amiri" w:eastAsia="Amiri" w:cs="Amiri"/>
          <w:color w:val="111111"/>
          <w:sz w:val="28"/>
          <w:sz w:val="28"/>
          <w:szCs w:val="28"/>
          <w:rtl w:val="true"/>
          <w:lang w:bidi="ar-SA"/>
        </w:rPr>
        <w:t xml:space="preserve">،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 الصحيحة هو بيع العدل مجموعاً بغير كيل ، ولكن الظاهر تسالمهم على اشتراط العلم بالمبيع كيلاً أو وزناً </w:t>
      </w:r>
      <w:r>
        <w:rPr>
          <w:rStyle w:val="FootnoteAnchor"/>
          <w:rtl w:val="true"/>
        </w:rPr>
        <w:footnoteReference w:id="1090"/>
      </w:r>
      <w:r>
        <w:rPr>
          <w:rFonts w:ascii="Amiri" w:hAnsi="Amiri" w:eastAsia="Amiri" w:cs="Amiri"/>
          <w:color w:val="111111"/>
          <w:sz w:val="28"/>
          <w:sz w:val="28"/>
          <w:szCs w:val="28"/>
          <w:rtl w:val="true"/>
          <w:lang w:bidi="ar-SA"/>
        </w:rPr>
        <w:t xml:space="preserve">، وإن استظهر الشيخ الأعظم قدّس سرّه من الإطلاق المحكيّ عن عبارتي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9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92"/>
      </w:r>
      <w:r>
        <w:rPr>
          <w:rFonts w:ascii="Amiri" w:hAnsi="Amiri" w:eastAsia="Amiri" w:cs="Amiri"/>
          <w:color w:val="111111"/>
          <w:sz w:val="28"/>
          <w:sz w:val="28"/>
          <w:szCs w:val="28"/>
          <w:rtl w:val="true"/>
          <w:lang w:bidi="ar-SA"/>
        </w:rPr>
        <w:t xml:space="preserve">التعميم لصورة الجهل بمقدار الصبرة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نفي البعد عنه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bookmarkStart w:id="556" w:name="pg15209_204118"/>
    </w:p>
    <w:p>
      <w:pPr>
        <w:pStyle w:val="Heading4"/>
        <w:numPr>
          <w:ilvl w:val="3"/>
          <w:numId w:val="1"/>
        </w:numPr>
        <w:rPr/>
      </w:pPr>
      <w:bookmarkStart w:id="557" w:name="__RefHeading___Toc2974683_2142443653"/>
      <w:bookmarkStart w:id="558" w:name="_Toc197"/>
      <w:bookmarkEnd w:id="556"/>
      <w:bookmarkEnd w:id="557"/>
      <w:r>
        <w:rPr>
          <w:rtl w:val="true"/>
        </w:rPr>
        <w:t>مسألة في بيع العين المشاهدة قبل العقد</w:t>
      </w:r>
      <w:bookmarkEnd w:id="558"/>
    </w:p>
    <w:p>
      <w:pPr>
        <w:pStyle w:val="Heading5"/>
        <w:numPr>
          <w:ilvl w:val="4"/>
          <w:numId w:val="1"/>
        </w:numPr>
        <w:rPr/>
      </w:pPr>
      <w:bookmarkStart w:id="559" w:name="__RefHeading___Toc2974685_2142443653"/>
      <w:bookmarkStart w:id="560" w:name="_Toc198"/>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 xml:space="preserve">لو شاهد عيناً في زمان سابق على العقد عليها ، ففيه صور ، تعرّض لبعضها الشيخ الأعظم قدّس سرّه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2974687_2142443653"/>
      <w:bookmarkStart w:id="562" w:name="_Toc199"/>
      <w:bookmarkEnd w:id="561"/>
      <w:r>
        <w:rPr>
          <w:rtl w:val="true"/>
        </w:rPr>
        <w:t>في الصور التي ذكرها الشيخ الأعظم</w:t>
      </w:r>
      <w:bookmarkEnd w:id="562"/>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اقتضت العادة تغيّرها عن صفاتها السابقة إلى غيرها ، المجهولة عند المتبايعين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إن علم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البائع مثله في عدم إحراز الحالة السابقة فعلاً ، بل وفي الوثوق بالتغيّر إلى شيء مجهول عنده ، فلا يصحّ البيع ، ولا الاتّكال على التوصيف ، ولا يخرج البيع بالتوصيف عن الغرر ؛ لأنّ الأعيان الخارجية ، ليست كالعناوين الكلّية ممّا يرتفع الغرر فيها بمجرّد التوصيف ؛ فإنّ معرفة العناوين </w:t>
      </w:r>
    </w:p>
    <w:p>
      <w:pPr>
        <w:pStyle w:val="BookText"/>
        <w:rPr/>
      </w:pPr>
      <w:r>
        <w:rPr>
          <w:rFonts w:ascii="Amiri" w:hAnsi="Amiri" w:eastAsia="Amiri" w:cs="Amiri"/>
          <w:color w:val="111111"/>
          <w:sz w:val="28"/>
          <w:sz w:val="28"/>
          <w:szCs w:val="28"/>
          <w:rtl w:val="true"/>
          <w:lang w:bidi="ar-SA"/>
        </w:rPr>
        <w:t xml:space="preserve">الكلّية ، إنّما هي بالتوصيف ، من غير حكاية عن الواقع المتحقّق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الأعيان الخارجية ؛ فإنّ المعرفة بحالها ، موقوفة على كون الأوصاف حاكية عنها ، وموجبة للعلم أو الوثوق بالاتّصاف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التوصيف الحاكي عن اتّصاف الموجود بها ، موجب لمعرفته ، لا مطلق التوصيف ، وهذا لا ينافي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تمام الموضوع</w:t>
      </w:r>
      <w:r>
        <w:rPr>
          <w:rStyle w:val="FootnoteAnchor"/>
          <w:rtl w:val="true"/>
        </w:rPr>
        <w:footnoteReference w:id="1096"/>
      </w:r>
      <w:r>
        <w:rPr>
          <w:rFonts w:ascii="Amiri" w:hAnsi="Amiri" w:eastAsia="Amiri" w:cs="Amiri"/>
          <w:color w:val="111111"/>
          <w:sz w:val="28"/>
          <w:sz w:val="28"/>
          <w:szCs w:val="28"/>
          <w:rtl w:val="true"/>
          <w:lang w:bidi="ar-SA"/>
        </w:rPr>
        <w:t xml:space="preserve">كما هو واضح ، وإن اشتبه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علم المشتري أنّ البائع جاهل بحال المبيع ، لا يكون إخباره عنه ولا توصيفه ، موجبين لرفع الغرر ؛ فإنّهما لا يفيدان شيئاً ، كالإخبار كذباً والتوصيف الجزاف الذي هو بحكم الإخبار في الجمل التامّة ، بل إخبار في الحقيقة ، ولهذا لا يجوز شرعاً ، توصيف موضوع القضيّة الإخبارية بما يخالف الواقع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جائني زيد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فاسقاً ، كذب ولو جاءه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يجوز التوصيف في خلال الجمل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كالإخبارية ، أو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مجهول عنده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الفرس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فرساً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كونه كذلك ؛ لأ نّه قول بغير علم ، والنسب الناقصة تصير تامّة في خلال الجمل التامّة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هذا الرجل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بعدالته ، ولا تجوز إلاّ مع العلم بالاتّصاف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لا يصحّ إلاّ بذكر صفات تصحّح بيع الغائب</w:t>
      </w:r>
      <w:r>
        <w:rPr>
          <w:rStyle w:val="FootnoteAnchor"/>
          <w:rtl w:val="true"/>
        </w:rPr>
        <w:footnoteReference w:id="1097"/>
      </w:r>
      <w:r>
        <w:rPr>
          <w:rFonts w:ascii="Amiri" w:hAnsi="Amiri" w:eastAsia="Amiri" w:cs="Amiri"/>
          <w:color w:val="111111"/>
          <w:sz w:val="28"/>
          <w:sz w:val="28"/>
          <w:szCs w:val="28"/>
          <w:rtl w:val="true"/>
          <w:lang w:bidi="ar-SA"/>
        </w:rPr>
        <w:t xml:space="preserve">، مع فرض كون المتعاملين جاهلين بالواقعة ، الشامل بإطلاقه لما </w:t>
      </w:r>
    </w:p>
    <w:p>
      <w:pPr>
        <w:pStyle w:val="BookText"/>
        <w:rPr/>
      </w:pPr>
      <w:r>
        <w:rPr>
          <w:rFonts w:ascii="Amiri" w:hAnsi="Amiri" w:eastAsia="Amiri" w:cs="Amiri"/>
          <w:color w:val="111111"/>
          <w:sz w:val="28"/>
          <w:sz w:val="28"/>
          <w:szCs w:val="28"/>
          <w:rtl w:val="true"/>
          <w:lang w:bidi="ar-SA"/>
        </w:rPr>
        <w:t>فرضناه ، وهو صورة علم المشتري بجهل البائع ، غير مرضيّ في المقام ، وكذا في العين الغائبة ؛ إذ في هذه الصورة ، لا يفيد إخباره ولا توصيفه شيئاً ، وما يدلّ على اعتبار إخبار البائع في الكيل والوزن</w:t>
      </w:r>
      <w:r>
        <w:rPr>
          <w:rStyle w:val="FootnoteAnchor"/>
          <w:rtl w:val="true"/>
        </w:rPr>
        <w:footnoteReference w:id="1098"/>
      </w:r>
      <w:r>
        <w:rPr>
          <w:rFonts w:ascii="Amiri" w:hAnsi="Amiri" w:eastAsia="Amiri" w:cs="Amiri"/>
          <w:color w:val="111111"/>
          <w:sz w:val="28"/>
          <w:sz w:val="28"/>
          <w:szCs w:val="28"/>
          <w:rtl w:val="true"/>
          <w:lang w:bidi="ar-SA"/>
        </w:rPr>
        <w:t xml:space="preserve">، لا يشمل الإخبار عن غير علم في مورده ، فضلاً عن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لم يعلم المشتري حال البائع ، واحتمل أ نّه أحرز الصفات التي وصف العين بها ، صحّ البيع بالتوصيف المذكور ، لولا غرريته بالنسبة إلى البائع ، كما صحّ بالإخبار بناءً على أنّ إخباره رافع للغرر بمعنى الجهالة ، وأنّ العلم المقابل لها أمر أوسع من العلم الوجداني ، كما هو الظاهر في أمثال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الاستشهاد لجواز الاعتماد على التوصيف هاهنا ، بما يدلّ على جواز الاعتماد على قوله في الكيل والوزن كما تقدّم</w:t>
      </w:r>
      <w:r>
        <w:rPr>
          <w:rStyle w:val="FootnoteAnchor"/>
          <w:rtl w:val="true"/>
        </w:rPr>
        <w:footnoteReference w:id="1099"/>
      </w:r>
      <w:r>
        <w:rPr>
          <w:rFonts w:ascii="Amiri" w:hAnsi="Amiri" w:eastAsia="Amiri" w:cs="Amiri"/>
          <w:color w:val="111111"/>
          <w:sz w:val="28"/>
          <w:sz w:val="28"/>
          <w:szCs w:val="28"/>
          <w:rtl w:val="true"/>
          <w:lang w:bidi="ar-SA"/>
        </w:rPr>
        <w:t xml:space="preserve">، بدعوى إلغاء الخصوصية ، ولا سيّما في المقام ؛ فإنّ تخصيص دليل الغرر والجزاف في غاية البعد ، فلا يصحّ الالتزام بتجويز الشارع بيع الغرر والمجازفة في المكيل والموزون ، إذا أخبر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إخباره يخرج البيع عنهما ، فيصحّ الاعتماد على إخباره ، وتوصيفه الذي هو بمنزلة الإخبار ، بل إخبار حقيقة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الطرق العقلائية تخرج الموضوع عن الجهالة والخطر ، كما أ نّه لو شرط في البيع وجود الصفة ، صحّ البيع إذا كان الغرر بمعنى الخطر ؛ لما </w:t>
      </w:r>
    </w:p>
    <w:p>
      <w:pPr>
        <w:pStyle w:val="BookText"/>
        <w:rPr/>
      </w:pPr>
      <w:r>
        <w:rPr>
          <w:rFonts w:ascii="Amiri" w:hAnsi="Amiri" w:eastAsia="Amiri" w:cs="Amiri"/>
          <w:color w:val="111111"/>
          <w:sz w:val="28"/>
          <w:sz w:val="28"/>
          <w:szCs w:val="28"/>
          <w:rtl w:val="true"/>
          <w:lang w:bidi="ar-SA"/>
        </w:rPr>
        <w:t>تقدّم من رفعه بالخيار</w:t>
      </w:r>
      <w:r>
        <w:rPr>
          <w:rStyle w:val="FootnoteAnchor"/>
          <w:rtl w:val="true"/>
        </w:rPr>
        <w:footnoteReference w:id="1100"/>
      </w:r>
      <w:r>
        <w:rPr>
          <w:rFonts w:ascii="Amiri" w:hAnsi="Amiri" w:eastAsia="Amiri" w:cs="Amiri"/>
          <w:color w:val="111111"/>
          <w:sz w:val="28"/>
          <w:sz w:val="28"/>
          <w:szCs w:val="28"/>
          <w:rtl w:val="true"/>
          <w:lang w:bidi="ar-SA"/>
        </w:rPr>
        <w:t>، بخلاف ما لو كان بمعنى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الكلام في الصورة الاُخرى ، وهي ما إذا اقتضت العادة عدم تغيّرها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اُخرى ، وهي ما إذا اقتضت تغيّرها إلى أمر معيّن ، وعلم المتبايعان بأنّ مقتضى العادة تغيّرها إلى الصفة الكذائية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احتمل الأمران فهو صورة اُخرى ، تعرّض لها الشيخ الأعظم قدّس سرّه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الاعتماد على أصالة عدم التغيّر ، والبناء عليها في العقد ، فيكون نظير إخبار البائع بالكيل والوزن ؛ لأنّ الأصل من الطرق التي يتعارف التعويل عليها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محالّ أنظار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التغيّر لو كانت من الطرق العقلائية ، لكانت مثبتاتها حجّة ، ومن المعلوم أ نّه لا يخلو مورد من موارد الاستصحاب الشرعي إلاّ وفيه هذا الطريق العقلائي ؛ ضرورة أ نّه في جلّ الموارد ، يكون الشكّ في تغيّر الحالة السابقة ، كالشكّ في بقاء الموضوع ، أو حالاته ، أو بقاء الحكم ،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الشكّ في مورد في التغيّر ، بل كان في البقاء ، لكان ملحقاً به بلا إشكال ؛ لأنّ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إدامة ما كان ، 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الاستصحاب الشرعي ، محكوماً بهذا الطريق العقلائي في جميع </w:t>
      </w:r>
    </w:p>
    <w:p>
      <w:pPr>
        <w:pStyle w:val="BookText"/>
        <w:rPr/>
      </w:pPr>
      <w:r>
        <w:rPr>
          <w:rFonts w:ascii="Amiri" w:hAnsi="Amiri" w:eastAsia="Amiri" w:cs="Amiri"/>
          <w:color w:val="111111"/>
          <w:sz w:val="28"/>
          <w:sz w:val="28"/>
          <w:szCs w:val="28"/>
          <w:rtl w:val="true"/>
          <w:lang w:bidi="ar-SA"/>
        </w:rPr>
        <w:t xml:space="preserve">موارده ، فلا بدّ إمّا من الالتزام ، بأنّ الاستصحاب طريق عقلائي ، وأدلّته ناظرة إلى إنفاذ الاستصحاب العقلائي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الالتزام بكونه محكوماً في جميع موارده ؛ فإنّ الطريق حاكم على الاستصحاب ، وهو موجب للغويته ، فلا بدّ من طرح الأخبار الواردة فيه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أصل لهذا الأصل مع الشكّ في التغيّر عن 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يحصل الوثوق بالبقاء بواسطة جهات ، وهو خارج عن الفرض ، وهو الاحتمال المقابل للوثوق بالبقاء والوثوق بعدمه المسبّب من اقتضاء العادة ، بل يمكن الخدشة في أصالة الصحّة والسلامة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الاعتماد عليها ، فهي غير جارية إلاّ في فرض واحد ، وهو الشكّ في بقاء الصحّة ، والكلام أعمّ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المذكور ، لو كان من الطرق المعوّل عليها ، لكان رافعاً للغرر ، بناءً على كون العلم المعتبر أعمّ من العلم الوجداني وما يحصل من الطرق العقلائية ، وعليه فلا وجه لضمّ بناء المتعاملين إليه ، ولا دخالة له في الصحّة ، فيهدم جميع ما ذكره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ابتناء الصحّة على بناء المتعاملين</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الجهل مقابل العلم الوجداني ، لم يفد بناء المتعاملين أيضاً ؛ ضرورة عدم حصول العلم ولا رفع الجهل ببنائهما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الغرر بمعنى الخطر والإقدام على ما لا يؤمن معه من الضرر ، فالطريق العقلائي القائم الموجب للوثوق ، رافع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يرفع به ، أو لم يحصل الوثوق ، فالبناء الراجع إلى الاشتراط الموجب للخيار ، لا يرفعه على مبناه</w:t>
      </w:r>
      <w:r>
        <w:rPr>
          <w:rStyle w:val="FootnoteAnchor"/>
          <w:rtl w:val="true"/>
        </w:rPr>
        <w:footnoteReference w:id="1103"/>
      </w:r>
      <w:r>
        <w:rPr>
          <w:rFonts w:ascii="IRNazanin" w:hAnsi="IRNazanin" w:eastAsia="IRNazanin"/>
          <w:color w:val="111111"/>
          <w:sz w:val="28"/>
          <w:sz w:val="28"/>
          <w:szCs w:val="28"/>
          <w:rtl w:val="true"/>
          <w:lang w:bidi="fa-IR"/>
        </w:rPr>
        <w:t>، وإن صحّحناه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على فرض كون الأصل من الطرق المعوّل عليها ، لو قام طريق آخر على خلافه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الاعتماد على الأصل ، معلّق على عدم قيام طريق على خلافه ، فمع قيامه لا يعوّل عليه ، ويقع البيع باطلاً ، سواء بلغت قوّة الظنّ حدّاً</w:t>
      </w:r>
    </w:p>
    <w:p>
      <w:pPr>
        <w:pStyle w:val="BookText"/>
        <w:rPr/>
      </w:pPr>
      <w:r>
        <w:rPr>
          <w:rFonts w:ascii="Amiri" w:hAnsi="Amiri" w:eastAsia="Amiri" w:cs="Amiri"/>
          <w:color w:val="111111"/>
          <w:sz w:val="28"/>
          <w:sz w:val="28"/>
          <w:szCs w:val="28"/>
          <w:rtl w:val="true"/>
          <w:lang w:bidi="ar-SA"/>
        </w:rPr>
        <w:t xml:space="preserve">يلحقه بالقسم الأوّل ، وهو ما اقتضت العادة تغيّره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طريق في عرض سائر الطرق ، يسقط هو ومعارضه ، ويقع البيع أيضاً باطلاً ، سواء حصل الظنّ القويّ بالتغيّر أم لا ، فلا وجه للتفصيل الذي ذكره الشيخ الأعظم قدّس سرّه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يقم طريق عقلائي ولا أصل على التغيّر ، ولا على عدمه ، وكان البيع بالرؤية السابقة ، يبطل إلاّ إذا وقع مشروطاً على وجود الصفات ، أو مبنيّاً عليها ؛ بحيث يرجع إلى الاشتراط ، وكان المعتبر هو عدم الغرر بمعنى الخطر ، لا مقابل العلم ولو بالمعنى الأعمّ من الوجداني ؛ ضرورة أنّ الاشتراط والبناء لا يرفعه </w:t>
      </w:r>
      <w:r>
        <w:rPr>
          <w:rFonts w:eastAsia="Amiri" w:cs="Amiri" w:ascii="Amiri" w:hAnsi="Amiri"/>
          <w:color w:val="111111"/>
          <w:sz w:val="28"/>
          <w:szCs w:val="28"/>
          <w:rtl w:val="true"/>
          <w:lang w:bidi="ar-SA"/>
        </w:rPr>
        <w:t xml:space="preserve">. </w:t>
      </w:r>
      <w:bookmarkStart w:id="563" w:name="pg15209_204124"/>
    </w:p>
    <w:p>
      <w:pPr>
        <w:pStyle w:val="Heading5"/>
        <w:numPr>
          <w:ilvl w:val="4"/>
          <w:numId w:val="1"/>
        </w:numPr>
        <w:rPr/>
      </w:pPr>
      <w:bookmarkStart w:id="564" w:name="__RefHeading___Toc2974689_2142443653"/>
      <w:bookmarkStart w:id="565" w:name="_Toc200"/>
      <w:bookmarkEnd w:id="563"/>
      <w:bookmarkEnd w:id="564"/>
      <w:r>
        <w:rPr>
          <w:rtl w:val="true"/>
        </w:rPr>
        <w:t>ثبوت خيار تخلّف الشرط للمشتري مع انكشاف التغيّر</w:t>
      </w:r>
      <w:bookmarkEnd w:id="565"/>
    </w:p>
    <w:p>
      <w:pPr>
        <w:pStyle w:val="BookText"/>
        <w:rPr/>
      </w:pPr>
      <w:r>
        <w:rPr>
          <w:rFonts w:ascii="Amiri" w:hAnsi="Amiri" w:eastAsia="Amiri" w:cs="Amiri"/>
          <w:color w:val="111111"/>
          <w:sz w:val="28"/>
          <w:sz w:val="28"/>
          <w:szCs w:val="28"/>
          <w:rtl w:val="true"/>
          <w:lang w:bidi="ar-SA"/>
        </w:rPr>
        <w:t xml:space="preserve">ولو انكشف التغيّر كان المشتري بالخيار ، لا البائع ؛ لأنّ مجرّد البناء ، أو اشتراط وجود الصفة ، لا يكون التزاماً من المشتري ، ولا يكون هو مشروطاً عليه ، بل هو يحتاج إلى عناية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فالخيار لتخلّف الشرط ، سواء تغيّرت إلى صفة زادت المالية بها أم لا ؛ لأنّ خيار الشرط تابع للاشتراط ، لا للزيادة والنقيصة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الخيار للبائع لو تغيّر إلى ما زادت المالية به ، وللمشتري إذا تغيّر إلى ما نقصت</w:t>
      </w:r>
      <w:r>
        <w:rPr>
          <w:rStyle w:val="FootnoteAnchor"/>
          <w:rtl w:val="true"/>
        </w:rPr>
        <w:footnoteReference w:id="1106"/>
      </w:r>
      <w:r>
        <w:rPr>
          <w:rFonts w:ascii="Amiri" w:hAnsi="Amiri" w:eastAsia="Amiri" w:cs="Amiri"/>
          <w:color w:val="111111"/>
          <w:sz w:val="28"/>
          <w:sz w:val="28"/>
          <w:szCs w:val="28"/>
          <w:rtl w:val="true"/>
          <w:lang w:bidi="ar-SA"/>
        </w:rPr>
        <w:t xml:space="preserve">غير مرضيّ ، بل خيار الشرط لهما مطلقاً ، على فرض كون الالتزام منهما ، وللمغبون منهما خيار الغبن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خيار الشرط ، إنّما هو في الفرض الأخير ، وهو إذا كان البيع مبنيّاً على الشرط ، وأمّا فيما إذا علم المتبايعان بالاتّصاف ، أو قامت الأمارة العقلائية عليه أو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أمارة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موجب للخيار ؛ لأنّ الاتّكال على الطرق لرفع الغرر ، غير بناء المتعاملين الراجع إلى الاشتراط </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2974691_2142443653"/>
      <w:bookmarkStart w:id="567" w:name="_Toc201"/>
      <w:bookmarkEnd w:id="566"/>
      <w:r>
        <w:rPr>
          <w:rtl w:val="true"/>
        </w:rPr>
        <w:t>حكم بعض الصور التي لم يذكرها الشيخ الأعظم</w:t>
      </w:r>
      <w:bookmarkEnd w:id="56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هاهنا صوراً اُخر ، لم يتعرّض لها ، ونحن نشير إلى بعض منها ، وهو ما إذا علم زوال الصفة الموجودة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إجمالاً قيام أحد الضدّين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شيء ذي مراتب مقامه ، ويشكّ في أ نّه بمرتبة ناقصة قام مقامه ، أو بمرتبة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قيام شيء وجودي أو عدم ملكة مقامه ، كما 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بزوال رائحته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رائحة مضادّة لها قائمة مقامها ، أو صار الموضوع بلا رائحة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يتعارض أصل عدم حدوث كلّ منهما مع الأصل الآخر في لازمه ، تعارضاً بالذات ، بناءً على كون الأصل من الأمارات ، فأصالة عدم حدوث هذه الصفة ، لازمها حدوث الصفة الاُخرى ، وهو معارض بالذات مع أصالة عدم حدوث تلك الصفة وبالعكس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كونه شرعياً على فرض الجريان ، يتعارضان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الكامل لو حصل كان دفعياً ، فعلم أنّ الحاصل إمّا الناقص ، وإمّا الكامل دفعة ، يكون حكمه كالفرض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علم بحصوله تدريجاً ، فوجوده إلى مقدار معلومٌ ، والزائد مشكوك فيه ، فيدفع بالأصل ، ولمّا كان المثبت منه حجّة ، يثبت كون الضعيف بحدّه موجوداً ، ولا معارض لهذا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بقاء اشتغال الفاعل أو العلّة بالإيجاد ، فيثبت المرتبة العالية ، ويدفع الضعيفة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اشتغاله بالمرتبة التي بعد السابقة ، مشكوك فيه ؛ لأنّ المفروض أ نّه تدريجي ، ولا حالة سابقة له بالاشتغال بالنسبة إلى تلك المرتبة ، بل المعلوم </w:t>
      </w:r>
    </w:p>
    <w:p>
      <w:pPr>
        <w:pStyle w:val="BookText"/>
        <w:rPr/>
      </w:pPr>
      <w:r>
        <w:rPr>
          <w:rFonts w:ascii="Amiri" w:hAnsi="Amiri" w:eastAsia="Amiri" w:cs="Amiri"/>
          <w:color w:val="111111"/>
          <w:sz w:val="28"/>
          <w:sz w:val="28"/>
          <w:szCs w:val="28"/>
          <w:rtl w:val="true"/>
          <w:lang w:bidi="ar-SA"/>
        </w:rPr>
        <w:t xml:space="preserve">عدمه حال الاشتغال بالسابقة ، فيدفع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أصل بقاء الاشتغال أيضاً ، إذا لم ينظر إلى القطعات ، فتسقط جميع الاُصول المتقدّمة والمتأخّرة والسببية والمسبّبية ؛ لأنّ الفرض حجّية المثبتات ، وعليها لا تكون الاُصول السببية حاكمة على المسبّبية ، وهذا بخلاف الاُصول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عدم اللا رائحة مثلاً ، متحقّقاً عرفاً بوجود الرائحة الموجودة ، وإن كان حكم العقل على خلاف ذلك ، وبعد زوالها ، واحتمال حدوث رائحة مضادّة لها مقارنة لزوالها ، يحتمل بقاء عدم اللا رائحة بحدوث الرائحة المضادّة ، فيكون من قبيل استصحاب القسم الثالث ، ويعارض استصحاب عدم حدوث الرائحة ؛ لأنّ المفروض حجّية المثبتات ، والأمر سهل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وليعذرني المحصّلون في التعرّض لفروع لا أصل لاُصولها ، والعذر أنّ الشيخ الأعظم قدّس سرّه ، جعل هذا من الاُصول العقلائية المعتمد عليها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bookmarkStart w:id="568" w:name="pg15209_204127"/>
    </w:p>
    <w:p>
      <w:pPr>
        <w:pStyle w:val="Heading5"/>
        <w:numPr>
          <w:ilvl w:val="4"/>
          <w:numId w:val="1"/>
        </w:numPr>
        <w:rPr/>
      </w:pPr>
      <w:bookmarkStart w:id="569" w:name="__RefHeading___Toc2974693_2142443653"/>
      <w:bookmarkStart w:id="570" w:name="_Toc202"/>
      <w:bookmarkEnd w:id="568"/>
      <w:bookmarkEnd w:id="569"/>
      <w:r>
        <w:rPr>
          <w:rtl w:val="true"/>
        </w:rPr>
        <w:t>فرعان</w:t>
      </w:r>
      <w:r>
        <w:rPr>
          <w:rtl w:val="true"/>
        </w:rPr>
        <w:t>:</w:t>
      </w:r>
      <w:bookmarkEnd w:id="570"/>
    </w:p>
    <w:p>
      <w:pPr>
        <w:pStyle w:val="Heading6"/>
        <w:numPr>
          <w:ilvl w:val="5"/>
          <w:numId w:val="1"/>
        </w:numPr>
        <w:rPr/>
      </w:pPr>
      <w:bookmarkStart w:id="571" w:name="__RefHeading___Toc2974695_2142443653"/>
      <w:bookmarkStart w:id="572" w:name="_Toc203"/>
      <w:bookmarkEnd w:id="571"/>
      <w:r>
        <w:rPr>
          <w:rtl w:val="true"/>
        </w:rPr>
        <w:t xml:space="preserve">الفرع الأوّل </w:t>
      </w:r>
      <w:r>
        <w:rPr>
          <w:rtl w:val="true"/>
        </w:rPr>
        <w:t xml:space="preserve">: </w:t>
      </w:r>
      <w:r>
        <w:rPr>
          <w:rtl w:val="true"/>
        </w:rPr>
        <w:t>فيما لو اختلف البائع والمشتري في التغيّر</w:t>
      </w:r>
      <w:bookmarkEnd w:id="572"/>
    </w:p>
    <w:p>
      <w:pPr>
        <w:pStyle w:val="Heading6"/>
        <w:numPr>
          <w:ilvl w:val="5"/>
          <w:numId w:val="1"/>
        </w:numPr>
        <w:rPr/>
      </w:pPr>
      <w:bookmarkStart w:id="573" w:name="__RefHeading___Toc2974697_2142443653"/>
      <w:bookmarkStart w:id="574" w:name="_Toc204"/>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لو اختلفا في التغيّر ، فادّعاه المشتري ، هل يقدّم قوله كما عليه المعظم</w:t>
      </w:r>
      <w:r>
        <w:rPr>
          <w:rStyle w:val="FootnoteAnchor"/>
          <w:rtl w:val="true"/>
        </w:rPr>
        <w:footnoteReference w:id="1108"/>
      </w:r>
      <w:r>
        <w:rPr>
          <w:rFonts w:ascii="Amiri" w:hAnsi="Amiri" w:eastAsia="Amiri" w:cs="Amiri"/>
          <w:color w:val="111111"/>
          <w:sz w:val="28"/>
          <w:sz w:val="28"/>
          <w:szCs w:val="28"/>
          <w:rtl w:val="true"/>
          <w:lang w:bidi="ar-SA"/>
        </w:rPr>
        <w:t>، أو يقدّم قول البائع ؟</w:t>
      </w:r>
    </w:p>
    <w:p>
      <w:pPr>
        <w:pStyle w:val="BookText"/>
        <w:rPr/>
      </w:pPr>
      <w:r>
        <w:rPr>
          <w:rFonts w:ascii="Amiri" w:hAnsi="Amiri" w:eastAsia="Amiri" w:cs="Amiri"/>
          <w:color w:val="111111"/>
          <w:sz w:val="28"/>
          <w:sz w:val="28"/>
          <w:szCs w:val="28"/>
          <w:rtl w:val="true"/>
          <w:lang w:bidi="ar-SA"/>
        </w:rPr>
        <w:t xml:space="preserve">وقبل الورود في المطلب لا بدّ من ذكر جهات </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2974699_2142443653"/>
      <w:bookmarkStart w:id="576" w:name="_Toc205"/>
      <w:bookmarkEnd w:id="575"/>
      <w:r>
        <w:rPr>
          <w:rtl w:val="true"/>
        </w:rPr>
        <w:t>تشخيص المدّعي والمنكر موكولان إلى العرف</w:t>
      </w:r>
      <w:bookmarkEnd w:id="576"/>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اختلفت كلماتهم في تشخيص المدّعي والمنكر</w:t>
      </w:r>
      <w:r>
        <w:rPr>
          <w:rStyle w:val="FootnoteAnchor"/>
          <w:rtl w:val="true"/>
        </w:rPr>
        <w:footnoteReference w:id="1109"/>
      </w:r>
      <w:r>
        <w:rPr>
          <w:rFonts w:ascii="Amiri" w:hAnsi="Amiri" w:eastAsia="Amiri" w:cs="Amiri"/>
          <w:color w:val="111111"/>
          <w:sz w:val="28"/>
          <w:sz w:val="28"/>
          <w:szCs w:val="28"/>
          <w:rtl w:val="true"/>
          <w:lang w:bidi="ar-SA"/>
        </w:rPr>
        <w:t xml:space="preserve">، والحقّ أ 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موكولان إلى العرف ؛ إذ لا اصطلاح للشارع فيهما ، ولا في سائر الموضوعات ، وتشخيصهما ليس من شأن الشارع ، وليس له التصرّف في الموضوعات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له الإلحاق بها والإخراج عنها حكماً ، ولم يرد في المقام ما يوجب التصرّف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والموازين الاُخر إن رجعت إلى المعنى العرفي ، أو انطبقت عليه مصداقاً ، </w:t>
      </w:r>
    </w:p>
    <w:p>
      <w:pPr>
        <w:pStyle w:val="BookText"/>
        <w:rPr/>
      </w:pPr>
      <w:r>
        <w:rPr>
          <w:rFonts w:ascii="Amiri" w:hAnsi="Amiri" w:eastAsia="Amiri" w:cs="Amiri"/>
          <w:color w:val="111111"/>
          <w:sz w:val="28"/>
          <w:sz w:val="28"/>
          <w:szCs w:val="28"/>
          <w:rtl w:val="true"/>
          <w:lang w:bidi="ar-SA"/>
        </w:rPr>
        <w:t xml:space="preserve">فلا إشكال ، وإن اختلفت معه ، فالمرجع هو العرف والمعنى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المدّعي هو الذي لو ترك تُرك</w:t>
      </w:r>
      <w:r>
        <w:rPr>
          <w:rStyle w:val="FootnoteAnchor"/>
          <w:rtl w:val="true"/>
        </w:rPr>
        <w:footnoteReference w:id="1110"/>
      </w:r>
      <w:r>
        <w:rPr>
          <w:rFonts w:ascii="Amiri" w:hAnsi="Amiri" w:eastAsia="Amiri" w:cs="Amiri"/>
          <w:color w:val="111111"/>
          <w:sz w:val="28"/>
          <w:sz w:val="28"/>
          <w:szCs w:val="28"/>
          <w:rtl w:val="true"/>
          <w:lang w:bidi="ar-SA"/>
        </w:rPr>
        <w:t xml:space="preserve">، ينطبق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مصاديق المعنى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المدّعي من كان قوله مخالفاً للأصل ؛ بمعنىً أعمّ من القواعد العقلائية ، والشرعية ، والاُصول كذلك حتّى مثل أصل الاشتغال والبراءة</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الخدشة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مضايقة في 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القواعد والاُصول العقلائية ، كاليد ، وأصالة الصحّة ، وأصالة الظهور ، وأمثالها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الأصل الشرعي كالاستصحاب ، فلا يصلح لذلك ، بعد عدم كونه من الاُصول العقلائية ، فلو ادّعى أحد زوجية امرأة وأنكرتها ، وكانت سابقاً زوجته ، فشكّ في بقائها ، فبحسب نظر العرف ، يكون المدّعي هو الزوج ، مع أنّ الاستصحاب موافق لقوله ، وقول الزوجة مخالف لهذا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المدّعي عرفاً من كان قوله مخالفاً للحجّة ، ومصداق الحجّة لا يلزم أن يكون عرفياً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الواضح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وعرفاً غير ذلك ، وليس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مساوقاً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مصاديقهما متّحدة غير مسموعة </w:t>
      </w:r>
      <w:r>
        <w:rPr>
          <w:rFonts w:eastAsia="Amiri" w:cs="Amiri" w:ascii="Amiri" w:hAnsi="Amiri"/>
          <w:color w:val="111111"/>
          <w:sz w:val="28"/>
          <w:szCs w:val="28"/>
          <w:rtl w:val="true"/>
          <w:lang w:bidi="ar-SA"/>
        </w:rPr>
        <w:t xml:space="preserve">. </w:t>
      </w:r>
      <w:bookmarkStart w:id="577" w:name="pg15209_204129"/>
    </w:p>
    <w:p>
      <w:pPr>
        <w:pStyle w:val="BookText"/>
        <w:rPr/>
      </w:pPr>
      <w:bookmarkEnd w:id="577"/>
      <w:r>
        <w:rPr>
          <w:rFonts w:ascii="Amiri" w:hAnsi="Amiri" w:eastAsia="Amiri" w:cs="Amiri"/>
          <w:color w:val="111111"/>
          <w:sz w:val="28"/>
          <w:sz w:val="28"/>
          <w:szCs w:val="28"/>
          <w:rtl w:val="true"/>
          <w:lang w:bidi="ar-SA"/>
        </w:rPr>
        <w:t xml:space="preserve">ثمّ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فلا إشكال في أنّ الميزان ، هو الأصل المعتبر شرعاً في محطّ الدعوى ، فإن كان الأصل مثبتاً بالنسبة إلى محطّها ، لم يكن مخالفه مدّعياً ؛ لعدم حجّيته وإن كان جارياً بالنسبة إلى أثر آخر </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2974701_2142443653"/>
      <w:bookmarkStart w:id="579" w:name="_Toc206"/>
      <w:bookmarkEnd w:id="578"/>
      <w:r>
        <w:rPr>
          <w:rtl w:val="true"/>
        </w:rPr>
        <w:t>العبرة في تشخيص المدّعي والمنكر بمصبّ الدعوى</w:t>
      </w:r>
      <w:bookmarkEnd w:id="57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الاعتبار في تشخيص المدّعي والمنكر ، بمصبّ الدعوى ، لا بالعناوين الملازمة له ، أو المترتّبة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ادّعى أنّ المرأة زوجته المنقطعة ، وادّعت أ نّها دائمة ، فلا بدّ وأن يلاحظ مصبّ الدعوى ، فيحكم بالتداعي مع عدم أصل لأحد الطرفين ، ولا تلاحظ النتيجة ؛ وهي أ نّها تدّعي استحقاق النفقة ، وهو منكر لذلك ؛ لأنّ دعواها الزوجية غير دعوى النفقة ، والميزان في التشخيص هو محطّ الدعوى ، وهو الظاهر المتفاهم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 واليمين على المدّعى عليه</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لا بدّ وأن يكون للدعوى أثر ؛ بحيث لا يكون الحكم لغواً ، فحينئذٍ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من قبيل الأمارات العقلائية والشرعية كما هو الحقّ ، فلا يلزم أن يكون الأثر بلا واسطة عقلية ؛ لأنّ مثبتات الأمارة حجّة ، فإذا حكم بشيء ، ثبتت لوازمه وملزوماته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من قبيل الأصل ، فلا بدّ من أثر شرعي بلا واسطة </w:t>
      </w:r>
      <w:r>
        <w:rPr>
          <w:rFonts w:eastAsia="Amiri" w:cs="Amiri" w:ascii="Amiri" w:hAnsi="Amiri"/>
          <w:color w:val="111111"/>
          <w:sz w:val="28"/>
          <w:szCs w:val="28"/>
          <w:rtl w:val="true"/>
          <w:lang w:bidi="ar-SA"/>
        </w:rPr>
        <w:t xml:space="preserve">. </w:t>
      </w:r>
      <w:bookmarkStart w:id="580" w:name="pg15209_204130"/>
    </w:p>
    <w:p>
      <w:pPr>
        <w:pStyle w:val="Heading6"/>
        <w:numPr>
          <w:ilvl w:val="5"/>
          <w:numId w:val="1"/>
        </w:numPr>
        <w:rPr/>
      </w:pPr>
      <w:bookmarkStart w:id="581" w:name="__RefHeading___Toc2974703_2142443653"/>
      <w:bookmarkStart w:id="582" w:name="_Toc207"/>
      <w:bookmarkEnd w:id="580"/>
      <w:bookmarkEnd w:id="581"/>
      <w:r>
        <w:rPr>
          <w:rtl w:val="true"/>
        </w:rPr>
        <w:t>ليس للقاضي إلاّ استماع الدعوى</w:t>
      </w:r>
      <w:bookmarkEnd w:id="58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يتفرّع على ما تقدّم ، أنّ القاضي ليس له إلاّ استماع الدعوى ؛ وتشخيص أ نّها دعوى مسموعة أم لا ، وأمّا إرجاع الدعوى إلى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الملازمات ، أو 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ولا سيّما إذا انقلب لأجله المدّعي منكراً ، أو التداعي إلى الادّعاء والإنكار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الدعوى على عنوان صحيحة مسموعة ، ليس له التجاوز عنها وإراءة طريق الانقلاب ، أو ملاحظة عنوان آخر موجب له ، والميزان في مسموعيتها ، كونها ذات أثر ولو بوسائط ؛ شرعية كانت ، أو 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الاختلاف كثيرة ، نذكر بعضها </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2974705_2142443653"/>
      <w:bookmarkStart w:id="584" w:name="_Toc208"/>
      <w:bookmarkEnd w:id="583"/>
      <w:r>
        <w:rPr>
          <w:rtl w:val="true"/>
        </w:rPr>
        <w:t>صور الاختلاف وأحكامها</w:t>
      </w:r>
      <w:bookmarkEnd w:id="584"/>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تغيّر الصفات حال البيع ، فادّعى المشتري أ نّها تغيّرت عن حال المشاهدة ، وأنكره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تغيّرها قبل القبض ، فاتّفقا على عدم التغيّر من حال المشاهدة إلى حال البيع ، وادّعى المشتري تغيّرها قبل القبض ؛ ليثبت له الخيار ، بناءً على ثبوته إذا تغيّرت قبل القبض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الصورتين ، يكون المشتري مدّعياً ، ويقدّم قول البائع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الميزان لتشخيص المدّعي مصبّ الدعوى ، ولا إشكال في أنّ القائل بالتغيّر مدّعٍ عرفاً ، والنافي له منكر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المدّعي من لو ترك تُرك</w:t>
      </w:r>
      <w:r>
        <w:rPr>
          <w:rStyle w:val="FootnoteAnchor"/>
          <w:rtl w:val="true"/>
        </w:rPr>
        <w:footnoteReference w:id="1113"/>
      </w:r>
      <w:r>
        <w:rPr>
          <w:rFonts w:ascii="Amiri" w:hAnsi="Amiri" w:eastAsia="Amiri" w:cs="Amiri"/>
          <w:color w:val="111111"/>
          <w:sz w:val="28"/>
          <w:sz w:val="28"/>
          <w:szCs w:val="28"/>
          <w:rtl w:val="true"/>
          <w:lang w:bidi="ar-SA"/>
        </w:rPr>
        <w:t xml:space="preserve">، ينطبق على المشتري أيضاً ؛ لأنّ البائع والمشتري متّفقان على تحقّق البيع ، وتعلّقه بالموجود الخارجي ، وأنّ الثمن صار ملكاً للبائع ، والمثمن للمشتري ، وإنّما اختلافهما في تغيّر أوصافه ؛ ليثبت الخيار له ، فإذا ترك هذه الدعوى ، لم يكن نزاع في البين ، فلا بدّ له من تسليم الثمن ، وتسلّم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الأصل العقلائي المعتمد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دعوى الشيخ الأعظم قدّس سرّه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البائع ، وهو أصالة عدم التغيّر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يجري الأصل الشرعي في الصورة الاُولى ؛ لأنّ استصحاب عدم تغيّر الصفات إلى حال البيع ، لا أثر له ، وإنّما الأثر مترتّب على تخلّف الوصف المبنيّ عليه البيع ، وعدم تخلّفه ، وشيء منهما لا يثبت بالأصل ، وكذا وقوع البيع مبنيّاً على تحقّق الوصف ، لا يثبت بالأصل ، بل جريانه في الصورة الثانية أيضاً محلّ إشكال ، إلاّ على بعض الوجوه ، وسنشير إلى تحقيقه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سهل بعد كون نظر العرف متّبعاً ، ولا شبهة في كون المشتري مدّعياً عرفاً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الوجوه التي ذكرت لتقديم قوله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الإشكال في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في خروجها عن موازين القضاء ؛ فإنّ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المشتري </w:t>
      </w:r>
    </w:p>
    <w:p>
      <w:pPr>
        <w:pStyle w:val="BookText"/>
        <w:rPr/>
      </w:pPr>
      <w:r>
        <w:rPr>
          <w:rFonts w:ascii="Amiri" w:hAnsi="Amiri" w:eastAsia="Amiri" w:cs="Amiri"/>
          <w:color w:val="111111"/>
          <w:sz w:val="28"/>
          <w:sz w:val="28"/>
          <w:szCs w:val="28"/>
          <w:rtl w:val="true"/>
          <w:lang w:bidi="ar-SA"/>
        </w:rPr>
        <w:t xml:space="preserve">ذو اليد ، أو ينتزع منه الثمن ، أو الأصل براءة ذمّته ، مبنيّ على صحّة رفع اليد عن مصبّ الدعوى ، والرجوع إلى نتيجتها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ابتناء المسألة على أنّ الأوصاف الملحوظة ،</w:t>
      </w:r>
    </w:p>
    <w:p>
      <w:pPr>
        <w:pStyle w:val="BookText"/>
        <w:rPr/>
      </w:pPr>
      <w:r>
        <w:rPr>
          <w:rFonts w:ascii="Amiri" w:hAnsi="Amiri" w:eastAsia="Amiri" w:cs="Amiri"/>
          <w:color w:val="111111"/>
          <w:sz w:val="28"/>
          <w:sz w:val="28"/>
          <w:szCs w:val="28"/>
          <w:rtl w:val="true"/>
          <w:lang w:bidi="ar-SA"/>
        </w:rPr>
        <w:t>هل هي من قبيل شروط في العقد ، أو قيود في المعقود عليه ؟</w:t>
      </w:r>
    </w:p>
    <w:p>
      <w:pPr>
        <w:pStyle w:val="BookText"/>
        <w:rPr/>
      </w:pPr>
      <w:r>
        <w:rPr>
          <w:rFonts w:ascii="Amiri" w:hAnsi="Amiri" w:eastAsia="Amiri" w:cs="Amiri"/>
          <w:color w:val="111111"/>
          <w:sz w:val="28"/>
          <w:sz w:val="28"/>
          <w:szCs w:val="28"/>
          <w:rtl w:val="true"/>
          <w:lang w:bidi="ar-SA"/>
        </w:rPr>
        <w:t xml:space="preserve">وإرجاع النزاع على الأوّل ، إلى النزاع في اشتراط خلاف هذا الوصف الموجود على البائع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إلى النزاع في وقوع العقد والتراضي على الشيء المطلق وعدمه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مبنيّ على أنّ الميزان هو نتيجة الدعوى وما ترجع إليه ، وهو غير مرضيّ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النظر في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البائع يدّعي علم المشتري بالمبيع على هذا الوصف الموجود ، والرضا به ، والأصل عدمه ،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إرجاع للدعوى من عنوان إلى عنوان آخر ، وكذا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bookmarkStart w:id="585" w:name="pg15209_204133"/>
    </w:p>
    <w:p>
      <w:pPr>
        <w:pStyle w:val="Heading6"/>
        <w:numPr>
          <w:ilvl w:val="5"/>
          <w:numId w:val="1"/>
        </w:numPr>
        <w:rPr/>
      </w:pPr>
      <w:bookmarkStart w:id="586" w:name="__RefHeading___Toc2974707_2142443653"/>
      <w:bookmarkStart w:id="587" w:name="_Toc209"/>
      <w:bookmarkEnd w:id="585"/>
      <w:bookmarkEnd w:id="586"/>
      <w:r>
        <w:rPr>
          <w:rtl w:val="true"/>
        </w:rPr>
        <w:t>وجوه تقديم قول المشتري</w:t>
      </w:r>
      <w:bookmarkEnd w:id="587"/>
    </w:p>
    <w:p>
      <w:pPr>
        <w:pStyle w:val="Heading6"/>
        <w:numPr>
          <w:ilvl w:val="5"/>
          <w:numId w:val="1"/>
        </w:numPr>
        <w:rPr/>
      </w:pPr>
      <w:bookmarkStart w:id="588" w:name="__RefHeading___Toc2974709_2142443653"/>
      <w:bookmarkStart w:id="589" w:name="_Toc210"/>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 xml:space="preserve">ثمّ إنّه قد استدلّ على تقديم قول المشتري بوجوه </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2974711_2142443653"/>
      <w:bookmarkStart w:id="591" w:name="_Toc211"/>
      <w:bookmarkEnd w:id="590"/>
      <w:r>
        <w:rPr>
          <w:rtl w:val="true"/>
        </w:rPr>
        <w:t>الوجه الأوّل</w:t>
      </w:r>
      <w:r>
        <w:rPr>
          <w:rtl w:val="true"/>
        </w:rPr>
        <w:t xml:space="preserve">: </w:t>
      </w:r>
      <w:r>
        <w:rPr>
          <w:rtl w:val="true"/>
        </w:rPr>
        <w:t>ما تمسّك به الشهيد والشيخ وابن إدريس والعلاّمة</w:t>
      </w:r>
      <w:bookmarkEnd w:id="591"/>
    </w:p>
    <w:p>
      <w:pPr>
        <w:pStyle w:val="Heading6"/>
        <w:numPr>
          <w:ilvl w:val="5"/>
          <w:numId w:val="1"/>
        </w:numPr>
        <w:rPr/>
      </w:pPr>
      <w:bookmarkStart w:id="592" w:name="__RefHeading___Toc2974713_2142443653"/>
      <w:bookmarkStart w:id="593" w:name="_Toc212"/>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يده على الثمن</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أرجع الشيخ الأعظم قدّس سرّه </w:t>
      </w:r>
      <w:r>
        <w:rPr>
          <w:rStyle w:val="FootnoteAnchor"/>
          <w:rtl w:val="true"/>
        </w:rPr>
        <w:footnoteReference w:id="1120"/>
      </w:r>
      <w:r>
        <w:rPr>
          <w:rFonts w:ascii="IRNazanin" w:hAnsi="IRNazanin" w:eastAsia="IRNazanin"/>
          <w:color w:val="111111"/>
          <w:sz w:val="28"/>
          <w:sz w:val="28"/>
          <w:szCs w:val="28"/>
          <w:rtl w:val="true"/>
          <w:lang w:bidi="fa-IR"/>
        </w:rPr>
        <w:t xml:space="preserve">هذا الوجه إلى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22"/>
      </w:r>
      <w:r>
        <w:rPr>
          <w:rFonts w:ascii="Amiri" w:hAnsi="Amiri" w:eastAsia="Amiri" w:cs="Amiri"/>
          <w:color w:val="111111"/>
          <w:sz w:val="28"/>
          <w:sz w:val="28"/>
          <w:szCs w:val="28"/>
          <w:rtl w:val="true"/>
          <w:lang w:bidi="ar-SA"/>
        </w:rPr>
        <w:t>، وهو أنّ المشتري هو الذي ينتزع منه الثمن ، ولا ينتزع منه إلاّ بإقراره ، أو ببيّنة تقوم عليه ، وأرجع قول العلاّمة قدّس سرّه إليه أيضاً ؛ حيث تمسّك بأصالة براءة المشتري من الثمن</w:t>
      </w:r>
      <w:r>
        <w:rPr>
          <w:rStyle w:val="FootnoteAnchor"/>
          <w:rtl w:val="true"/>
        </w:rPr>
        <w:footnoteReference w:id="1123"/>
      </w:r>
      <w:r>
        <w:rPr>
          <w:rFonts w:ascii="Amiri" w:hAnsi="Amiri" w:eastAsia="Amiri" w:cs="Amiri"/>
          <w:color w:val="111111"/>
          <w:sz w:val="28"/>
          <w:sz w:val="28"/>
          <w:szCs w:val="28"/>
          <w:rtl w:val="true"/>
          <w:lang w:bidi="ar-SA"/>
        </w:rPr>
        <w:t xml:space="preserve">، فلا يلزمه ما لم يقرّ به ، أو يثبت بالبيّنة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عدم رجوع واحد منها إلى الآخر ؛ فإنّ التمسّك باليد ، مخصوص بمورد كون الثمن خارجياً تحت يد المشتري ، والتمسّك بأصل براءة ذمّة المشتري ، مخصوص بمورد كونه كلّياً في الذمّة ،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24"/>
      </w:r>
      <w:r>
        <w:rPr>
          <w:rFonts w:ascii="IRNazanin" w:hAnsi="IRNazanin" w:eastAsia="IRNazanin"/>
          <w:color w:val="111111"/>
          <w:sz w:val="28"/>
          <w:sz w:val="28"/>
          <w:szCs w:val="28"/>
          <w:rtl w:val="true"/>
          <w:lang w:bidi="fa-IR"/>
        </w:rPr>
        <w:t xml:space="preserve">أعمّ منهما على الظاهر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بناءً على التمسّك باليد ، على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الثمن بيد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عدم الفسخ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فسخه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الفسخ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علمنا بعدم فسخه ، فمقتضى دليل السلطنة</w:t>
      </w:r>
      <w:r>
        <w:rPr>
          <w:rStyle w:val="FootnoteAnchor"/>
          <w:rtl w:val="true"/>
        </w:rPr>
        <w:footnoteReference w:id="1125"/>
      </w:r>
      <w:r>
        <w:rPr>
          <w:rFonts w:ascii="Amiri" w:hAnsi="Amiri" w:eastAsia="Amiri" w:cs="Amiri"/>
          <w:color w:val="111111"/>
          <w:sz w:val="28"/>
          <w:sz w:val="28"/>
          <w:szCs w:val="28"/>
          <w:rtl w:val="true"/>
          <w:lang w:bidi="ar-SA"/>
        </w:rPr>
        <w:t xml:space="preserve">، لزوم تسليم الثمن إلى البائع ، وعدم جواز منعه عنه ، هذا مع قطع النظر عمّا 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تسليمه في زمن الخيار</w:t>
      </w:r>
      <w:r>
        <w:rPr>
          <w:rStyle w:val="FootnoteAnchor"/>
          <w:rtl w:val="true"/>
        </w:rPr>
        <w:footnoteReference w:id="1126"/>
      </w:r>
      <w:r>
        <w:rPr>
          <w:rFonts w:ascii="Amiri" w:hAnsi="Amiri" w:eastAsia="Amiri" w:cs="Amiri"/>
          <w:color w:val="111111"/>
          <w:sz w:val="28"/>
          <w:sz w:val="28"/>
          <w:szCs w:val="28"/>
          <w:rtl w:val="true"/>
          <w:lang w:bidi="ar-SA"/>
        </w:rPr>
        <w:t>، وسيأتي إن شاء اللّه الكلام فيه</w:t>
      </w:r>
      <w:r>
        <w:rPr>
          <w:rStyle w:val="FootnoteAnchor"/>
          <w:rtl w:val="true"/>
        </w:rPr>
        <w:footnoteReference w:id="1127"/>
      </w:r>
      <w:r>
        <w:rPr>
          <w:rFonts w:ascii="Amiri" w:hAnsi="Amiri" w:eastAsia="Amiri" w:cs="Amiri"/>
          <w:color w:val="111111"/>
          <w:sz w:val="28"/>
          <w:sz w:val="28"/>
          <w:szCs w:val="28"/>
          <w:rtl w:val="true"/>
          <w:lang w:bidi="ar-SA"/>
        </w:rPr>
        <w:t>، وإنّما الكلام هنا فيما تمسّك به الشهيد</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اليد فهي معلومة الحال ؛ لأ نّها تعلّقت بمال الغير ، ونعلم أ نّه لا سلطنة لذي اليد عليه ؛ لا من قبل نفسه ، ولا من قبل صاحب المال ، والسلطنة على فسخ العقد ، ليست من شؤون اليد على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اليد ظاهرة في سلطنة ذي اليد على التصرّفات ، وإن قطع بكون الثمن ملك البائع</w:t>
      </w:r>
      <w:r>
        <w:rPr>
          <w:rStyle w:val="FootnoteAnchor"/>
          <w:rtl w:val="true"/>
        </w:rPr>
        <w:footnoteReference w:id="1129"/>
      </w:r>
      <w:r>
        <w:rPr>
          <w:rFonts w:ascii="Amiri" w:hAnsi="Amiri" w:eastAsia="Amiri" w:cs="Amiri"/>
          <w:color w:val="111111"/>
          <w:sz w:val="28"/>
          <w:sz w:val="28"/>
          <w:szCs w:val="28"/>
          <w:rtl w:val="true"/>
          <w:lang w:bidi="ar-SA"/>
        </w:rPr>
        <w:t xml:space="preserve">إن رجع إلى هذه الصورة ، فهو في غاية السقوط ؛ للعلم بأنّ الثمن للمالك ، وأ نّه لا يكون المشتري وكيلاً ، ولا مأذوناً من قبله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حقّ فسخ العقد له ، لا يفيد ، ولا يدفع سلطنة المالك على ماله ، وليس للمشتري التصرّف في العين قبل الفسخ بوجه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صورة احتمال الفسخ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ظاهرة في سلطنة ذي اليد على التصرّفات في الثمن ، وإن قطع بكونه ملك البائع ؛ حيث لا منافاة بين كونه ملكاً له بمجرّد العقد ، وكون المشتري مسلّطاً على التصرّف فيه ولو بالفسخ ، فلا صارف لظهور اليد في السلطنة المطلقة ، ولا مجال لأصالة عدم سبب للخيار ، بعد وجود الأمارة على السلطنة المطلقة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اعتبار اليد ، ليس إلاّ بناء العقلاء ، ولم يحرز بناؤهم عليه في مثل المورد ، لو لم نقل بإحراز عدمه ؛ فإنّ يد المشتري على الثمن بعد العقد ، إنّما هي على مال الغير بإقرار منه ، وإنّما يحتمل تلقّيه منه بواسطة الفسخ ، وفي مثله ليست اليد معتبرة ، فهل ترى اعتناء العقلاء بيد المشتري بعد العقد الصحيح ، مع مطالبة البائع للثمن ، باحتمال وجود الخيار والفسخ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مع الغضّ عن دعواه التغيّر والخيار ، لكان لازمها انقلابه مدّعياً لو فرضنا كونه منكراً ؛ فإنّ دعوى تغيّر المبيع ، لازمها دعوى تلقّي الثمن من البائع ، وهذه الدعوى تهدم اليد ، لو فرضنا اعتبارها مع الغضّ عنها ، نظير ما إذا ادّعى صاحب اليد اشتراء المتاع من المدّعي ، فإنّ ذلك يوجب انقلاب المدّعي منكراً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استصحاب حال اليد على مال الغير أيضاً ، موجب لرفع اعتبارها على تأمّل فيه ، فدليل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إجراء استصحاب حال اليد ، </w:t>
      </w:r>
    </w:p>
    <w:p>
      <w:pPr>
        <w:pStyle w:val="BookText"/>
        <w:rPr/>
      </w:pPr>
      <w:r>
        <w:rPr>
          <w:rFonts w:ascii="Amiri" w:hAnsi="Amiri" w:eastAsia="Amiri" w:cs="Amiri"/>
          <w:color w:val="111111"/>
          <w:sz w:val="28"/>
          <w:sz w:val="28"/>
          <w:szCs w:val="28"/>
          <w:rtl w:val="true"/>
          <w:lang w:bidi="ar-SA"/>
        </w:rPr>
        <w:t xml:space="preserve">واستصحاب بقاء الثمن على ملك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 والأصل منقّح لموضوع دليلها ، فيحكم بلزوم تسليم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ذكر حال صورة العلم بالفسخ ، مع احتمال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الثمن بيد البائع ، بعد ما كان بيد المشتري عقيب العقد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التمسّك بأصالة بقاء سلطنته المطلقة على الثمن ، وحينئذٍ فلدعوى حكومة أصالة عدم سبب الخيار وجه ؛ لكون الشكّ في بقاء سلطنته ، مسبّباً عن الشكّ في ثبوت الخيار بسببه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 البائع أمارة على الملكية والسلطنة المطلقة ، ولازمها نفي سلطنة غيره بنحو الإطلاق ، فلا مجال لاستصحاب سلطنة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بعض أهل التحقيق قدّس سرّه ، حيث تشبّث في الصورة المتقدّمة ، بظهور يد المشتري في السلطنة المطلقة</w:t>
      </w:r>
      <w:r>
        <w:rPr>
          <w:rStyle w:val="FootnoteAnchor"/>
          <w:rtl w:val="true"/>
        </w:rPr>
        <w:footnoteReference w:id="1132"/>
      </w:r>
      <w:r>
        <w:rPr>
          <w:rFonts w:ascii="Amiri" w:hAnsi="Amiri" w:eastAsia="Amiri" w:cs="Amiri"/>
          <w:color w:val="111111"/>
          <w:sz w:val="28"/>
          <w:sz w:val="28"/>
          <w:szCs w:val="28"/>
          <w:rtl w:val="true"/>
          <w:lang w:bidi="ar-SA"/>
        </w:rPr>
        <w:t xml:space="preserve">، وأغفل في هذه الصورة يد البائع ، مع أنّ اعتبار يده لا خدشة فيه ظاهراً ، بخلاف يد المشتري كما مرّ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الخدشة في أصالة عدم سبب الخيار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نفي المسبّب بنفي سببه عقلي ، كوجوده بوجوده ولو فرض كون السبب مجعولاً شرعاً ، أو السببية كذلك ، أو فرض أنّ المجعول الشرعي ، هو الملازمة بين تخلّف الوصف مثلاً والخيار ؛ فإنّ نفي اللازم بنفي ملزومه ، أو نفي أحد المتلازمين بنفي الآخر عقلي ، وإن كان جعل اللزوم أو الملازمة شرعياً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كان في لسان الدليل ، جعل الحكم عقيب موضوع أو عقيب سبب ؛ بأن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العصير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تنقيح الموضوع بالأصل ، وسلب الحكم بسلب موضوعه ، على تأمّل في ذلك ، إلاّ إذا كان السلب أيضاً بحكم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اُحرز أو احتمل ، أن يكون التغيّر سبباً عند العقلاء للخيار ، وأنّ لتخلّف الشرط أو الوصف سببية لذلك ، لا يصحّ الاستصحاب إلاّ على القول بالأصل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اُحرز أنّ الخيار حكم ، مترتّب على تخلّف الوصف أو الشرط عند العقلاء ، وأ نّه الممضى عند الشارع الأقدس ،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أصالة عدم التخلّف؛ لسلب الخيار ، على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هو موضوع الحكم في ثبوت الخيار وسلبه ، إنّما هو السبب الحاصل في العقد وسلبه فيه ، لا سلبه بنحو السلب المطلق الأعمّ من سلب الموضوع ، أو سلب الظرف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موضوع الأثر ، ليست له حالة سابقة يقينية ؛ لعدم العلم بعدم التغيّر مثلاً في العقد ، وما هو معلوم لا أثر له ؛ فإنّ عدم تغيّر الموصوف عن صفته ، ليس موضوع الخيار ، ولا سببه ، واستصحاب العدم إلى زمان العقد ، لا يثبت كون سلب التغيّر في العقد ، أو كون المعقود عليه غير متغيّر ، إلاّ بالأصل المثبت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تقديم الأصل السببي على المسبّبي كلاماً ، تعرّضنا له في محلّه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بصحّته في بعض الموارد ، وعدمها في بعض</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bookmarkStart w:id="594" w:name="pg15209_204138"/>
    </w:p>
    <w:p>
      <w:pPr>
        <w:pStyle w:val="BookText"/>
        <w:rPr/>
      </w:pPr>
      <w:bookmarkEnd w:id="594"/>
      <w:r>
        <w:rPr>
          <w:rFonts w:ascii="Amiri" w:hAnsi="Amiri" w:eastAsia="Amiri" w:cs="Amiri"/>
          <w:color w:val="111111"/>
          <w:sz w:val="28"/>
          <w:sz w:val="28"/>
          <w:szCs w:val="28"/>
          <w:rtl w:val="true"/>
          <w:lang w:bidi="ar-SA"/>
        </w:rPr>
        <w:t xml:space="preserve">وممّا ذكرناه يظهر الكلام في الصورة الثالثة ، وهي ما إذا كان الثمن قبل العقد بيد البائع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سلطنة المشتري على التصرّفات المترتّبة على الملك ، قد انقطعت بالخروج عن ملكه ، وسلطنة اُخرى له مشكوكة الحدوث</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 التشبّث في تشخيص المدّعي ، بأصالة عدم السلطنة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بيد البائع في المقام ، أولى من الصورة الاُولى ، ومعها لا مجال للأصل الموافق أيضاً ، ولو نوقش في اليد هاهنا ، فالمناقشة فيها أولى منها </w:t>
      </w:r>
      <w:r>
        <w:rPr>
          <w:rStyle w:val="FootnoteAnchor"/>
          <w:rtl w:val="true"/>
        </w:rPr>
        <w:footnoteReference w:id="1135"/>
      </w:r>
      <w:r>
        <w:rPr>
          <w:rFonts w:ascii="Amiri" w:hAnsi="Amiri" w:eastAsia="Amiri" w:cs="Amiri"/>
          <w:color w:val="111111"/>
          <w:sz w:val="28"/>
          <w:sz w:val="28"/>
          <w:szCs w:val="28"/>
          <w:rtl w:val="true"/>
          <w:lang w:bidi="ar-SA"/>
        </w:rPr>
        <w:t xml:space="preserve">في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موضوع الأثر ، هو أصالة عدم السلطنة على الثمن ، وليست لها حالة سابقة ، وسلب السلطنة الصادق مع انتفاء عنوان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السلب العامّ لإثبات السلب الخاصّ بعد وجود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 هذا كلّه حال اليد </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2974715_2142443653"/>
      <w:bookmarkStart w:id="596" w:name="_Toc213"/>
      <w:bookmarkEnd w:id="595"/>
      <w:r>
        <w:rPr>
          <w:rtl w:val="true"/>
        </w:rPr>
        <w:t>كلام الشيخ وابن إدريس في وجه تقديم قول المشتري</w:t>
      </w:r>
      <w:bookmarkEnd w:id="596"/>
    </w:p>
    <w:p>
      <w:pPr>
        <w:pStyle w:val="BookText"/>
        <w:rPr/>
      </w:pPr>
      <w:r>
        <w:rPr>
          <w:rFonts w:ascii="Amiri" w:hAnsi="Amiri" w:eastAsia="Amiri" w:cs="Amiri"/>
          <w:color w:val="111111"/>
          <w:sz w:val="28"/>
          <w:sz w:val="28"/>
          <w:szCs w:val="28"/>
          <w:rtl w:val="true"/>
          <w:lang w:bidi="ar-SA"/>
        </w:rPr>
        <w:t xml:space="preserve">وأمّا ما عن الشيخ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المشتري هو الذي ينتزع منه الثمن ، ولا ينتزع منه إلاّ بإقراره ، أو ببيّنة تقوم عليه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الثمن سواء فرض جزئياً أم كلّياً ، صار بالعقد ملك البائع ، ولا يمنع المالك عن ملكه إلاّ بإقرار منه ، أو ببيّنة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النزاع قبل الفسخ ، يكون الثمن ملكه في الخارج ، </w:t>
      </w:r>
      <w:bookmarkStart w:id="597" w:name="pg15209_204139"/>
    </w:p>
    <w:p>
      <w:pPr>
        <w:pStyle w:val="BookText"/>
        <w:rPr/>
      </w:pPr>
      <w:bookmarkEnd w:id="597"/>
      <w:r>
        <w:rPr>
          <w:rFonts w:ascii="Amiri" w:hAnsi="Amiri" w:eastAsia="Amiri" w:cs="Amiri"/>
          <w:color w:val="111111"/>
          <w:sz w:val="28"/>
          <w:sz w:val="28"/>
          <w:szCs w:val="28"/>
          <w:rtl w:val="true"/>
          <w:lang w:bidi="ar-SA"/>
        </w:rPr>
        <w:t>أو على عهدة المشتري ، ومقتضى دليل سلطنة الناس على أموالهم</w:t>
      </w:r>
      <w:r>
        <w:rPr>
          <w:rStyle w:val="FootnoteAnchor"/>
          <w:rtl w:val="true"/>
        </w:rPr>
        <w:footnoteReference w:id="1137"/>
      </w:r>
      <w:r>
        <w:rPr>
          <w:rFonts w:ascii="Amiri" w:hAnsi="Amiri" w:eastAsia="Amiri" w:cs="Amiri"/>
          <w:color w:val="111111"/>
          <w:sz w:val="28"/>
          <w:sz w:val="28"/>
          <w:szCs w:val="28"/>
          <w:rtl w:val="true"/>
          <w:lang w:bidi="ar-SA"/>
        </w:rPr>
        <w:t xml:space="preserve">سلب سلطنة الغير ، ولزوم الردّ مع المطالبة ، وجواز الانتزاع منه ، وعدم جواز 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بعد الفسخ ، أو مع الشكّ فيه ، فإنّ استصحاب بقاء الثمن على ملكه ، يحرز موضوع دليل السلطنة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الثمن لا ينتزع من المشتري لا وجه له ، إلاّ أن يرجع إلى اليد ، وقد عرفت ما فيها </w:t>
      </w:r>
      <w:r>
        <w:rPr>
          <w:rStyle w:val="FootnoteAnchor"/>
          <w:rtl w:val="true"/>
        </w:rPr>
        <w:footnoteReference w:id="1138"/>
      </w:r>
      <w:r>
        <w:rPr>
          <w:rFonts w:ascii="Amiri" w:hAnsi="Amiri" w:eastAsia="Amiri" w:cs="Amiri"/>
          <w:color w:val="111111"/>
          <w:sz w:val="28"/>
          <w:sz w:val="28"/>
          <w:szCs w:val="28"/>
          <w:rtl w:val="true"/>
          <w:lang w:bidi="ar-SA"/>
        </w:rPr>
        <w:t xml:space="preserve">، مع أنّ الدليل حينئذٍ أخصّ ؛ لأنّ الثمن قلّما يتّفق أن يكون جزئياً خارجياً </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2974717_2142443653"/>
      <w:bookmarkStart w:id="599" w:name="_Toc214"/>
      <w:bookmarkEnd w:id="598"/>
      <w:r>
        <w:rPr>
          <w:rtl w:val="true"/>
        </w:rPr>
        <w:t>كلام العلاّمة في وجه تقديم قول المشتري</w:t>
      </w:r>
      <w:bookmarkEnd w:id="599"/>
    </w:p>
    <w:p>
      <w:pPr>
        <w:pStyle w:val="BookText"/>
        <w:rPr/>
      </w:pPr>
      <w:r>
        <w:rPr>
          <w:rFonts w:ascii="Amiri" w:hAnsi="Amiri" w:eastAsia="Amiri" w:cs="Amiri"/>
          <w:color w:val="111111"/>
          <w:sz w:val="28"/>
          <w:sz w:val="28"/>
          <w:szCs w:val="28"/>
          <w:rtl w:val="true"/>
          <w:lang w:bidi="ar-SA"/>
        </w:rPr>
        <w:t>ومنه يظهر الكلام في المحكيّ</w:t>
      </w:r>
      <w:r>
        <w:rPr>
          <w:rStyle w:val="FootnoteAnchor"/>
          <w:rtl w:val="true"/>
        </w:rPr>
        <w:footnoteReference w:id="1139"/>
      </w:r>
      <w:r>
        <w:rPr>
          <w:rFonts w:ascii="Amiri" w:hAnsi="Amiri" w:eastAsia="Amiri" w:cs="Amiri"/>
          <w:color w:val="111111"/>
          <w:sz w:val="28"/>
          <w:sz w:val="28"/>
          <w:szCs w:val="28"/>
          <w:rtl w:val="true"/>
          <w:lang w:bidi="ar-SA"/>
        </w:rPr>
        <w:t>عن العلاّمة قدّس سرّه ، حيث تشبّث ببراءة ذمّة المشتري من الثمن</w:t>
      </w:r>
      <w:r>
        <w:rPr>
          <w:rStyle w:val="FootnoteAnchor"/>
          <w:rtl w:val="true"/>
        </w:rPr>
        <w:footnoteReference w:id="1140"/>
      </w:r>
      <w:r>
        <w:rPr>
          <w:rFonts w:ascii="Amiri" w:hAnsi="Amiri" w:eastAsia="Amiri" w:cs="Amiri"/>
          <w:color w:val="111111"/>
          <w:sz w:val="28"/>
          <w:sz w:val="28"/>
          <w:szCs w:val="28"/>
          <w:rtl w:val="true"/>
          <w:lang w:bidi="ar-SA"/>
        </w:rPr>
        <w:t xml:space="preserve">، ومعلوم أنّ الظاهر منه هو الثمن الكلّي في الذمّة ؛ فإنّ الثمن بعد ما صار ملكاً للبائع ، واشتغلت ذمّة المشتري به ، لا بدّ من دفعه ولو مع الفسخ أو الشكّ فيه ، فالأصل مع البائع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قطع النظر عن الدعوى المحكيّة</w:t>
      </w:r>
      <w:r>
        <w:rPr>
          <w:rStyle w:val="FootnoteAnchor"/>
          <w:rtl w:val="true"/>
        </w:rPr>
        <w:footnoteReference w:id="1141"/>
      </w:r>
      <w:r>
        <w:rPr>
          <w:rFonts w:ascii="Amiri" w:hAnsi="Amiri" w:eastAsia="Amiri" w:cs="Amiri"/>
          <w:color w:val="111111"/>
          <w:sz w:val="28"/>
          <w:sz w:val="28"/>
          <w:szCs w:val="28"/>
          <w:rtl w:val="true"/>
          <w:lang w:bidi="ar-SA"/>
        </w:rPr>
        <w:t xml:space="preserve">عن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تسليم الثمن والمثمن في مدّة الخيار ، وإن سلّم الآخر</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المحكيّ عنه ، عدم خلاف في المسألة إلاّ من بعض الشافعية</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تأمّل ، وعلى فرض دعوى عدم الخلاف ، فلا يثبت بها ذلك ، ولا سيّما مع قول الشيخ الأعظم قدّس سرّه في أحكام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لهذا الحكم وجهاً معتمداً ، ولم أجد من عنونه وتعرّض لوجهه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دعوى العلاّمة قدّس سرّه ، هو الخيارات الزمانية ، كخيار المجلس والحيوان ، دون غيرها ، وهو موافق للقاعدة ؛ لأ نّه إذا كان الالتزام العقدي متزلزلاً ، فجميع آثار النقل تحت سلطنة ذي الخيار ، وفي تلك الخيارات ، حيث وصل حقّ ذي الخيار إليه ، تكون حقيقة الخيار عبارة عن كون أمر العقد بيد ذي الخيار ، فجميع آثاره تحت تصرّفه ، ومنها التسليم والتسلّم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سائر الخيارات ؛ فإنّ حقيقته فيها ، عبارة عن ثبوت حقّ استرداد ما لم يصل إلى ذي الخيار عوضه ، فالخيار ابتداءً لا يرجع إلى العقد ، بل ثانياً ، فقبل الفسخ لم يرد تخصيص على دليل السلطنة</w:t>
      </w:r>
      <w:r>
        <w:rPr>
          <w:rStyle w:val="FootnoteAnchor"/>
          <w:rtl w:val="true"/>
        </w:rPr>
        <w:footnoteReference w:id="1145"/>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فإنّ تزلزل الالتزام العقدي ، لا يكون معناه إلاّ ثبوت خيار الفسخ لذي الخيار ، ومجرّد ذلك لا يقتضي كون آثار النقل أو آثار العقد ، تحت تصرّفه ، فهل هذا إلاّ مجرّد دعوى لا مستند لها ؟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ذلك لو كان من مقتضيات تزلزله ، فهو موجود في جميع الخيارات ، من </w:t>
      </w:r>
    </w:p>
    <w:p>
      <w:pPr>
        <w:pStyle w:val="BookText"/>
        <w:rPr/>
      </w:pPr>
      <w:r>
        <w:rPr>
          <w:rFonts w:ascii="Amiri" w:hAnsi="Amiri" w:eastAsia="Amiri" w:cs="Amiri"/>
          <w:color w:val="111111"/>
          <w:sz w:val="28"/>
          <w:sz w:val="28"/>
          <w:szCs w:val="28"/>
          <w:rtl w:val="true"/>
          <w:lang w:bidi="ar-SA"/>
        </w:rPr>
        <w:t xml:space="preserve">غير فرق بين كونه بلا وسط أو معه ، إلاّ أن يدّعى أ نّه من مقتضيات تعلّق الحقّ بالعقد بلا وسط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بلا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ماهية الخيار في جميع أقسام الخيارات ، شيء واحد ، وهو ملك فسخ العقد ، أو ملك إقراره وإزالته ، وحقّ استرداد العين بلا وسط لا وجه له ، ومعه موجود في جميع الخيارات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ما أفاده ، ولا على ما عن العلاّمة قدّس سرّه ، ولا مخصّص لدليل سلطنة الناس على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الأعظم قدّس سرّه 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السلطنة في زمان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سلطنة البائع على أخذ الثمن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مدفع لهذا الوجه إلاّ أصالة عدم سبب الخيار لو تمّ</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أصالة عدم السلطنة ، فلا حالة سابقة لها بهذا العنوان الذي ذكره ، سواء كان الثمن جزئياً خارجياً ، أم كلّياً ؛ لأنّ المفروض أنّ الحكم ثابت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العناوين لا حقيقة لها قبل تحقّق البيع ، ومع تحقّقه يحتمل حصول السلطنة ؛ لاحتمال لزوم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موضوع الأثر ، هو عدم السلطنة على موضوع متحقّق ، فتكون القضيّة سالبة محصّلة محقّقة الموضوع ، لا السلب بسلب الموضوع ، ولا الأعمّ ، والسالبة المحقّقة الموضوع غير مسبوقة باليقين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السلب بسلب الموضوع أو الأعمّ ، فهو وإن كان مسبوقاً به ، لكن </w:t>
      </w:r>
    </w:p>
    <w:p>
      <w:pPr>
        <w:pStyle w:val="BookText"/>
        <w:rPr/>
      </w:pPr>
      <w:r>
        <w:rPr>
          <w:rFonts w:ascii="Amiri" w:hAnsi="Amiri" w:eastAsia="Amiri" w:cs="Amiri"/>
          <w:color w:val="111111"/>
          <w:sz w:val="28"/>
          <w:sz w:val="28"/>
          <w:szCs w:val="28"/>
          <w:rtl w:val="true"/>
          <w:lang w:bidi="ar-SA"/>
        </w:rPr>
        <w:t xml:space="preserve">استصحاب القضيّة السالبة بسلب الموضوع ؛ لإثبات الحكم لموضوع مفروض الوجود مثبت ، وكذا الحال في استصحاب السالبة الأعمّ لإثبات قسم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مفيد لا يكون مسبوقاً باليقين ، وما هو مسبوق به غير 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الثمن موجوداً في الخارج ، واُريد استصحاب عدم السلطنة على ذات الثمن قبل تحقّق البيع ؛ لإثبات عدم السلطنة على الثمن بعد تحقّقه ، فهو أيضاً مثبت ؛ لأ نّه استصحاب عنوان لإثبات الحكم لعنوان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سلب السلطنة قبل البيع ، موضوعه أو علّته مال الغير ، وهو قد ارتفع يقيناً برفع موضوعه أو علّته ، ويحتمل سلب السلطنة على الثمن مقارناً لارتفاعه ، فاستصحاب السلب المطلق ، من قبيل استصحاب القسم الثالث من الكلّي ، ومعلوم أنّ استصحاب المطلق ؛ لإثبات الحكم لقسم منه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سلب السلطنة عن النقد الخارجي بنحو الاستصحاب الشخصي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وإن كان على العناوين ، لكن بعد تحقّق المصداق خارجاً ينطبق عليه ، فالسلطنة المنفيّة عن مال الغير ، المتعلّقة بالعنوان ، تنطبق على الموجود الخارجي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الموجود مسلوبة عنه السلطنة ، ويحتمل عند تحقّق البيع ، بقاء هذا السلب بقيام علّة اُخرى مقام الاُولى ، فيستصحب عدم سلطنة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النقد ، الذي هو موضوع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كافٍ في تشخيص المدّعي ، وإن لم يرجع إلى كلام الشيخ قدّس سرّه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أيضاً محلّ إشكال في مثل المقام ؛ ممّا تعلّق فيه حكمان بموضوعين مختلفين ، فموضوع عدم السلطنة على مال الغير ، غير موضوع عدم السلطنة </w:t>
      </w:r>
    </w:p>
    <w:p>
      <w:pPr>
        <w:pStyle w:val="BookText"/>
        <w:rPr/>
      </w:pPr>
      <w:r>
        <w:rPr>
          <w:rFonts w:ascii="Amiri" w:hAnsi="Amiri" w:eastAsia="Amiri" w:cs="Amiri"/>
          <w:color w:val="111111"/>
          <w:sz w:val="28"/>
          <w:sz w:val="28"/>
          <w:szCs w:val="28"/>
          <w:rtl w:val="true"/>
          <w:lang w:bidi="ar-SA"/>
        </w:rPr>
        <w:t xml:space="preserve">على الثمن ، الذي هو مال نفسه إذا اشتراه ببيع خياري ، فلا يكون الحكمان متعلّقين بموضوع واحد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تبادل العلّة قد لا يوجب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يعقل أن يكون عدم السلطنة المتعلّقة بمال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لكون المال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بالعلّة التي صارت منشأً لعدم السلطنة على الثمن في البيع الخياري ، فلا مجال إلاّ لاستصحاب الكلّي ، وقد عرفت حاله ، فلا وجه لاستصحاب عدم السلطنة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عدم سبب الخيار ، التي جعلها الشيخ الأعظم قدّس سرّه مقدّمة على الأصل المتقدّم ، فإن كان المراد منها ما هو ظاهر كلامه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الإشكال الساري في الاُصول المتقدّمة ؛ من عدم الحالة السابقة المتيقّنة إن اُريد عدم السبب في البيع ، وكونها مثبتة إن اُريد إثبات عدمه في البيع من استصحاب السلب المطلق ، أو السلب بنفي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الشكّ في سلطنة البائع على أخذ الثمن ، مسبّب عن الشكّ في كون البيع خيارياً ، والشكّ فيه مسبّب عن الشكّ في ثبوت سبب الخيار ، فاستصحاب سلب السبب ؛ لرفع الشكّ عن المسبّب مع الواسطة ، غير صحيح ؛ لعدم ترتّب الحكم الشرعي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سلب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سبب الخيار ، بل هي مترتّبة على المسبّب منه ، واستصحاب سلب السبب ؛ لإثبات سلب المسبّب بلا وسط ، ثمّ لترتّب سلب المسبّب الثاني عليه مثبت ؛ لأنّ عدم المعلول بعدم علّته عقلي ، لا شرعي وإن كانت السببية شرعية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منها أصالة عدم تغيّر المبيع ، والظاهر من خلال كلماته فيما يأتي ، أنّ المقصود منها الأصل الشرعي ، لا الأصل العقلائي ، ولهذا جعل تقدّمه </w:t>
      </w:r>
      <w:bookmarkStart w:id="600" w:name="pg15209_204144"/>
    </w:p>
    <w:p>
      <w:pPr>
        <w:pStyle w:val="BookText"/>
        <w:rPr/>
      </w:pPr>
      <w:bookmarkEnd w:id="600"/>
      <w:r>
        <w:rPr>
          <w:rFonts w:ascii="Amiri" w:hAnsi="Amiri" w:eastAsia="Amiri" w:cs="Amiri"/>
          <w:color w:val="111111"/>
          <w:sz w:val="28"/>
          <w:sz w:val="28"/>
          <w:szCs w:val="28"/>
          <w:rtl w:val="true"/>
          <w:lang w:bidi="ar-SA"/>
        </w:rPr>
        <w:t>على بعض الاُصول الآتية لأجل السببية والمسبّبية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الأصل العقلائي ، أمارة مقدّمة على الاُصول السببية ، وليس تقدّمه على الاُصول لأجل السببية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أنّ أصالة عدم تغيّر المبيع لا أثر لها ؛ لأنّ حكم الخيار مترتّب على تخلّف الشرط الضمني ، أو تخلّف الوصف ، لا على التغيّر ، واستصحاب عدم التغيّر لإثبات عدم التخلّف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ورود الإشكال المشترك عليه أيضاً ؛ لعدم تيقّن عدم تغيّره في البيع ، وما هو المتيقّن ، لا يصلح لإثبات موضوع الأثر إلاّ بالأصل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جريان أصالة عدم تخلّف الشرط أو الوصف ، وعدم جريان أصالة عدم وقوع العقد على الموصوف أو المشروط ، وأصالة عدم الخيار ؛ لجريان الإشكال الساري 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عدم وقوع العقد على المشروط أو الموصوف ، لا يثبت عدم تخلّف الشرط أو الوصف ، والثاني موضوع الحكم ، لا سلب وقوع العقد عليه </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2974719_2142443653"/>
      <w:bookmarkStart w:id="602" w:name="_Toc215"/>
      <w:bookmarkEnd w:id="601"/>
      <w:r>
        <w:rPr>
          <w:rtl w:val="true"/>
        </w:rPr>
        <w:t>الوجه الثاني</w:t>
      </w:r>
      <w:r>
        <w:rPr>
          <w:rtl w:val="true"/>
        </w:rPr>
        <w:t xml:space="preserve">: </w:t>
      </w:r>
      <w:r>
        <w:rPr>
          <w:rtl w:val="true"/>
        </w:rPr>
        <w:t>تمسّك العلاّمة بأصالة عدم علم المشترى</w:t>
      </w:r>
      <w:r>
        <w:rPr>
          <w:rtl w:val="true"/>
        </w:rPr>
        <w:t>¨</w:t>
      </w:r>
      <w:bookmarkEnd w:id="60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ظهر حال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التشبّث بأصالة عدم علم المشتري بالمبيع على الوصف الموجود ، وأصالة عدم رضاه به</w:t>
      </w:r>
      <w:r>
        <w:rPr>
          <w:rStyle w:val="FootnoteAnchor"/>
          <w:rtl w:val="true"/>
        </w:rPr>
        <w:footnoteReference w:id="1148"/>
      </w:r>
      <w:r>
        <w:rPr>
          <w:rFonts w:ascii="Amiri" w:hAnsi="Amiri" w:eastAsia="Amiri" w:cs="Amiri"/>
          <w:color w:val="111111"/>
          <w:sz w:val="28"/>
          <w:sz w:val="28"/>
          <w:szCs w:val="28"/>
          <w:rtl w:val="true"/>
          <w:lang w:bidi="ar-SA"/>
        </w:rPr>
        <w:t xml:space="preserve">، وما أفاده الشيخ الأعظم قدّس سرّه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معارضتها بأصالة عدم علمه بوصف آخر ، ثمّ </w:t>
      </w:r>
    </w:p>
    <w:p>
      <w:pPr>
        <w:pStyle w:val="BookText"/>
        <w:rPr/>
      </w:pPr>
      <w:r>
        <w:rPr>
          <w:rFonts w:ascii="Amiri" w:hAnsi="Amiri" w:eastAsia="Amiri" w:cs="Amiri"/>
          <w:color w:val="111111"/>
          <w:sz w:val="28"/>
          <w:sz w:val="28"/>
          <w:szCs w:val="28"/>
          <w:rtl w:val="true"/>
          <w:lang w:bidi="ar-SA"/>
        </w:rPr>
        <w:t>التمسّك بأصالة عدم التغيّر ، وتحكيمها على الأصل المذكور</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مع ورود الإشكال المشترك المتقدّم على جميعها ؛ ضرورة أنّ السلوب المطلقة أو بانتفاء الموضوع ، لا أثر لها ، واستصحابها لإثبات السلب فيه مثبت كما تقدّم ، وبنحو السلب في البيع غير مسبوقة باليقين ، 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المشتري بالوصف الموجود أو المفقود وعدمه ، أو رضاه بهما وعدمه ، ليس موضوعاً لحكم في المقام ، وما هو موضوعه هو تخلّف الشرط وعدمه ، والاُصول المذكورة لا تثبت ذلك إلاّ بوسائط عقلية ، وهي من المثبتات الواضحة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التغيّر وعدمه ليس موضوعاً للحكم ، وأصالة عدمه لا أثر لها ، وما هو موضوعه لا يثبت بها ، كما يظهر وجهه ممّا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الشكّ في علم المشتري ، ليس مسبّباً عن وجود التغيّر وعدمه كما هو واضح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 نّه على فرض السببية ، لا وجه لتقدّمه على الأصل المسبّبي ، بعد عدم كونه منقّحاً لموضوع الدليل الشرعي ، حتّى يرتفع الشكّ عن المسبّب ببركته ، كما أشرنا إليه</w:t>
      </w:r>
      <w:r>
        <w:rPr>
          <w:rStyle w:val="FootnoteAnchor"/>
          <w:rtl w:val="true"/>
        </w:rPr>
        <w:footnoteReference w:id="1150"/>
      </w:r>
      <w:r>
        <w:rPr>
          <w:rFonts w:ascii="Amiri" w:hAnsi="Amiri" w:eastAsia="Amiri" w:cs="Amiri"/>
          <w:color w:val="111111"/>
          <w:sz w:val="28"/>
          <w:sz w:val="28"/>
          <w:szCs w:val="28"/>
          <w:rtl w:val="true"/>
          <w:lang w:bidi="ar-SA"/>
        </w:rPr>
        <w:t>وفصّلناه في محلّه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603" w:name="pg15209_204146"/>
    </w:p>
    <w:p>
      <w:pPr>
        <w:pStyle w:val="Heading6"/>
        <w:numPr>
          <w:ilvl w:val="5"/>
          <w:numId w:val="1"/>
        </w:numPr>
        <w:rPr/>
      </w:pPr>
      <w:bookmarkStart w:id="604" w:name="__RefHeading___Toc2974721_2142443653"/>
      <w:bookmarkStart w:id="605" w:name="_Toc216"/>
      <w:bookmarkEnd w:id="603"/>
      <w:bookmarkEnd w:id="604"/>
      <w:r>
        <w:rPr>
          <w:rtl w:val="true"/>
        </w:rPr>
        <w:t xml:space="preserve">الوجه الثالث </w:t>
      </w:r>
      <w:r>
        <w:rPr>
          <w:rtl w:val="true"/>
        </w:rPr>
        <w:t xml:space="preserve">: </w:t>
      </w:r>
      <w:r>
        <w:rPr>
          <w:rtl w:val="true"/>
        </w:rPr>
        <w:t>تمسّك المحقّق الثاني بأصالة عدم وصول الحقّ</w:t>
      </w:r>
      <w:bookmarkEnd w:id="605"/>
    </w:p>
    <w:p>
      <w:pPr>
        <w:pStyle w:val="Heading6"/>
        <w:numPr>
          <w:ilvl w:val="5"/>
          <w:numId w:val="1"/>
        </w:numPr>
        <w:rPr/>
      </w:pPr>
      <w:bookmarkStart w:id="606" w:name="__RefHeading___Toc2974723_2142443653"/>
      <w:bookmarkStart w:id="607" w:name="_Toc217"/>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وأمّا ما تمسّك به المحقّق الثاني قدّس سرّه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الأصل عدم وصول حقّه إليه</w:t>
      </w:r>
      <w:r>
        <w:rPr>
          <w:rStyle w:val="FootnoteAnchor"/>
          <w:rtl w:val="true"/>
        </w:rPr>
        <w:footnoteReference w:id="1152"/>
      </w:r>
      <w:r>
        <w:rPr>
          <w:rFonts w:ascii="Amiri" w:hAnsi="Amiri" w:eastAsia="Amiri" w:cs="Amiri"/>
          <w:color w:val="111111"/>
          <w:sz w:val="28"/>
          <w:sz w:val="28"/>
          <w:szCs w:val="28"/>
          <w:rtl w:val="true"/>
          <w:lang w:bidi="ar-SA"/>
        </w:rPr>
        <w:t xml:space="preserve">فقد أجاب عنه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المتيقّن من حقّه وصل إليه ، وما يحتمل عدم وصوله محتمل الثبوت ، وعليه إثباته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وتنظّر فيه بعض أهل النظر ، وأجاب عن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مشاهدة العين بما لها من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سمناً كان أو هزالاً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في صحّة البيع ، وأنّ متعلّق العقد مردّد بين السمينة والمهزولة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بالحمل الشائع ، هي العين بما لها من السمن ، أو بما لها من الهزال ، وكون الحقّ هي العين السمينة أو المهزولة مشكوك ، وعدم وصول كلّ منهما بعد العقد ، وقبل أداء العين متيقّن ، إلاّ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السمينة ، فهو غير واصل ، وإن كان المهزولة فهو واصل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فالمتيقّن عدمه مردّد بين ما هو واصل جزماً ، وما هو غير واصل جزماً ، وهما متباينان لا جامع بينهما ،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له ، فتبيّن أنّ أصالة عدم وصول حقّه إليه ، لا أصل لها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خلط بين الأوصاف التي تعتبر مشاهدتها في صحّة المعاملة ، وبين </w:t>
      </w:r>
      <w:bookmarkStart w:id="608" w:name="pg15209_204147"/>
    </w:p>
    <w:p>
      <w:pPr>
        <w:pStyle w:val="BookText"/>
        <w:rPr/>
      </w:pPr>
      <w:bookmarkEnd w:id="608"/>
      <w:r>
        <w:rPr>
          <w:rFonts w:ascii="Amiri" w:hAnsi="Amiri" w:eastAsia="Amiri" w:cs="Amiri"/>
          <w:color w:val="111111"/>
          <w:sz w:val="28"/>
          <w:sz w:val="28"/>
          <w:szCs w:val="28"/>
          <w:rtl w:val="true"/>
          <w:lang w:bidi="ar-SA"/>
        </w:rPr>
        <w:t xml:space="preserve">ما هي حقّ للمشتري ، فالعين بما لها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صفات كمال ، أو نقص ، كالهزال ، والشلل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تكون معلومة ؛ لرفع الجهالة والغرر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هي من قبيل الحقّ للمشتري ، ويقع النزاع بينه وبين البائع في تغيّرها وعدمه ، فهي صفات الكمال ، فلو باع عيناً مشاهدة ، بصفات كمال مبنيّاً عليها ، فتغيّرت بمقابلاتها من صفات النقص ، 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حقّ المشتري لم يصل إليه كملاً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شاهداها بصفات نقص ، ثمّ ظهر كونها بصفات الكمال ، لم يصحّ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وصول حقّ المشتري إليه ، بل لو كان خيار فهو للبائع ، لا للمشتري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حقّه مردّد بين ما هو واصل إليه جزماً ، وما هو غير واصل جزماً ، غير وجيه </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2974725_2142443653"/>
      <w:bookmarkStart w:id="610" w:name="_Toc218"/>
      <w:bookmarkEnd w:id="609"/>
      <w:r>
        <w:rPr>
          <w:rtl w:val="true"/>
        </w:rPr>
        <w:t>في ابتناء الشيخ الأعظم المسألة على بناء المتعاملين</w:t>
      </w:r>
      <w:bookmarkEnd w:id="610"/>
    </w:p>
    <w:p>
      <w:pPr>
        <w:pStyle w:val="BookText"/>
        <w:rPr/>
      </w:pPr>
      <w:r>
        <w:rPr>
          <w:rFonts w:ascii="Amiri" w:hAnsi="Amiri" w:eastAsia="Amiri" w:cs="Amiri"/>
          <w:color w:val="111111"/>
          <w:sz w:val="28"/>
          <w:sz w:val="28"/>
          <w:szCs w:val="28"/>
          <w:rtl w:val="true"/>
          <w:lang w:bidi="ar-SA"/>
        </w:rPr>
        <w:t xml:space="preserve">وأمّا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بناء المسألة على أنّ بناء المتبايعين حين العقد ، على الأوصاف الملحوظة حين المشاهدة ، هل هو كاشتراطها في العقد ، أو أ نّها مأخوذة في نفس المعقود عليه ، فيكون المعقود عليه هو الشيء المقيّد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النزاع في التغيّر ، إلى النزاع في اشتراط خلاف هذا الوصف الموجود على البائع ، والأصل 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 أنّ العقد وقع على الشيء الملحوظ فيه الوصف المفقود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تنظّر 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البناء في حكم الاشتراط من حيث ثبوت الخيار ، وليس شيئاً مستقلاًّ حتّى يدفع بالأصل ، فهو قيد ملحوظ في المعقود عليه ، فيرجع النزاع إلى وقوع العقد على ما ينطبق على الشيء الموجود ، حتّى يلزم الوفاء وعدمه ، والأصل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بأصالة عدم وقوع العقد على العين المقيّدة بالوصف المفقود، ليثبت الجواز ؛ فإنّ عدم وقوعه على العين المقيّدة ، لا يثبت جواز العقد الواقع ، إلاّ بعد إثبات وقوعه على غير المقيّدة؛ بأصالة عدم وقوعه على المقيّدة،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النزاع إلى وقوع العقد والتراضي على الشيء المطلق ؛ بحيث يشمل الموصوف بهذا الوصف الموجود وعدمه ، والأصل مع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بأصالة عدم وقوعه على الموصوف بالصفة المفقودة ؛ فإنّه لا يلزم من عدم تعلّقه بذاك تعلّقه بهذا ، حتّى يلزم على المشتري الوفاء به ، وقد قرّر أنّ نفي أحد الضدّين بالأصل ، لا يثبت الضدّ الآخر</w:t>
      </w:r>
      <w:r>
        <w:rPr>
          <w:rStyle w:val="FootnoteAnchor"/>
          <w:rtl w:val="true"/>
        </w:rPr>
        <w:footnoteReference w:id="1155"/>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مواقع للنظر ، نذكر مهمّاتها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تسليمه جريان أصالة عدم الاشتراط ، إن كان شيئاً مستقلاًّ ، فهو منظور فيه ؛ لأنّ عدم الاشتراط مطلقاً ، ليس موضوعاً للحكم ، واستصحابه لإثبات عدمه في العقد عند وجوده مثبت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المستقلّ ، عبارة عمّا ذكر في العقد ، مقابل غيره ، وهو الذي وقع العقد مبنيّاً عليه ، ولمّا كان ذكر الشرط بعد إيجاب العقد ، فمع إيجابه ، يتحقّق آن وجد الإيجاب فيه ولم يوجد الشرط في ضمنه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وقوع الشرط في ضمنه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الشرط بعد الإيجاب ، وعدم وقوعه بعده ، لا أثر له ، ولا ينفي موضوع الأثر ؛ لأنّ الإيجاب بنفسه ليس بيعاً عندهم ، بل يصير بيعاً بعد ضمّ القبول إليه</w:t>
      </w:r>
      <w:r>
        <w:rPr>
          <w:rStyle w:val="FootnoteAnchor"/>
          <w:rtl w:val="true"/>
        </w:rPr>
        <w:footnoteReference w:id="1156"/>
      </w:r>
      <w:r>
        <w:rPr>
          <w:rFonts w:ascii="Amiri" w:hAnsi="Amiri" w:eastAsia="Amiri" w:cs="Amiri"/>
          <w:color w:val="111111"/>
          <w:sz w:val="28"/>
          <w:sz w:val="28"/>
          <w:szCs w:val="28"/>
          <w:rtl w:val="true"/>
          <w:lang w:bidi="ar-SA"/>
        </w:rPr>
        <w:t xml:space="preserve">، وأصالة عدم الاشتراط بعد الإيجاب ؛ لإثبات عدمه في ضمن العقد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تحقّق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أصالة عدم الاشتراط بعد الإيجاب ، وأصالة عدم تحقّق قبول الشرط تلو قبول الإيجاب ؛ لإثبات عدم الاشتراط في البيع أيضاً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قبول الشرط ليس أمراً مستقلاًّ ، بل إذا قال بعد الإيجاب الذي يكون الشرط في ضمنه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البيع والشرط ، فعليه لا وجه لأصالة عدم قبول الشرط تلو قبول الإيجاب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مبنى القوم ؛ من أنّ البيع مركّب من الإيجاب والقبول ، وأمّا على ما بنيت عليه ؛ من أنّ تمام ماهية البيع منشأ بالإيجاب ، وإنّما القبول بمنزلة الإجازة في عقد الفضولي</w:t>
      </w:r>
      <w:r>
        <w:rPr>
          <w:rStyle w:val="FootnoteAnchor"/>
          <w:rtl w:val="true"/>
        </w:rPr>
        <w:footnoteReference w:id="1157"/>
      </w:r>
      <w:r>
        <w:rPr>
          <w:rFonts w:ascii="Amiri" w:hAnsi="Amiri" w:eastAsia="Amiri" w:cs="Amiri"/>
          <w:color w:val="111111"/>
          <w:sz w:val="28"/>
          <w:sz w:val="28"/>
          <w:szCs w:val="28"/>
          <w:rtl w:val="true"/>
          <w:lang w:bidi="ar-SA"/>
        </w:rPr>
        <w:t xml:space="preserve">، فيمكن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البيع وجد بلا شرط ، ثمّ احتمل لحوق الشرط به ، وكونه في ضمنه ، والأصل عدمه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تمام ماهية البيع هو الإيجاب ، لكن لا يترتّب على تلك الماهية أثر ، إلاّ مع ضمّ القبول إليه ، فالنقل الإنشائي حصل بفعل الموجب ، كالنقل الإنشائي في الفضولي ، لكنّ الأثر مترتّب على النقل الحقيقي ، والشرط المؤثّر الذي هو موضوع الأثر ، هو الذي وقع تلو العقد الواقعي المؤثّر ، لا تلو الإيجاب فقط وإن لم يكن ناقلاً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وأصالة عدم الاشتراط في البيع غير المؤثّر ؛ لإثبات عدم وقوعه في البيع المؤثّر المشروط بالقبول ، أيضاً مثبتة ، ومعلوم أنّ الاُصول النافية يعتبر فيها أن تكون نافية لموضوع ذي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 أنّ العقد وقع على الشيء الملحوظ فيه الوصف المفقود، منظور فيه ؛ فإنّ عدم وقوع العقد على الشيء المذكور ، لا أثر له بوجه ، وليس نفياً لموضوع الأثر ؛ فإنّه سلب مطلق ، غير نافٍ لموضوع الأثر ، واستصحابه إلى زمان وقوع العقد على العين ؛ لإثبات عدم الاشتراط في العقد ، مثبت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بنائه على جريان أصالة عدم وقوعه على الشيء الملحوظ فيه الوصف المفقود ، لا وجه للنظر فيه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 ليس شيئاً مستقلاًّ حتّى يدفع بالأصل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إشكال في حصول قيد في العقد المبنيّ على الصفات المشاهدة ، وإن لم يكن موجوداً مستقلاًّ في ضمن العقد ، لكن بعد جريان الأصل المذكور ، يكون مجرى الأصل عدم وقوع العقد الكذائي ، فلا ينبغي الفرق بين الشرط المستقلّ وغيره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نفي الشرط المستقلّ في العقد ، بنى على كون الوصف قيداً في المعقود عليه ، مع أنّ مقابل استقلال الشرط في العقد ، عدم استقلاله فيه ، فسلب استقلاله لا ينتج كونه قيداً في المعقود عليه ؛ لإمكان كونه شرطاً غير مستقلّ في العقد ، لا قيداً في المعقود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ابتناء المسألة على ما ذكره ، غير وجيه على مبناه في جريان الأصل ؛ لأ نّه مع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 القيد إلى المعقود عليه ، يمكن إجراء أصالة عدم القيد المذكور ، أو أصالة عدم تقيّد المعقود عليه ، أو أصالة عدم وقوع العقد على المعقود عليه مع القيد الملحوظ ، أو أصالة عدم كون الوصف مبنيّاً عليه ، فتكون الاُصول مع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الاُصول وإن كانت غير أصيلة عندنا ، لكن اتّكل هو على نظائرها ، فما الفرق بين أصالة عدم وقوع العقد على الشيء الملحوظ فيه الوصف المفقود ؛ لجعل الأصل مع البائع ، وبين أصالة عدم وقوع العقد على المعقود عليه ، المتقيّد بالوصف المفقود ؛ لذلك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الاستقلال في جريان الأصل غير مسموعة ، بل كلّ قيد اعتباري أو ملحوظ يكون موضوع الأثر ، تجري أصالة عدمه لرفعه ، فالتفصيل المذكور غير ظاهر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وقوع العقد على ما ينطبق على الشيء الموجود ، لو أراد بها ما هي ظاهرة فيه ، أو موهمة له ؛ من وقوع العقد على عنوان متقيّد ؛ بحيث لا ينطبق على الخارج ، ولا يكون للمعقود عليه تحقّق ، ولازمه البطلان ؛ لعدم وجود ركن المعاملة ، 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الانطباق واللا انطباق شأن </w:t>
      </w:r>
    </w:p>
    <w:p>
      <w:pPr>
        <w:pStyle w:val="BookText"/>
        <w:rPr/>
      </w:pPr>
      <w:r>
        <w:rPr>
          <w:rFonts w:ascii="Amiri" w:hAnsi="Amiri" w:eastAsia="Amiri" w:cs="Amiri"/>
          <w:color w:val="111111"/>
          <w:sz w:val="28"/>
          <w:sz w:val="28"/>
          <w:szCs w:val="28"/>
          <w:rtl w:val="true"/>
          <w:lang w:bidi="ar-SA"/>
        </w:rPr>
        <w:t xml:space="preserve">الكلّيات ، والكلام في الجزئي الخارجي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وقوعه على العنوان ، لا يثبت عدم وقوعه على المعنون إلاّ بالأصل المثبت ، والنزاع إنّما هو في المعنون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النزاع إذا وقع في الصحّة وعدمها ، تكون أصالة الصحّة مقدّمة على الاُصول المذكورة ، بناءً على جريانها في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عدم إرادته ذلك ، بل أراد بها ، أصالة عدم وقوع العقد على المعقود عليه ، المتقيّد بالوصف الموجود ، فلا يكون المشتري ملزماً بالوفاء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وقوع العقد الكذائي بنحو السلب المطلق ، أو السالبة بانتفاء الموضوع، لا يثبت عدم وجوب الوفاء بالعقد الخاصّ إلاّ بالأصل المثبت، والعدم بنحو الرابط ليس مسبوقاً باليقين، وبالجملة يرد عليه الإشكال المشترك</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أورد على أصالة عدم وقوع العقد على العين ، المقيّدة بالوصف المفقود ؛ لإثبات وقوع العقد على العين غير المقيّدة ، وكذا ما أورد عليها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لا يلزم من عدم تعلّقه بذاك تعلّقه بهذا ، حتّى يلزم</w:t>
      </w:r>
    </w:p>
    <w:p>
      <w:pPr>
        <w:pStyle w:val="BookText"/>
        <w:rPr/>
      </w:pPr>
      <w:r>
        <w:rPr>
          <w:rFonts w:ascii="Amiri" w:hAnsi="Amiri" w:eastAsia="Amiri" w:cs="Amiri"/>
          <w:color w:val="111111"/>
          <w:sz w:val="28"/>
          <w:sz w:val="28"/>
          <w:szCs w:val="28"/>
          <w:rtl w:val="true"/>
          <w:lang w:bidi="ar-SA"/>
        </w:rPr>
        <w:t xml:space="preserve">على المشتري الوفاء به ؛ فإنّ نفي أحد الضدّين بالأصل ، لا يثبت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على الاُصول التي تمسّك بها ؛ أي أصالة عدم وقوع العقد على ما ينطبق على الشيء الموجود ، لنفي لزوم العقد ، أو لزوم الوفاء به على المشتري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وأصالة عدم وقوع العقد والتراضي على الشيء المطلق ؛ بحيث يشمل الموصوف بالوصف الموجود ، لنفي لزوم الوفاء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أصالة عدم وقوع العقد على الشيء الموصوف بالوصف الموجود ؛ لنفي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المستعملة في نقيض وقوع العقد ؛ لإثبات نفي لزوم العقد ، أو لزوم وفاء المشتري بالعقد ؛ لأنّ اللازم في إثبات نفي لزوم الوفاء بالعقد الواقع ، إثبات أنّ العقد وقع على ما لا ينطبق على الوصف الموجود ، وإثبات ذلك بأصالة عدم وقوعه على ما ينطبق ،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نقيض وقوع العقد على الشيء الخاصّ بخصوصيته ، رفعه الذي هو أعمّ من رفع الخصوصية ، ومن رفع أصل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وقوع العقد على ما ينطبق على الشيء الموجود ، هو رفعه الأعمّ من رفع العقد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الرفع المطلق الصادق على رفع العقد ، وعلى رفع الشيء ، وعلى رفع الخصوصية ، واستصحاب المطلق لإثبات قسم منه مثبت ، نظير استصحاب الحيوان الكلّي لإثبات فرد منه ، إذا علم انحصاره بالفرد ، فكما أنّ استصحاب الأمر الوجودي المطلق أو الكلّي ؛ لإثبات قسم منه مثبت ، كذلك استصحاب الأمر العدمي المطلق ؛ لإثبات قسم منه ، كاستصحاب الأعدام المطلقة المذكورة ؛ لإثبات عدم وجوب الوفاء بالعقد الواقع بين المتعاملين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صحّ استصحاب عدم وقوع العقد على ما ينطبق على الشيء الموجود ؛ لنفي لزوم الوفاء به ، صحّ استصحاب عدم وقوع العقد على الشيء بالوصف المفقود؛ لنفي الخيار، لولم يكن الثاني أهون، لكنّهما غير جاريين كما مرّ مراراً</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bookmarkStart w:id="611" w:name="pg15209_204154"/>
    </w:p>
    <w:p>
      <w:pPr>
        <w:pStyle w:val="BookText"/>
        <w:rPr/>
      </w:pPr>
      <w:bookmarkEnd w:id="611"/>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يرجع النزاع إلى وقوع العقد والتراضي على الشيء المطلق ؛ بحيث يشمل الوصف الموجود، غير متّضح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ما هو ظاهره ، فلا إشكال في عدم رجوع نزاعهما إليه ؛ لأنّ النزاع بعد التسالم على كون العقد مبنيّاً على وصف خاصّ ملحوظ ، إنّما هو في تغيّر الوصف المشاهد وعدمه ، وهو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سلف في أوّل البحث</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الملحوظ هذا الوصف الموجود ، أو وصفاً آخر صار مفقوداً ، لا في وقوع العقد على المطلق وعدمه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استصحاب نفي العقد على المطلق ؛ لإثبات نفي الخاصّ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بالمطلق ما لم يقيّد بالقيد المفقود ، وإن كان مقيّداً بالموجود ، ومراده منه استصحاب عدم تعلّق العقد بالوصف الموجود ، فمع ما في تعبيره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ما تقدّم</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2" w:name="__RefHeading___Toc2974727_2142443653"/>
      <w:bookmarkStart w:id="613" w:name="_Toc219"/>
      <w:bookmarkEnd w:id="612"/>
      <w:r>
        <w:rPr>
          <w:rtl w:val="true"/>
        </w:rPr>
        <w:t>فيما ذكره الشيخ الأعظم من فساد التمسّك بأصالة اللزوم</w:t>
      </w:r>
      <w:bookmarkEnd w:id="613"/>
    </w:p>
    <w:p>
      <w:pPr>
        <w:pStyle w:val="BookText"/>
        <w:rPr/>
      </w:pPr>
      <w:r>
        <w:rPr>
          <w:rFonts w:ascii="Amiri" w:hAnsi="Amiri" w:eastAsia="Amiri" w:cs="Amiri"/>
          <w:color w:val="111111"/>
          <w:sz w:val="28"/>
          <w:sz w:val="28"/>
          <w:szCs w:val="28"/>
          <w:rtl w:val="true"/>
          <w:lang w:bidi="ar-SA"/>
        </w:rPr>
        <w:t xml:space="preserve">ثمّ قال رحمه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ظهر فساد التمسّك بأصالة اللزوم ؛ لأنّ الشكّ فيه من حيث الشكّ في متعلّق العقد ، فأصالة عدم تعلّقه بهذا الموجود ، وارد على أصالة اللزوم</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على أصالة عدم تعلّقه بالوصف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أصل عدم تقييد العقد </w:t>
      </w:r>
    </w:p>
    <w:p>
      <w:pPr>
        <w:pStyle w:val="BookText"/>
        <w:rPr/>
      </w:pPr>
      <w:r>
        <w:rPr>
          <w:rFonts w:ascii="Amiri" w:hAnsi="Amiri" w:eastAsia="Amiri" w:cs="Amiri"/>
          <w:color w:val="111111"/>
          <w:sz w:val="28"/>
          <w:sz w:val="28"/>
          <w:szCs w:val="28"/>
          <w:rtl w:val="true"/>
          <w:lang w:bidi="ar-SA"/>
        </w:rPr>
        <w:t>بالوصف المفقود ، وأخذه فيه ، نافع غير جارٍ ؛ لعدم الحالة السابقة ، وعدم وقوعه على الموصوف ، جارٍ غير نافع ، نظير الشكّ في كون الماء المخلوق دفعة كرّاً ؛ فإنّ أصالة عدم كرّيته غير جارية ، وأصالة عدم وجود الكرّ غير نافعة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 من أنّ أصالة عدم تعلّق العقد بهذا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نعت السلب المطلق ، الصادق مع 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غير نافعة ، وأصالة عدم تعلّق العقد المتحقّق به غير جارية ؛ لعدم الحالة السابقة</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جلّ الاُصول المتقدّمة ، ما يرد على الاستصحاب في الماء المخلوق دفعة لو شكّ في كرّيته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أنّ أصالة اللزوم بهذا العنوان ، ليست أصلاً بوجه ، بل هي أمر منتزع من العمومات التي اُستفيد منها اللزوم ، أو من استصحاب بقاء العقد إلى ما بعد الفسخ المنقّح لموضوع دليل وجوب الوفاء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الشكّ في لزوم العقد المقابل للجواز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خيارياً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عن الشكّ في تحقّق سبب الخيار ؛ أي تخلّف الوصف أو الشرط الضمني ؛ ضرورة أنّ ما يتصوّر هنا من الخيار هو ذلك ، وتعلّق العقد بهذا الموجود ، لا يثبت اللزوم بلا وسط ، ولا يكون موضوعاً للّزوم بنفسه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ثبوت اللزوم به ؛ بواسطة الكشف عن أنّ العقد ، لم يتعلّق بالوصف المفقود ، ولازمه عدم تخلّف الوصف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أنّ العقد لازم أم لا ، مسبّب عن الشكّ في سبب الخيار ؛ أي تخلّف الوصف ، والشكّ في تخلّفه وعدمه مسبّب عن الشكّ في تعلّقه بالموصوف بهذا الوصف الموجود ، أو بوصف آخر مفقود ، وتعلّقه بالموصوف بهذا الموجود ، لازمه العقلي عدم تخلّف الشرط أو الوصف ، هذا في طرف الثبوت والتعلّق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جانب النفي ؛ أي عدم تعلّق العقد بالموصوف بهذا الوصف الموجود ، الذي هو مورد البحث ، فلازمه التعلّق بالموصوف بوصف آخر ؛ للعلم الإجمالي بأ نّه إمّا تعلّق بهذا ، أو بذاك ، ولازمه العقلي تخلّف الوصف ؛ للعلم بأنّ المتعلّق صار مفقوداً ، والخيار حكم متعلّق بتخلّف الوصف ، فاستصحاب عدم التعلّق بهذا لإثبات التعلّق بغيره وإثبات التخلّف لأجل فقده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تعلّقه بالموصوف بالوصف الموجود ، نافية لموضوع الحكم</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فاسد ؛ لما عرفت من أنّ التعلّق بهذا ، ليس موضوع اللزوم المقابل للخيار ، بل كاشف عن الموضوع بواسطة ، لو لم نقل بواسطتين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 يظهر حال وروده على استصحاب بقاء العقد إلى ما بعد الفسخ ، الذي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الشكّ في بقائه ، ناشئ عن الشكّ في تأثير الفسخ ، وهو ناشئ عن الشكّ في كون العقد خيارياً ، وأصالة عدم تعلّق العقد بالموصوف بالوصف الموجود ، لا تصلح لرفع الشكّ الذي هو موضوع </w:t>
      </w:r>
      <w:bookmarkStart w:id="614" w:name="pg15209_204157"/>
    </w:p>
    <w:p>
      <w:pPr>
        <w:pStyle w:val="BookText"/>
        <w:rPr/>
      </w:pPr>
      <w:bookmarkEnd w:id="614"/>
      <w:r>
        <w:rPr>
          <w:rFonts w:ascii="Amiri" w:hAnsi="Amiri" w:eastAsia="Amiri" w:cs="Amiri"/>
          <w:color w:val="111111"/>
          <w:sz w:val="28"/>
          <w:sz w:val="28"/>
          <w:szCs w:val="28"/>
          <w:rtl w:val="true"/>
          <w:lang w:bidi="ar-SA"/>
        </w:rPr>
        <w:t xml:space="preserve">للأصل المذكور ؛ لما عرفت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فأصالة بقاء العقد ، أصل بلا معارض ، منقّح لموضوع الأدلّة العامّة ، فالقول قول البائع </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2974729_2142443653"/>
      <w:bookmarkStart w:id="616" w:name="_Toc220"/>
      <w:bookmarkEnd w:id="615"/>
      <w:r>
        <w:rPr>
          <w:rtl w:val="true"/>
        </w:rPr>
        <w:t>ما ذكره الشيخ الأعظم من فساد التمسّك بالعمومات لإثبات لزوم العقد</w:t>
      </w:r>
      <w:bookmarkEnd w:id="616"/>
    </w:p>
    <w:p>
      <w:pPr>
        <w:pStyle w:val="BookText"/>
        <w:rPr/>
      </w:pPr>
      <w:r>
        <w:rPr>
          <w:rFonts w:ascii="Amiri" w:hAnsi="Amiri" w:eastAsia="Amiri" w:cs="Amiri"/>
          <w:color w:val="111111"/>
          <w:sz w:val="28"/>
          <w:sz w:val="28"/>
          <w:szCs w:val="28"/>
          <w:rtl w:val="true"/>
          <w:lang w:bidi="ar-SA"/>
        </w:rPr>
        <w:t xml:space="preserve">وأمّا ما أفاده قدّس سرّه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التمسّك بأدلّة حرمة أكل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وعدم حلّ مال امرئ مسلم إلاّ بطيب نفسه</w:t>
      </w:r>
      <w:r>
        <w:rPr>
          <w:rStyle w:val="FootnoteAnchor"/>
          <w:rtl w:val="true"/>
        </w:rPr>
        <w:footnoteReference w:id="116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1168"/>
      </w:r>
      <w:r>
        <w:rPr>
          <w:rFonts w:ascii="Amiri" w:hAnsi="Amiri" w:eastAsia="Amiri" w:cs="Amiri"/>
          <w:color w:val="111111"/>
          <w:sz w:val="28"/>
          <w:sz w:val="28"/>
          <w:szCs w:val="28"/>
          <w:rtl w:val="true"/>
          <w:lang w:bidi="ar-SA"/>
        </w:rPr>
        <w:t xml:space="preserve">للزوم العقد ؛ لأ نّها مخصّصة بأدلّة الخيار ، وقد خرج عنها المال الذي لم يدفع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وقعت المعاوضة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المشتري ، فإذا شكّ في ذلك فالأصل عدم 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تقدّم من أصالة عدم وصول حقّ المشتري إليه ، وبها يثبت موضوع خيار التخلّف</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مواقع للنظر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التخصيص بأدلّة الخيار ، إنّما وقع على لزوم العقد المستفاد من الأدلّة المذكورة بلوازمها ، أو لوازم لوازمها ؛ فإنّ لازم عدم حلّية تملّك المال </w:t>
      </w:r>
    </w:p>
    <w:p>
      <w:pPr>
        <w:pStyle w:val="BookText"/>
        <w:rPr/>
      </w:pPr>
      <w:r>
        <w:rPr>
          <w:rFonts w:ascii="Amiri" w:hAnsi="Amiri" w:eastAsia="Amiri" w:cs="Amiri"/>
          <w:color w:val="111111"/>
          <w:sz w:val="28"/>
          <w:sz w:val="28"/>
          <w:szCs w:val="28"/>
          <w:rtl w:val="true"/>
          <w:lang w:bidi="ar-SA"/>
        </w:rPr>
        <w:t xml:space="preserve">بالفسخ ، عدم سببية الفسخ لحلّ العقد ، ولازم ذلك لزوم العقد ، ودليل الخيار يخصّص 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الخيارات المجعولة شرعاً ، كخيار المجلس ، والحيوان ، أو الخيارات العقلائية كما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تخصيصه سببية الفسخ لحلّ العقد ، ولازم ذلك حلّية تملّك المال بالفسخ ، فلازم لازم تخصيص لزوم العقد بالخيار ، تخصيص لا يحلّ تملّك مال الغير ، بالنسبة إلى المال الذي كان العقد عليه خيارياً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فأصالة عدم دفع العوض ، لا تصلح لتنقيح موضوع المخصّص ، ومع عدم ثبوت المخصّص ، يبقى العامّ على عمومه ، ومعه لا يثبت خيار التخلّف ، فالأصل المذكور غير صالح لإثبات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مع عدم تنقيح موضوع المخصّص ، حاكم على أصالة عدم الخيار ، فضلاً عن أصالة عدم دفع العوض ، اللازم منها عدم الخيار ، فتدبّر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ليس في دفع العوض ، إلاّ إذا كان التقييد بنحو يجعل المتقيّد ، مبايناً للمطلق ولمقيّد آخر ، ومعه يكون البيع مردّداً بين الباطل والصحيح ، وخيارية البيع إنّما هي بعد الفراغ عن الصحّة ، فلا معنى لتخصيص أدلّة الخيار على هذا الفرض ، أو كان الوصف جزء العوض ، فيكون الخيار خيار التبعّض ، لا تخلّف الوصف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المفروض أنّ الخيار لتخلّف الوصف ؛ ضرورة أ نّه مع إسقاط الخيار ، يصحّ البيع ، ولا يقسّط الثمن ، فلا محالة يكون العوض هو الذات ، والوصف أمر خارج عن العوضية ، فحينئذٍ لا شكّ في وصول العوض إليه ، وإنّما الشكّ في </w:t>
      </w:r>
    </w:p>
    <w:p>
      <w:pPr>
        <w:pStyle w:val="BookText"/>
        <w:rPr/>
      </w:pPr>
      <w:r>
        <w:rPr>
          <w:rFonts w:ascii="Amiri" w:hAnsi="Amiri" w:eastAsia="Amiri" w:cs="Amiri"/>
          <w:color w:val="111111"/>
          <w:sz w:val="28"/>
          <w:sz w:val="28"/>
          <w:szCs w:val="28"/>
          <w:rtl w:val="true"/>
          <w:lang w:bidi="ar-SA"/>
        </w:rPr>
        <w:t xml:space="preserve">اعتبار أمر زائد يوجب الخيار ، ولا أصل لإثباته ، كما تقدّم منه رحمه الله عليه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الغضّ عنه ، فالأمر دائر بين المقطوع وصوله ، والمقطوع عدمه ؛ للتردّد بين وقوع العقد على الموصوف بالموجود ، أو بالمفقود ، واستصحاب عدم وصول العوض الجامع بينهما ، ليس موضوعاً للأثر بنفسه ، وإثبات القسم المؤثّر باستصحابه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أصالة عدم دفع العوض ، إنّما تجري فيما إذا كان العوض بعد البيع بيد البائع ، فلو وقع البيع معاطاة ، أو كان العوض قبل العقد بيد المشتري ، لا يجري الأصل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دفع العوض ، ليس موضوعاً لثبوت الخيار ، وإنّما موضوعه تخلّف الوصف الذي وقع عليه العقد، سواء دفع البائع العوض إلى المشتري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فالخيار ثابت للمشتري ، بمجرّد وقوع العقد مبنيّاً على وصف ، لم يكن الشيء موصوفاً به ، فعدم دفعه لا يثبت تخلّف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وصول العوض ، غير أصالة عدم وصول الحقّ ؛ فإنّ الحقّ أعمّ من العوض ، والأمر سهل بعد عدم جريان شيء منهما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الخيار ، ليس ما أفاده الشيخ قدّس سرّه بعبارات مختلفة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لم يدفع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وقعت المعاوضة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المشتري</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العين الخارجية منطبقة على ما وقع عليه العقد</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وفاء البائع بالعقد بدفع العنوان الذي وقع العقد عليه إلى المشتري</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تمام الموضوع للخيار العقلائي في المقام ، تخلّف الوصف الذي كان العقد مبنيّاً عليه ، أو فقدان الوصف الكذائي ، من غير دخالة لدفع العوض وعدمه ، ولا للعناوين المذكورة ، إلاّ أن ترجع إلى ما ذكرناه ، ومعه لا يمكن أن يحرز بشيء منها موضوع الخيار ؛ أي تخلّف الوصف المبنيّ عليه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موضوعه ، ليس المال الذي وقعت المعاوضة بينه وبين ما لا ينطبق على المدفوع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الاُصول المذكورة بين ما لا تجري ، وبين ما لا تفيد ، فالاُصول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أصالة بقاء العقد بعد الفسخ ، وأصالة بقاء سلطنة البائع على الثمن ، وأصالة كون الثمن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 وهي محرزة لموضوع الأدلّة العامّة ، ولا دافع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مرّ مراراً </w:t>
      </w:r>
      <w:r>
        <w:rPr>
          <w:rStyle w:val="FootnoteAnchor"/>
          <w:rtl w:val="true"/>
        </w:rPr>
        <w:footnoteReference w:id="1174"/>
      </w:r>
      <w:r>
        <w:rPr>
          <w:rFonts w:ascii="Amiri" w:hAnsi="Amiri" w:eastAsia="Amiri" w:cs="Amiri"/>
          <w:color w:val="111111"/>
          <w:sz w:val="28"/>
          <w:sz w:val="28"/>
          <w:szCs w:val="28"/>
          <w:rtl w:val="true"/>
          <w:lang w:bidi="ar-SA"/>
        </w:rPr>
        <w:t>، ظهر عدم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أصالة عدم التزام المشتري بتملّك</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الموجود ،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يجب الوفاء بما التزم ، كما عن العلاّمة قدّس سرّه </w:t>
      </w:r>
      <w:r>
        <w:rPr>
          <w:rStyle w:val="FootnoteAnchor"/>
          <w:rtl w:val="true"/>
        </w:rPr>
        <w:footnoteReference w:id="1175"/>
      </w:r>
      <w:r>
        <w:rPr>
          <w:rFonts w:ascii="Amiri" w:hAnsi="Amiri" w:eastAsia="Amiri" w:cs="Amiri"/>
          <w:color w:val="111111"/>
          <w:sz w:val="28"/>
          <w:sz w:val="28"/>
          <w:szCs w:val="28"/>
          <w:rtl w:val="true"/>
          <w:lang w:bidi="ar-SA"/>
        </w:rPr>
        <w:t xml:space="preserve">، وقد صحّحها </w:t>
      </w:r>
      <w:bookmarkStart w:id="617" w:name="pg15209_204161"/>
    </w:p>
    <w:p>
      <w:pPr>
        <w:pStyle w:val="BookText"/>
        <w:rPr/>
      </w:pPr>
      <w:bookmarkEnd w:id="617"/>
      <w:r>
        <w:rPr>
          <w:rFonts w:ascii="Amiri" w:hAnsi="Amiri" w:eastAsia="Amiri" w:cs="Amiri"/>
          <w:color w:val="111111"/>
          <w:sz w:val="28"/>
          <w:sz w:val="28"/>
          <w:szCs w:val="28"/>
          <w:rtl w:val="true"/>
          <w:lang w:bidi="ar-SA"/>
        </w:rPr>
        <w:t xml:space="preserve">الشيخ قدّس سرّه </w:t>
      </w:r>
      <w:r>
        <w:rPr>
          <w:rStyle w:val="FootnoteAnchor"/>
          <w:rtl w:val="true"/>
        </w:rPr>
        <w:footnoteReference w:id="1176"/>
      </w:r>
      <w:r>
        <w:rPr>
          <w:rFonts w:ascii="Amiri" w:hAnsi="Amiri" w:eastAsia="Amiri" w:cs="Amiri"/>
          <w:color w:val="111111"/>
          <w:sz w:val="28"/>
          <w:sz w:val="28"/>
          <w:szCs w:val="28"/>
          <w:rtl w:val="true"/>
          <w:lang w:bidi="ar-SA"/>
        </w:rPr>
        <w:t xml:space="preserve">؛ ضرورة أنّ عدم الالتزام الخاصّ في البيع ، غير مسبوق بالعلم ، واستصحاب العدم المطلق ، أو بانتفاء الموضوع ؛ لإثبات الخاصّ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على فرض جريان الخاصّ ، لا يكون عدم التزام المشتري بتملّكه نافياً لموضوع ذي حكم ؛ لأنّ وجوب الوفاء ثابت للعقد ، لا للقبول والتزام التملّك ، ونفيه لنفي العقد الواقع على الموجود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عدم التغيّر ، فإن كانت من الاُصول العقلائية ، كما صرّح به في صدر المبحث</w:t>
      </w:r>
      <w:r>
        <w:rPr>
          <w:rStyle w:val="FootnoteAnchor"/>
          <w:rtl w:val="true"/>
        </w:rPr>
        <w:footnoteReference w:id="1177"/>
      </w:r>
      <w:r>
        <w:rPr>
          <w:rFonts w:ascii="Amiri" w:hAnsi="Amiri" w:eastAsia="Amiri" w:cs="Amiri"/>
          <w:color w:val="111111"/>
          <w:sz w:val="28"/>
          <w:sz w:val="28"/>
          <w:szCs w:val="28"/>
          <w:rtl w:val="true"/>
          <w:lang w:bidi="ar-SA"/>
        </w:rPr>
        <w:t>، فلوازمها حجّة ، فتكون حاكمة على الاُصول المتقدّمة ، لكنّ الظاهر رجوعه عمّا التزم به أوّلاً ، ويظهر من كلماته أ نّها أصل شرعي</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أصل عقلائي تعبّدي ، لا حجّية لمثبتاته ، نظير الاستصحاب الشرعي ، عهدتها على مدّعيها ، وفي كلماته في المقام بعض الأنظار ، لا داعي للتعرّض لها ، هذا كلّه في دعوى المشتري التغيّر الموجب للخيار </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2974731_2142443653"/>
      <w:bookmarkStart w:id="619" w:name="_Toc221"/>
      <w:bookmarkEnd w:id="618"/>
      <w:r>
        <w:rPr>
          <w:rtl w:val="true"/>
        </w:rPr>
        <w:t>حكم صورة دعوى البائع للتغيّر الموجب لخياره</w:t>
      </w:r>
      <w:bookmarkEnd w:id="61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يتّضح حال دعوى البائع التغيّر الموجب لخياره ؛ فإنّه مدّعٍ ، والمشتري منكر ؛ للصدق العرفي الذي هو الميزان في الباب </w:t>
      </w:r>
      <w:r>
        <w:rPr>
          <w:rFonts w:eastAsia="Amiri" w:cs="Amiri" w:ascii="Amiri" w:hAnsi="Amiri"/>
          <w:color w:val="111111"/>
          <w:sz w:val="28"/>
          <w:szCs w:val="28"/>
          <w:rtl w:val="true"/>
          <w:lang w:bidi="ar-SA"/>
        </w:rPr>
        <w:t xml:space="preserve">. </w:t>
      </w:r>
      <w:bookmarkStart w:id="620" w:name="pg15209_204162"/>
    </w:p>
    <w:p>
      <w:pPr>
        <w:pStyle w:val="BookText"/>
        <w:rPr/>
      </w:pPr>
      <w:bookmarkEnd w:id="620"/>
      <w:r>
        <w:rPr>
          <w:rFonts w:ascii="Amiri" w:hAnsi="Amiri" w:eastAsia="Amiri" w:cs="Amiri"/>
          <w:color w:val="111111"/>
          <w:sz w:val="28"/>
          <w:sz w:val="28"/>
          <w:szCs w:val="28"/>
          <w:rtl w:val="true"/>
          <w:lang w:bidi="ar-SA"/>
        </w:rPr>
        <w:t>وإرجاع دعوى التغيّر إلى دعاوٍ اُخر تجعل المدّعي منكراً ، قد عرفت فساده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البائع لو ترك تُرك ؛ ضرورة أ نّه المهاجم ، ولأنّ أصالة بقاء العقد وسائر الاُصول المعتبرة المتقدّمة ، مع المشتري ، ومخالفة للبائع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أصالة عدم وقوع العقد على هذا الموجود</w:t>
      </w:r>
      <w:r>
        <w:rPr>
          <w:rStyle w:val="FootnoteAnchor"/>
          <w:rtl w:val="true"/>
        </w:rPr>
        <w:footnoteReference w:id="1180"/>
      </w:r>
      <w:r>
        <w:rPr>
          <w:rFonts w:ascii="Amiri" w:hAnsi="Amiri" w:eastAsia="Amiri" w:cs="Amiri"/>
          <w:color w:val="111111"/>
          <w:sz w:val="28"/>
          <w:sz w:val="28"/>
          <w:szCs w:val="28"/>
          <w:rtl w:val="true"/>
          <w:lang w:bidi="ar-SA"/>
        </w:rPr>
        <w:t xml:space="preserve">، فلا نطيل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تقديم قول المشتري في هذه الصورة وجيه ، ولم يتّضح وجه معتدّ به لتقديم قوله في الصورة السابقة </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2974733_2142443653"/>
      <w:bookmarkStart w:id="622" w:name="_Toc222"/>
      <w:bookmarkEnd w:id="621"/>
      <w:r>
        <w:rPr>
          <w:rtl w:val="true"/>
        </w:rPr>
        <w:t>الفرع الثاني في حكم الاختلاف في تقدّم التغيّر على البيع وتأخّره</w:t>
      </w:r>
      <w:bookmarkEnd w:id="622"/>
    </w:p>
    <w:p>
      <w:pPr>
        <w:pStyle w:val="Heading6"/>
        <w:numPr>
          <w:ilvl w:val="5"/>
          <w:numId w:val="1"/>
        </w:numPr>
        <w:rPr/>
      </w:pPr>
      <w:bookmarkStart w:id="623" w:name="__RefHeading___Toc2974735_2142443653"/>
      <w:bookmarkStart w:id="624" w:name="_Toc223"/>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 xml:space="preserve">لو اختلفا في تقدّم التغيّر على البيع حتّى يثبت الخيار ، وتأخّره عنه على وجه لا يوجب الخيار ، فيحتمل أن يكون من موارد التداعي ؛ فإنّ كلّ واحد منهما ادّعى أمراً ، وأنكره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المدّعي من أراد إثبات الخيار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الميزان في تشخيص المدّعي والمنكر ، هل هو ظاهر طرح الدعوى والجمود عليه ، فيقال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ادّعى أمراً ثبوتياً ، كان صاحبه منكراً له ؟ </w:t>
      </w:r>
    </w:p>
    <w:p>
      <w:pPr>
        <w:pStyle w:val="BookText"/>
        <w:rPr/>
      </w:pPr>
      <w:r>
        <w:rPr>
          <w:rFonts w:ascii="Amiri" w:hAnsi="Amiri" w:eastAsia="Amiri" w:cs="Amiri"/>
          <w:color w:val="111111"/>
          <w:sz w:val="28"/>
          <w:sz w:val="28"/>
          <w:szCs w:val="28"/>
          <w:rtl w:val="true"/>
          <w:lang w:bidi="ar-SA"/>
        </w:rPr>
        <w:t xml:space="preserve">أو أنّ المدّعي هو المهاجم ، والمنكر هو المدافع ، غاية الأمر قد يدافع عن هجمته بإنكار ما ادّعاه ، وقد يدافع عنها بدعوى ضدّه ، لا لأجل أنّ الضدّ مقصود بالذات ، بل لأجل 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دفع المهاجم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بها أيضاً ، ففي المقام المدّعي بنظر العرف ، هو من أراد إثبات الخيار لنفسه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لإثبات تقدّم شيء منهما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أصالة عدم تقدّم هذا على صاحبه وبالعكس ؛ فلعدم الحالة السابقة على فرضٍ ، والمثبتية على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عدم وقوع العقد إلى زمان الهزال مثلاً ، وأصالة عدم الهزال أو بقاء السمن إلى زمان العقد ؛ فلأ نّهما لا تصلحان لإثبات موضوع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تخلّف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ونفيه ، ولا فرق بين كونهما مجهولي التأريخ ، وبين كون أحدهما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الشيخ الأعظم قدّس سرّه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الأصلين متعارضان</w:t>
      </w:r>
      <w:r>
        <w:rPr>
          <w:rStyle w:val="FootnoteAnchor"/>
          <w:rtl w:val="true"/>
        </w:rPr>
        <w:footnoteReference w:id="1181"/>
      </w:r>
      <w:r>
        <w:rPr>
          <w:rFonts w:ascii="Amiri" w:hAnsi="Amiri" w:eastAsia="Amiri" w:cs="Amiri"/>
          <w:color w:val="111111"/>
          <w:sz w:val="28"/>
          <w:sz w:val="28"/>
          <w:szCs w:val="28"/>
          <w:rtl w:val="true"/>
          <w:lang w:bidi="ar-SA"/>
        </w:rPr>
        <w:t xml:space="preserve">غير مرضيّ ؛ لأنّ التعارض فرع حجّية الأصل في ذاته ، وما لا حجّية له ، خارج عن موضوع التعارض ، كما أنّ الأمر كذلك في تعارض الأمارات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عدم جريان الاُصول المذكورة ، يكون المرجع هو أصالة بقاء العقد إلى ما بعد الفسخ ، لا أصالة عدم وصول حقّ المشتري ، كما مرّ في الفرع السابق</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الكلام فيما إذا اختلفا ، وأراد البائع إثبات الخيار لنفسه </w:t>
      </w:r>
      <w:r>
        <w:rPr>
          <w:rFonts w:eastAsia="Amiri" w:cs="Amiri" w:ascii="Amiri" w:hAnsi="Amiri"/>
          <w:color w:val="111111"/>
          <w:sz w:val="28"/>
          <w:szCs w:val="28"/>
          <w:rtl w:val="true"/>
          <w:lang w:bidi="ar-SA"/>
        </w:rPr>
        <w:t xml:space="preserve">. </w:t>
      </w:r>
      <w:bookmarkStart w:id="625" w:name="pg15209_204164"/>
    </w:p>
    <w:p>
      <w:pPr>
        <w:pStyle w:val="Heading6"/>
        <w:numPr>
          <w:ilvl w:val="5"/>
          <w:numId w:val="1"/>
        </w:numPr>
        <w:rPr/>
      </w:pPr>
      <w:bookmarkStart w:id="626" w:name="__RefHeading___Toc2974737_2142443653"/>
      <w:bookmarkStart w:id="627" w:name="_Toc224"/>
      <w:bookmarkEnd w:id="625"/>
      <w:bookmarkEnd w:id="626"/>
      <w:r>
        <w:rPr>
          <w:rtl w:val="true"/>
        </w:rPr>
        <w:t>حكم الاختلاف في تقدّم التغيّر على القبض وتأخّره</w:t>
      </w:r>
      <w:bookmarkEnd w:id="627"/>
    </w:p>
    <w:p>
      <w:pPr>
        <w:pStyle w:val="BookText"/>
        <w:rPr/>
      </w:pPr>
      <w:r>
        <w:rPr>
          <w:rFonts w:ascii="Amiri" w:hAnsi="Amiri" w:eastAsia="Amiri" w:cs="Amiri"/>
          <w:color w:val="111111"/>
          <w:sz w:val="28"/>
          <w:sz w:val="28"/>
          <w:szCs w:val="28"/>
          <w:rtl w:val="true"/>
          <w:lang w:bidi="ar-SA"/>
        </w:rPr>
        <w:t xml:space="preserve">ولو اختلفا في أنّ التغيّر وقع قبل القبض ليثبت الخيار أو بعده ، بعد الاتّفاق على عدم التغيّر حال العقد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التغيّر قبل القبض موضوع للخيار ، والتغيّر بعده لسلبه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موضوعين وجوديين ؛ التغيّر قبل القبض ، والتغيّر بعده ، ولكلّ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أصل لإحراز الموضوع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موضوع الخيار التغيّر قبل القبض ، وليس حكم آخر متعلّقاً بموضوع وجودي آخر ، بل يكفي في سلب الخيار ، سلب التغيّر قبل القبض ، فاستصحاب عدم تغيّره قبل القبض جارٍ ؛ لأنّ المفروض أنّ المبيع حال تعلّق العقد به ، لم يكن متغيّراً ، فعلم بأ نّه مبيع لم يكن متغيّراً قبل القبض ، فاستصحاب هذا العنوان ، رافع لموضوع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التغيّر قبل القبض ، فلا أصل لإثباته ، فالأصل مع منكر التغيّر قبل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الحال في اختلافهما في تلف المبيع قبل القبض ، بعد اتّفاقهما على وجوده حال البيع ، فإنّه بعد البيع يكون عدم التلف قبل القبض متيقّناً ، فيستصحب إلى حال القبض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المبيع لم يتلف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 في نفي الضمان عن البائع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حكم آخر متعلّقاً بتلفه بعد القبض ، حتّى لا يصحّ إثباته بالأصل ؛ فإنّ التلف بعد القبض والتغيّر بعده بعنوانهما ، ليسا موضوعاً لحكم ؛ لأنّ تلف مال كلّ شخص من كيسه ، حكم عقلائي وشرعي ، متعلّق بجميع أموال الناس ، لا بالمبيع بعد القبض </w:t>
      </w:r>
      <w:r>
        <w:rPr>
          <w:rFonts w:eastAsia="Amiri" w:cs="Amiri" w:ascii="Amiri" w:hAnsi="Amiri"/>
          <w:color w:val="111111"/>
          <w:sz w:val="28"/>
          <w:szCs w:val="28"/>
          <w:rtl w:val="true"/>
          <w:lang w:bidi="ar-SA"/>
        </w:rPr>
        <w:t xml:space="preserve">. </w:t>
      </w:r>
      <w:bookmarkStart w:id="628" w:name="pg15209_204165"/>
    </w:p>
    <w:p>
      <w:pPr>
        <w:pStyle w:val="Heading6"/>
        <w:numPr>
          <w:ilvl w:val="5"/>
          <w:numId w:val="1"/>
        </w:numPr>
        <w:rPr/>
      </w:pPr>
      <w:bookmarkStart w:id="629" w:name="__RefHeading___Toc2974739_2142443653"/>
      <w:bookmarkStart w:id="630" w:name="_Toc225"/>
      <w:bookmarkEnd w:id="628"/>
      <w:bookmarkEnd w:id="629"/>
      <w:r>
        <w:rPr>
          <w:rtl w:val="true"/>
        </w:rPr>
        <w:t>حكم الاختلاف في تقدّم التلف على البيع وتأخّره</w:t>
      </w:r>
      <w:bookmarkEnd w:id="630"/>
    </w:p>
    <w:p>
      <w:pPr>
        <w:pStyle w:val="BookText"/>
        <w:rPr/>
      </w:pPr>
      <w:r>
        <w:rPr>
          <w:rFonts w:ascii="Amiri" w:hAnsi="Amiri" w:eastAsia="Amiri" w:cs="Amiri"/>
          <w:color w:val="111111"/>
          <w:sz w:val="28"/>
          <w:sz w:val="28"/>
          <w:szCs w:val="28"/>
          <w:rtl w:val="true"/>
          <w:lang w:bidi="ar-SA"/>
        </w:rPr>
        <w:t xml:space="preserve">ولو كانت العين مقبوضة بيد المشتري فوقع البيع ، ثمّ وجدت تالفة ، واختلفا في تقدّم التلف على البيع ، وتأخّره عنه ، فالاُصول الموضوعية غير جارية ، أو غير نافعة ، فالأصل بقاء ملك المشتري على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علّل الشيخ الأعظم قدّس سرّه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تأثير البيع</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جريانها وكونها علّة للأصل المذكور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جريانها ؛ فلأ نّه فرع إحراز أصل البيع ، وهو مشكوك فيه ؛ للدوران بين كون المنشأ بيعاً أو غير بيع ، لتقوّمه بالمبادلة بين المالين ، إلاّ أن ترجع إلى أصالة عدم تأثير الإنشاء ؛ للشكّ في كونه لغواً أو مؤثّراً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عليها ما أوردنا على الاُصول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النفي عن الموضوع المحقّق غير مسبوق باليقين ، والنفي الأعمّ لإثبات الخاصّ مثبت</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أصالة عدم تأثير الإيجاب ، فهي وإن كانت لها حالة سابقة ؛ لأنّ تأثيره موقوف على تحقّق القبول ، إلاّ أنّ الإيجاب ليس مؤثّراً في النقل على مبناهم ؛ من كون العقد مركّباً من الإيجاب والقبول</w:t>
      </w:r>
      <w:r>
        <w:rPr>
          <w:rStyle w:val="FootnoteAnchor"/>
          <w:rtl w:val="true"/>
        </w:rPr>
        <w:footnoteReference w:id="1185"/>
      </w:r>
      <w:r>
        <w:rPr>
          <w:rFonts w:ascii="Amiri" w:hAnsi="Amiri" w:eastAsia="Amiri" w:cs="Amiri"/>
          <w:color w:val="111111"/>
          <w:sz w:val="28"/>
          <w:sz w:val="28"/>
          <w:szCs w:val="28"/>
          <w:rtl w:val="true"/>
          <w:lang w:bidi="ar-SA"/>
        </w:rPr>
        <w:t xml:space="preserve">، والمؤثّر الفعلي هو المركّب ، وكلّ واحد من الأجزاء ليس مؤثّراً ، حتّى بعد وقوع القبول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فعدم التأثير متيقّن مطلقاً ، وإثبات عدم تأثير العقد باستصحاب عدم تأثير </w:t>
      </w:r>
    </w:p>
    <w:p>
      <w:pPr>
        <w:pStyle w:val="BookText"/>
        <w:rPr/>
      </w:pPr>
      <w:r>
        <w:rPr>
          <w:rFonts w:ascii="Amiri" w:hAnsi="Amiri" w:eastAsia="Amiri" w:cs="Amiri"/>
          <w:color w:val="111111"/>
          <w:sz w:val="28"/>
          <w:sz w:val="28"/>
          <w:szCs w:val="28"/>
          <w:rtl w:val="true"/>
          <w:lang w:bidi="ar-SA"/>
        </w:rPr>
        <w:t xml:space="preserve">الإيجاب ، غير صحيح ، إلاّ على القول بالأصل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قرّرناه ؛ من كون تمام ماهية البيع هو المنشأ بالإيجاب</w:t>
      </w:r>
      <w:r>
        <w:rPr>
          <w:rStyle w:val="FootnoteAnchor"/>
          <w:rtl w:val="true"/>
        </w:rPr>
        <w:footnoteReference w:id="1186"/>
      </w:r>
      <w:r>
        <w:rPr>
          <w:rFonts w:ascii="Amiri" w:hAnsi="Amiri" w:eastAsia="Amiri" w:cs="Amiri"/>
          <w:color w:val="111111"/>
          <w:sz w:val="28"/>
          <w:sz w:val="28"/>
          <w:szCs w:val="28"/>
          <w:rtl w:val="true"/>
          <w:lang w:bidi="ar-SA"/>
        </w:rPr>
        <w:t xml:space="preserve">، فأصالة عدم تأثير البيع غير جارية ؛ للشكّ في تحقّق البيع ، لما عرفت من أنّ الأمر دائر بين مبادلة مال بمال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عدم تأثير الإنشاء ، فلا مانع منها من هذه الجهة ؛ لأنّ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تأثير الإيجاب ، لا من مقوّمات البيع ، نظير الإجازة في الفضولي ، لكن سلب الأثر بسلب المؤثّر عقلي ، والأصل لا يثبته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كونها علّة للأصل المذكور ؛ فلأنّ أصالة عدم تأثير البيع ، إن كانت حاكمة على أصالة بقاء ملك المشتري على الثمن؛ لأنّ الشكّ فيه مسبّب عن الشكّ في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قرّروا تقدّم الأصل السببي على المسبّبي مطلقاً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مجال لعلّية جريان الأصل السببي للمسبّبي ، بل هو علّة لعدم جريان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حاكمة فلا وجه للتعليل ، ولعلّ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من النسخة ، فعليه إجراء الأصل المسبّبي في عرض السببي ، غير صحيح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التمسّك بأصالة الصحّة ، وتقديمها على الأصل المتقدّم</w:t>
      </w:r>
      <w:r>
        <w:rPr>
          <w:rStyle w:val="FootnoteAnchor"/>
          <w:rtl w:val="true"/>
        </w:rPr>
        <w:footnoteReference w:id="1188"/>
      </w:r>
      <w:r>
        <w:rPr>
          <w:rFonts w:ascii="Amiri" w:hAnsi="Amiri" w:eastAsia="Amiri" w:cs="Amiri"/>
          <w:color w:val="111111"/>
          <w:sz w:val="28"/>
          <w:sz w:val="28"/>
          <w:szCs w:val="28"/>
          <w:rtl w:val="true"/>
          <w:lang w:bidi="ar-SA"/>
        </w:rPr>
        <w:t xml:space="preserve">، ففي غير محلّه ، كما نبّه عليه الأعلام ؛ من أنّ محطّها ما إذا شكّ في صحّة شيء وفساده ، </w:t>
      </w:r>
    </w:p>
    <w:p>
      <w:pPr>
        <w:pStyle w:val="BookText"/>
        <w:rPr/>
      </w:pPr>
      <w:r>
        <w:rPr>
          <w:rFonts w:ascii="IRNazanin" w:hAnsi="IRNazanin" w:eastAsia="IRNazanin"/>
          <w:color w:val="111111"/>
          <w:sz w:val="28"/>
          <w:sz w:val="28"/>
          <w:szCs w:val="28"/>
          <w:rtl w:val="true"/>
          <w:lang w:bidi="fa-IR"/>
        </w:rPr>
        <w:t>بعد الفراغ عن وجوده</w:t>
      </w:r>
      <w:r>
        <w:rPr>
          <w:rStyle w:val="FootnoteAnchor"/>
          <w:rtl w:val="true"/>
        </w:rPr>
        <w:footnoteReference w:id="1189"/>
      </w:r>
      <w:r>
        <w:rPr>
          <w:rFonts w:ascii="Amiri" w:hAnsi="Amiri" w:eastAsia="Amiri" w:cs="Amiri"/>
          <w:color w:val="111111"/>
          <w:sz w:val="28"/>
          <w:sz w:val="28"/>
          <w:szCs w:val="28"/>
          <w:rtl w:val="true"/>
          <w:lang w:bidi="ar-SA"/>
        </w:rPr>
        <w:t xml:space="preserve">، لا مثل المقام ، ولا مثل احتمال البيع بلا ثمن ، فهو نظير الشكّ في أنّ ألفاظ البيع صدرت من المجنون غير المميّز حال جنونه ، أو حال إفاقته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شكّ في 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تحقّقه ، أو دار الأمر بين وجود بيع صحيح ، وبين شيء لا ينطبق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مجرى فيه لأصالة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لمّا كانت أسماء المعاملات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كانت ، أو نكاحاً ،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عرفاً للأعمّ من الصحيح والفاسد ، فإذا تردّدت بعد إحراز وجودها بينهما ، تحمل على الصحّة ، سواء كان الشكّ لأجل بعض ما يعتبر فيها شرعاً أو عرفاً ، كما قد يتّفق ولا سيّما في باب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يتّفق في البيع والإجارة ، كما إذا كان أحد العوضين مجهولاً من غير جهة المالية ، مثل بيع ما في الصندوق ، المعلوم كونه مالاً في الجملة ، المجهول من غير هذه الجهة ، وكذا في الإجارة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المزارعة والمضاربة والشركة والتقسيم ونحوها ، شرائط عرفية ، ربّما يشكّ في صحّتها ؛ للشكّ في مراعاة الشرائط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البناء العملي العقلائي ، جارٍ في جميع النحل والملل ، مع اعتبار شرائط في العبادات والمعاملات من قبل الشرائع ، ولا يعتني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تديّنهم بتلك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بالشكوك الحاصلة في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العبادات والمعاملات ، لا لأمر </w:t>
      </w:r>
    </w:p>
    <w:p>
      <w:pPr>
        <w:pStyle w:val="BookText"/>
        <w:rPr/>
      </w:pPr>
      <w:r>
        <w:rPr>
          <w:rFonts w:ascii="Amiri" w:hAnsi="Amiri" w:eastAsia="Amiri" w:cs="Amiri"/>
          <w:color w:val="111111"/>
          <w:sz w:val="28"/>
          <w:sz w:val="28"/>
          <w:szCs w:val="28"/>
          <w:rtl w:val="true"/>
          <w:lang w:bidi="ar-SA"/>
        </w:rPr>
        <w:t xml:space="preserve">ورد في الشرائع لذلك ، بل لارتكازهم العقلائي ، وهذا أمر واضح ، لا يحتاج إلى تجشّم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أهل التدقيق قدّس سرّه ، لمّا زعم أ نّه لا جامع بين الفاسد والصحيح في المعاملات العرفية ، ذهب إلى أنّ الجامع بينهما عرفاً ، إنّما هو الإنشاء الذي كان في موقع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إنشاء من العاقل الشاعر ، الذي يريد المعاملة ، المقصود منها غرض خاصّ ، يحكم بصحّته ، سواء اُحرزت العناوين المنشأة منه أم لا</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فيه ؛ ضرورة أنّ الإنشاءات سواء كانت بالألفاظ أو بالأعمال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المعاملات 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ملحوظة في محيط العقلاء والعرف ، وإنّما المنظور إليه هو نفس المعاملات ؛ أي المسبّبات ، وهي التي تحمل على الصحيح عند العقلاء ، لا ما هي آلة غير منظور إليها إلاّ بنظر ثانوي ، وما أفاده رحمه الله عليه ، أمر لا يعرف في غير المحافل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ليس للمسبّبات صحّة وفساد ، بل أمرها دائر بين الوجود والعدم</w:t>
      </w:r>
      <w:r>
        <w:rPr>
          <w:rStyle w:val="FootnoteAnchor"/>
          <w:rtl w:val="true"/>
        </w:rPr>
        <w:footnoteReference w:id="1191"/>
      </w:r>
      <w:r>
        <w:rPr>
          <w:rFonts w:ascii="Amiri" w:hAnsi="Amiri" w:eastAsia="Amiri" w:cs="Amiri"/>
          <w:color w:val="111111"/>
          <w:sz w:val="28"/>
          <w:sz w:val="28"/>
          <w:szCs w:val="28"/>
          <w:rtl w:val="true"/>
          <w:lang w:bidi="ar-SA"/>
        </w:rPr>
        <w:t xml:space="preserve">مزيّف ؛ فإنّ المسبّبات هي المنشآت بالأسباب ، ترتّبت عليها الآثار أم لا ، كبيع الفضولي الذي لا يترتّب عليه الأثر ، فهو باطل بالفعل ، وصحيح بعد الإجازة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هنا أصالة الصحّة ؛ لما ذكر ، لا لما أفاده الشيخ الأعظم قدّس سرّه </w:t>
      </w:r>
      <w:r>
        <w:rPr>
          <w:rStyle w:val="FootnoteAnchor"/>
          <w:rtl w:val="true"/>
        </w:rPr>
        <w:footnoteReference w:id="1192"/>
      </w:r>
      <w:r>
        <w:rPr>
          <w:rFonts w:ascii="Amiri" w:hAnsi="Amiri" w:eastAsia="Amiri" w:cs="Amiri"/>
          <w:color w:val="111111"/>
          <w:sz w:val="28"/>
          <w:sz w:val="28"/>
          <w:szCs w:val="28"/>
          <w:rtl w:val="true"/>
          <w:lang w:bidi="ar-SA"/>
        </w:rPr>
        <w:t xml:space="preserve">، فتدبّر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كلامه بعض الأنظار تركناه ، والأمر سهل </w:t>
      </w:r>
      <w:r>
        <w:rPr>
          <w:rFonts w:eastAsia="Amiri" w:cs="Amiri" w:ascii="Amiri" w:hAnsi="Amiri"/>
          <w:color w:val="111111"/>
          <w:sz w:val="28"/>
          <w:szCs w:val="28"/>
          <w:rtl w:val="true"/>
          <w:lang w:bidi="ar-SA"/>
        </w:rPr>
        <w:t xml:space="preserve">. </w:t>
      </w:r>
      <w:bookmarkStart w:id="631" w:name="pg15209_204169"/>
    </w:p>
    <w:p>
      <w:pPr>
        <w:pStyle w:val="Heading4"/>
        <w:numPr>
          <w:ilvl w:val="3"/>
          <w:numId w:val="1"/>
        </w:numPr>
        <w:rPr/>
      </w:pPr>
      <w:bookmarkStart w:id="632" w:name="__RefHeading___Toc2974741_2142443653"/>
      <w:bookmarkStart w:id="633" w:name="_Toc226"/>
      <w:bookmarkEnd w:id="631"/>
      <w:bookmarkEnd w:id="632"/>
      <w:r>
        <w:rPr>
          <w:rtl w:val="true"/>
        </w:rPr>
        <w:t>مسألة في اعتبار اختبار أوصاف المبيع</w:t>
      </w:r>
      <w:bookmarkEnd w:id="633"/>
    </w:p>
    <w:p>
      <w:pPr>
        <w:pStyle w:val="Heading5"/>
        <w:numPr>
          <w:ilvl w:val="4"/>
          <w:numId w:val="1"/>
        </w:numPr>
        <w:rPr/>
      </w:pPr>
      <w:bookmarkStart w:id="634" w:name="__RefHeading___Toc2974743_2142443653"/>
      <w:bookmarkStart w:id="635" w:name="_Toc227"/>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اختبار الطعم ونحوه من الأوصاف التي تختلف القيمة باختلافها </w:t>
      </w:r>
      <w:r>
        <w:rPr>
          <w:rStyle w:val="FootnoteAnchor"/>
          <w:rtl w:val="true"/>
        </w:rPr>
        <w:footnoteReference w:id="1193"/>
      </w:r>
      <w:r>
        <w:rPr>
          <w:rFonts w:ascii="Amiri" w:hAnsi="Amiri" w:eastAsia="Amiri" w:cs="Amiri"/>
          <w:color w:val="111111"/>
          <w:sz w:val="28"/>
          <w:sz w:val="28"/>
          <w:szCs w:val="28"/>
          <w:rtl w:val="true"/>
          <w:lang w:bidi="ar-SA"/>
        </w:rPr>
        <w:t>، والأصل فيه حديث النهي عن الغرر</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توقّف رفع الغرر على العلم ، بين هذه الأوصاف ، وبين تقدير العوضين بالكيل ، والوزن ، والعدّ</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إبداء الفرق بين الأوصاف التي هي من قبيل الكيفيات ، وبين التي من قبيل الكمّيات المتّصلة والمنفصلة ؛ بدعوى شمول النهي عن الغرر للكمّيات ، دون الكيفيات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النهي عن بيع الغرر ، هو ما كان الغرر في نفس ما تقع </w:t>
      </w:r>
    </w:p>
    <w:p>
      <w:pPr>
        <w:pStyle w:val="BookText"/>
        <w:rPr/>
      </w:pPr>
      <w:r>
        <w:rPr>
          <w:rFonts w:ascii="Amiri" w:hAnsi="Amiri" w:eastAsia="Amiri" w:cs="Amiri"/>
          <w:color w:val="111111"/>
          <w:sz w:val="28"/>
          <w:sz w:val="28"/>
          <w:szCs w:val="28"/>
          <w:rtl w:val="true"/>
          <w:lang w:bidi="ar-SA"/>
        </w:rPr>
        <w:t xml:space="preserve">المبادلة عليه ؛ أي ذات الثمن ، وذات المبيع ؛ أي ما يقع بإزائه الثمن ، فالأوصاف التي هي من قبيل الكيفيات ، لمّا لم تكن دخيلة في التبادل ، خرجت عن ماهية المبيع بما هو مبيع ، وعن ماهية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هي من قبيل الكمّيات ؛ فإنّ الزيادة والنقيصة ، توجب الزيادة والنقيصة في ذات المبيع ، ولهذا يبطل البيع في مقدار التخلّف في الكمّ ، ولا يبطل بالتخلّف في الكيف ، بل يثبت الخيار أحياناً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الجهل قد يتعلّق بذات المبيع ، مع العلم بصفاته وقيمته ، كما لو علم أنّ في البيت حيواناً بأوصاف كذائية ، وقيمته كذا ، لكن تردّد بين الفرس والبغل ، أو تردّد ما في الصندوق بين ياقوتة ودرّة ، مع وحدة وصفهما وقيمتهما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يتعلّق بكمّيته المتّصلة أو المنفصلة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يتعلّق بكيفيته ، كالطعم ، والرائحة ، واللون ، ونحوها ، مع وحدة القيمة ، ومنه ما إذا تعلّق بأثره المترتّب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يتعلّق بقيمته مع العلم بسائر جهاته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والأوصاف التي من قبيل الكيفيات ، قد تكون متعلّقة للرغبات العقلائية ، وقد لا تكون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المحقّقين ، جريان الغرر في الجهل بذات المبيع وكيله وسائر كمّياته ، وبالأوصاف المرغوب فيها اللازم منه اختلاف القيمة باختلافها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الجهل بسائر الأوصاف ، وكذا الجهل بالقيمة ، فلا يجري فيه الغرر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الجهل بالأثر ملحق بما يجري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المستند في ذلك ، حديث النهي عن الغرر ، ففيه كلام وإشكال ؛ لأ نّه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متوجّه إلى الغرر في ذات المتبادلين ؛ أي الثمن والمبيع بما هما محطّ التبادل ، فلا يجري إلاّ في الجهل بنفس الذات ، أو بها وبالأعراض التي هي من قبيل الكمّيات المتّصلة أو المنفصلة ؛ لأنّ الجهل بهما أيضاً جهل بذات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فالأوصاف التي هي من قبيل الكيفيات ، وكذا الآثار والقيم ، خارجة منها ، فلا وجه لإلحاق بعض ، وعدم إلحاق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الجهل بالعوضين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الجهل في محطّ التبادل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للغرر ، فلا وجه للتفصيل بين الأوصاف التي تختلف القيمة باختلافها وغيرها ، بل لا بدّ من العلم بالقيمة أيضاً ؛ فإنّها وإن لم تكن من الأوصاف الواقعية ، لكنّها من الأوصاف الاعتبارية ، التي هي مورد أغراض العقلاء ، ولا سيّما في التجارات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الحديث عن الأوصاف التي هي ليست مورد الرغبات ، وعن القيم ؛ لأ نّها غير ملحوظة في البيع والتبادل ، وإن كانت الأغراض متعلّقة بإحرازها لا يخلو من إشكال ، وإن لم يخل من وجه ، ولا سيّما في الأوصاف المغفول عنها في المعاملة ، وغير منظور إليها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مبتنية على الاستظهار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صلي الله عليه و آله وسلم عن بيع الغرر</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 xml:space="preserve">فهل الظاهر منه النهي عن بيع فيه الغرر ؟ </w:t>
      </w:r>
    </w:p>
    <w:p>
      <w:pPr>
        <w:pStyle w:val="BookText"/>
        <w:rPr/>
      </w:pPr>
      <w:r>
        <w:rPr>
          <w:rFonts w:ascii="Amiri" w:hAnsi="Amiri" w:eastAsia="Amiri" w:cs="Amiri"/>
          <w:color w:val="111111"/>
          <w:sz w:val="28"/>
          <w:sz w:val="28"/>
          <w:szCs w:val="28"/>
          <w:rtl w:val="true"/>
          <w:lang w:bidi="ar-SA"/>
        </w:rPr>
        <w:t>أو عن بيع في مبيعه الغرر ؛ بحيث يكون العنوان دخيلاً ومأخوذاً فيه ؟</w:t>
      </w:r>
    </w:p>
    <w:p>
      <w:pPr>
        <w:pStyle w:val="BookText"/>
        <w:rPr/>
      </w:pPr>
      <w:r>
        <w:rPr>
          <w:rFonts w:ascii="Amiri" w:hAnsi="Amiri" w:eastAsia="Amiri" w:cs="Amiri"/>
          <w:color w:val="111111"/>
          <w:sz w:val="28"/>
          <w:sz w:val="28"/>
          <w:szCs w:val="28"/>
          <w:rtl w:val="true"/>
          <w:lang w:bidi="ar-SA"/>
        </w:rPr>
        <w:t xml:space="preserve">ويلحق به احتمال كون المصدر بمعنى المفعول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صلي الله عليه و آله وسلم</w:t>
      </w:r>
    </w:p>
    <w:p>
      <w:pPr>
        <w:pStyle w:val="BookText"/>
        <w:rPr/>
      </w:pPr>
      <w:r>
        <w:rPr>
          <w:rFonts w:ascii="Amiri" w:hAnsi="Amiri" w:eastAsia="Amiri" w:cs="Amiri"/>
          <w:color w:val="111111"/>
          <w:sz w:val="28"/>
          <w:sz w:val="28"/>
          <w:szCs w:val="28"/>
          <w:rtl w:val="true"/>
          <w:lang w:bidi="ar-SA"/>
        </w:rPr>
        <w:t xml:space="preserve">عن بيع المجهول ؛ فإنّ الظاهر منه أنّ المبادلة تعلّقت بالمجهول ، فالمعلوم من حيث المبادلة ، خارج عنه ، وإن كان مجهولاً من جهة بعض أوصاف خارجة عنها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 بيع يكون الغرر في متعلّقه ؛ بحيث يكون المراد به ، نفس الأعيان التي وقعت مورد البيع ؟</w:t>
      </w:r>
    </w:p>
    <w:p>
      <w:pPr>
        <w:pStyle w:val="BookText"/>
        <w:rPr/>
      </w:pPr>
      <w:r>
        <w:rPr>
          <w:rFonts w:ascii="Amiri" w:hAnsi="Amiri" w:eastAsia="Amiri" w:cs="Amiri"/>
          <w:color w:val="111111"/>
          <w:sz w:val="28"/>
          <w:sz w:val="28"/>
          <w:szCs w:val="28"/>
          <w:rtl w:val="true"/>
          <w:lang w:bidi="ar-SA"/>
        </w:rPr>
        <w:t xml:space="preserve">فعلى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الأوصاف ، والكيفيات ، والآثار ، والمنافع ، والقيم ، وتدخل الذات ، والكمّيات المتّصلة والمنفصلة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الجميع ، ومقتضى الإطلاق عدم الفرق بين الأوصاف إلاّ ما هي مغفول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مقتضاه دخول جميع الأوصاف الخارجية عدا ما ذكر ، والاعتبارية ككونه ذا قيمة كذائية ، ولا سيّما في التجارات التي تتقوّم بالقيم ، وتكون هي المنظور إليها بالذات ، وكذا تدخل المنافع والآثار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دعوى ظهوره في أوّل الاحتمالات ؛ لعدم احتياجه إلى تقدير في الكلام ، أو لقلّته ، ثمّ الاحتمال الثاني ، ولا سيّما شقّه الثاني ، فإنّه على فرض</w:t>
      </w:r>
    </w:p>
    <w:p>
      <w:pPr>
        <w:pStyle w:val="BookText"/>
        <w:rPr/>
      </w:pPr>
      <w:r>
        <w:rPr>
          <w:rFonts w:ascii="Amiri" w:hAnsi="Amiri" w:eastAsia="Amiri" w:cs="Amiri"/>
          <w:color w:val="111111"/>
          <w:sz w:val="28"/>
          <w:sz w:val="28"/>
          <w:szCs w:val="28"/>
          <w:rtl w:val="true"/>
          <w:lang w:bidi="ar-SA"/>
        </w:rPr>
        <w:t xml:space="preserve">جعل البيع كناية ، لا يصحّ جعله كناية إلاّ عن المبيع بعنوانه ، لا عن ذوات الأشياء ؛ فإنّ كناية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ذات العناوين التي يقع البيع عليها ، غير صحيحة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الاحتمال الثاني بشقّيه أيضاً ، تخرج كلّية الأوصاف الخارجة عن </w:t>
      </w:r>
      <w:bookmarkStart w:id="636" w:name="pg15209_204173"/>
    </w:p>
    <w:p>
      <w:pPr>
        <w:pStyle w:val="BookText"/>
        <w:rPr/>
      </w:pPr>
      <w:bookmarkEnd w:id="636"/>
      <w:r>
        <w:rPr>
          <w:rFonts w:ascii="Amiri" w:hAnsi="Amiri" w:eastAsia="Amiri" w:cs="Amiri"/>
          <w:color w:val="111111"/>
          <w:sz w:val="28"/>
          <w:sz w:val="28"/>
          <w:szCs w:val="28"/>
          <w:rtl w:val="true"/>
          <w:lang w:bidi="ar-SA"/>
        </w:rPr>
        <w:t xml:space="preserve">محطّ المبادلة ، وتبقى الذات والكمّيات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تطبيق الحديث على فتوى الأصحاب ، والتفصيل المذكور في كلماتهم ، في غاية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الصفات الدخيلة في القيمة ، من غير لزوم العلم بمقدار الدخالة ، وعدم لزوم العلم بأصل القيمة</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العلم بمراتب الصفات ، ولزوم الاختبار لتشخيص المراتب</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كان المستند الحديث المذكور ، لا يمكن القول بالبطلان فيما عدا الجهالة في الذات والكمّيات ، هذا كلّه إن كان المراد بالغرر الجهالة ، كما بنوا عليه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2974745_2142443653"/>
      <w:bookmarkStart w:id="638" w:name="_Toc228"/>
      <w:bookmarkEnd w:id="637"/>
      <w:r>
        <w:rPr>
          <w:rtl w:val="true"/>
        </w:rPr>
        <w:t>الروايات المؤيّدة لبطلان المعاملة مع جهالة الأوصاف</w:t>
      </w:r>
      <w:bookmarkEnd w:id="638"/>
    </w:p>
    <w:p>
      <w:pPr>
        <w:pStyle w:val="BookText"/>
        <w:rPr/>
      </w:pPr>
      <w:r>
        <w:rPr>
          <w:rFonts w:ascii="Amiri" w:hAnsi="Amiri" w:eastAsia="Amiri" w:cs="Amiri"/>
          <w:color w:val="111111"/>
          <w:sz w:val="28"/>
          <w:sz w:val="28"/>
          <w:szCs w:val="28"/>
          <w:rtl w:val="true"/>
          <w:lang w:bidi="ar-SA"/>
        </w:rPr>
        <w:t xml:space="preserve">ثمّ إنّه يمكن أن يستأنس لبطلان بيع الغرر مع جهالة الأوصاف التي هي مورد رغبة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من الكمّيات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من الروايات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بيع السلف ، كصحيحة الحلبي ،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الحيوان ، إذا سمّيت الذي يسلم فيه فوصفته</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الحيوان والمتاع ، إذا وصفت الطول والعرض ، وفي الحيوان إذا وصفت أسنانها</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وصف الطول والعرض ، كناية عن التوصيف التامّ الرافع للجهالة ؛ بقرينة ذكر الحيوان ، وإرداف المتاع به ، وظهور الشرط في الرجوع إلى كليهما ، وبقرينة كون أكثر الأمتعة لا يطلب فيها الطول والعرض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تكرار الحيوان ، واشتراطه بوصف الأسنان ؛ فلبيان أنّ الوصف لا يختصّ بالظاهر، بل لا بدّ أيضاً من ذكر مثل الأسنان الذي هو من الأوصاف غير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عليه السلام عن السلم في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أسنان معلومة وأسنان معدودة إلى أجل مسمّى ، لا بأس به</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المتاع ، إذا وصفت طوله وعرضه وجنسه وكان معلوماً</w:t>
      </w:r>
      <w:r>
        <w:rPr>
          <w:rFonts w:eastAsia="Amiri" w:cs="Amiri" w:ascii="Amiri" w:hAnsi="Amiri"/>
          <w:color w:val="111111"/>
          <w:sz w:val="28"/>
          <w:szCs w:val="28"/>
          <w:rtl w:val="true"/>
          <w:lang w:bidi="ar-SA"/>
        </w:rPr>
        <w:t>»</w:t>
      </w:r>
      <w:r>
        <w:rPr>
          <w:rStyle w:val="FootnoteAnchor"/>
          <w:rtl w:val="true"/>
        </w:rPr>
        <w:footnoteReference w:id="120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بها لبطلان مطلق البيع ، منوط بإلغاء الخصوصية عرفاً ، وعدم الفرق بين السلم وغيره إلاّ في الأجل ، فاعتبار الأجل المعلوم ، والسنّ المعلوم </w:t>
      </w:r>
    </w:p>
    <w:p>
      <w:pPr>
        <w:pStyle w:val="BookText"/>
        <w:rPr/>
      </w:pPr>
      <w:r>
        <w:rPr>
          <w:rFonts w:ascii="Amiri" w:hAnsi="Amiri" w:eastAsia="Amiri" w:cs="Amiri"/>
          <w:color w:val="111111"/>
          <w:sz w:val="28"/>
          <w:sz w:val="28"/>
          <w:szCs w:val="28"/>
          <w:rtl w:val="true"/>
          <w:lang w:bidi="ar-SA"/>
        </w:rPr>
        <w:t xml:space="preserve">والمعدود ، ومعلومية الوصف ؛ لأجل اعتبارها في البيع ، ورفع الجهالة عنه ، لا لخصوصية في السلف ، وإنّما ذكر الشرط فيه ؛ لأنّ المبيع في غير السلف ، يكون غالباً حاضراً مشاهداً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الاستئناس بها لا يخلو من قرب ، وإن لم يخلُ من إشكال أو إشكالات ، ولا سيّما مع ظهور جملة منها وممّا لم نذكرها ، في عدم لزوم الاستقصاء في التوصيف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ما يذاق ، يذوقه قبل أن يشتري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فليذقه ، ولا يذوقنّ ما لا يشتري</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كان بصدد بيان الجواز ، والتفصيل فيه بين مريد الاشتراء وعدمه ، لكان يقتصر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فليذقه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وتعبيره بالأمر ، يدلّ على لزوم الذوق ، وليس ذلك إلاّ لرفع الجهالة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الذوق بلا إذن المالك ، فإنّه معلوم الحكم ، كما أنّ الذوق مع إذنه لمن يريد الشراء أيضاً كذلك ، فلا محالة يكون المراد الاستفسار عن الحكم الوضعي ، وبإلغاء الخصوصية يتمّ المطلوب ، لولا ضعف السند</w:t>
      </w:r>
      <w:r>
        <w:rPr>
          <w:rStyle w:val="FootnoteAnchor"/>
          <w:rtl w:val="true"/>
        </w:rPr>
        <w:footnoteReference w:id="1206"/>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 xml:space="preserve">. </w:t>
      </w:r>
      <w:bookmarkStart w:id="639" w:name="pg15209_204176"/>
    </w:p>
    <w:p>
      <w:pPr>
        <w:pStyle w:val="BookText"/>
        <w:rPr/>
      </w:pPr>
      <w:bookmarkEnd w:id="639"/>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عبد الأعلى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عن أبي جعفر عليه السلام أ نّه كره شراء ما لم تره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عن أبي جعفر عليه السلام أ نّه كره بيعين ، اطرح وخذ</w:t>
      </w:r>
      <w:r>
        <w:rPr>
          <w:rStyle w:val="FootnoteAnchor"/>
          <w:rtl w:val="true"/>
        </w:rPr>
        <w:footnoteReference w:id="1208"/>
      </w:r>
      <w:r>
        <w:rPr>
          <w:rFonts w:ascii="Amiri" w:hAnsi="Amiri" w:eastAsia="Amiri" w:cs="Amiri"/>
          <w:color w:val="111111"/>
          <w:sz w:val="28"/>
          <w:sz w:val="28"/>
          <w:szCs w:val="28"/>
          <w:rtl w:val="true"/>
          <w:lang w:bidi="ar-SA"/>
        </w:rPr>
        <w:t>على غير تقليب وشراء ما لم تره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بالكراهة عدم الصحّة ، كما ورد في بعض روايات اعتبار الكيل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 xml:space="preserve">مع أنّ الجهالة فيه مضرّة بلا إشكال ، فتأمّل </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2974747_2142443653"/>
      <w:bookmarkStart w:id="641" w:name="_Toc229"/>
      <w:bookmarkEnd w:id="640"/>
      <w:r>
        <w:rPr>
          <w:rtl w:val="true"/>
        </w:rPr>
        <w:t>الروايات الظاهرة في صحّة المعاملة مع جهالة الأوصاف</w:t>
      </w:r>
      <w:bookmarkEnd w:id="641"/>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وبإزائها بعض روايات اُخر ، كرواية جعفر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المتاع يباع فيمن يزيد ، فينادي عليه المنادي ، فإذا نادى عليه برئ من كلّ عيب فيه ، فإذا اشتراه المشتري ورضيه ، ولم يبق </w:t>
      </w:r>
    </w:p>
    <w:p>
      <w:pPr>
        <w:pStyle w:val="BookText"/>
        <w:rPr/>
      </w:pPr>
      <w:r>
        <w:rPr>
          <w:rFonts w:ascii="Amiri" w:hAnsi="Amiri" w:eastAsia="Amiri" w:cs="Amiri"/>
          <w:color w:val="111111"/>
          <w:sz w:val="28"/>
          <w:sz w:val="28"/>
          <w:szCs w:val="28"/>
          <w:rtl w:val="true"/>
          <w:lang w:bidi="ar-SA"/>
        </w:rPr>
        <w:t xml:space="preserve">إلاّ نقد الثمن ، فربّما زهد ، فإذا زهد فيه ادّعى عيوباً ، وأ نّه لم يعلم بها ، فيقول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برئت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البراءة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أيصدّق فلا يجب عليه الثمن ، أم لا يصدّق فيجب عليه الثمن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الثمن</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رواية لا تخلو من حسن ، وظاهرها أنّ صحّة البيع مع البراءة من العيوب مسلّمة ، مع أنّ ذلك لا يوجب رفع الغرر والجهالة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الواقعة ، لا تجري أصالة الصحّة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بجريانها في غيرها ، بناءً على أنّ الاتّكال عليها للوثوق الحاصل من غلبة كون الأشياء على طبائعها الأصلية ، ومع نداء صاحب المتاع بالبراءة من العيب ، لا يحصل الوثوق بخلوّه منه ، لو لم يحصل الظنّ بوجوده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صحّ البيع مع الجهل بصحّته ، تلزم الصحّة مع الجهل بسائر صفاته ؛ بإلغاء الخصوصية عرفاً ، فإنّ الجهل بالصحّة التي هي مورد لرغبة العقلاء ، وموجبة لاختلاف القيم وجوداً وعدماً ، إذا لم يضرّ بالصحّة ، فالجهل بصفات الكمال مع إحراز الصحّة ، أيضاً كذلك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يفهم من هذه الرواية ، أنّ الجهل بالصفات غير مضرّ ، فتكون الرواية موافقة للاحتمال الذي ذكرناه في حديث الغرر ؛ من </w:t>
      </w:r>
      <w:bookmarkStart w:id="642" w:name="pg15209_204178"/>
    </w:p>
    <w:p>
      <w:pPr>
        <w:pStyle w:val="BookText"/>
        <w:rPr/>
      </w:pPr>
      <w:bookmarkEnd w:id="642"/>
      <w:r>
        <w:rPr>
          <w:rFonts w:ascii="Amiri" w:hAnsi="Amiri" w:eastAsia="Amiri" w:cs="Amiri"/>
          <w:color w:val="111111"/>
          <w:sz w:val="28"/>
          <w:sz w:val="28"/>
          <w:szCs w:val="28"/>
          <w:rtl w:val="true"/>
          <w:lang w:bidi="ar-SA"/>
        </w:rPr>
        <w:t xml:space="preserve">كونه مخصوصاً بمحطّ التبادل ، وهو ذات المبيع ، أو مع كمّه المتّصل والمنفصل ، حيث يرجع الجهل بهما إلى الجهل بذات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الجهل بسائر الصفات كالصحّ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وأوصاف الكمال الدخيلة في القيم ، لا في التبادل ، فخارج عن الحديث</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مشكلة ؛ من جهة أنّ رفع اليد عن رواية جعفر بن عيسى ، مع كونها حسنة ظاهراً ، أو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الحكم فيها بالتبرّي من العيوب ، وتخصيص ما دلّ على بطلان البيع مع الجهالة بها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والاقتصار على الجهل بذات المبيع والكمّيات ، والذهاب إلى عدم إضرار الجهل بسائر الأوصاف مطلقاً ، وقصر الروايات المتقدّمة</w:t>
      </w:r>
      <w:r>
        <w:rPr>
          <w:rStyle w:val="FootnoteAnchor"/>
          <w:rtl w:val="true"/>
        </w:rPr>
        <w:footnoteReference w:id="1213"/>
      </w:r>
      <w:r>
        <w:rPr>
          <w:rFonts w:ascii="Amiri" w:hAnsi="Amiri" w:eastAsia="Amiri" w:cs="Amiri"/>
          <w:color w:val="111111"/>
          <w:sz w:val="28"/>
          <w:sz w:val="28"/>
          <w:szCs w:val="28"/>
          <w:rtl w:val="true"/>
          <w:lang w:bidi="ar-SA"/>
        </w:rPr>
        <w:t xml:space="preserve">على بيع السلف ، مشكل آخر ، ولا سيّما مع قيام الشهرة على البطلان مع الجهل بتلك الصفات ، التي تختلف القيمة باختلافها ، على ما يظهر من كلماتهم ، وقد عرفت ممّا مرّ أنّ لكلّ من الاحتمالين وجهاً معتدّاً به </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2974749_2142443653"/>
      <w:bookmarkStart w:id="644" w:name="_Toc230"/>
      <w:bookmarkEnd w:id="643"/>
      <w:r>
        <w:rPr>
          <w:rtl w:val="true"/>
        </w:rPr>
        <w:t>موارد الشكّ في الصحّة والعيب وكيفية رفع الغرر</w:t>
      </w:r>
      <w:bookmarkEnd w:id="644"/>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بجريان الغرر فيها ، وفي كلّ ما هو دخيل في اختلاف الرغبات والقيم ، فموارد الجهل والشكّ كثيرة ، فقد يكون الشكّ في الصحّة والعيب ؛ بحيث يوجب الشكّ في أصل المالية ، أو في معظمها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الشكّ في الصحّة والعيب ، مع العلم ببقاء معظم المالية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في صفات الكمال ومراتبها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في أ نّه من أيّ صنف من أصناف نوع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رفع الغرر والجهل بالاختبار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مطلقاً فلا ؛ لأنّ كثيراً ما لا يمكن للمشتري تشخيص صفات الكمال ، مع الاختبار والدقّة ، أو تشخيص أصناف النوع الواحد مع اختلافها في القيم ، كأصناف الشاي المختلفة جدّاً ، والعسل والتمر وغيرها ؛ ممّا يحتاج في تشخيصها إلى أهل الخبرة والبصيرة ، فلا بدّ في مثلها من الرجوع إليهم ، فإن حصل الوثوق من قولهم كفى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إخبار صاحب المال فيما يصحّ الإخبار به ، رافع له إذا حصل الوثوق به ،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عليه بالروايات الواردة في إخبار البائع بالكيل والوزن ، فراجعها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والتوصيف فيما يمكن أيضاً رافع له ؛ لأجل أ نّه بحكم الإخبار ، بل إخبار في الحقيقة ؛ فإنّ الجمل الناقصة إذا وقعت تلو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إخباراً كانت أو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النقص إلى الكمال المحتمل فيه الصدق والكذب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البائع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الفرس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بعربيته ، فإن حصل منه الوثوق ، يرفع به الجهالة ، وإلاّ فلا ، فمطلق التوصيف لا يقوم مقام الاختبار </w:t>
      </w:r>
      <w:r>
        <w:rPr>
          <w:rFonts w:eastAsia="Amiri" w:cs="Amiri" w:ascii="Amiri" w:hAnsi="Amiri"/>
          <w:color w:val="111111"/>
          <w:sz w:val="28"/>
          <w:szCs w:val="28"/>
          <w:rtl w:val="true"/>
          <w:lang w:bidi="ar-SA"/>
        </w:rPr>
        <w:t xml:space="preserve">. </w:t>
      </w:r>
      <w:bookmarkStart w:id="645" w:name="pg15209_204180"/>
    </w:p>
    <w:p>
      <w:pPr>
        <w:pStyle w:val="BookText"/>
        <w:rPr/>
      </w:pPr>
      <w:bookmarkEnd w:id="645"/>
      <w:r>
        <w:rPr>
          <w:rFonts w:ascii="Amiri" w:hAnsi="Amiri" w:eastAsia="Amiri" w:cs="Amiri"/>
          <w:color w:val="111111"/>
          <w:sz w:val="28"/>
          <w:sz w:val="28"/>
          <w:szCs w:val="28"/>
          <w:rtl w:val="true"/>
          <w:lang w:bidi="ar-SA"/>
        </w:rPr>
        <w:t xml:space="preserve">وأمّا الشرط وبناء المتعاملين ، فلا أثر لهما في رفع الجهالة ؛ إذ الفرض اعتبار العلم ، وكون الجهل موجباً للبطلان ، والتزام البائع بنحو الاشتراط ، لمّا لم يرجع إلى الإخبار الضمني بوجوده وكذا بناء المتعاقدين ، لم يرفعا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الصحّة ، فيما شكّ في صحّته وفساده ، وصار ذلك الشكّ موجباً للشكّ في ماليته ، فلا تحرز المالية إلاّ إذا حصل منها الوثوق للمتبايعين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يدفع بها الغرر فيما علمت ماليته ، وشكّ في عيبه ، إلاّ في هذا الفرض ، وإذا كان الاتّكال عليها عرفاً ؛ لأجل الوثوق النوعي الحاصل من الغلبة ، فلا يدفع بها أيضاً إن لم يحصل الوثوق لشخص المتبايعين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رفع الغرر بمعنى الجهالة ، العلم أو الوثوق والاطمئنان ، من أيّ سبب حصلا </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2974751_2142443653"/>
      <w:bookmarkStart w:id="647" w:name="_Toc231"/>
      <w:bookmarkEnd w:id="646"/>
      <w:r>
        <w:rPr>
          <w:rtl w:val="true"/>
        </w:rPr>
        <w:t>قيام السيرة العقلائية على المبايعة مع احتمال العيب</w:t>
      </w:r>
      <w:bookmarkEnd w:id="647"/>
    </w:p>
    <w:p>
      <w:pPr>
        <w:pStyle w:val="BookText"/>
        <w:rPr/>
      </w:pPr>
      <w:r>
        <w:rPr>
          <w:rFonts w:ascii="Amiri" w:hAnsi="Amiri" w:eastAsia="Amiri" w:cs="Amiri"/>
          <w:color w:val="111111"/>
          <w:sz w:val="28"/>
          <w:sz w:val="28"/>
          <w:szCs w:val="28"/>
          <w:rtl w:val="true"/>
          <w:lang w:bidi="ar-SA"/>
        </w:rPr>
        <w:t xml:space="preserve">ثمّ إنّ الظاهر قيام السيرة العقلائية على المبايعة مع احتمال العيب ؛ اتّكالاً على أصالة الصحّة ، من غير اعتبار الوثوق والاطمئنان ، ومن غير فرق بين الشكّ في طروّ الفساد بعد العلم بكونه صحيحاً ، وبين الشكّ في حدوثه معيباً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قيامها على البيع مع الشكّ في أوصاف الكمال ، ولا سيّما فيما إذا كان المبيع كثيراً ، مثل سفينة الدبس ، أو السمن ، أو غيرهما ، أو حمولة كثيرة من الطعام والمتاع ، من غير استقصاء توصيف واختبار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اتّصالها بزمان المعصومين عليهم السلام في مثل تلك المبايعات ، وكذا قيامها </w:t>
      </w:r>
    </w:p>
    <w:p>
      <w:pPr>
        <w:pStyle w:val="BookText"/>
        <w:rPr/>
      </w:pPr>
      <w:r>
        <w:rPr>
          <w:rFonts w:ascii="Amiri" w:hAnsi="Amiri" w:eastAsia="Amiri" w:cs="Amiri"/>
          <w:color w:val="111111"/>
          <w:sz w:val="28"/>
          <w:sz w:val="28"/>
          <w:szCs w:val="28"/>
          <w:rtl w:val="true"/>
          <w:lang w:bidi="ar-SA"/>
        </w:rPr>
        <w:t xml:space="preserve">فيما يفسده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البيض والبطّيخ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توصيف واختبار ، ولا سيّما في تلك المبايعات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إطلاق دليل النهي عن الغرر</w:t>
      </w:r>
      <w:r>
        <w:rPr>
          <w:rStyle w:val="FootnoteAnchor"/>
          <w:rtl w:val="true"/>
        </w:rPr>
        <w:footnoteReference w:id="1215"/>
      </w:r>
      <w:r>
        <w:rPr>
          <w:rFonts w:ascii="Amiri" w:hAnsi="Amiri" w:eastAsia="Amiri" w:cs="Amiri"/>
          <w:color w:val="111111"/>
          <w:sz w:val="28"/>
          <w:sz w:val="28"/>
          <w:szCs w:val="28"/>
          <w:rtl w:val="true"/>
          <w:lang w:bidi="ar-SA"/>
        </w:rPr>
        <w:t>، هل هو رادع عن السيرة ، أو هي مقيّدة له ؟</w:t>
      </w:r>
    </w:p>
    <w:p>
      <w:pPr>
        <w:pStyle w:val="BookText"/>
        <w:rPr/>
      </w:pPr>
      <w:r>
        <w:rPr>
          <w:rFonts w:ascii="Amiri" w:hAnsi="Amiri" w:eastAsia="Amiri" w:cs="Amiri"/>
          <w:color w:val="111111"/>
          <w:sz w:val="28"/>
          <w:sz w:val="28"/>
          <w:szCs w:val="28"/>
          <w:rtl w:val="true"/>
          <w:lang w:bidi="ar-SA"/>
        </w:rPr>
        <w:t xml:space="preserve">الأقوى الثاني ؛ لما تكرّر منّا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السيرة التي قامت الأسواق عليها ، لا يصحّ ردعها برواية واحدة ربّما لا تتجاوز عن الراوي ، فلو أراد الشارع ردع المسلمين عن عمل أو معاملة ، لكان عليه أن يعلن به بروايات متظافرة ، كما في البيع الربوي</w:t>
      </w:r>
      <w:r>
        <w:rPr>
          <w:rStyle w:val="FootnoteAnchor"/>
          <w:rtl w:val="true"/>
        </w:rPr>
        <w:footnoteReference w:id="1217"/>
      </w:r>
      <w:r>
        <w:rPr>
          <w:rFonts w:ascii="Amiri" w:hAnsi="Amiri" w:eastAsia="Amiri" w:cs="Amiri"/>
          <w:color w:val="111111"/>
          <w:sz w:val="28"/>
          <w:sz w:val="28"/>
          <w:szCs w:val="28"/>
          <w:rtl w:val="true"/>
          <w:lang w:bidi="ar-SA"/>
        </w:rPr>
        <w:t>، وبيع الخمر</w:t>
      </w:r>
      <w:r>
        <w:rPr>
          <w:rStyle w:val="FootnoteAnchor"/>
          <w:rtl w:val="true"/>
        </w:rPr>
        <w:footnoteReference w:id="1218"/>
      </w:r>
      <w:r>
        <w:rPr>
          <w:rFonts w:ascii="IRNazanin" w:hAnsi="IRNazanin" w:eastAsia="IRNazanin"/>
          <w:color w:val="111111"/>
          <w:sz w:val="28"/>
          <w:sz w:val="28"/>
          <w:szCs w:val="28"/>
          <w:rtl w:val="true"/>
          <w:lang w:bidi="fa-IR"/>
        </w:rPr>
        <w:t xml:space="preserve">، ونحوهما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حديث الغرر ، لم يصل إلينا إلاّ من أبي الحسن الرضا عليه السلام </w:t>
      </w:r>
      <w:r>
        <w:rPr>
          <w:rStyle w:val="FootnoteAnchor"/>
          <w:rtl w:val="true"/>
        </w:rPr>
        <w:footnoteReference w:id="1220"/>
      </w:r>
      <w:r>
        <w:rPr>
          <w:rFonts w:ascii="Amiri" w:hAnsi="Amiri" w:eastAsia="Amiri" w:cs="Amiri"/>
          <w:color w:val="111111"/>
          <w:sz w:val="28"/>
          <w:sz w:val="28"/>
          <w:szCs w:val="28"/>
          <w:rtl w:val="true"/>
          <w:lang w:bidi="ar-SA"/>
        </w:rPr>
        <w:t xml:space="preserve">، وكانت السيرة في تلك المعاملة قائمة في عصر سائر الأئمّة عليهم السلام بمرأى ومسمع منهم ، وكانت ممضاة ؛ لسكوتهم مع كثرة الابتلاء ، فهي مقيّدة لإطلاق الحديث ، أو كاشفة عن عدم إطلاقه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الغضّ عن الإشكالات المتقدّمة في دلالتها </w:t>
      </w:r>
      <w:r>
        <w:rPr>
          <w:rStyle w:val="FootnoteAnchor"/>
          <w:rtl w:val="true"/>
        </w:rPr>
        <w:footnoteReference w:id="1221"/>
      </w:r>
      <w:r>
        <w:rPr>
          <w:rFonts w:ascii="Amiri" w:hAnsi="Amiri" w:eastAsia="Amiri" w:cs="Amiri"/>
          <w:color w:val="111111"/>
          <w:sz w:val="28"/>
          <w:sz w:val="28"/>
          <w:szCs w:val="28"/>
          <w:rtl w:val="true"/>
          <w:lang w:bidi="ar-SA"/>
        </w:rPr>
        <w:t xml:space="preserve">، وعلى فرض الدلالة في مقدارها </w:t>
      </w:r>
      <w:r>
        <w:rPr>
          <w:rStyle w:val="FootnoteAnchor"/>
          <w:rtl w:val="true"/>
        </w:rPr>
        <w:footnoteReference w:id="1222"/>
      </w:r>
      <w:r>
        <w:rPr>
          <w:rFonts w:ascii="Amiri" w:hAnsi="Amiri" w:eastAsia="Amiri" w:cs="Amiri"/>
          <w:color w:val="111111"/>
          <w:sz w:val="28"/>
          <w:sz w:val="28"/>
          <w:szCs w:val="28"/>
          <w:rtl w:val="true"/>
          <w:lang w:bidi="ar-SA"/>
        </w:rPr>
        <w:t xml:space="preserve">، ولهذا لو فرض عدم ثبوت السيرة ، أو عدم ثبوت اتّصالها بزمانهم عليهم السلام ، فمجال إنكار الدليل على البطلان 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العلم في غير ذات المبيع ، والأوصاف التي ترجع إليها ، لا دليل معتدّ به عليه ، غاية الأمر إلحاق الأوصاف التي هي دخيلة في معظم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كالريح والطعم واللون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يراد منه ذلك، بها دون مراتب الكمال والصحّة والعيب ، إذا لم يذهب بمعظمها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إشكال في لزوم إحراز عدم الفساد المذهب للمالية ، لا للغرر ، بل لإحراز تحقّق البيع بعد تقوّمه بالمالية </w:t>
      </w:r>
      <w:r>
        <w:rPr>
          <w:rFonts w:eastAsia="Amiri" w:cs="Amiri" w:ascii="Amiri" w:hAnsi="Amiri"/>
          <w:color w:val="111111"/>
          <w:sz w:val="28"/>
          <w:szCs w:val="28"/>
          <w:rtl w:val="true"/>
          <w:lang w:bidi="ar-SA"/>
        </w:rPr>
        <w:t xml:space="preserve">. </w:t>
      </w:r>
      <w:bookmarkStart w:id="648" w:name="pg15209_204183"/>
    </w:p>
    <w:p>
      <w:pPr>
        <w:pStyle w:val="Heading4"/>
        <w:numPr>
          <w:ilvl w:val="3"/>
          <w:numId w:val="1"/>
        </w:numPr>
        <w:rPr/>
      </w:pPr>
      <w:bookmarkStart w:id="649" w:name="__RefHeading___Toc2974753_2142443653"/>
      <w:bookmarkStart w:id="650" w:name="_Toc232"/>
      <w:bookmarkEnd w:id="648"/>
      <w:bookmarkEnd w:id="649"/>
      <w:r>
        <w:rPr>
          <w:rtl w:val="true"/>
        </w:rPr>
        <w:t>مسألة في صحّة بيع ما يفسده الاختبار</w:t>
      </w:r>
      <w:bookmarkEnd w:id="650"/>
    </w:p>
    <w:p>
      <w:pPr>
        <w:pStyle w:val="Heading5"/>
        <w:numPr>
          <w:ilvl w:val="4"/>
          <w:numId w:val="1"/>
        </w:numPr>
        <w:rPr/>
      </w:pPr>
      <w:bookmarkStart w:id="651" w:name="__RefHeading___Toc2974755_2142443653"/>
      <w:bookmarkStart w:id="652" w:name="_Toc233"/>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 xml:space="preserve">قد ظهر ممّا مرّ حال الاختبار فيما يفسده ذلك ، فإنّ جواز البيع فيه بلا اختبار مطلقاً ، موافق للقاعدة ، بعد قصور دليل النهي عن الغرر عن شمول ذلك ، على الاحتمال الراجح في مفاده ، وقيام السيرة القطعية على البيع بلا اختبار في مثله ، وهي متّصلة بزمان الشارع الأقدس ، وممضاة من قبله ، فيخصّص بها دليله على الاحتمال المرجوح ، وهو إطلاق النهي وشموله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الغضّ عمّا ذكرناه ، فاشتراط الصحّة ، والبراءة من العيب ، بل وأصالة السلامة ، غير رافعة للغرر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فواضح ؛ لما تقدّم من أنّ نفس الالتزام لا يرفع الجهالة ، وكذا الثاني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الأصل ، فكونه رافعاً موقوف على حصول الوثوق منه ، ومن الواضح عدم حصوله في جميع الموارد ، ولا سيّما فيما إذا كان المبيع كثير العدد ، كشاحنة كبيرة من المذكورات </w:t>
      </w:r>
      <w:r>
        <w:rPr>
          <w:rFonts w:eastAsia="Amiri" w:cs="Amiri" w:ascii="Amiri" w:hAnsi="Amiri"/>
          <w:color w:val="111111"/>
          <w:sz w:val="28"/>
          <w:szCs w:val="28"/>
          <w:rtl w:val="true"/>
          <w:lang w:bidi="ar-SA"/>
        </w:rPr>
        <w:t xml:space="preserve">. </w:t>
      </w:r>
      <w:bookmarkStart w:id="653" w:name="pg15209_204184"/>
    </w:p>
    <w:p>
      <w:pPr>
        <w:pStyle w:val="BookText"/>
        <w:rPr/>
      </w:pPr>
      <w:bookmarkEnd w:id="653"/>
      <w:r>
        <w:rPr>
          <w:rFonts w:ascii="Amiri" w:hAnsi="Amiri" w:eastAsia="Amiri" w:cs="Amiri"/>
          <w:color w:val="111111"/>
          <w:sz w:val="28"/>
          <w:sz w:val="28"/>
          <w:szCs w:val="28"/>
          <w:rtl w:val="true"/>
          <w:lang w:bidi="ar-SA"/>
        </w:rPr>
        <w:t xml:space="preserve">نعم ، يحتمل بعيداً أن يكون نظر من اشترط البراءة من العيوب خاصّة ، إلى تخصيص حسنة جعفر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الغرر </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2974757_2142443653"/>
      <w:bookmarkStart w:id="655" w:name="_Toc234"/>
      <w:bookmarkEnd w:id="654"/>
      <w:r>
        <w:rPr>
          <w:rtl w:val="true"/>
        </w:rPr>
        <w:t>حكم ما لو تبيّن فساد المبيع</w:t>
      </w:r>
      <w:bookmarkEnd w:id="655"/>
    </w:p>
    <w:p>
      <w:pPr>
        <w:pStyle w:val="BookText"/>
        <w:rPr/>
      </w:pPr>
      <w:r>
        <w:rPr>
          <w:rFonts w:ascii="Amiri" w:hAnsi="Amiri" w:eastAsia="Amiri" w:cs="Amiri"/>
          <w:color w:val="111111"/>
          <w:sz w:val="28"/>
          <w:sz w:val="28"/>
          <w:szCs w:val="28"/>
          <w:rtl w:val="true"/>
          <w:lang w:bidi="ar-SA"/>
        </w:rPr>
        <w:t>ثمّ إنّه لو تبيّن فساد المبيع ، فإن كان بنحو لم يكن لفاسده قيمة ، وكان الفساد</w:t>
      </w:r>
    </w:p>
    <w:p>
      <w:pPr>
        <w:pStyle w:val="BookText"/>
        <w:rPr/>
      </w:pPr>
      <w:r>
        <w:rPr>
          <w:rFonts w:ascii="Amiri" w:hAnsi="Amiri" w:eastAsia="Amiri" w:cs="Amiri"/>
          <w:color w:val="111111"/>
          <w:sz w:val="28"/>
          <w:sz w:val="28"/>
          <w:szCs w:val="28"/>
          <w:rtl w:val="true"/>
          <w:lang w:bidi="ar-SA"/>
        </w:rPr>
        <w:t>حال انعقاد البيع ، فالظاهر منهم بطلانه من رأس ؛ لوقوعه على ما لا يتموّل</w:t>
      </w:r>
      <w:r>
        <w:rPr>
          <w:rStyle w:val="FootnoteAnchor"/>
          <w:rtl w:val="true"/>
        </w:rPr>
        <w:footnoteReference w:id="1224"/>
      </w:r>
      <w:r>
        <w:rPr>
          <w:rFonts w:ascii="Amiri" w:hAnsi="Amiri" w:eastAsia="Amiri" w:cs="Amiri"/>
          <w:color w:val="111111"/>
          <w:sz w:val="28"/>
          <w:sz w:val="28"/>
          <w:szCs w:val="28"/>
          <w:rtl w:val="true"/>
          <w:lang w:bidi="ar-SA"/>
        </w:rPr>
        <w:t xml:space="preserve">، ومالية المبيع من مقوّمات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في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مسامحة ، لعدم 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عبارة عن مبادلة مال بمال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البيع حين تبيّن الفساد ، لا من أصله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الانفساخ وقد انحلّ كلامه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واقعاً إلى زمان تبيّن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انفساخه حين التبيّن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وجّهه بعض بأنّ مالية الشيء بحسب حقيقتها الاعتبارية عند العقلاء، متقوّمة بميل النوع ورغبتهم فيه ، فقبل تبيّن الفساد ، تكون تلك الأعيان </w:t>
      </w:r>
    </w:p>
    <w:p>
      <w:pPr>
        <w:pStyle w:val="BookText"/>
        <w:rPr/>
      </w:pPr>
      <w:r>
        <w:rPr>
          <w:rFonts w:ascii="Amiri" w:hAnsi="Amiri" w:eastAsia="Amiri" w:cs="Amiri"/>
          <w:color w:val="111111"/>
          <w:sz w:val="28"/>
          <w:sz w:val="28"/>
          <w:szCs w:val="28"/>
          <w:rtl w:val="true"/>
          <w:lang w:bidi="ar-SA"/>
        </w:rPr>
        <w:t>مالاً حقيقة ؛ لميل الناس إليها ، وبذل المال بإزائها ، وعند التبيّن ينقضي أمد الاعتبار ، فتسقط عن المالية حقيقة ؛ لسقوط موضوعها ، فالبيع صحيح وواقع بين مالين حقيقة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التوجيه محمل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xml:space="preserve">، واحتمله الشيخ الأعظم قدّس سرّه أيضاً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فيه ؛ ضرورة أنّ ذلك مخالف لما عليه العقلاء ، فإنّ الشيء الفاسد الذي كان فساده مكتوماً ، إذا ظهر وتبيّن فساده ، 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سقط حال التبيّن 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توهّمت فيه المالية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فالعقلاء يخطّئون نظرهم في توهّم المالية ، ولا يصوّبونه ، وهذا واضح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المالية ليست من الاعتباريات الجزافية ، بل ناشئة من الاُمور الواقعية ، ككون الشيء ذا خاصّية وأثر ، بهما يصير مورد الرغبة والميل ، وقد يكون اختلاف القيم والماليات لعزّة الوجود أو قلّته ، وكثرة الحاجة وعوامل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اعتبار المالية ، لمحض ميل الناس ، ولو نشأ عن أمر متوهّم فيما هو مستور الفساد أو مجهول الذات ، فالخرزة التي لا قيمة لها ، لو تخيّلها الناس ياقوتة تساوي مائة دينار ، فمالوا إليها لهذا التوهّم ، لا تصير مالاً واقعاً ؛ لعدم</w:t>
      </w:r>
    </w:p>
    <w:p>
      <w:pPr>
        <w:pStyle w:val="BookText"/>
        <w:rPr/>
      </w:pPr>
      <w:r>
        <w:rPr>
          <w:rFonts w:ascii="Amiri" w:hAnsi="Amiri" w:eastAsia="Amiri" w:cs="Amiri"/>
          <w:color w:val="111111"/>
          <w:sz w:val="28"/>
          <w:sz w:val="28"/>
          <w:szCs w:val="28"/>
          <w:rtl w:val="true"/>
          <w:lang w:bidi="ar-SA"/>
        </w:rPr>
        <w:t xml:space="preserve">الخاصّية التي للياقوتة فيها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الميل ولو لمنشأ باطل ، وخطأ في التطبيق ، مناط المالية ، بل </w:t>
      </w:r>
    </w:p>
    <w:p>
      <w:pPr>
        <w:pStyle w:val="BookText"/>
        <w:rPr/>
      </w:pPr>
      <w:r>
        <w:rPr>
          <w:rFonts w:ascii="Amiri" w:hAnsi="Amiri" w:eastAsia="Amiri" w:cs="Amiri"/>
          <w:color w:val="111111"/>
          <w:sz w:val="28"/>
          <w:sz w:val="28"/>
          <w:szCs w:val="28"/>
          <w:rtl w:val="true"/>
          <w:lang w:bidi="ar-SA"/>
        </w:rPr>
        <w:t xml:space="preserve">الخاصّية التي في الأشياء الموجبة للرغبات مناطها ، فالمالية لها واقعية اعتبارية ، ولها منشأ حقيقي ، قد يصيب الناس بالنسبة إليها ، وقد يخطأون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نظر الشهيد قدّس سرّه ، إلى أنّ ماهية البيع ليست مبادلة مال بمال ، بل تمليك العين بالعوض ، وإن لم يكن بحسب الواقع مالاً ، ففي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مالية الشيء بحسب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حجّية لقول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 نّه مبادلة مال بمال</w:t>
      </w:r>
      <w:r>
        <w:rPr>
          <w:rStyle w:val="FootnoteAnchor"/>
          <w:rtl w:val="true"/>
        </w:rPr>
        <w:footnoteReference w:id="1229"/>
      </w:r>
      <w:r>
        <w:rPr>
          <w:rFonts w:ascii="Amiri" w:hAnsi="Amiri" w:eastAsia="Amiri" w:cs="Amiri"/>
          <w:color w:val="111111"/>
          <w:sz w:val="28"/>
          <w:sz w:val="28"/>
          <w:szCs w:val="28"/>
          <w:rtl w:val="true"/>
          <w:lang w:bidi="ar-SA"/>
        </w:rPr>
        <w:t xml:space="preserve">،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 المال الواقعي ، لا العلمي ، بل المناط نظر العرف ، فإذا اشترى بيضاً ، فظهر فساده بعد كسره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 نّه أنشأ صورة الاشتراء ، ولم يكن بيعاً وشراءً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إذا أخذ في الإنشاء ما لا يتموّل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الحشرة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الكفّ من الماء في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يعدّ بيعاً ، كالبيع بلا ثمن ، أو بلا مثمن ، فإذا 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تصحيحه بإطلاق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فرض عدم كونه مالاً ، يكون أخذ الثمن في مقابله من أكل المال بالباطل ، فإذا انكشف الواقع ، ينكشف بطلانه من 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وجه معتدّ به للقول بالصحّة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الانفساخ من الحين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يوجّه باندراجه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على عموم القاعدة لمطلق الخيارات ، فإنّ الفاسد الواقعي المفروض كونه مالاً واقعاً ، حيث وقع في معرض السقوط عن المالية فهو معيب ، فإذا سقطت ماليته بالتلف ، كان ذلك في زمن الخيار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ظهور العيب سبب للخيار؛ فإنّ ظهور الفساد سبب للخيار ، وسبب للتلف، فالتلف مقارن للخيار زماناً ، وهو كافٍ ؛ فإنّ سبقه أجنبيّ عن وقوعه فيه</w:t>
      </w:r>
      <w:r>
        <w:rPr>
          <w:rStyle w:val="FootnoteAnchor"/>
          <w:rtl w:val="true"/>
        </w:rPr>
        <w:footnoteReference w:id="1230"/>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الشيء في معرض سقوط المالية ، ليس عيباً وعواراً عقلاً ، ولا عرفاً ، ولا واقعاً ، ولو كان ذلك عيباً ، لكانت معرضيته لنقص المالية أيضاً عيباً بهذا الملاك ، ولكان الماء في المفازة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معرضاً لجريان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هذه المعرضية موجبة لنقص المالية ، لا العيب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هو النقص عن الخلقة الأصلية ، والمفروض عدم لحاظ باطن الشيء المكتوم ، وإلاّ لكان غير متموّل لا معيباً ، بل المفروض لحاظ الظاهر فقط ، وكونه في معرض السقوط عن المالية ، ليس نقصاً في الخلقة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المفروض أنّ المشتري عالم بهذه المعرضية ؛ بدليل اختباره الدالّ على احتمال الفساد الموجب للسقوط عن المالية أحياناً ، وإطلاق كلام الشهيد قدّس سرّه شامل لهذا الفرض ، ومع علم المشتري بالعيب لا يثبت له الخيار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التلف وقع بفعله ، لأنّ المفروض أ نّه كسره للاختبار ، ومع كونه بفعله لم يكن على البائع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مقارنة زمان الخيار والتلف وإن كانت كافية ، لكن مقارنة انفساخ البيع والخيار ، ممّا لا تصحّ ، وفي المقام إنّ سبب الخيار ظهور العيب ، وهو عيناً سبب انفساخه ، ولا معنى لحدوث الخيار عند حدوث الانفساخ ، حتّى يكون التلف في زمنه ممّن لا خيار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التوجيه المذكور ، أضعف من أصل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 في الضعف ما احتمله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إذا سقط عن المالية ؛ لأمر سابق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فساده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ضمان البائع ، فينفسخ البيع حينئذٍ</w:t>
      </w:r>
      <w:r>
        <w:rPr>
          <w:rStyle w:val="FootnoteAnchor"/>
          <w:rtl w:val="true"/>
        </w:rPr>
        <w:footnoteReference w:id="1231"/>
      </w:r>
      <w:r>
        <w:rPr>
          <w:rFonts w:ascii="Amiri" w:hAnsi="Amiri" w:eastAsia="Amiri" w:cs="Amiri"/>
          <w:color w:val="111111"/>
          <w:sz w:val="28"/>
          <w:sz w:val="28"/>
          <w:szCs w:val="28"/>
          <w:rtl w:val="true"/>
          <w:lang w:bidi="ar-SA"/>
        </w:rPr>
        <w:t xml:space="preserve">فإنّه دعوى بلا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الأمر السابق إذا كان سبباً للسقوط ، وكان بفعل البائع ، لا يوجب ذلك الانفساخ ، بل يوجب ضمان الإتلاف بناءً على صدقه في مثل المقام ، كما لا يبعد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ثمرة الخلاف ، تظهر في ترتّب آثار ملكية المشتري للثمن ، فلو اتّجر البائع به إلى زمان فساد البيع ، كان صحيحاً لازماً على مسلك الشهيد قدّس سرّه ، وعند انفساخ المعاملة ، يرجع المشتري إلى بدل ماله ؛ لأنّ البيع اللازم لا وجه لانفساخه ، فهو بمنزلة الإتلاف ، ويكون فضولياً على مسلك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الاتّجار بالمثمن ، فصحيح إلى زمن ظهور فساد المبيع على قوله ، فلو وقعت معاملات عديدة عليه تكون صحيحة ، وبظهور فساده ينفسخ الجميع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كسر البائع المبيع ففسدت ماليته ، فمقتضى قوله ضمانه للمشتري ؛ لأنّ الإتلاف وقع في ملكه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الإتلاف غير صادق بعيد عن الصواب ، بل لو فرض عدم صدقه ، فلا ينبغي الإشكال في الضمان ؛ لأ نّه أمر عقلائي ثابت في مثل المقام ، بل فيما لا يكون مال الغير كإتلاف الوقف العامّ ، والمساجد ، والمشاهد ، فحينئذٍ يكون على البائع المتلف ضمان المثل للإتلاف ، وإرجاع ثمن المعاوضة للانفساخ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المتلف أجنبيّاً ، فعليه ضمان الإتلاف للمشتري ، وعلى البائع ردّ ثمنه للانفساخ ، ولا أظنّ التزام الشهيد قدّس سرّه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هذا ونحوه من شواهد عدم صحّة ما التزمه ، وإن كان عدمها واضحاً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2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تظهر في مؤونة نقله عن الموضع الذي اشتراه إلى موضع اختباره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المؤونة على البائع على أيّ حال ؛ لأ نّه غارّ في الصورتين ، والمغرور يرجع إلى غارّه ولو في نقل ماله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إلاّ مع العلم والعمد ؛ فإنّه بمعنى الخدعة ، ولعلّ قاعدته على ذلك عقلائية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مجرى لقاعدته ، حتّى مع أمر البائع بإخراج ماله ظاهراً عن بيته ؛ فإنّ مجرّد الأمر لا يوجب الغرور ، ولا الضمان ، فلو أمر غيره بأن يأكل مال </w:t>
      </w:r>
    </w:p>
    <w:p>
      <w:pPr>
        <w:pStyle w:val="BookText"/>
        <w:rPr/>
      </w:pPr>
      <w:r>
        <w:rPr>
          <w:rFonts w:ascii="Amiri" w:hAnsi="Amiri" w:eastAsia="Amiri" w:cs="Amiri"/>
          <w:color w:val="111111"/>
          <w:sz w:val="28"/>
          <w:sz w:val="28"/>
          <w:szCs w:val="28"/>
          <w:rtl w:val="true"/>
          <w:lang w:bidi="ar-SA"/>
        </w:rPr>
        <w:t xml:space="preserve">نفسه ، مع كونه عالماً بالواقعة ، لا يكون الآمر ضامناً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w:t>
      </w:r>
      <w:r>
        <w:rPr>
          <w:rStyle w:val="FootnoteAnchor"/>
          <w:rtl w:val="true"/>
        </w:rPr>
        <w:footnoteReference w:id="1236"/>
      </w:r>
      <w:r>
        <w:rPr>
          <w:rFonts w:ascii="IRNazanin" w:hAnsi="IRNazanin" w:eastAsia="IRNazanin"/>
          <w:color w:val="111111"/>
          <w:sz w:val="28"/>
          <w:sz w:val="28"/>
          <w:szCs w:val="28"/>
          <w:rtl w:val="true"/>
          <w:lang w:bidi="fa-IR"/>
        </w:rPr>
        <w:t xml:space="preserve">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1237"/>
      </w:r>
      <w:r>
        <w:rPr>
          <w:rFonts w:ascii="Amiri" w:hAnsi="Amiri" w:eastAsia="Amiri" w:cs="Amiri"/>
          <w:color w:val="111111"/>
          <w:sz w:val="28"/>
          <w:sz w:val="28"/>
          <w:szCs w:val="28"/>
          <w:rtl w:val="true"/>
          <w:lang w:bidi="ar-SA"/>
        </w:rPr>
        <w:t xml:space="preserve">؛ من أنّ الرجوع إلى البائع لا مقتضي له ، فالمؤونة على أيّ تقدير على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فرض صحّة المعاملة فواضح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فرض البطلان ؛ فلعدم دليل على ضمانه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مؤونة نقله عن موضع الكسر ، فمع كونه ملكاً للبائع وإن لم يكن مالاً ، فالظاهر عدم كون المؤونة على المشتري ،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إلى زمان 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بالفساد فالظاهر أ نّها على المشتري ، كسائر ما قبض بالعقد الفاسد ، كما مرّ في محلّه</w:t>
      </w:r>
      <w:r>
        <w:rPr>
          <w:rStyle w:val="FootnoteAnchor"/>
          <w:rtl w:val="true"/>
        </w:rPr>
        <w:footnoteReference w:id="1238"/>
      </w:r>
      <w:r>
        <w:rPr>
          <w:rFonts w:ascii="Amiri" w:hAnsi="Amiri" w:eastAsia="Amiri" w:cs="Amiri"/>
          <w:color w:val="111111"/>
          <w:sz w:val="28"/>
          <w:sz w:val="28"/>
          <w:szCs w:val="28"/>
          <w:rtl w:val="true"/>
          <w:lang w:bidi="ar-SA"/>
        </w:rPr>
        <w:t xml:space="preserve">، فلا بدّ للمشتري من تحويل المقبوض إلى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ملكاً ، ووجب تفريغ المحلّ منه ، فالظاهر أنّ المؤونة على المشتري ؛ لأ نّه الذي أشغل المحلّ به ، وعليه التفريغ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تنزيه المحلّ الشريف منه واجب كفائي على جميع المكلّفين ، فلا يجب على خصوص من أشغله</w:t>
      </w:r>
      <w:r>
        <w:rPr>
          <w:rStyle w:val="FootnoteAnchor"/>
          <w:rtl w:val="true"/>
        </w:rPr>
        <w:footnoteReference w:id="1239"/>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لم يمكن إلزامه بذلك ، أو لم يتمكّن منه ، يجب على سائر المكلّفين كفاية ، وعليه ضمانه </w:t>
      </w:r>
      <w:r>
        <w:rPr>
          <w:rFonts w:eastAsia="Amiri" w:cs="Amiri" w:ascii="Amiri" w:hAnsi="Amiri"/>
          <w:color w:val="111111"/>
          <w:sz w:val="28"/>
          <w:szCs w:val="28"/>
          <w:rtl w:val="true"/>
          <w:lang w:bidi="ar-SA"/>
        </w:rPr>
        <w:t xml:space="preserve">. </w:t>
      </w:r>
      <w:bookmarkStart w:id="656" w:name="pg15209_204191"/>
    </w:p>
    <w:p>
      <w:pPr>
        <w:pStyle w:val="Heading5"/>
        <w:numPr>
          <w:ilvl w:val="4"/>
          <w:numId w:val="1"/>
        </w:numPr>
        <w:rPr/>
      </w:pPr>
      <w:bookmarkStart w:id="657" w:name="__RefHeading___Toc2974759_2142443653"/>
      <w:bookmarkStart w:id="658" w:name="_Toc235"/>
      <w:bookmarkEnd w:id="656"/>
      <w:bookmarkEnd w:id="657"/>
      <w:r>
        <w:rPr>
          <w:rtl w:val="true"/>
        </w:rPr>
        <w:t>حكم البراءة من عيب ما لا قيمة لمكسوره</w:t>
      </w:r>
      <w:bookmarkEnd w:id="658"/>
    </w:p>
    <w:p>
      <w:pPr>
        <w:pStyle w:val="BookText"/>
        <w:rPr/>
      </w:pPr>
      <w:r>
        <w:rPr>
          <w:rFonts w:ascii="Amiri" w:hAnsi="Amiri" w:eastAsia="Amiri" w:cs="Amiri"/>
          <w:color w:val="111111"/>
          <w:sz w:val="28"/>
          <w:sz w:val="28"/>
          <w:szCs w:val="28"/>
          <w:rtl w:val="true"/>
          <w:lang w:bidi="ar-SA"/>
        </w:rPr>
        <w:t>ثمّ إنّ المحكيّ</w:t>
      </w:r>
      <w:r>
        <w:rPr>
          <w:rStyle w:val="FootnoteAnchor"/>
          <w:rtl w:val="true"/>
        </w:rPr>
        <w:footnoteReference w:id="1240"/>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w:t>
      </w:r>
      <w:r>
        <w:rPr>
          <w:rStyle w:val="FootnoteAnchor"/>
          <w:rtl w:val="true"/>
        </w:rPr>
        <w:footnoteReference w:id="1242"/>
      </w:r>
      <w:r>
        <w:rPr>
          <w:rFonts w:ascii="Amiri" w:hAnsi="Amiri" w:eastAsia="Amiri" w:cs="Amiri"/>
          <w:color w:val="111111"/>
          <w:sz w:val="28"/>
          <w:sz w:val="28"/>
          <w:szCs w:val="28"/>
          <w:rtl w:val="true"/>
          <w:lang w:bidi="ar-SA"/>
        </w:rPr>
        <w:t xml:space="preserve">وأتباعه قدّس سرّه </w:t>
      </w:r>
      <w:r>
        <w:rPr>
          <w:rStyle w:val="FootnoteAnchor"/>
          <w:rtl w:val="true"/>
        </w:rPr>
        <w:footnoteReference w:id="1243"/>
      </w:r>
      <w:r>
        <w:rPr>
          <w:rFonts w:ascii="Amiri" w:hAnsi="Amiri" w:eastAsia="Amiri" w:cs="Amiri"/>
          <w:color w:val="111111"/>
          <w:sz w:val="28"/>
          <w:sz w:val="28"/>
          <w:szCs w:val="28"/>
          <w:rtl w:val="true"/>
          <w:lang w:bidi="ar-SA"/>
        </w:rPr>
        <w:t xml:space="preserve">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لو تبرّأ البائع من العيب فيما لا قيمة لمكسوره 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 نّه أكل مال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مبنى بطلان بيع ما لا قيمة لمكسوره ، هو كون أخذ الثمن في قباله أكلاً بالباطل بعد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 بدعوى كونه تمليكاً بالعوض ، يمكن تصحيحه ببراءة البائع من العيوب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مقصود العقلاء في المعاملات نوعاً ، إعطاء الثمن في قبال المال ، فالتمليك بالعوض وإن كفى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إلاّ أ نّه إذا كان المملوك غير متموّل ، يعدّ أكل ثمنه الذي يعطى لتحصيل المال ، أكلاً بالباطل ، هذا إذا لم يبرأ من العيوب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البراءة منها ، واحتمال كون المبيع فاسداً لا قيمة له ، يقع الثمن بإزاء الملك الخارجي برجاء السلامة ، وفي مثله لا يكون أخذ الثمن أكلاً بالباطل بعد تحقّق الغرض العقلائي فيه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 نّه مع العلم بالفساد ، يمكن تعلّق غرض عقلائي به ، كما لو اشتراه للعب </w:t>
      </w:r>
    </w:p>
    <w:p>
      <w:pPr>
        <w:pStyle w:val="BookText"/>
        <w:rPr/>
      </w:pPr>
      <w:r>
        <w:rPr>
          <w:rFonts w:ascii="Amiri" w:hAnsi="Amiri" w:eastAsia="Amiri" w:cs="Amiri"/>
          <w:color w:val="111111"/>
          <w:sz w:val="28"/>
          <w:sz w:val="28"/>
          <w:szCs w:val="28"/>
          <w:rtl w:val="true"/>
          <w:lang w:bidi="ar-SA"/>
        </w:rPr>
        <w:t xml:space="preserve">أطفاله ، أو لتزيين الرفوف ، فلا يقع باطلاً ، ولا يكون أخذ الثمن في قباله أكلاً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نظر الشيخ قدّس سرّه ومن تبعه في الصحّة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ببطلان البيع من أصله إذا لم يكن لمكسوره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تقريب البطلان مع البراءة من العيب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بصحّته في نفسه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الصحّة هو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لما تقدّم ، وعدم كون أخذ الثمن في قباله أكلاً بالباطل ؛ لأجل ثبوت الأرش على فرض الفساد ، ومع البراءة من العيب ، الموجب لعدم ثبوت الخيار والأرش التابع له ، يعدّ أخذ المال في قباله أكلاً بالباطل ، فيقع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البراءة منها لا تصحّح الباطل ، ولا تبطل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مبنى البطلان هو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مبادلة مال بمال ، أو تحقّق الغرر ، والبراءة لا توجب الصدق ، ولا ترفع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ومبنى الصحّة هو الصدق عرفاً ، وعدم كون أخذ الثمن أكلاً بالباطل ، إذا كان الإعطاء لغرض عقلائي ، والبراءة منها لا تضرّ بهما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سهل بعد كون المقصود إبداء الاحتمال ، لا التحقيق عن حقيقة الحال ، وقد مرّ ما هو الأقوى</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bookmarkStart w:id="659" w:name="pg15209_204193"/>
    </w:p>
    <w:p>
      <w:pPr>
        <w:pStyle w:val="Heading4"/>
        <w:numPr>
          <w:ilvl w:val="3"/>
          <w:numId w:val="1"/>
        </w:numPr>
        <w:rPr/>
      </w:pPr>
      <w:bookmarkStart w:id="660" w:name="__RefHeading___Toc2974761_2142443653"/>
      <w:bookmarkStart w:id="661" w:name="_Toc236"/>
      <w:bookmarkEnd w:id="659"/>
      <w:bookmarkEnd w:id="660"/>
      <w:r>
        <w:rPr>
          <w:rtl w:val="true"/>
        </w:rPr>
        <w:t>مسألة في جواز بيع المسك في فأرته</w:t>
      </w:r>
      <w:bookmarkEnd w:id="661"/>
    </w:p>
    <w:p>
      <w:pPr>
        <w:pStyle w:val="BookText"/>
        <w:rPr/>
      </w:pPr>
      <w:r>
        <w:rPr>
          <w:rFonts w:ascii="Amiri" w:hAnsi="Amiri" w:eastAsia="Amiri" w:cs="Amiri"/>
          <w:color w:val="111111"/>
          <w:sz w:val="28"/>
          <w:sz w:val="28"/>
          <w:szCs w:val="28"/>
          <w:rtl w:val="true"/>
          <w:lang w:bidi="ar-SA"/>
        </w:rPr>
        <w:t>يجوز بيع المسك في فأرته ؛ لإطلاق الأدلّة وعمومها ولا مخصّص لها ؛ لطهارتها ، وعدم شمول دليل الغرر للأوصاف المجهولة كما تقدّم</w:t>
      </w:r>
      <w:r>
        <w:rPr>
          <w:rStyle w:val="FootnoteAnchor"/>
          <w:rtl w:val="true"/>
        </w:rPr>
        <w:footnoteReference w:id="1245"/>
      </w:r>
      <w:r>
        <w:rPr>
          <w:rFonts w:ascii="Amiri" w:hAnsi="Amiri" w:eastAsia="Amiri" w:cs="Amiri"/>
          <w:color w:val="111111"/>
          <w:sz w:val="28"/>
          <w:sz w:val="28"/>
          <w:szCs w:val="28"/>
          <w:rtl w:val="true"/>
          <w:lang w:bidi="ar-SA"/>
        </w:rPr>
        <w:t xml:space="preserve">، واحتمال الفساد يرفع بأصالة السلامة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دفع الغرر بها ، لكن الجهل بوصف السلامة ، لا يدخل في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الجهل بالوزن ، فهو مضرّ إذا كان المبيع موزوناً ، والفأرة والمسك الذي فيها لا يباع موزوناً ، بل يباع معدوداً ، فلا يضرّ الجهل بوزنه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قيام السيرة على بيعه بما احتواه ، مخصّص لإطلاق نهي الغرر على فرض الشمول ، إلاّ أن يمنع قيامها ، أو اتّصالها بزمان المعصوم عليه السلام ، والأمر سهل بعد اقتضاء القواعد للصحّة ، وموافقتها لفتوى المشهور على المحكيّ</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662" w:name="pg15209_204194"/>
    </w:p>
    <w:p>
      <w:pPr>
        <w:pStyle w:val="Heading4"/>
        <w:numPr>
          <w:ilvl w:val="3"/>
          <w:numId w:val="1"/>
        </w:numPr>
        <w:rPr/>
      </w:pPr>
      <w:bookmarkStart w:id="663" w:name="__RefHeading___Toc2974763_2142443653"/>
      <w:bookmarkStart w:id="664" w:name="_Toc237"/>
      <w:bookmarkEnd w:id="662"/>
      <w:bookmarkEnd w:id="663"/>
      <w:r>
        <w:rPr>
          <w:rtl w:val="true"/>
        </w:rPr>
        <w:t>مسألة في عدم جواز بيع المجهول مع الضميمة</w:t>
      </w:r>
      <w:bookmarkEnd w:id="664"/>
    </w:p>
    <w:p>
      <w:pPr>
        <w:pStyle w:val="Heading5"/>
        <w:numPr>
          <w:ilvl w:val="4"/>
          <w:numId w:val="1"/>
        </w:numPr>
        <w:rPr/>
      </w:pPr>
      <w:bookmarkStart w:id="665" w:name="__RefHeading___Toc2974765_2142443653"/>
      <w:bookmarkStart w:id="666" w:name="_Toc238"/>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 xml:space="preserve">مقتضى القواعد عدم جواز بيع المجهول الذي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جوازه منفرداً مع ضميمة شيء معلوم إليه أيضاً ، كضميمة شيء إلى المكيل المجهول كيله ، أو المعدود المجهول عدده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الغرر جارٍ في مطلق صفات المبيع ، ولو لم تكن دخيلة في ذات المعاملة ، فلا تصير ضميمة المعلوم إلى مجهول الصفة ، موجبة لصحّته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والفقهاء عنونوا المسألة في متونهم فيما وردت النصوص فيه ، تبعاً لها ، كبيع ما في الضرع من الألبان</w:t>
      </w:r>
      <w:r>
        <w:rPr>
          <w:rStyle w:val="FootnoteAnchor"/>
          <w:rtl w:val="true"/>
        </w:rPr>
        <w:footnoteReference w:id="1247"/>
      </w:r>
      <w:r>
        <w:rPr>
          <w:rFonts w:ascii="Amiri" w:hAnsi="Amiri" w:eastAsia="Amiri" w:cs="Amiri"/>
          <w:color w:val="111111"/>
          <w:sz w:val="28"/>
          <w:sz w:val="28"/>
          <w:szCs w:val="28"/>
          <w:rtl w:val="true"/>
          <w:lang w:bidi="ar-SA"/>
        </w:rPr>
        <w:t>وبيع ما في الأجمة من السموك</w:t>
      </w:r>
      <w:r>
        <w:rPr>
          <w:rStyle w:val="FootnoteAnchor"/>
          <w:rtl w:val="true"/>
        </w:rPr>
        <w:footnoteReference w:id="1248"/>
      </w:r>
      <w:r>
        <w:rPr>
          <w:rFonts w:ascii="Amiri" w:hAnsi="Amiri" w:eastAsia="Amiri" w:cs="Amiri"/>
          <w:color w:val="111111"/>
          <w:sz w:val="28"/>
          <w:sz w:val="28"/>
          <w:szCs w:val="28"/>
          <w:rtl w:val="true"/>
          <w:lang w:bidi="ar-SA"/>
        </w:rPr>
        <w:t>وبيع الحمل</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واختلفوا في صحّتها مع الضميمة المعلومة وعدمها ، وحكي عن قدماء أصحابنا </w:t>
      </w:r>
      <w:r>
        <w:rPr>
          <w:rStyle w:val="FootnoteAnchor"/>
          <w:rtl w:val="true"/>
        </w:rPr>
        <w:footnoteReference w:id="1250"/>
      </w:r>
      <w:r>
        <w:rPr>
          <w:rFonts w:ascii="Amiri" w:hAnsi="Amiri" w:eastAsia="Amiri" w:cs="Amiri"/>
          <w:color w:val="111111"/>
          <w:sz w:val="28"/>
          <w:sz w:val="28"/>
          <w:szCs w:val="28"/>
          <w:rtl w:val="true"/>
          <w:lang w:bidi="ar-SA"/>
        </w:rPr>
        <w:t xml:space="preserve">إلى زمان ابن إدريس ،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 وعن ابن إدريس</w:t>
      </w:r>
      <w:r>
        <w:rPr>
          <w:rStyle w:val="FootnoteAnchor"/>
          <w:rtl w:val="true"/>
        </w:rPr>
        <w:footnoteReference w:id="1251"/>
      </w:r>
      <w:r>
        <w:rPr>
          <w:rFonts w:ascii="Amiri" w:hAnsi="Amiri" w:eastAsia="Amiri" w:cs="Amiri"/>
          <w:color w:val="111111"/>
          <w:sz w:val="28"/>
          <w:sz w:val="28"/>
          <w:szCs w:val="28"/>
          <w:rtl w:val="true"/>
          <w:lang w:bidi="ar-SA"/>
        </w:rPr>
        <w:t>وجمع من المتأخّرين</w:t>
      </w:r>
      <w:r>
        <w:rPr>
          <w:rStyle w:val="FootnoteAnchor"/>
          <w:rtl w:val="true"/>
        </w:rPr>
        <w:footnoteReference w:id="1252"/>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بالبطلان</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التفصيل المتراءى من ظاهر كلام العلاّمة قدّس سرّه </w:t>
      </w:r>
      <w:r>
        <w:rPr>
          <w:rStyle w:val="FootnoteAnchor"/>
          <w:rtl w:val="true"/>
        </w:rPr>
        <w:footnoteReference w:id="1254"/>
      </w:r>
      <w:r>
        <w:rPr>
          <w:rFonts w:ascii="Amiri" w:hAnsi="Amiri" w:eastAsia="Amiri" w:cs="Amiri"/>
          <w:color w:val="111111"/>
          <w:sz w:val="28"/>
          <w:sz w:val="28"/>
          <w:szCs w:val="28"/>
          <w:rtl w:val="true"/>
          <w:lang w:bidi="ar-SA"/>
        </w:rPr>
        <w:t xml:space="preserve">، الذي فصّله وأوضحه كثير منهم ، كالشيخ الأعظم قدّس سرّه </w:t>
      </w:r>
      <w:r>
        <w:rPr>
          <w:rStyle w:val="FootnoteAnchor"/>
          <w:rtl w:val="true"/>
        </w:rPr>
        <w:footnoteReference w:id="1255"/>
      </w:r>
      <w:r>
        <w:rPr>
          <w:rFonts w:ascii="IRNazanin" w:hAnsi="IRNazanin" w:eastAsia="IRNazanin"/>
          <w:color w:val="111111"/>
          <w:sz w:val="28"/>
          <w:sz w:val="28"/>
          <w:szCs w:val="28"/>
          <w:rtl w:val="true"/>
          <w:lang w:bidi="fa-IR"/>
        </w:rPr>
        <w:t>ومن تبعه</w:t>
      </w:r>
      <w:r>
        <w:rPr>
          <w:rStyle w:val="FootnoteAnchor"/>
          <w:rtl w:val="true"/>
        </w:rPr>
        <w:footnoteReference w:id="1256"/>
      </w:r>
      <w:r>
        <w:rPr>
          <w:rFonts w:ascii="Amiri" w:hAnsi="Amiri" w:eastAsia="Amiri" w:cs="Amiri"/>
          <w:color w:val="111111"/>
          <w:sz w:val="28"/>
          <w:sz w:val="28"/>
          <w:szCs w:val="28"/>
          <w:rtl w:val="true"/>
          <w:lang w:bidi="ar-SA"/>
        </w:rPr>
        <w:t xml:space="preserve">، فهو أجنبيّ عن تلك المسألة ؛ فإنّ ما هو المعنون في متون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بيع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بيعه مع ضمّ ما هو معلوم إليه باطل أو صحيح ، فالمفروض هو بيع المجهول بضميمة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بيع المعلوم مع شرط مجهول ، أو بيع معلوم متقيّد بمجهول ، أو بيعه مع الجهل بتبعاته العرفية ، أو أجزائه الداخلية ، كلّها أجنبيّة عن المسألة ، لا أ نّها تفصيل فيها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هي مسائل مستقلّة ، يصحّ البحث عنها ، مثل أن يبحث عن أنّ الغرر هل يختصّ بالبيع ، أو يجري في الشروط أيضاً ؟ </w:t>
      </w:r>
      <w:bookmarkStart w:id="667" w:name="pg15209_204196"/>
    </w:p>
    <w:p>
      <w:pPr>
        <w:pStyle w:val="BookText"/>
        <w:rPr/>
      </w:pPr>
      <w:bookmarkEnd w:id="667"/>
      <w:r>
        <w:rPr>
          <w:rFonts w:ascii="Amiri" w:hAnsi="Amiri" w:eastAsia="Amiri" w:cs="Amiri"/>
          <w:color w:val="111111"/>
          <w:sz w:val="28"/>
          <w:sz w:val="28"/>
          <w:szCs w:val="28"/>
          <w:rtl w:val="true"/>
          <w:lang w:bidi="ar-SA"/>
        </w:rPr>
        <w:t>أو أنّ الشرط الغرري يوجب بطلان البيع ، أو إسراء الغرر إليه أو لا ؟</w:t>
      </w:r>
    </w:p>
    <w:p>
      <w:pPr>
        <w:pStyle w:val="BookText"/>
        <w:rPr/>
      </w:pPr>
      <w:r>
        <w:rPr>
          <w:rFonts w:ascii="Amiri" w:hAnsi="Amiri" w:eastAsia="Amiri" w:cs="Amiri"/>
          <w:color w:val="111111"/>
          <w:sz w:val="28"/>
          <w:sz w:val="28"/>
          <w:szCs w:val="28"/>
          <w:rtl w:val="true"/>
          <w:lang w:bidi="ar-SA"/>
        </w:rPr>
        <w:t>أو العلم بجميع أجزاء المبيع أو ما يدخل فيه ، لازم في دفع الغرر أو لا ؟</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منها ليس من أقسام بيع المجهول مع الضميمة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المتأمّل في كلام العلاّمة قدّس سرّه ، يجد أ نّه لم يفصّل في تلك المسألة ، وإن كان يوهم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عطف النظر إلى تلك المسألة المبحوث عنها قديماً وحديثاً ، وإلى أنّ مقتضى القواعد فيها الصحّة أو البطلان ، ثمّ النظر إلى النصوص الواردة ، ومقدار دلالتها ، فنقول </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2974767_2142443653"/>
      <w:bookmarkStart w:id="669" w:name="_Toc239"/>
      <w:bookmarkEnd w:id="668"/>
      <w:r>
        <w:rPr>
          <w:rtl w:val="true"/>
        </w:rPr>
        <w:t>مقتضى القواعد في بيع المجهول مع الضميمة</w:t>
      </w:r>
      <w:bookmarkEnd w:id="669"/>
    </w:p>
    <w:p>
      <w:pPr>
        <w:pStyle w:val="BookText"/>
        <w:rPr/>
      </w:pPr>
      <w:r>
        <w:rPr>
          <w:rFonts w:ascii="Amiri" w:hAnsi="Amiri" w:eastAsia="Amiri" w:cs="Amiri"/>
          <w:color w:val="111111"/>
          <w:sz w:val="28"/>
          <w:sz w:val="28"/>
          <w:szCs w:val="28"/>
          <w:rtl w:val="true"/>
          <w:lang w:bidi="ar-SA"/>
        </w:rPr>
        <w:t xml:space="preserve">قد مرّ منّا 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صلي الله عليه و آله وسلم عن بيع الغرر</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 اختصاصه بنفس البيع الذي يرجع إلى المبيع بما هو مبيع ، أو يكون كناية عن المبيع بما هو كذلك</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ولازمه بطلانه في موردين ، بناءً على كون الغرر بمعنى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بذات المبيع ، كالجهالة بأ نّه حنطة أو شعير ، وبأ نّه ياقوتة أو خرزة من زجاج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بكمّة المتّصل أو المنفصل ، حيث ترجع الجهالة إلى المبيع فيما يكال أو يوزن أو يعدّ أو يذرع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الجهل بسائر الأوصاف ، فليس غرراً في البيع ، ولا في المبيع بما هو 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كثيراً ما يكون شيء مكيلاً أو موزوناً في حال دون حال ، وكذا في المعدود والمذروع ، فالأنعام قبل ذبحها لا تكون موزونة ، وإن كانت قيمتها تختلف باختلاف أوزانها ، لكن تباع بالمشاهدة لا بالوزن ، وبعد ذبحها تكون لحومها موزونة ، يبطل بيعها جزافاً وبلا 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والطاقة من الحرير قبل أن تخاط ، تكون مذروعةً ، وبعد صيرورتها قميصاً لا تكون مذروعة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الجهل بالكمّيات المتّصلة أو المنفصلة ، يوجب الجهل بالمبيع</w:t>
      </w:r>
      <w:r>
        <w:rPr>
          <w:rStyle w:val="FootnoteAnchor"/>
          <w:rtl w:val="true"/>
        </w:rPr>
        <w:footnoteReference w:id="1259"/>
      </w:r>
      <w:r>
        <w:rPr>
          <w:rFonts w:ascii="Amiri" w:hAnsi="Amiri" w:eastAsia="Amiri" w:cs="Amiri"/>
          <w:color w:val="111111"/>
          <w:sz w:val="28"/>
          <w:sz w:val="28"/>
          <w:szCs w:val="28"/>
          <w:rtl w:val="true"/>
          <w:lang w:bidi="ar-SA"/>
        </w:rPr>
        <w:t xml:space="preserve">، إنّما هو فيما إذا كان المبيع ممّا يكال ، أو يوزن ، أو يعدّ ؛ بحيث كان الثمن المقابل له يوزّع على مكاييله وأمنانه وأعداده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والفلزّات قبل أن تصنع منها مكائن مثلاً موزونة ، يقع الثمن بإزاء أوزانها ، ويوزّع عليها ، وإذا صارت مكائن خرجت عن ذلك ، ولم يوزّع الثمن على أمنانها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الألبان قبل الدرّ والإخراج من الضروع ، ليست مكيلة ، ولا موزونة ، وكذا الأصواف والأوبار ونحوها قبل جزّها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السموك قبل تذكيتها ، ليست موزونة ، بل لا يبعد أن لا تكون معدودة أيضاً حال كونها في الآجام </w:t>
      </w:r>
      <w:r>
        <w:rPr>
          <w:rFonts w:eastAsia="Amiri" w:cs="Amiri" w:ascii="Amiri" w:hAnsi="Amiri"/>
          <w:color w:val="111111"/>
          <w:sz w:val="28"/>
          <w:szCs w:val="28"/>
          <w:rtl w:val="true"/>
          <w:lang w:bidi="ar-SA"/>
        </w:rPr>
        <w:t xml:space="preserve">. </w:t>
      </w:r>
      <w:bookmarkStart w:id="670" w:name="pg15209_204198"/>
    </w:p>
    <w:p>
      <w:pPr>
        <w:pStyle w:val="BookText"/>
        <w:rPr/>
      </w:pPr>
      <w:bookmarkEnd w:id="670"/>
      <w:r>
        <w:rPr>
          <w:rFonts w:ascii="Amiri" w:hAnsi="Amiri" w:eastAsia="Amiri" w:cs="Amiri"/>
          <w:color w:val="111111"/>
          <w:sz w:val="28"/>
          <w:sz w:val="28"/>
          <w:szCs w:val="28"/>
          <w:rtl w:val="true"/>
          <w:lang w:bidi="ar-SA"/>
        </w:rPr>
        <w:t xml:space="preserve">وكذا الأثمار قبل اقتطافها ، حتّى الخيار ، والقثّاء ، والباذنجان ، والجوز ، فإنّها غير معدودة ، ولا موزونة ، فبيعها على الأشجار والنجوم بلا كيل ولا وزن ، صحيح غير داخل في النهي عن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بيع اللبن في الضرع مع العلم بوجوده ، صحيح على القاعدة ، ولا يضرّه الجهل بأوصافه ولا بوزنه ؛ لأ نّه غير موزون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فالوزن هاهنا مثل سائر الأوصاف ، غير دخيل في ذات المبيع ، ولا يوجب الجهل به الجهل بالمبيع ، هذا كلّه بحسب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النصوص الواردة في الباب ، فهي على طوائف </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2974769_2142443653"/>
      <w:bookmarkStart w:id="672" w:name="_Toc240"/>
      <w:bookmarkEnd w:id="671"/>
      <w:r>
        <w:rPr>
          <w:rtl w:val="true"/>
        </w:rPr>
        <w:t>النصوص الواردة في بيع الألبان في الضروع</w:t>
      </w:r>
      <w:bookmarkEnd w:id="672"/>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بيع اللبن في الضرع ، كصحيحة العيص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له نعم ، يبيع ألبانها بغير كيل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حتّى تنقطع أو شيء منها</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السؤال عن بيع الألبان بغير كيل ، أ نّه إنّما هو عن بيعها قبل الدرّ من الضرع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منشأ السؤال ، احتمال أن تكون كأثمار الأشجار قبل اقتطافها ، حيث يجوز بيعها بلا وزن ، وكالحنطة في سنبلها ، حيث يجوز بيعها بلا كيل ووزن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جائز ، لكن يجب التعيين بالتحديد إلى زمان الانقطاع ، </w:t>
      </w:r>
    </w:p>
    <w:p>
      <w:pPr>
        <w:pStyle w:val="BookText"/>
        <w:rPr/>
      </w:pPr>
      <w:r>
        <w:rPr>
          <w:rFonts w:ascii="Amiri" w:hAnsi="Amiri" w:eastAsia="Amiri" w:cs="Amiri"/>
          <w:color w:val="111111"/>
          <w:sz w:val="28"/>
          <w:sz w:val="28"/>
          <w:szCs w:val="28"/>
          <w:rtl w:val="true"/>
          <w:lang w:bidi="ar-SA"/>
        </w:rPr>
        <w:t xml:space="preserve">فيما إذا باع جميعها ، أو بالكسر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والثلث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باع بعضها ، فيكون له الكسر المشاع ، فيكون تقدير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يجوز بيعها حتّى تنقطع ، أو بيع شيء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ويحتمل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ألبان النعم مطلقاً ، فلا يكون السؤال والجواب عن اللبن الموجود فعلاً في الضرع ، بل عن الألبان طول زمان حصولها في الضروع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إلى زمان انقطاع الألبان كلّها أو بعضها ، فيعيّن بالأشهر ، كستّة أشهر مثلاً إذا انقطع الكلّ عادة بعدها ، أو ثلاثة أشهر إذا انقطع البعض بعدها ، فتقدير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يجوز إلى زمان انقطاع ألبان الجميع ، أو ألبان بعضها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الاحتمال الذي ذكره بعض شرّاح الحديث ؛ من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الانفصال</w:t>
      </w:r>
      <w:r>
        <w:rPr>
          <w:rStyle w:val="FootnoteAnchor"/>
          <w:rtl w:val="true"/>
        </w:rPr>
        <w:footnoteReference w:id="1261"/>
      </w:r>
      <w:r>
        <w:rPr>
          <w:rFonts w:ascii="Amiri" w:hAnsi="Amiri" w:eastAsia="Amiri" w:cs="Amiri"/>
          <w:color w:val="111111"/>
          <w:sz w:val="28"/>
          <w:sz w:val="28"/>
          <w:szCs w:val="28"/>
          <w:rtl w:val="true"/>
          <w:lang w:bidi="ar-SA"/>
        </w:rPr>
        <w:t xml:space="preserve">، ويكون المراد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متى انفصل كلّها أو بعضها من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خلاف الظاهر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البيع بعد انفصال الجميع ، لا يجوز إلاّ بالكيل أو الوزن بضرورة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الوقت المعلوم عندهم بحسب التجارب ، 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الإبهام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 نّها ليست بصدد بيان شرط الضميمة ، بل في مقام بيان الجواز </w:t>
      </w:r>
    </w:p>
    <w:p>
      <w:pPr>
        <w:pStyle w:val="BookText"/>
        <w:rPr/>
      </w:pPr>
      <w:r>
        <w:rPr>
          <w:rFonts w:ascii="Amiri" w:hAnsi="Amiri" w:eastAsia="Amiri" w:cs="Amiri"/>
          <w:color w:val="111111"/>
          <w:sz w:val="28"/>
          <w:sz w:val="28"/>
          <w:szCs w:val="28"/>
          <w:rtl w:val="true"/>
          <w:lang w:bidi="ar-SA"/>
        </w:rPr>
        <w:t xml:space="preserve">واللا جواز ، بلا إطلاق فيها ، فلا إشكال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ظهورها صحّة بيعها مطلقاً ، بلا لزوم ضمّ معلوم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وبإزائها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اللبن يشترى وهو في الضرع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إلاّ أن يحلب لك منه اُسكرّجة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منّي هذا اللبن الذي في الاُسكرّجة وما في ضروعها بثمن مسمّى ، فإن لم يكن في الضرع شيء كان ما في الاُسكرّجة</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الاحتمال الأوّل في صحيحة العيص ، يمكن تقييد إطلاقها بالموثّقة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حمل الموثّقة على الكراهة ؛ حملاً للظاهر على النصّ ، بل لا يبعد أن تكون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ذيلها الذي هو بمنزلة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الكراهة ، فكأ نّه احتياط لعدم ذهاب ثمنه هدراً أحياناً ، أو عدم كون الأكل أكلاً بالباطل أحياناً ، وإلاّ فالفرض بحسب الظاهر ، هو العلم بوجود اللبن في الضرع ، فالحمل على الكراهة غير بعيد بحسب الصناعة ، لكنّه مخالف لفتوى الأصحاب</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الاحتمال الثاني في الصحيحة ، فوجه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اللبن في الضرع فعلاً ، لا يجوز أو يكره إلاّ بضميمة شيء إليه ، وأمّا بيعه طول زمان الدرّ ، </w:t>
      </w:r>
    </w:p>
    <w:p>
      <w:pPr>
        <w:pStyle w:val="BookText"/>
        <w:rPr/>
      </w:pPr>
      <w:r>
        <w:rPr>
          <w:rFonts w:ascii="Amiri" w:hAnsi="Amiri" w:eastAsia="Amiri" w:cs="Amiri"/>
          <w:color w:val="111111"/>
          <w:sz w:val="28"/>
          <w:sz w:val="28"/>
          <w:szCs w:val="28"/>
          <w:rtl w:val="true"/>
          <w:lang w:bidi="ar-SA"/>
        </w:rPr>
        <w:t>فيصحّ بلا ضميمة ، نظير ما ورد في بيع الثمار</w:t>
      </w:r>
      <w:r>
        <w:rPr>
          <w:rStyle w:val="FootnoteAnchor"/>
          <w:rtl w:val="true"/>
        </w:rPr>
        <w:footnoteReference w:id="1264"/>
      </w:r>
      <w:r>
        <w:rPr>
          <w:rFonts w:ascii="Amiri" w:hAnsi="Amiri" w:eastAsia="Amiri" w:cs="Amiri"/>
          <w:color w:val="111111"/>
          <w:sz w:val="28"/>
          <w:sz w:val="28"/>
          <w:szCs w:val="28"/>
          <w:rtl w:val="true"/>
          <w:lang w:bidi="ar-SA"/>
        </w:rPr>
        <w:t xml:space="preserve">، فإنّ بيعها سنة واحدة ، لا يجوز قبل بروزها إلاّ مع الضميمة ، ويجوز سنتين أو أزيد بلا ضميمة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نكتة الجعل حرمةً أو كراهةً ، شيء واحد في الموردين ، وهو خوف فقد الثمرة في العام الواحد ، وفقد اللبن إذا اشترى ما في الضرع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الزيادة على السنة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في هذه السنة خرج في قابل ، كما في النصّ</w:t>
      </w:r>
      <w:r>
        <w:rPr>
          <w:rStyle w:val="FootnoteAnchor"/>
          <w:rtl w:val="true"/>
        </w:rPr>
        <w:footnoteReference w:id="1265"/>
      </w:r>
      <w:r>
        <w:rPr>
          <w:rFonts w:ascii="Amiri" w:hAnsi="Amiri" w:eastAsia="Amiri" w:cs="Amiri"/>
          <w:color w:val="111111"/>
          <w:sz w:val="28"/>
          <w:sz w:val="28"/>
          <w:szCs w:val="28"/>
          <w:rtl w:val="true"/>
          <w:lang w:bidi="ar-SA"/>
        </w:rPr>
        <w:t xml:space="preserve">، وفي المقام أيضاً يكون الدرّ طول الشهور مطمئنّاً به ، فإن لم يدرّ في هذا الشهر ، يدرّ في الشهور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الموثّقة ، أنّ المنع بلا ضميمة ليس للغرر ؛ فإنّه لا يدفع ، سواء كان في الضرع شيء أم لا ، وهذا شاهد على أنّ النهي عن الغرر ، لا يشمل الأوصاف حتّى مثل الكمّيات في مثل المقام ، التي لا تكون دخيلة في ذات المبيع كما مرّ</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وردت في بيع الثمار</w:t>
      </w:r>
      <w:r>
        <w:rPr>
          <w:rStyle w:val="FootnoteAnchor"/>
          <w:rtl w:val="true"/>
        </w:rPr>
        <w:footnoteReference w:id="1267"/>
      </w:r>
      <w:r>
        <w:rPr>
          <w:rFonts w:ascii="Amiri" w:hAnsi="Amiri" w:eastAsia="Amiri" w:cs="Amiri"/>
          <w:color w:val="111111"/>
          <w:sz w:val="28"/>
          <w:sz w:val="28"/>
          <w:szCs w:val="28"/>
          <w:rtl w:val="true"/>
          <w:lang w:bidi="ar-SA"/>
        </w:rPr>
        <w:t>والرطبة</w:t>
      </w:r>
      <w:r>
        <w:rPr>
          <w:rStyle w:val="FootnoteAnchor"/>
          <w:rtl w:val="true"/>
        </w:rPr>
        <w:footnoteReference w:id="1268"/>
      </w:r>
      <w:r>
        <w:rPr>
          <w:rFonts w:ascii="IRNazanin" w:hAnsi="IRNazanin" w:eastAsia="IRNazanin"/>
          <w:color w:val="111111"/>
          <w:sz w:val="28"/>
          <w:sz w:val="28"/>
          <w:szCs w:val="28"/>
          <w:rtl w:val="true"/>
          <w:lang w:bidi="fa-IR"/>
        </w:rPr>
        <w:t xml:space="preserve">ونحوهما </w:t>
      </w:r>
      <w:r>
        <w:rPr>
          <w:rStyle w:val="FootnoteAnchor"/>
          <w:rtl w:val="true"/>
        </w:rPr>
        <w:footnoteReference w:id="1269"/>
      </w:r>
      <w:r>
        <w:rPr>
          <w:rFonts w:ascii="Amiri" w:hAnsi="Amiri" w:eastAsia="Amiri" w:cs="Amiri"/>
          <w:color w:val="111111"/>
          <w:sz w:val="28"/>
          <w:sz w:val="28"/>
          <w:szCs w:val="28"/>
          <w:rtl w:val="true"/>
          <w:lang w:bidi="ar-SA"/>
        </w:rPr>
        <w:t xml:space="preserve">، شاهدة على ذلك ؛ فإنّ إخراج جميع ما ذكر عن النهي عن بيع الغرر بعيد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لولا تسالمهم على شمول الغرر للصفات الدخيلة في زيادة القيمة</w:t>
      </w:r>
      <w:r>
        <w:rPr>
          <w:rStyle w:val="FootnoteAnchor"/>
          <w:rtl w:val="true"/>
        </w:rPr>
        <w:footnoteReference w:id="1270"/>
      </w:r>
      <w:r>
        <w:rPr>
          <w:rFonts w:ascii="Amiri" w:hAnsi="Amiri" w:eastAsia="Amiri" w:cs="Amiri"/>
          <w:color w:val="111111"/>
          <w:sz w:val="28"/>
          <w:sz w:val="28"/>
          <w:szCs w:val="28"/>
          <w:rtl w:val="true"/>
          <w:lang w:bidi="ar-SA"/>
        </w:rPr>
        <w:t xml:space="preserve">، لكان ما ذكرناه قويّاً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يستشكل في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خارجة عن محلّ البحث ؛ فإنّ ضمّ ما في الاُسكرّجة من قبيل ضمّ المجهول إلى المجهول</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 نّها في مقام بيان حكم آخر ، فلا إطلاق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ضميمة اُسكرّجة واحدة ، ولا يبعد أن تكون مكيالاً خاصّاً لبيع الألبان ، كما أنّ بيع اللبن بالمكيال المتعارف فيه ، أمر جارٍ في القرى والقصبات عند أصحاب الأنعام ، فلا إشكال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 فيها من قبيل الضمّ إلى محتمل العدم ، والمورد هو ضمّ المعلوم إلى مجهول محقّق الوجود</w:t>
      </w:r>
      <w:r>
        <w:rPr>
          <w:rStyle w:val="FootnoteAnchor"/>
          <w:rtl w:val="true"/>
        </w:rPr>
        <w:footnoteReference w:id="1272"/>
      </w:r>
      <w:r>
        <w:rPr>
          <w:rFonts w:ascii="Amiri" w:hAnsi="Amiri" w:eastAsia="Amiri" w:cs="Amiri"/>
          <w:color w:val="111111"/>
          <w:sz w:val="28"/>
          <w:sz w:val="28"/>
          <w:szCs w:val="28"/>
          <w:rtl w:val="true"/>
          <w:lang w:bidi="ar-SA"/>
        </w:rPr>
        <w:t xml:space="preserve">غير وارد ؛ ضرورة أنّ الظاهر من الموثّقة هو وجود اللبن في الضرع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اللبن في ضرع الحيوانات ، أمر معلوم ، لا يخفى على نوع المتعاملين ، وما ذكر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في الضرع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حكمة الجعل ، احتياطاً في بعض الأحيان ، فلا يكون في مورد الموثّقة ، إلاّ ضمّ معلوم إلى موجود مجهول المقدار ومجهول الصفة ، مثل الغلظة ، والرقّة </w:t>
      </w:r>
      <w:r>
        <w:rPr>
          <w:rFonts w:eastAsia="Amiri" w:cs="Amiri" w:ascii="Amiri" w:hAnsi="Amiri"/>
          <w:color w:val="111111"/>
          <w:sz w:val="28"/>
          <w:szCs w:val="28"/>
          <w:rtl w:val="true"/>
          <w:lang w:bidi="ar-SA"/>
        </w:rPr>
        <w:t xml:space="preserve">. </w:t>
      </w:r>
      <w:bookmarkStart w:id="673" w:name="pg15209_204203"/>
    </w:p>
    <w:p>
      <w:pPr>
        <w:pStyle w:val="BookText"/>
        <w:rPr/>
      </w:pPr>
      <w:bookmarkEnd w:id="673"/>
      <w:r>
        <w:rPr>
          <w:rFonts w:ascii="Amiri" w:hAnsi="Amiri" w:eastAsia="Amiri" w:cs="Amiri"/>
          <w:color w:val="111111"/>
          <w:sz w:val="28"/>
          <w:sz w:val="28"/>
          <w:szCs w:val="28"/>
          <w:rtl w:val="true"/>
          <w:lang w:bidi="ar-SA"/>
        </w:rPr>
        <w:t xml:space="preserve">ثمّ إنّه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الغرر لمطلق الأوصاف الدخيلة في القيم ، وشموله لمثل اللبن في الضرع ، فالظاهر أيضاً جواز العمل على طبق الصحيحة والموثّقة ، وصحّة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ضمّ المعلوم إلى اللبن المجهول في صحّة البيع ،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باستفادة قاعدة كلّية في أشباه ما ذكر فيهما ، لا في مثل المكيل والموزون فعلاً ؛ لعدم ثبوت إعراض الأصحاب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الحاصل من التتبّع ، أنّ المشهور بين المتقدّمين هو الصحّة في المقامين</w:t>
      </w:r>
      <w:r>
        <w:rPr>
          <w:rStyle w:val="FootnoteAnchor"/>
          <w:rtl w:val="true"/>
        </w:rPr>
        <w:footnoteReference w:id="1273"/>
      </w:r>
      <w:r>
        <w:rPr>
          <w:rFonts w:ascii="Amiri" w:hAnsi="Amiri" w:eastAsia="Amiri" w:cs="Amiri"/>
          <w:color w:val="111111"/>
          <w:sz w:val="28"/>
          <w:sz w:val="28"/>
          <w:szCs w:val="28"/>
          <w:rtl w:val="true"/>
          <w:lang w:bidi="ar-SA"/>
        </w:rPr>
        <w:t xml:space="preserve">؛ أي البيع مع ضمّ القصب ، واللبن في الضرع مع المحلوب منه ، فلا حجّة لرفع اليد عن الصحيحة والموثّقة </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2974771_2142443653"/>
      <w:bookmarkStart w:id="675" w:name="_Toc241"/>
      <w:bookmarkEnd w:id="674"/>
      <w:r>
        <w:rPr>
          <w:rtl w:val="true"/>
        </w:rPr>
        <w:t>صحّة بيع الحمل مع ضمّ الأصواف</w:t>
      </w:r>
      <w:bookmarkEnd w:id="675"/>
    </w:p>
    <w:p>
      <w:pPr>
        <w:pStyle w:val="BookText"/>
        <w:rPr/>
      </w:pPr>
      <w:r>
        <w:rPr>
          <w:rFonts w:ascii="Amiri" w:hAnsi="Amiri" w:eastAsia="Amiri" w:cs="Amiri"/>
          <w:color w:val="111111"/>
          <w:sz w:val="28"/>
          <w:sz w:val="28"/>
          <w:szCs w:val="28"/>
          <w:rtl w:val="true"/>
          <w:lang w:bidi="ar-SA"/>
        </w:rPr>
        <w:t xml:space="preserve">وممّا ذكرنا يظهر الكلام في بيع الحمل مع ضمّ الأصواف ، وأنّ مقتضى القاعدة صحّة بيع الحمل مع العلم بوجوده ؛ لعدم شمول النهي عن الغرر له ، فضلاً عن ضمّ معلوم إليه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ورد في بعض الروايات المنع عنه ، كالرواية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ضعيف</w:t>
      </w:r>
      <w:r>
        <w:rPr>
          <w:rStyle w:val="FootnoteAnchor"/>
          <w:rtl w:val="true"/>
        </w:rPr>
        <w:footnoteReference w:id="1274"/>
      </w:r>
      <w:r>
        <w:rPr>
          <w:rFonts w:ascii="Amiri" w:hAnsi="Amiri" w:eastAsia="Amiri" w:cs="Amiri"/>
          <w:color w:val="111111"/>
          <w:sz w:val="28"/>
          <w:sz w:val="28"/>
          <w:szCs w:val="28"/>
          <w:rtl w:val="true"/>
          <w:lang w:bidi="ar-SA"/>
        </w:rPr>
        <w:t xml:space="preserve">، عن النبي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نهى عن المجر وعن الملاقيح والمضامين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يباع البعير أو غيره بما في بطن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البطون ؛ أي الأجنّة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أصلاب الفحول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ونهى </w:t>
      </w:r>
    </w:p>
    <w:p>
      <w:pPr>
        <w:pStyle w:val="BookText"/>
        <w:rPr/>
      </w:pPr>
      <w:r>
        <w:rPr>
          <w:rFonts w:ascii="Amiri" w:hAnsi="Amiri" w:eastAsia="Amiri" w:cs="Amiri"/>
          <w:color w:val="111111"/>
          <w:sz w:val="28"/>
          <w:sz w:val="28"/>
          <w:szCs w:val="28"/>
          <w:rtl w:val="true"/>
          <w:lang w:bidi="ar-SA"/>
        </w:rPr>
        <w:t>عن بيع حبل الحبل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وفسّر بولد ذلك الجنين الذي في بطن الناقة ؛ أي نتاج النتاج</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صحيحة محمّد بن قيس ،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راحلة عاجلة ، بعشر ملاقيح من أولاد جمل في قابل</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يبعد أن يكون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الذكر مقابل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ظهور فحول الإبل ، كما فسّرت الملاقيح به أيضاً </w:t>
      </w:r>
      <w:r>
        <w:rPr>
          <w:rStyle w:val="FootnoteAnchor"/>
          <w:rtl w:val="true"/>
        </w:rPr>
        <w:footnoteReference w:id="1277"/>
      </w:r>
      <w:r>
        <w:rPr>
          <w:rFonts w:ascii="Amiri" w:hAnsi="Amiri" w:eastAsia="Amiri" w:cs="Amiri"/>
          <w:color w:val="111111"/>
          <w:sz w:val="28"/>
          <w:sz w:val="28"/>
          <w:szCs w:val="28"/>
          <w:rtl w:val="true"/>
          <w:lang w:bidi="ar-SA"/>
        </w:rPr>
        <w:t xml:space="preserve">، فلا تدلّ على النهي عن بيع الحمل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يطلق عليها شاذّاً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منافاة بينها وبين رواية إبراهيم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اشترى من رجل أصواف مائة نعجة ، وما في بطونها من حمل ، بكذا وكذا درهماً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 إن لم يكن في بطونها حمل ، كان رأس ماله في الصوف</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بناءً على انجبار سندها بعمل شيخ الطائفة قدّس سرّه </w:t>
      </w:r>
      <w:r>
        <w:rPr>
          <w:rStyle w:val="FootnoteAnchor"/>
          <w:rtl w:val="true"/>
        </w:rPr>
        <w:footnoteReference w:id="1279"/>
      </w:r>
      <w:r>
        <w:rPr>
          <w:rFonts w:ascii="IRNazanin" w:hAnsi="IRNazanin" w:eastAsia="IRNazanin"/>
          <w:color w:val="111111"/>
          <w:sz w:val="28"/>
          <w:sz w:val="28"/>
          <w:szCs w:val="28"/>
          <w:rtl w:val="true"/>
          <w:lang w:bidi="fa-IR"/>
        </w:rPr>
        <w:t>، والمنقول</w:t>
      </w:r>
      <w:r>
        <w:rPr>
          <w:rStyle w:val="FootnoteAnchor"/>
          <w:rtl w:val="true"/>
        </w:rPr>
        <w:footnoteReference w:id="1280"/>
      </w:r>
      <w:r>
        <w:rPr>
          <w:rFonts w:ascii="Amiri" w:hAnsi="Amiri" w:eastAsia="Amiri" w:cs="Amiri"/>
          <w:color w:val="111111"/>
          <w:sz w:val="28"/>
          <w:sz w:val="28"/>
          <w:szCs w:val="28"/>
          <w:rtl w:val="true"/>
          <w:lang w:bidi="ar-SA"/>
        </w:rPr>
        <w:t>عن القاضي والحلبي ، وبصحّة السند إلى ابن محبوب ، وهو من أصحاب الإجماع</w:t>
      </w:r>
      <w:r>
        <w:rPr>
          <w:rStyle w:val="FootnoteAnchor"/>
          <w:rtl w:val="true"/>
        </w:rPr>
        <w:footnoteReference w:id="1281"/>
      </w:r>
      <w:r>
        <w:rPr>
          <w:rFonts w:ascii="Amiri" w:hAnsi="Amiri" w:eastAsia="Amiri" w:cs="Amiri"/>
          <w:color w:val="111111"/>
          <w:sz w:val="28"/>
          <w:sz w:val="28"/>
          <w:szCs w:val="28"/>
          <w:rtl w:val="true"/>
          <w:lang w:bidi="ar-SA"/>
        </w:rPr>
        <w:t>، فلا يلاحظ بعده ، وبأنّ صفوان وابن أبي عمير يرويان عن الكرخي</w:t>
      </w:r>
      <w:r>
        <w:rPr>
          <w:rStyle w:val="FootnoteAnchor"/>
          <w:rtl w:val="true"/>
        </w:rPr>
        <w:footnoteReference w:id="1282"/>
      </w:r>
      <w:r>
        <w:rPr>
          <w:rFonts w:ascii="Amiri" w:hAnsi="Amiri" w:eastAsia="Amiri" w:cs="Amiri"/>
          <w:color w:val="111111"/>
          <w:sz w:val="28"/>
          <w:sz w:val="28"/>
          <w:szCs w:val="28"/>
          <w:rtl w:val="true"/>
          <w:lang w:bidi="ar-SA"/>
        </w:rPr>
        <w:t>، فيوجب ذلك نحو اعتماد عليه ، فتقيّد بها الصحيحة على فرض الدلالة والإطلاق فيها ، وإن كان للمناقشة في جميع ذلك مجال واسع، والعمدة ما ذكرناه من قصور دليل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 إجماع أو شهرة على عدم جواز بيع الحمل ، يقتصر على القدر المتيقّ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منه ، وهو بيعه منفرداً ، بل جوازه منضمّاً إلى غيره ، مورد فتوى الشيخ والحلبي والقاضي قدّست أسرارهم ، فلا إجماع مع الانضمام ، فيعمل على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دليل الغرر لا تصلح رواية الكرخي لتقييده ، إلاّ إذا ثبت جبرها بالعمل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فيها من قبيل ضمّ المجهول إلى المجهول</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الصوف على الظهر لا يكون موزوناً ، كالثمر على الشجر ، فيصحّ بيعه منفرداً ، كما أفتى به كثير من الأصحاب ، كالمفيد</w:t>
      </w:r>
      <w:r>
        <w:rPr>
          <w:rStyle w:val="FootnoteAnchor"/>
          <w:rtl w:val="true"/>
        </w:rPr>
        <w:footnoteReference w:id="1284"/>
      </w:r>
      <w:r>
        <w:rPr>
          <w:rFonts w:ascii="Amiri" w:hAnsi="Amiri" w:eastAsia="Amiri" w:cs="Amiri"/>
          <w:color w:val="111111"/>
          <w:sz w:val="28"/>
          <w:sz w:val="28"/>
          <w:szCs w:val="28"/>
          <w:rtl w:val="true"/>
          <w:lang w:bidi="ar-SA"/>
        </w:rPr>
        <w:t>، وابن إدريس</w:t>
      </w:r>
      <w:r>
        <w:rPr>
          <w:rStyle w:val="FootnoteAnchor"/>
          <w:rtl w:val="true"/>
        </w:rPr>
        <w:footnoteReference w:id="1285"/>
      </w:r>
      <w:r>
        <w:rPr>
          <w:rFonts w:ascii="IRNazanin" w:hAnsi="IRNazanin" w:eastAsia="IRNazanin"/>
          <w:color w:val="111111"/>
          <w:sz w:val="28"/>
          <w:sz w:val="28"/>
          <w:szCs w:val="28"/>
          <w:rtl w:val="true"/>
          <w:lang w:bidi="fa-IR"/>
        </w:rPr>
        <w:t xml:space="preserve">، </w:t>
      </w:r>
      <w:bookmarkStart w:id="676" w:name="pg15209_204206"/>
    </w:p>
    <w:p>
      <w:pPr>
        <w:pStyle w:val="BookText"/>
        <w:rPr/>
      </w:pPr>
      <w:bookmarkEnd w:id="676"/>
      <w:r>
        <w:rPr>
          <w:rFonts w:ascii="Amiri" w:hAnsi="Amiri" w:eastAsia="Amiri" w:cs="Amiri"/>
          <w:color w:val="111111"/>
          <w:sz w:val="28"/>
          <w:sz w:val="28"/>
          <w:szCs w:val="28"/>
          <w:rtl w:val="true"/>
          <w:lang w:bidi="ar-SA"/>
        </w:rPr>
        <w:t>والعلاّمة</w:t>
      </w:r>
      <w:r>
        <w:rPr>
          <w:rStyle w:val="FootnoteAnchor"/>
          <w:rtl w:val="true"/>
        </w:rPr>
        <w:footnoteReference w:id="1286"/>
      </w:r>
      <w:r>
        <w:rPr>
          <w:rFonts w:ascii="Amiri" w:hAnsi="Amiri" w:eastAsia="Amiri" w:cs="Amiri"/>
          <w:color w:val="111111"/>
          <w:sz w:val="28"/>
          <w:sz w:val="28"/>
          <w:szCs w:val="28"/>
          <w:rtl w:val="true"/>
          <w:lang w:bidi="ar-SA"/>
        </w:rPr>
        <w:t>، وكثير ممّن بعده قدّست أسرارهم</w:t>
      </w:r>
      <w:r>
        <w:rPr>
          <w:rStyle w:val="FootnoteAnchor"/>
          <w:rtl w:val="true"/>
        </w:rPr>
        <w:footnoteReference w:id="1287"/>
      </w:r>
      <w:r>
        <w:rPr>
          <w:rFonts w:ascii="Amiri" w:hAnsi="Amiri" w:eastAsia="Amiri" w:cs="Amiri"/>
          <w:color w:val="111111"/>
          <w:sz w:val="28"/>
          <w:sz w:val="28"/>
          <w:szCs w:val="28"/>
          <w:rtl w:val="true"/>
          <w:lang w:bidi="ar-SA"/>
        </w:rPr>
        <w:t>، وهي موافقة للقواعد ، وإجماع الخلاف</w:t>
      </w:r>
      <w:r>
        <w:rPr>
          <w:rStyle w:val="FootnoteAnchor"/>
          <w:rtl w:val="true"/>
        </w:rPr>
        <w:footnoteReference w:id="1288"/>
      </w:r>
      <w:r>
        <w:rPr>
          <w:rFonts w:ascii="Amiri" w:hAnsi="Amiri" w:eastAsia="Amiri" w:cs="Amiri"/>
          <w:color w:val="111111"/>
          <w:sz w:val="28"/>
          <w:sz w:val="28"/>
          <w:szCs w:val="28"/>
          <w:rtl w:val="true"/>
          <w:lang w:bidi="ar-SA"/>
        </w:rPr>
        <w:t xml:space="preserve">غير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على أنّ ضمّ ما جاز بيعه منفرداً ، إلى ما لا يجوز صحيح ، ولا يضرّ الجهل بما لا يكون دخيلاً في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منها أنّ الحمل غير معلوم الوجود ، وهو غير ما نحن بصدده</w:t>
      </w:r>
      <w:r>
        <w:rPr>
          <w:rStyle w:val="FootnoteAnchor"/>
          <w:rtl w:val="true"/>
        </w:rPr>
        <w:footnoteReference w:id="1289"/>
      </w:r>
      <w:r>
        <w:rPr>
          <w:rFonts w:ascii="Amiri" w:hAnsi="Amiri" w:eastAsia="Amiri" w:cs="Amiri"/>
          <w:color w:val="111111"/>
          <w:sz w:val="28"/>
          <w:sz w:val="28"/>
          <w:szCs w:val="28"/>
          <w:rtl w:val="true"/>
          <w:lang w:bidi="ar-SA"/>
        </w:rPr>
        <w:t xml:space="preserve">مزيّف ؛ فإنّ المفروض في السؤال وجود الحمل ، وهو أمر غير مجهول عند أهل الخبرة ، ومن أراد الاشتراء ، لا محالة يتفحّص عن الحمل ، ومعه يظهر الحال نوعاً أو كثيراً ما ، وما في ذيلها إنّما هو حكمة لاحتمال التخلّف أحياناً ، لا أ نّه دليل على أنّ المفروض هو الشكّ في الوجود </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2974773_2142443653"/>
      <w:bookmarkStart w:id="678" w:name="_Toc242"/>
      <w:bookmarkEnd w:id="677"/>
      <w:r>
        <w:rPr>
          <w:rtl w:val="true"/>
        </w:rPr>
        <w:t>جواز شراء الآجام مع ضميمة القصب</w:t>
      </w:r>
      <w:bookmarkEnd w:id="67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ممّا مرّ الكلام في الطائفة الاُخرى أيضاً ، وهي موثّقة معاوية بن عمّار</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محمّد بن زياد هو ابن أبي عمير، على بعدٍ وإن لم يخل </w:t>
      </w:r>
    </w:p>
    <w:p>
      <w:pPr>
        <w:pStyle w:val="BookText"/>
        <w:rPr/>
      </w:pPr>
      <w:r>
        <w:rPr>
          <w:rFonts w:ascii="Amiri" w:hAnsi="Amiri" w:eastAsia="Amiri" w:cs="Amiri"/>
          <w:color w:val="111111"/>
          <w:sz w:val="28"/>
          <w:sz w:val="28"/>
          <w:szCs w:val="28"/>
          <w:rtl w:val="true"/>
          <w:lang w:bidi="ar-SA"/>
        </w:rPr>
        <w:t xml:space="preserve">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يشترى الآجام إذا كانت فيها قصب</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جواز اشتراء الآجام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الأشجار الملتفّة على ما في كتب اللغة</w:t>
      </w:r>
      <w:r>
        <w:rPr>
          <w:rStyle w:val="FootnoteAnchor"/>
          <w:rtl w:val="true"/>
        </w:rPr>
        <w:footnoteReference w:id="1292"/>
      </w:r>
      <w:r>
        <w:rPr>
          <w:rFonts w:ascii="Amiri" w:hAnsi="Amiri" w:eastAsia="Amiri" w:cs="Amiri"/>
          <w:color w:val="111111"/>
          <w:sz w:val="28"/>
          <w:sz w:val="28"/>
          <w:szCs w:val="28"/>
          <w:rtl w:val="true"/>
          <w:lang w:bidi="ar-SA"/>
        </w:rPr>
        <w:t xml:space="preserve">، والشائع في استعمالاتها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 إليها القصب ؛ فإنّ الآجام بما هي ملتفّة ، تكون مشاهدتها غير ميسورة حتّى يصحّ بيعها بها ، وأمّا القصب فبحسب الطبع غير ملتفّ ، قابل للمشاهدة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على جواز بيع المجهول ، إذا ضمّ إليه ما يصحّ بيعه بالمشاهدة ، والقصب ليس موزوناً ، فيصحّ بيعه مشاهدة ، ويصحّ ضمّه إلى ما لا يصحّ إلاّ بالمشاهدة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حملوها بقرينة بعض الروايات ، على بيع السموك التي في الآجام</w:t>
      </w:r>
      <w:r>
        <w:rPr>
          <w:rStyle w:val="FootnoteAnchor"/>
          <w:rtl w:val="true"/>
        </w:rPr>
        <w:footnoteReference w:id="1293"/>
      </w:r>
      <w:r>
        <w:rPr>
          <w:rFonts w:ascii="IRNazanin" w:hAnsi="IRNazanin" w:eastAsia="IRNazanin"/>
          <w:color w:val="111111"/>
          <w:sz w:val="28"/>
          <w:sz w:val="28"/>
          <w:szCs w:val="28"/>
          <w:rtl w:val="true"/>
          <w:lang w:bidi="fa-IR"/>
        </w:rPr>
        <w:t>وقال بعضهم</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الآجام المياه المجتمعة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بعيد فيها ومحتمل أو راجح في غيرها ، مثل رواية أبي بصير ،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الأجمة ليس فيها قصب ، إنّما هي ماء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يصيد كفّاً من سمك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 هذا السمك وما في </w:t>
      </w:r>
    </w:p>
    <w:p>
      <w:pPr>
        <w:pStyle w:val="BookText"/>
        <w:rPr/>
      </w:pPr>
      <w:r>
        <w:rPr>
          <w:rFonts w:ascii="Amiri" w:hAnsi="Amiri" w:eastAsia="Amiri" w:cs="Amiri"/>
          <w:color w:val="111111"/>
          <w:sz w:val="28"/>
          <w:sz w:val="28"/>
          <w:szCs w:val="28"/>
          <w:rtl w:val="true"/>
          <w:lang w:bidi="ar-SA"/>
        </w:rPr>
        <w:t>هذه الأجمة ، بكذا وكذا</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أبي نصر ،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أجمة ليس فيها قصب ، اُخرج شيء من السمك ، فيباع وما في الأجمة</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نشيب كه فراهم آمدنگاه آب و رستنگاه نى و كلك باشد</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فيحتمل في رواية معاوية كون الأجمة بهذا المعنى ، ويراد منها ما فيها كما هو ظاهر الروايتين ، فيراد من الجميع بيع السمك غير المشاهد مع القصب أو مع كفّ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احتمال آخر ، وهو كون الأجمة بمعنى الماء المتغيّر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 الماء تغيّر ، فهو آجم</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أقرب إلى رواية أبي بصير ؛ حيث قال عليه السلام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قصب ، إنّما هي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هي ماء متغيّر ، لا ترى السموك حتّى تباع مشاهدة ، وليس فيها قصب حتّى تباع معه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يصيد كفّاً من سمك </w:t>
      </w:r>
      <w:r>
        <w:rPr>
          <w:rFonts w:eastAsia="Amiri" w:cs="Amiri" w:ascii="Amiri" w:hAnsi="Amiri"/>
          <w:color w:val="111111"/>
          <w:sz w:val="28"/>
          <w:szCs w:val="28"/>
          <w:rtl w:val="true"/>
          <w:lang w:bidi="ar-SA"/>
        </w:rPr>
        <w:t>. . .»</w:t>
      </w:r>
      <w:r>
        <w:rPr>
          <w:rStyle w:val="FootnoteAnchor"/>
          <w:rtl w:val="true"/>
        </w:rPr>
        <w:footnoteReference w:id="1299"/>
      </w:r>
      <w:r>
        <w:rPr>
          <w:rFonts w:ascii="Amiri" w:hAnsi="Amiri" w:eastAsia="Amiri" w:cs="Amiri"/>
          <w:color w:val="111111"/>
          <w:sz w:val="28"/>
          <w:sz w:val="28"/>
          <w:szCs w:val="28"/>
          <w:rtl w:val="true"/>
          <w:lang w:bidi="ar-SA"/>
        </w:rPr>
        <w:t xml:space="preserve">إلى آخره ، فكأنّ بيع السموك منفرداً في الماء الصافي ، القابل لمشاهدتها فيه ، ومع القصب في الماء </w:t>
      </w:r>
    </w:p>
    <w:p>
      <w:pPr>
        <w:pStyle w:val="BookText"/>
        <w:rPr/>
      </w:pPr>
      <w:r>
        <w:rPr>
          <w:rFonts w:ascii="Amiri" w:hAnsi="Amiri" w:eastAsia="Amiri" w:cs="Amiri"/>
          <w:color w:val="111111"/>
          <w:sz w:val="28"/>
          <w:sz w:val="28"/>
          <w:szCs w:val="28"/>
          <w:rtl w:val="true"/>
          <w:lang w:bidi="ar-SA"/>
        </w:rPr>
        <w:t xml:space="preserve">المتغيّر ، كان معهوداً ، فأراد السؤال عن العلاج مع فقدهما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الروايات على جواز بيع المجهول ، إذا ضمّ إليه ما يصحّ بيعه منفرداً ، كالقصب المشاهد ، والكفّ من سمك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من قبيل ضمّ مجهول إلى مجهول ، أو إلى ما شكّ في وجوده</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القصب المشاهد قبل قطعه، ليس موزوناً، ولا معدوداً، فيصحّ بيعه، والسمك في الكفّ بعد 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صغار السموك كما هو المفروض ، والمعلوم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موزوناً ، بل معدود ، يصحّ بيعه بلا 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المفروض ولا سيّما في رواية أبي بصير والمرسلة ، وجود السمك في الأجمة ؛ ضرورة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يصيد كفّاً من 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جدّاً في وجود سموك فيها يمكن صيد بعضها ، وكذا قوله عليه السلام في المرسلة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شيء من السمك ، فيباع وما في الأجمة</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xml:space="preserve">فلا إشكال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كونهما في مقام بيان حكم آخر ، وهو جواز ضمّ ما يصحّ بيعه منفرداً إلى المجهول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ضعف أسنادها ، وهو منجبر بالشهرة بين القدماء</w:t>
      </w:r>
      <w:r>
        <w:rPr>
          <w:rStyle w:val="FootnoteAnchor"/>
          <w:rtl w:val="true"/>
        </w:rPr>
        <w:footnoteReference w:id="1302"/>
      </w:r>
      <w:r>
        <w:rPr>
          <w:rFonts w:ascii="Amiri" w:hAnsi="Amiri" w:eastAsia="Amiri" w:cs="Amiri"/>
          <w:color w:val="111111"/>
          <w:sz w:val="28"/>
          <w:sz w:val="28"/>
          <w:szCs w:val="28"/>
          <w:rtl w:val="true"/>
          <w:lang w:bidi="ar-SA"/>
        </w:rPr>
        <w:t xml:space="preserve">، بل ادّعي </w:t>
      </w:r>
    </w:p>
    <w:p>
      <w:pPr>
        <w:pStyle w:val="BookText"/>
        <w:rPr/>
      </w:pPr>
      <w:r>
        <w:rPr>
          <w:rFonts w:ascii="Amiri" w:hAnsi="Amiri" w:eastAsia="Amiri" w:cs="Amiri"/>
          <w:color w:val="111111"/>
          <w:sz w:val="28"/>
          <w:sz w:val="28"/>
          <w:szCs w:val="28"/>
          <w:rtl w:val="true"/>
          <w:lang w:bidi="ar-SA"/>
        </w:rPr>
        <w:t>في محكيّ</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 xml:space="preserve">الإجماع على الجواز ، ولا شبهة في أنّ الشهرة في خصوص تلك المسألة ، ليست إلاّ لتلك الروايات ، فالانجبار بها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إسماعيل بن الفضل الهاشمي</w:t>
      </w:r>
      <w:r>
        <w:rPr>
          <w:rStyle w:val="FootnoteAnchor"/>
          <w:rtl w:val="true"/>
        </w:rPr>
        <w:footnoteReference w:id="1306"/>
      </w:r>
      <w:r>
        <w:rPr>
          <w:rFonts w:ascii="Amiri" w:hAnsi="Amiri" w:eastAsia="Amiri" w:cs="Amiri"/>
          <w:color w:val="111111"/>
          <w:sz w:val="28"/>
          <w:sz w:val="28"/>
          <w:szCs w:val="28"/>
          <w:rtl w:val="true"/>
          <w:lang w:bidi="ar-SA"/>
        </w:rPr>
        <w:t xml:space="preserve">،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يتقبّل بجزية رؤوس الرجال ، وبخراج النخل والآجام والطير ، وهو لا يدري لعلّه لا يكون من هذا شيء أبداً أو يكون ، أيشتريه ، وفي أيّ زمان يشتريه ويتقبّل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من ذلك شيئاً واحداً قد أدرك ، فاشتره وتقبّل منه</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الضمير راجع إلى ما أدرك منها ، فتدلّ على خلاف المقصود ، وبأنّ التقبّل معاملة مستقلّة ليس بيعاً ، فلا تدلّ على المقصود</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الذي لا يصحّ إنكاره ، هو جواز تقبّل الأشياء المذكورة بعد إدراك واحد منها ، وإلاّ فذكر واحد منها يكون بلا وجه ، فالسؤال والجواب مسوقان لبيان حال المذكورات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 نّه لو كان التقبّل غير الشراء ،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 لبيان جوازه كما يجوز التقبّل ، وإن كان عين الشراء فلا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منها ضمّ المدرك إلى مجهول الوجود ، والكلام في الموجود المجهول ، وإن أمكن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فرض الوجود في الجملة ، لا لذكر طرف الترديد ؛ لعدم الاحتياج إلى ذكره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العرف يساعد على إلغاء الخصوصية ، وأنّ المقصود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ضمّ ما يصحّ شراؤه إلى ما لا يصحّ ، سواء كان مفقوداً ، أو موجوداً ، ولا سيّما مع لحاظ الموارد الاُخر في المقام ، وسائر المقامات ، كبيع الثمار ، والرطبة ،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سهل ، بعد إمكان استفادة قاعدة كلّية للأشباه والنظائر ، من الموارد المتقدّمة ، وسائر الموارد المشار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إشكال في عدم جواز بيع المكيل والموزون والمعدود والمذروع فعلاً جزافاً ، وإن ضمّ إليها المعلوم ؛ لخصوصية فيها ، دون سائر الأوصاف كما مرّ</w:t>
      </w:r>
      <w:r>
        <w:rPr>
          <w:rStyle w:val="FootnoteAnchor"/>
          <w:rtl w:val="true"/>
        </w:rPr>
        <w:footnoteReference w:id="1309"/>
      </w:r>
      <w:r>
        <w:rPr>
          <w:rFonts w:ascii="Amiri" w:hAnsi="Amiri" w:eastAsia="Amiri" w:cs="Amiri"/>
          <w:color w:val="111111"/>
          <w:sz w:val="28"/>
          <w:sz w:val="28"/>
          <w:szCs w:val="28"/>
          <w:rtl w:val="true"/>
          <w:lang w:bidi="ar-SA"/>
        </w:rPr>
        <w:t xml:space="preserve">، فلا يمكن إلغاء الخصوصية فيها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الروايات ، وردت في ضمّ المجهول إلى ما يصحّ بيعه منفرداً ، فهل </w:t>
      </w:r>
      <w:bookmarkStart w:id="679" w:name="pg15209_204212"/>
    </w:p>
    <w:p>
      <w:pPr>
        <w:pStyle w:val="BookText"/>
        <w:rPr/>
      </w:pPr>
      <w:bookmarkEnd w:id="679"/>
      <w:r>
        <w:rPr>
          <w:rFonts w:ascii="Amiri" w:hAnsi="Amiri" w:eastAsia="Amiri" w:cs="Amiri"/>
          <w:color w:val="111111"/>
          <w:sz w:val="28"/>
          <w:sz w:val="28"/>
          <w:szCs w:val="28"/>
          <w:rtl w:val="true"/>
          <w:lang w:bidi="ar-SA"/>
        </w:rPr>
        <w:t xml:space="preserve">يلحق به ما إذا بيع معلوم واشترط فيه شرط مجهول ، فقال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أصواف هذه النعاج ، وشرطت لك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شرط النتيجة ؟</w:t>
      </w:r>
    </w:p>
    <w:p>
      <w:pPr>
        <w:pStyle w:val="BookText"/>
        <w:rPr/>
      </w:pPr>
      <w:r>
        <w:rPr>
          <w:rFonts w:ascii="Amiri" w:hAnsi="Amiri" w:eastAsia="Amiri" w:cs="Amiri"/>
          <w:color w:val="111111"/>
          <w:sz w:val="28"/>
          <w:sz w:val="28"/>
          <w:szCs w:val="28"/>
          <w:rtl w:val="true"/>
          <w:lang w:bidi="ar-SA"/>
        </w:rPr>
        <w:t xml:space="preserve">مقتضى الجمود على الموارد المذكورة عدمه ، ومقتضى ما ذكر في غير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النكتة ، أو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الإلحاق ، بل الظاهر مساعدة العرف على ذلك ، بل هو سليم عن بعض الإشكالات التي ذكرت في الانضمام </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2974775_2142443653"/>
      <w:bookmarkStart w:id="681" w:name="_Toc243"/>
      <w:bookmarkEnd w:id="680"/>
      <w:r>
        <w:rPr>
          <w:rtl w:val="true"/>
        </w:rPr>
        <w:t>حول التفصيل المتراءى من ظاهر كلام العلاّمة في المقام</w:t>
      </w:r>
      <w:bookmarkEnd w:id="681"/>
    </w:p>
    <w:p>
      <w:pPr>
        <w:pStyle w:val="BookText"/>
        <w:rPr/>
      </w:pPr>
      <w:r>
        <w:rPr>
          <w:rFonts w:ascii="Amiri" w:hAnsi="Amiri" w:eastAsia="Amiri" w:cs="Amiri"/>
          <w:color w:val="111111"/>
          <w:sz w:val="28"/>
          <w:sz w:val="28"/>
          <w:szCs w:val="28"/>
          <w:rtl w:val="true"/>
          <w:lang w:bidi="ar-SA"/>
        </w:rPr>
        <w:t xml:space="preserve">ثمّ إنّه لا بأس بصرف الكلام إلى ما قاله العلاّمة قدّس سرّه في المقام ، وما ذكر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مجهول مقصود بالبيع ، لا يصحّ بيعه وإن انضمّ إلى معلوم ، ويجوز مع الانضمام إلى معلوم إذا كان تابعاً </w:t>
      </w:r>
      <w:r>
        <w:rPr>
          <w:rStyle w:val="FootnoteAnchor"/>
          <w:rtl w:val="true"/>
        </w:rPr>
        <w:footnoteReference w:id="131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منه مع الغضّ عن سائر ما حكي عنه ، أنّ مورد عدم الصحّة والجواز شيء واحد ، وأنّ المجهول إذا كان مقصوداً بالبيع ، فبيعه غير صحيح حتّى مع الانضمام ، وأمّا إذا كان تابعاً للمعلوم فبيعه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التبعية على الشرط ، خلاف ظاهره ، فلا بدّ من حملها على التبعية في الغرض ، أو الوجود ، أو الكلام ، أو تعلّق البيع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بالنظر إلى سائر كلماته</w:t>
      </w:r>
      <w:r>
        <w:rPr>
          <w:rStyle w:val="FootnoteAnchor"/>
          <w:rtl w:val="true"/>
        </w:rPr>
        <w:footnoteReference w:id="1311"/>
      </w:r>
      <w:r>
        <w:rPr>
          <w:rFonts w:ascii="Amiri" w:hAnsi="Amiri" w:eastAsia="Amiri" w:cs="Amiri"/>
          <w:color w:val="111111"/>
          <w:sz w:val="28"/>
          <w:sz w:val="28"/>
          <w:szCs w:val="28"/>
          <w:rtl w:val="true"/>
          <w:lang w:bidi="ar-SA"/>
        </w:rPr>
        <w:t xml:space="preserve">، فلا بدّ من توجيه كلامه ؛ بأ نّه يجوز القرار </w:t>
      </w:r>
    </w:p>
    <w:p>
      <w:pPr>
        <w:pStyle w:val="BookText"/>
        <w:rPr/>
      </w:pPr>
      <w:r>
        <w:rPr>
          <w:rFonts w:ascii="Amiri" w:hAnsi="Amiri" w:eastAsia="Amiri" w:cs="Amiri"/>
          <w:color w:val="111111"/>
          <w:sz w:val="28"/>
          <w:sz w:val="28"/>
          <w:szCs w:val="28"/>
          <w:rtl w:val="true"/>
          <w:lang w:bidi="ar-SA"/>
        </w:rPr>
        <w:t xml:space="preserve">مثلاً ، إذا انضمّ بنحو التبعية للمبيع ، فيكون المجهول مجعولاً تبعاً للبيع ، فينطبق على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الاحتمال ، يكون الكلام في صحّة الشرط المجهول ، لا في بطلان البيع المشروط به كما توهّم</w:t>
      </w:r>
      <w:r>
        <w:rPr>
          <w:rStyle w:val="FootnoteAnchor"/>
          <w:rtl w:val="true"/>
        </w:rPr>
        <w:footnoteReference w:id="1312"/>
      </w:r>
      <w:r>
        <w:rPr>
          <w:rFonts w:ascii="Amiri" w:hAnsi="Amiri" w:eastAsia="Amiri" w:cs="Amiri"/>
          <w:color w:val="111111"/>
          <w:sz w:val="28"/>
          <w:sz w:val="28"/>
          <w:szCs w:val="28"/>
          <w:rtl w:val="true"/>
          <w:lang w:bidi="ar-SA"/>
        </w:rPr>
        <w:t xml:space="preserve">، فيرجع كلامه إلى أنّ النبوي المشهور المجبور بالعمل ، مختصّ بالبيع ، فالشرط المجهول صحيح على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الاختلاف في الجزء والشرط ، ليس إلاّ بمجرّد العبارة</w:t>
      </w:r>
      <w:r>
        <w:rPr>
          <w:rStyle w:val="FootnoteAnchor"/>
          <w:rtl w:val="true"/>
        </w:rPr>
        <w:footnoteReference w:id="1313"/>
      </w:r>
      <w:r>
        <w:rPr>
          <w:rFonts w:ascii="Amiri" w:hAnsi="Amiri" w:eastAsia="Amiri" w:cs="Amiri"/>
          <w:color w:val="111111"/>
          <w:sz w:val="28"/>
          <w:sz w:val="28"/>
          <w:szCs w:val="28"/>
          <w:rtl w:val="true"/>
          <w:lang w:bidi="ar-SA"/>
        </w:rPr>
        <w:t>غير وارد ؛ ضرورة أنّ البيع غير الشرط عنواناً ، وواقعاً ، وأثراً ، فعلى هذا يصحّ كلامه في الشرط ، دون الجزء ؛ لما مرّ من صحّته في الجزء بدلالة الروايات المتقدّمة</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الغرر جارٍ في الشرط وسائر 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مرسلاً عن النبي صلي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نهى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به شيخ الطائفة وابن زهرة في غير البيع</w:t>
      </w:r>
      <w:r>
        <w:rPr>
          <w:rStyle w:val="FootnoteAnchor"/>
          <w:rtl w:val="true"/>
        </w:rPr>
        <w:footnoteReference w:id="1315"/>
      </w:r>
      <w:r>
        <w:rPr>
          <w:rFonts w:ascii="Amiri" w:hAnsi="Amiri" w:eastAsia="Amiri" w:cs="Amiri"/>
          <w:color w:val="111111"/>
          <w:sz w:val="28"/>
          <w:sz w:val="28"/>
          <w:szCs w:val="28"/>
          <w:rtl w:val="true"/>
          <w:lang w:bidi="ar-SA"/>
        </w:rPr>
        <w:t>، وادّعي الشهرة</w:t>
      </w:r>
      <w:r>
        <w:rPr>
          <w:rStyle w:val="FootnoteAnchor"/>
          <w:rtl w:val="true"/>
        </w:rPr>
        <w:footnoteReference w:id="1316"/>
      </w:r>
      <w:r>
        <w:rPr>
          <w:rFonts w:ascii="IRNazanin" w:hAnsi="IRNazanin" w:eastAsia="IRNazanin"/>
          <w:color w:val="111111"/>
          <w:sz w:val="28"/>
          <w:sz w:val="28"/>
          <w:szCs w:val="28"/>
          <w:rtl w:val="true"/>
          <w:lang w:bidi="fa-IR"/>
        </w:rPr>
        <w:t>والإجماع</w:t>
      </w:r>
      <w:r>
        <w:rPr>
          <w:rStyle w:val="FootnoteAnchor"/>
          <w:rtl w:val="true"/>
        </w:rPr>
        <w:footnoteReference w:id="1317"/>
      </w:r>
      <w:r>
        <w:rPr>
          <w:rFonts w:ascii="Amiri" w:hAnsi="Amiri" w:eastAsia="Amiri" w:cs="Amiri"/>
          <w:color w:val="111111"/>
          <w:sz w:val="28"/>
          <w:sz w:val="28"/>
          <w:szCs w:val="28"/>
          <w:rtl w:val="true"/>
          <w:lang w:bidi="ar-SA"/>
        </w:rPr>
        <w:t xml:space="preserve">في غير واحد من أبواب الفقه على اعتبار المعلومية ؛ مستنداً إلى لزوم الغرر ، بناءً على جبرها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الأخبار المتقدّمة تشمل الشروط ، تخرج بها عن دليل الغرر ، فيصحّ الشرط المجهول ، كما يصحّ البيع مع ضميمة 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شمولها لها فاللازم بطلان التابع ؛ أي الشرط ، وصحّة ما هو المقصود مع الضميمة المعلومة ، عكس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318"/>
      </w:r>
      <w:r>
        <w:rPr>
          <w:rFonts w:ascii="IRNazanin" w:hAnsi="IRNazanin" w:eastAsia="IRNazanin"/>
          <w:color w:val="111111"/>
          <w:sz w:val="28"/>
          <w:sz w:val="28"/>
          <w:szCs w:val="28"/>
          <w:rtl w:val="true"/>
          <w:lang w:bidi="fa-IR"/>
        </w:rPr>
        <w:t xml:space="preserve">على هذا الاحتمال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الاحتمال الأوّل ، فإن كان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التابع في القصد المعاملي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مقصود المشتري اشتراء المعلوم ؛ بحيث دار إقدامه على الاشتراء وعدمه مداره ، ويكون ضمّ المجهول إليه بقصد تبعي ثانوي ، فيقع حينئذٍ صحيحاً ، وفي العكس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الميزان في صدق الغرر هنا في البيع ، وقوعه عليهما ، من غير فرق بين الفرضين ، وبالنظر إلى أخبار الباب أيضاً لا 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بالنظر إليها ، يكون احتمال الصحّة فيما إذا كان المجهول مقصوداً أولى ؛ بدعوى أنّ الخارج من إطلاق دليل الغرر بتلك الروايات ، ما كان شراء الضميمة المعلومة غير مقصود إلاّ للتخلّص عن الغرر ، كاللّبن في الاُسكرّجة ، والكفّ من السمك في شراء سمك الآجام ، وإن كان فيه ما فيه ؛ لمخالفته لفهم العقلاء ، ولا سيّما مع النكتة المذكورة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اشتراء الأصواف على ظهر مائة نعجة ، مقصود بالأصالة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إشكالاً ، ما إذا كان المراد التبعية في اللفظ ، 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بعتك سمك </w:t>
      </w:r>
    </w:p>
    <w:p>
      <w:pPr>
        <w:pStyle w:val="BookText"/>
        <w:rPr/>
      </w:pPr>
      <w:r>
        <w:rPr>
          <w:rFonts w:ascii="Amiri" w:hAnsi="Amiri" w:eastAsia="Amiri" w:cs="Amiri"/>
          <w:color w:val="111111"/>
          <w:sz w:val="28"/>
          <w:sz w:val="28"/>
          <w:szCs w:val="28"/>
          <w:rtl w:val="true"/>
          <w:lang w:bidi="ar-SA"/>
        </w:rPr>
        <w:t>الأجمة ، وهذا الكفّ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 ولو انعكس صحّ ؛ ضرورة أ نّهما في صدق الغرر عليهما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والتفريق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بالتشبّث بالروايات التي وردت في الصحّة ؛ بدعوى أنّ المذكور فيها تقدّم المعلوم ، فتقدّم المجهول باقٍ تحت دليل النهي عن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غير محلّه ؛ ضرورة عدم فهم العرف من صرف التقدّم اللفظي خصوصية فيه ، ولا سيّما مع الحكمة أو العلّة المذكورة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رواية الكرخي</w:t>
      </w:r>
      <w:r>
        <w:rPr>
          <w:rStyle w:val="FootnoteAnchor"/>
          <w:rtl w:val="true"/>
        </w:rPr>
        <w:footnoteReference w:id="1319"/>
      </w:r>
      <w:r>
        <w:rPr>
          <w:rFonts w:ascii="Amiri" w:hAnsi="Amiri" w:eastAsia="Amiri" w:cs="Amiri"/>
          <w:color w:val="111111"/>
          <w:sz w:val="28"/>
          <w:sz w:val="28"/>
          <w:szCs w:val="28"/>
          <w:rtl w:val="true"/>
          <w:lang w:bidi="ar-SA"/>
        </w:rPr>
        <w:t>ورواية معاوية بن عمّار</w:t>
      </w:r>
      <w:r>
        <w:rPr>
          <w:rStyle w:val="FootnoteAnchor"/>
          <w:rtl w:val="true"/>
        </w:rPr>
        <w:footnoteReference w:id="1320"/>
      </w:r>
      <w:r>
        <w:rPr>
          <w:rFonts w:ascii="Amiri" w:hAnsi="Amiri" w:eastAsia="Amiri" w:cs="Amiri"/>
          <w:color w:val="111111"/>
          <w:sz w:val="28"/>
          <w:sz w:val="28"/>
          <w:szCs w:val="28"/>
          <w:rtl w:val="true"/>
          <w:lang w:bidi="ar-SA"/>
        </w:rPr>
        <w:t>بل وصحيحة العيص</w:t>
      </w:r>
      <w:r>
        <w:rPr>
          <w:rStyle w:val="FootnoteAnchor"/>
          <w:rtl w:val="true"/>
        </w:rPr>
        <w:footnoteReference w:id="1321"/>
      </w:r>
      <w:r>
        <w:rPr>
          <w:rFonts w:ascii="Amiri" w:hAnsi="Amiri" w:eastAsia="Amiri" w:cs="Amiri"/>
          <w:color w:val="111111"/>
          <w:sz w:val="28"/>
          <w:sz w:val="28"/>
          <w:szCs w:val="28"/>
          <w:rtl w:val="true"/>
          <w:lang w:bidi="ar-SA"/>
        </w:rPr>
        <w:t xml:space="preserve">ولا تصلح غيرها لتقييدها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ويتلوها في الضعف ، ما استظهره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 وكلمات الأصحاب بوجه ؛ من أنّ المحصّل منها جواز كلّ ما كان فيه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الحصول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بالضميمة إلى معلوم ، على وجه يكون المقصود بالبيع ذلك المعلوم ؛ بمعنى الإقدام منهما ولو لتصحيح البيع ، على أنّ المبيع المقابل بالثمن ، هذا المعلوم المقصود في تصحيح البيع ، وإن كان المقصود من حيث الغرض ، هو ما فيه الغرر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فيها حينئذٍ ، عدم الاندراج مع الفرض المزبور في النهي عن بيع الغرر ، بعد فرض جعل المتعلّق له المعلوم ، على وجه يكون هو المقابل للثمن مع فرض عدم غيره ، فتأمّل جيّداً ، فإنّه دقيق نافع ، قد رمزوه عليهم السلام </w:t>
      </w:r>
    </w:p>
    <w:p>
      <w:pPr>
        <w:pStyle w:val="BookText"/>
        <w:rPr/>
      </w:pPr>
      <w:r>
        <w:rPr>
          <w:rFonts w:ascii="Amiri" w:hAnsi="Amiri" w:eastAsia="Amiri" w:cs="Amiri"/>
          <w:color w:val="111111"/>
          <w:sz w:val="28"/>
          <w:sz w:val="28"/>
          <w:szCs w:val="28"/>
          <w:rtl w:val="true"/>
          <w:lang w:bidi="ar-SA"/>
        </w:rPr>
        <w:t>إلى من يرزقه اللّه فهم رموزهم</w:t>
      </w:r>
      <w:r>
        <w:rPr>
          <w:rStyle w:val="FootnoteAnchor"/>
          <w:rtl w:val="true"/>
        </w:rPr>
        <w:footnoteReference w:id="1322"/>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أنّ ما وجّهه ، خلاف الاعتبار العقلائي والشرعي في البيع ، إن كان المراد وقوع العقد عليهما ، ووقوع الثمن في مقابل المعلوم فقط ، وموجب للتعليق وكون بيعين في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بالنبوي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بيعين في بيع</w:t>
      </w:r>
      <w:r>
        <w:rPr>
          <w:rFonts w:eastAsia="Amiri" w:cs="Amiri" w:ascii="Amiri" w:hAnsi="Amiri"/>
          <w:color w:val="111111"/>
          <w:sz w:val="28"/>
          <w:szCs w:val="28"/>
          <w:rtl w:val="true"/>
          <w:lang w:bidi="ar-SA"/>
        </w:rPr>
        <w:t>»</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بيع المعلوم والمجهول على فرض الحصول ، وبيع المعلوم على فرض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 ظواهر الروايات الدالّة على بيع المعلوم والمجهول معاً ، مصرّحة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منّي هذا اللبن الذي في الاُسكرّجة وما في ضروعها</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ولا سيّما فيما كان الفرض في كلام السائل كرواية الكرخي</w:t>
      </w:r>
      <w:r>
        <w:rPr>
          <w:rStyle w:val="FootnoteAnchor"/>
          <w:rtl w:val="true"/>
        </w:rPr>
        <w:footnoteReference w:id="1325"/>
      </w:r>
      <w:r>
        <w:rPr>
          <w:rFonts w:ascii="Amiri" w:hAnsi="Amiri" w:eastAsia="Amiri" w:cs="Amiri"/>
          <w:color w:val="111111"/>
          <w:sz w:val="28"/>
          <w:sz w:val="28"/>
          <w:szCs w:val="28"/>
          <w:rtl w:val="true"/>
          <w:lang w:bidi="ar-SA"/>
        </w:rPr>
        <w:t xml:space="preserve">؛ ضرورة أ نّه لم ينقدح في ذهنه ولا في ذهن أحد من العرف ، ما وجّهه هذا المحقّق المدقّق ، وجعله من رموز كلامهم عليهم السلام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طرح الروايات كما صنعه الحلّي</w:t>
      </w:r>
      <w:r>
        <w:rPr>
          <w:rStyle w:val="FootnoteAnchor"/>
          <w:rtl w:val="true"/>
        </w:rPr>
        <w:footnoteReference w:id="1326"/>
      </w:r>
      <w:r>
        <w:rPr>
          <w:rFonts w:ascii="Amiri" w:hAnsi="Amiri" w:eastAsia="Amiri" w:cs="Amiri"/>
          <w:color w:val="111111"/>
          <w:sz w:val="28"/>
          <w:sz w:val="28"/>
          <w:szCs w:val="28"/>
          <w:rtl w:val="true"/>
          <w:lang w:bidi="ar-SA"/>
        </w:rPr>
        <w:t xml:space="preserve">، أهون من التوجيهات المخالفة للواقع والقواعد العقلية والعقلائية والشرعية </w:t>
      </w:r>
      <w:r>
        <w:rPr>
          <w:rFonts w:eastAsia="Amiri" w:cs="Amiri" w:ascii="Amiri" w:hAnsi="Amiri"/>
          <w:color w:val="111111"/>
          <w:sz w:val="28"/>
          <w:szCs w:val="28"/>
          <w:rtl w:val="true"/>
          <w:lang w:bidi="ar-SA"/>
        </w:rPr>
        <w:t xml:space="preserve">. </w:t>
      </w:r>
      <w:bookmarkStart w:id="682" w:name="pg15209_204217"/>
    </w:p>
    <w:p>
      <w:pPr>
        <w:pStyle w:val="Heading4"/>
        <w:numPr>
          <w:ilvl w:val="3"/>
          <w:numId w:val="1"/>
        </w:numPr>
        <w:rPr/>
      </w:pPr>
      <w:bookmarkStart w:id="683" w:name="__RefHeading___Toc2974777_2142443653"/>
      <w:bookmarkStart w:id="684" w:name="_Toc244"/>
      <w:bookmarkEnd w:id="682"/>
      <w:bookmarkEnd w:id="683"/>
      <w:r>
        <w:rPr>
          <w:rtl w:val="true"/>
        </w:rPr>
        <w:t>مسألة في الإندار</w:t>
      </w:r>
      <w:bookmarkEnd w:id="684"/>
    </w:p>
    <w:p>
      <w:pPr>
        <w:pStyle w:val="Heading5"/>
        <w:numPr>
          <w:ilvl w:val="4"/>
          <w:numId w:val="1"/>
        </w:numPr>
        <w:rPr/>
      </w:pPr>
      <w:bookmarkStart w:id="685" w:name="__RefHeading___Toc2974779_2142443653"/>
      <w:bookmarkStart w:id="686" w:name="_Toc245"/>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جواز إندار مقدار يحتمل الزيادة والنقيصة ، لظرف ما يوزن مع ظرفه ، ممّا لا إشكال فيه في الجملة ، وادّعيت الشهرة وعدم الخلاف فيه</w:t>
      </w:r>
      <w:r>
        <w:rPr>
          <w:rStyle w:val="FootnoteAnchor"/>
          <w:rtl w:val="true"/>
        </w:rPr>
        <w:footnoteReference w:id="1327"/>
      </w:r>
      <w:r>
        <w:rPr>
          <w:rFonts w:ascii="Amiri" w:hAnsi="Amiri" w:eastAsia="Amiri" w:cs="Amiri"/>
          <w:color w:val="111111"/>
          <w:sz w:val="28"/>
          <w:sz w:val="28"/>
          <w:szCs w:val="28"/>
          <w:rtl w:val="true"/>
          <w:lang w:bidi="ar-SA"/>
        </w:rPr>
        <w:t xml:space="preserve">، بل عن فخر الدين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 قال 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الأصحاب على أ نّه يجوز الإندار للظرف ؛ بما يحتمل الزيادة والنقيصة ، فقد استثني من المبيع أمر مجهول ، واستثناء المجهول مبطل للبيع إلاّ في هذه الصورة ، فإنّه لا يبطل إجماعاً </w:t>
      </w:r>
      <w:r>
        <w:rPr>
          <w:rStyle w:val="FootnoteAnchor"/>
          <w:rtl w:val="true"/>
        </w:rPr>
        <w:footnoteReference w:id="132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في أقسام ما يتصوّر في بيع المظروف ، مع الجهل بمقداره كيلاً ووزناً ، بعد العلم بمقدار مجموع الظرف والمظروف ، وفي مقتضى القاعدة فيها ، ومقدار دلالة معقد إجماع الفخر والأخبار الواردة في هذا الباب</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فنقول </w:t>
      </w:r>
      <w:r>
        <w:rPr>
          <w:rFonts w:eastAsia="IRNazanin" w:cs="IRNazanin"/>
          <w:color w:val="111111"/>
          <w:sz w:val="28"/>
          <w:szCs w:val="28"/>
          <w:rtl w:val="true"/>
          <w:lang w:bidi="fa-IR"/>
        </w:rPr>
        <w:t>:</w:t>
      </w:r>
      <w:bookmarkStart w:id="687" w:name="pg15209_204218"/>
    </w:p>
    <w:p>
      <w:pPr>
        <w:pStyle w:val="Heading5"/>
        <w:numPr>
          <w:ilvl w:val="4"/>
          <w:numId w:val="1"/>
        </w:numPr>
        <w:rPr/>
      </w:pPr>
      <w:bookmarkStart w:id="688" w:name="__RefHeading___Toc2974781_2142443653"/>
      <w:bookmarkStart w:id="689" w:name="_Toc246"/>
      <w:bookmarkEnd w:id="687"/>
      <w:bookmarkEnd w:id="688"/>
      <w:r>
        <w:rPr>
          <w:rtl w:val="true"/>
        </w:rPr>
        <w:t>فيما يتصوّر في بيع المظروف مع الجهل بمقداره ومقتضى القاعدة فيه</w:t>
      </w:r>
      <w:bookmarkEnd w:id="689"/>
    </w:p>
    <w:p>
      <w:pPr>
        <w:pStyle w:val="BookText"/>
        <w:rPr/>
      </w:pPr>
      <w:r>
        <w:rPr>
          <w:rFonts w:ascii="Amiri" w:hAnsi="Amiri" w:eastAsia="Amiri" w:cs="Amiri"/>
          <w:color w:val="111111"/>
          <w:sz w:val="28"/>
          <w:sz w:val="28"/>
          <w:szCs w:val="28"/>
          <w:rtl w:val="true"/>
          <w:lang w:bidi="ar-SA"/>
        </w:rPr>
        <w:t xml:space="preserve">إنّه بعد توزين المجموع ، قد يقع البيع على المظروف قبل الإندار ، إمّا ببيع ما في الزقاق مثلاً بثمن معلوم وإمّا ببيع ما فيها كلّ رطل بكذا ، وقد يقع عليه بعد الإندار ، ويجيء فيه القسمان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والفرض الأوّل في كلّ من القسمين لا يحتاج إلى الإندار ،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كفاية العلم بوزن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وقعا صحيحين بلا إندار ؛ لمعلومية المثمن والثمن ، لا بمعنى معلومية مقدار المثمن ، بل بمعنى أ نّه بعد عدم لزوم العلم بالمقدار ، يكفي العلم بنفس المثمن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مراد الشيخ قدّس سرّه </w:t>
      </w:r>
      <w:r>
        <w:rPr>
          <w:rStyle w:val="FootnoteAnchor"/>
          <w:rtl w:val="true"/>
        </w:rPr>
        <w:footnoteReference w:id="1330"/>
      </w:r>
      <w:r>
        <w:rPr>
          <w:rFonts w:ascii="Amiri" w:hAnsi="Amiri" w:eastAsia="Amiri" w:cs="Amiri"/>
          <w:color w:val="111111"/>
          <w:sz w:val="28"/>
          <w:sz w:val="28"/>
          <w:szCs w:val="28"/>
          <w:rtl w:val="true"/>
          <w:lang w:bidi="ar-SA"/>
        </w:rPr>
        <w:t xml:space="preserve">، لا ما توهّمه بعضهم ، 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المثمن مجهول المقدار</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القواعد بطلان جميع الأقسام ؛ للجهل بالوزن والكيل ، ومجرّد تسامح المتعاملين ، أو تعارف الإندار ، أو تعارف البيع كذلك ، أو بناء المتعاملين في البيع على أ نّه مقدار كذا ، لا يوجب خروجه عن بيع الغرر بمعنى الجهالة ، كما أنّ مجرّد التعيين تخميناً وحدساً ، أو ظنّاً ، لا يوجبه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ذلك من صحيحة الحلبي ، عن أبي عبداللّه عليه السلام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رجل طعاماً عدلاً بكيل معلوم ، وأنّ صاحبه قال للمشتري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 منّي هذا العدل الآخر بغير كيل ؛ فإنّ فيه مثل ما في الآخر الذي ابتعت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بكيل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طعام سمّيت فيه كيلاً ، فإنّه لا يصلح مجازفة ، هذا ممّا يكره من بيع الطعام</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الكلام فيها وفي مفادها في محلّه</w:t>
      </w:r>
      <w:r>
        <w:rPr>
          <w:rStyle w:val="FootnoteAnchor"/>
          <w:rtl w:val="true"/>
        </w:rPr>
        <w:footnoteReference w:id="1333"/>
      </w:r>
      <w:r>
        <w:rPr>
          <w:rFonts w:ascii="Amiri" w:hAnsi="Amiri" w:eastAsia="Amiri" w:cs="Amiri"/>
          <w:color w:val="111111"/>
          <w:sz w:val="28"/>
          <w:sz w:val="28"/>
          <w:szCs w:val="28"/>
          <w:rtl w:val="true"/>
          <w:lang w:bidi="ar-SA"/>
        </w:rPr>
        <w:t xml:space="preserve">،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المتعارف وزن الأحمال نوعاً عند اشترائها ، وعدم الاتّكال على قول البائع ، فحينئذٍ لا داعي للبائع في أن يكيل أو يزن الأحمال قبل إرادة بيعها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قرينة على 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 مثل ما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مثلها حدساً وتخميناً ، ولا يكون ذلك إخباراً عن الكيل والوزن ، فأجاب بعدم الصلوح إلاّ كيلاً وأطلق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من طعام سمّيت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آخره ، من تتمّة الرواية كما هو الظاهر ، لا إلحاق رواية اُخرى بها ، كما قد يشعر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الرواية على أنّ التعيين بالحدس والتخمين ، لا يكفي ولو مع رضا المتبايعين ، وأنّ التسامح أو عدم الاختلاف الفاحش ، لا يكفي في الصحّة ، بل لا بدّ من الكيل ، وأ نّه بلا كيل مجازفة ، فيظهر منها أنّ الأقسام المتقدّمة كلّها باطلة ، وإن كان المتعاملان راضيين به ، وأنّ الإندار بالتخمين والحدس لا يفيد ، كما أنّ تعارف الإندار أو مقداره لا يفيد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قيام السيرة العقلائية على الإندار ، وإحراز اتّصالها بزمان </w:t>
      </w:r>
    </w:p>
    <w:p>
      <w:pPr>
        <w:pStyle w:val="BookText"/>
        <w:rPr/>
      </w:pPr>
      <w:r>
        <w:rPr>
          <w:rFonts w:ascii="Amiri" w:hAnsi="Amiri" w:eastAsia="Amiri" w:cs="Amiri"/>
          <w:color w:val="111111"/>
          <w:sz w:val="28"/>
          <w:sz w:val="28"/>
          <w:szCs w:val="28"/>
          <w:rtl w:val="true"/>
          <w:lang w:bidi="ar-SA"/>
        </w:rPr>
        <w:t xml:space="preserve">الوحي ، تخصّص بها أدلّة البطلان ، أو توجب انصرافها عن مورده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مشكل بل ممنوع ؛ لعدم كون تعارف ذلك عند بعض التجّار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السيرة العامّة التي تصلح للتقييد أو انصراف الأدلّة ، كخبر الثقة ، وأصالة الصحّة في العقود ،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فالاتّكال بحسب القاعدة على دليل الغرر ودليل اعتبار الكيل والوزن ، إلاّ أن يدلّ دليل على الصحّة ؛ من إجماع أو 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القسم الأوّل من الأقسام المتقدّمة ، يكون الثمن معلوماً وجداناً ، والمثمن مجهولاً غير متعيّن حتّى بالحدس والتخمين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يكون الثمن والمثمن مجهولين كذلك ، فلو دلّ دليل على الصحّة في الثاني ، يستفاد منه الصحّة في الأوّل ، دون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الثاني لا خطر في المعاملة دون الأوّل</w:t>
      </w:r>
      <w:r>
        <w:rPr>
          <w:rStyle w:val="FootnoteAnchor"/>
          <w:rtl w:val="true"/>
        </w:rPr>
        <w:footnoteReference w:id="1334"/>
      </w:r>
      <w:r>
        <w:rPr>
          <w:rFonts w:ascii="Amiri" w:hAnsi="Amiri" w:eastAsia="Amiri" w:cs="Amiri"/>
          <w:color w:val="111111"/>
          <w:sz w:val="28"/>
          <w:sz w:val="28"/>
          <w:szCs w:val="28"/>
          <w:rtl w:val="true"/>
          <w:lang w:bidi="ar-SA"/>
        </w:rPr>
        <w:t xml:space="preserve">مزيّف ؛ فإنّ الدليل على البطلان ، هو حديث النهي عن الغرر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تسالم عليه فقهاء الفريقين على ما قيل</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شرط آخر وراء الغرر وهو عدم الخطر ، منفيّ بالأصل ، واحتمال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يعتنى به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الثالث يكون ثمنه معلوماً وجداناً ، ومثمنه حدساً وتخميناً ، وصحّة أحد القسمين السابقين ، مستلزمة لصحّته دون العكس ؛ لاحتمال اكتفاء الشارع بالتخمين </w:t>
      </w:r>
      <w:r>
        <w:rPr>
          <w:rFonts w:eastAsia="Amiri" w:cs="Amiri" w:ascii="Amiri" w:hAnsi="Amiri"/>
          <w:color w:val="111111"/>
          <w:sz w:val="28"/>
          <w:szCs w:val="28"/>
          <w:rtl w:val="true"/>
          <w:lang w:bidi="ar-SA"/>
        </w:rPr>
        <w:t xml:space="preserve">. </w:t>
      </w:r>
      <w:bookmarkStart w:id="690" w:name="pg15209_204221"/>
    </w:p>
    <w:p>
      <w:pPr>
        <w:pStyle w:val="BookText"/>
        <w:rPr/>
      </w:pPr>
      <w:bookmarkEnd w:id="690"/>
      <w:r>
        <w:rPr>
          <w:rFonts w:ascii="Amiri" w:hAnsi="Amiri" w:eastAsia="Amiri" w:cs="Amiri"/>
          <w:color w:val="111111"/>
          <w:sz w:val="28"/>
          <w:sz w:val="28"/>
          <w:szCs w:val="28"/>
          <w:rtl w:val="true"/>
          <w:lang w:bidi="ar-SA"/>
        </w:rPr>
        <w:t xml:space="preserve">وفي الرابع يكون الثمن والمثمن متعيّنين تخميناً ، وصحّته دليل على صحّة الثالث ، دون ما قبله ، وصحّة الثالث لا تدلّ على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صحّة الثاني من القسمين الأوّلين ، دليل على صحّة باقي الأقسام </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2974783_2142443653"/>
      <w:bookmarkStart w:id="692" w:name="_Toc247"/>
      <w:bookmarkEnd w:id="691"/>
      <w:r>
        <w:rPr>
          <w:rtl w:val="true"/>
        </w:rPr>
        <w:t>بيان معقد إجماع فخرالدين قدّس سرّه</w:t>
      </w:r>
      <w:bookmarkEnd w:id="692"/>
    </w:p>
    <w:p>
      <w:pPr>
        <w:pStyle w:val="BookText"/>
        <w:rPr/>
      </w:pPr>
      <w:r>
        <w:rPr>
          <w:rFonts w:ascii="Amiri" w:hAnsi="Amiri" w:eastAsia="Amiri" w:cs="Amiri"/>
          <w:color w:val="111111"/>
          <w:sz w:val="28"/>
          <w:sz w:val="28"/>
          <w:szCs w:val="28"/>
          <w:rtl w:val="true"/>
          <w:lang w:bidi="ar-SA"/>
        </w:rPr>
        <w:t xml:space="preserve">ثمّ إنّ ظاهر معقد الإجماع في كلام فخرالدين ، هو الصحّة في أحد القسمين الأوّلين من الأقسام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الأصحاب على أ نّه يجوز الإندار للظرف ، بما يحتمل الزيادة والنقيصة</w:t>
      </w:r>
      <w:r>
        <w:rPr>
          <w:rStyle w:val="FootnoteAnchor"/>
          <w:rtl w:val="true"/>
        </w:rPr>
        <w:footnoteReference w:id="1336"/>
      </w:r>
      <w:r>
        <w:rPr>
          <w:rFonts w:ascii="Amiri" w:hAnsi="Amiri" w:eastAsia="Amiri" w:cs="Amiri"/>
          <w:color w:val="111111"/>
          <w:sz w:val="28"/>
          <w:sz w:val="28"/>
          <w:szCs w:val="28"/>
          <w:rtl w:val="true"/>
          <w:lang w:bidi="ar-SA"/>
        </w:rPr>
        <w:t xml:space="preserve">ظاهر في أنّ مقدار الإندار أمر معلوم ، والجهل إنّما تعلّق بانطباقه على مقدار الظروف ، ولو كان مقدار الإندار مجهولاً لم يصحّ فيه احتمال الزيادة والنقيصة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الإندار المفتى به في كلام الأصحاب ومتون الفقه ، هو إسقاط أمر معلوم ، بإزاء الظرف المجهول</w:t>
      </w:r>
      <w:r>
        <w:rPr>
          <w:rStyle w:val="FootnoteAnchor"/>
          <w:rtl w:val="true"/>
        </w:rPr>
        <w:footnoteReference w:id="1337"/>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استثني من المبيع أمر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يكون تفريعاً على ما سبق ؛ لأ نّه لا يناسبه ، بل يناقضه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الأصحاب على إندار مقدار معلوم حال البيع ، ويتفرّع عليه أنّ استثناء أمر مجهول حال البيع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من الكلام الباطل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كان المراد التفريع على ما تقدّم ، وكان مراده بما تقدّم ، استثناء الإندار بما يحتمل الزيادة والنقيصة من المبيع ، ثمّ إيقاع البيع عليه ،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فاستثناء أمر </w:t>
      </w:r>
    </w:p>
    <w:p>
      <w:pPr>
        <w:pStyle w:val="BookText"/>
        <w:rPr/>
      </w:pPr>
      <w:r>
        <w:rPr>
          <w:rFonts w:ascii="Amiri" w:hAnsi="Amiri" w:eastAsia="Amiri" w:cs="Amiri"/>
          <w:color w:val="111111"/>
          <w:sz w:val="28"/>
          <w:sz w:val="28"/>
          <w:szCs w:val="28"/>
          <w:rtl w:val="true"/>
          <w:lang w:bidi="ar-SA"/>
        </w:rPr>
        <w:t>معلوم من المجهول ، لا يوجب معلومية المبيع ، فكان البيع باطلاً ؛ للجهل به ، لا بالمستثنى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المستثنى معلوم في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ينبغي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أمر مجهول 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الظروف المجهولة المقدار ، قبل وقوع الإندار بما يحتمل النقيصة والزيادة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استفاد الفخر ذلك من لازم نصّ الأصحاب ؛ فإنّ جواز الإندار بعد الفراغ عن صحّة البيع ، كما أنّ الإجماع المدّعى في الذيل ، مستفاد من نصّهم ، وإلاّ فمتون الفقه خالية عن ذلك ، بل متعرّضة لجواز الإندار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استظهره الشيخ الأعظم قدّس سرّه </w:t>
      </w:r>
      <w:r>
        <w:rPr>
          <w:rStyle w:val="FootnoteAnchor"/>
          <w:rtl w:val="true"/>
        </w:rPr>
        <w:footnoteReference w:id="1338"/>
      </w:r>
      <w:r>
        <w:rPr>
          <w:rFonts w:ascii="Amiri" w:hAnsi="Amiri" w:eastAsia="Amiri" w:cs="Amiri"/>
          <w:color w:val="111111"/>
          <w:sz w:val="28"/>
          <w:sz w:val="28"/>
          <w:szCs w:val="28"/>
          <w:rtl w:val="true"/>
          <w:lang w:bidi="ar-SA"/>
        </w:rPr>
        <w:t xml:space="preserve">من كلامه ، لا ينطبق عليه جزماً ، بل الظاهر من كلامه ، أنّ البيع بعد استثناء الظرف المجهول من المبيع ، وقبل إندار أمر معلوم ، صحيح عند الأصحاب ، فيدلّ كلامه على صحّة البيع في أحد القسمين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بحسب المتعارف في المكيل والموزون ، وقوعه على النحو الثاني منهما ، وهو بيع ما في الظروف كلّ رطل بكذا ، ولازم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المستند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صحّة سائر الأقسام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صحّ الاتّكال على الشهرة المحقّقة في المسألة والإجماع المنقول فيها </w:t>
      </w:r>
      <w:r>
        <w:rPr>
          <w:rStyle w:val="FootnoteAnchor"/>
          <w:rtl w:val="true"/>
        </w:rPr>
        <w:footnoteReference w:id="1339"/>
      </w:r>
      <w:r>
        <w:rPr>
          <w:rFonts w:ascii="Amiri" w:hAnsi="Amiri" w:eastAsia="Amiri" w:cs="Amiri"/>
          <w:color w:val="111111"/>
          <w:sz w:val="28"/>
          <w:sz w:val="28"/>
          <w:szCs w:val="28"/>
          <w:rtl w:val="true"/>
          <w:lang w:bidi="ar-SA"/>
        </w:rPr>
        <w:t xml:space="preserve">، لكنّها ليست من المسائل التي يصحّ الاتّكال فيها عليهما ، بل ولا على الإجماع المحقّق أيضاً ؛ فإنّها من المسائل الاجتهادية الواردة فيها الروايات ، ويكون استناد الفقهاء إليها ، أو يحتمل استنادهم </w:t>
      </w:r>
      <w:r>
        <w:rPr>
          <w:rFonts w:eastAsia="Amiri" w:cs="Amiri" w:ascii="Amiri" w:hAnsi="Amiri"/>
          <w:color w:val="111111"/>
          <w:sz w:val="28"/>
          <w:szCs w:val="28"/>
          <w:rtl w:val="true"/>
          <w:lang w:bidi="ar-SA"/>
        </w:rPr>
        <w:t xml:space="preserve">. </w:t>
      </w:r>
      <w:bookmarkStart w:id="693" w:name="pg15209_204223"/>
    </w:p>
    <w:p>
      <w:pPr>
        <w:pStyle w:val="Heading5"/>
        <w:numPr>
          <w:ilvl w:val="4"/>
          <w:numId w:val="1"/>
        </w:numPr>
        <w:rPr/>
      </w:pPr>
      <w:bookmarkStart w:id="694" w:name="__RefHeading___Toc2974785_2142443653"/>
      <w:bookmarkStart w:id="695" w:name="_Toc248"/>
      <w:bookmarkEnd w:id="693"/>
      <w:bookmarkEnd w:id="694"/>
      <w:r>
        <w:rPr>
          <w:rtl w:val="true"/>
        </w:rPr>
        <w:t>الروايات الدالّة على جواز الإندار</w:t>
      </w:r>
      <w:bookmarkEnd w:id="695"/>
    </w:p>
    <w:p>
      <w:pPr>
        <w:pStyle w:val="BookText"/>
        <w:rPr/>
      </w:pPr>
      <w:r>
        <w:rPr>
          <w:rFonts w:ascii="Amiri" w:hAnsi="Amiri" w:eastAsia="Amiri" w:cs="Amiri"/>
          <w:color w:val="111111"/>
          <w:sz w:val="28"/>
          <w:sz w:val="28"/>
          <w:szCs w:val="28"/>
          <w:rtl w:val="true"/>
          <w:lang w:bidi="ar-SA"/>
        </w:rPr>
        <w:t xml:space="preserve">وأمّا الروايات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وثاقته ووثاقة سائر رجال السند</w:t>
      </w:r>
      <w:r>
        <w:rPr>
          <w:rStyle w:val="FootnoteAnchor"/>
          <w:rtl w:val="true"/>
        </w:rPr>
        <w:footnoteReference w:id="1340"/>
      </w:r>
      <w:r>
        <w:rPr>
          <w:rFonts w:ascii="Amiri" w:hAnsi="Amiri" w:eastAsia="Amiri" w:cs="Amiri"/>
          <w:color w:val="111111"/>
          <w:sz w:val="28"/>
          <w:sz w:val="28"/>
          <w:szCs w:val="28"/>
          <w:rtl w:val="true"/>
          <w:lang w:bidi="ar-SA"/>
        </w:rPr>
        <w:t xml:space="preserve">، لكنّها لا تخلو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عبداللّه عليه السلام ، فقال له معمر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نشتري الزيت في زقاقه ، ويحسب لنا فيه نقصان ؛ لمكان الزقاق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يزيد وينقص فلا بأس ، وإن كان يزيد ولا ينقص فلا تقربه</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واختلفت النسخ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الغرر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أزقاقه ويحسب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xml:space="preserve">وفي باب بيع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فيحتسب لنا نقصان منه</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فيحسب</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الظاهر أنّ الاشتراء كان قبل الطرح والاحتساب ، </w:t>
      </w:r>
    </w:p>
    <w:p>
      <w:pPr>
        <w:pStyle w:val="BookText"/>
        <w:rPr/>
      </w:pPr>
      <w:r>
        <w:rPr>
          <w:rFonts w:ascii="Amiri" w:hAnsi="Amiri" w:eastAsia="Amiri" w:cs="Amiri"/>
          <w:color w:val="111111"/>
          <w:sz w:val="28"/>
          <w:sz w:val="28"/>
          <w:szCs w:val="28"/>
          <w:rtl w:val="true"/>
          <w:lang w:bidi="ar-SA"/>
        </w:rPr>
        <w:t xml:space="preserve">فيكون موافقاً لعبارة الفخر قدّس سرّه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الظاهر أنّ المتداول في الاحتساب والطرح ، وقوعه بعد البيع ، وكون اختبار الظروف وتعيين مقدارها بعد التخلية ، حين إرادة أداء الثمن إلى البائع ، فيوزن المجموع أوّلاً ، ويشترى كلّ رطل من المظروف مثلاً بكذا ، ثمّ عند الاحتساب ، واختبار الظروف ، وتعيين مقدارها تخميناً ، يطرح المقدار التخميني ، ويردّ ثمن الباقي إلى البائع ، فيستفاد منها تأخّر الاشتراء عن البيع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فيحسب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للاشتراء ، ومن ذكر المفصّل بعد المجمل</w:t>
      </w:r>
      <w:r>
        <w:rPr>
          <w:rStyle w:val="FootnoteAnchor"/>
          <w:rtl w:val="true"/>
        </w:rPr>
        <w:footnoteReference w:id="1347"/>
      </w:r>
      <w:r>
        <w:rPr>
          <w:rFonts w:ascii="Amiri" w:hAnsi="Amiri" w:eastAsia="Amiri" w:cs="Amiri"/>
          <w:color w:val="111111"/>
          <w:sz w:val="28"/>
          <w:sz w:val="28"/>
          <w:szCs w:val="28"/>
          <w:rtl w:val="true"/>
          <w:lang w:bidi="ar-SA"/>
        </w:rPr>
        <w:t xml:space="preserve">، فهو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الرواية على صحّة القسم الثاني ، وبالملازمة على صحّة جميع الأقسام ، كما تقدّم في عبارة الفخر قدّس سرّه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كونه بائع الزيت ، وأ نّه يأتيه من الشام ويبيعه ، والسؤال عن الأخذ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فإنّه يطرح لظروف السمن والزيت، لكلّ ظرف كذا وكذا رطلاً، فربّما زاد، وربّما نقص</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عن تراضٍ منكم فلا بأس</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من التفريع على ما تقدّم فيها من بيعه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الإلقاء والإسقاط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يناسب الاستثناء قبلاً ، بل يناسب الإلقاء عن المبيع بعد بيعه كلّ رطل بكذا ؛ لأخذ ثمن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الإندار بعد البيع كما هو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منها بيع كلّ رطل من السمن الخارجي بكذا ؛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يطرح لكلّ ظرف كذا وكذا 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فينطبق على القسم الثاني من الأقسام ، ويأتي فيه ما ذكرنا في موثّقة حنان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جعفر ، عن أخيه موسى بن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 يشتري المتاع وزناً في الباسنة</w:t>
      </w:r>
      <w:r>
        <w:rPr>
          <w:rStyle w:val="FootnoteAnchor"/>
          <w:rtl w:val="true"/>
        </w:rPr>
        <w:footnoteReference w:id="1350"/>
      </w:r>
      <w:r>
        <w:rPr>
          <w:rFonts w:ascii="Amiri" w:hAnsi="Amiri" w:eastAsia="Amiri" w:cs="Amiri"/>
          <w:color w:val="111111"/>
          <w:sz w:val="28"/>
          <w:sz w:val="28"/>
          <w:szCs w:val="28"/>
          <w:rtl w:val="true"/>
          <w:lang w:bidi="ar-SA"/>
        </w:rPr>
        <w:t xml:space="preserve">والجوالق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إدفع للباسنة رطلاً أو أقلّ أو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ذلك البيع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يعلم وزن الباسنة والجوالق فلا بأس إذا تراضيا</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أظهر من غيرها في الدلالة على تأخّر الإندار ؛ لظهور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إدفع للباسنة 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الإندار قبل البيع ، وكان البيع واقعاً على المظروف المعيّن بالتخمين ، لم يكن معنىً للدفع للباسنة ؛ لمعلومية المبيع تخميناً ، ووقوع الثمن بإزائه ، والحمل على الدفع بعنوان معاملة جديدة ، كما ترى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ولقوله عليه السلام في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يعلم وزن الباسنة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عرفاً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عدم البأس مختصّ بصورة الجهل ، فلو كان الاستثناء قبل البيع ، كان استثناء المعلوم موجباً لمعلومية المبيع ، فهو أولى بالصحّة ، فلا محالة يكون المراد الإندار بعد البيع حتّى يفرّق بين المعلوم والمجهول ، وسيأتي الكلام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المفروض صدور البيع مع التراضي ، فلو كان الإندار قبل البيع ، لم يكن وجه للجواب باشتراط التراضي بعد مفروغيته ، وأمّا في الإندار بعده ، فيصحّ ذلك كما يأتي</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أيحلّ ذلك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أنّ الإندار قبله ؛ لأنّ السؤال عن بيع المجهول صحيح على أيّ حال ، فلا محالة يكون المراد صحّة البيع بلازمه ، ويظهر من الجواب ذلك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 الغضّ عن ضعف سندها </w:t>
      </w:r>
      <w:r>
        <w:rPr>
          <w:rStyle w:val="FootnoteAnchor"/>
          <w:rtl w:val="true"/>
        </w:rPr>
        <w:footnoteReference w:id="1353"/>
      </w:r>
      <w:r>
        <w:rPr>
          <w:rFonts w:ascii="Amiri" w:hAnsi="Amiri" w:eastAsia="Amiri" w:cs="Amiri"/>
          <w:color w:val="111111"/>
          <w:sz w:val="28"/>
          <w:sz w:val="28"/>
          <w:szCs w:val="28"/>
          <w:rtl w:val="true"/>
          <w:lang w:bidi="ar-SA"/>
        </w:rPr>
        <w:t>، لا إشكال في دلالتها ، كما لا إشكال في دلالتها على القسم الثاني ، فيأتي فيها ما تقدّم ؛ من صحّة إثبات الحكم لسائر الأقسام</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المناقشة فيه ؛ لاحتمال كون الحكم ثابتاً للقسم المتعارف بين </w:t>
      </w:r>
    </w:p>
    <w:p>
      <w:pPr>
        <w:pStyle w:val="BookText"/>
        <w:rPr/>
      </w:pPr>
      <w:r>
        <w:rPr>
          <w:rFonts w:ascii="Amiri" w:hAnsi="Amiri" w:eastAsia="Amiri" w:cs="Amiri"/>
          <w:color w:val="111111"/>
          <w:sz w:val="28"/>
          <w:sz w:val="28"/>
          <w:szCs w:val="28"/>
          <w:rtl w:val="true"/>
          <w:lang w:bidi="ar-SA"/>
        </w:rPr>
        <w:t>التجّار ؛ للتسهيل ومراعاة حال نوعهم ، فالأقسام المقترحة لشخص أو أشخاص ، خارجة منه ، وباقية تحت الأدلّة العامّة ، نظير ما ثبت من عدم انفعال غسالة الاستنجاء</w:t>
      </w:r>
      <w:r>
        <w:rPr>
          <w:rStyle w:val="FootnoteAnchor"/>
          <w:rtl w:val="true"/>
        </w:rPr>
        <w:footnoteReference w:id="1355"/>
      </w:r>
      <w:r>
        <w:rPr>
          <w:rFonts w:ascii="Amiri" w:hAnsi="Amiri" w:eastAsia="Amiri" w:cs="Amiri"/>
          <w:color w:val="111111"/>
          <w:sz w:val="28"/>
          <w:sz w:val="28"/>
          <w:szCs w:val="28"/>
          <w:rtl w:val="true"/>
          <w:lang w:bidi="ar-SA"/>
        </w:rPr>
        <w:t>، وجواز الاكتفاء بالأحجار للنجو</w:t>
      </w:r>
      <w:r>
        <w:rPr>
          <w:rStyle w:val="FootnoteAnchor"/>
          <w:rtl w:val="true"/>
        </w:rPr>
        <w:footnoteReference w:id="1356"/>
      </w:r>
      <w:r>
        <w:rPr>
          <w:rFonts w:ascii="Amiri" w:hAnsi="Amiri" w:eastAsia="Amiri" w:cs="Amiri"/>
          <w:color w:val="111111"/>
          <w:sz w:val="28"/>
          <w:sz w:val="28"/>
          <w:szCs w:val="28"/>
          <w:rtl w:val="true"/>
          <w:lang w:bidi="ar-SA"/>
        </w:rPr>
        <w:t xml:space="preserve">، فإنّه لا يصحّ إثبات حكمهما لسائر الموارد ؛ بتخيّل عدم الفرق بينهما وبين سائر الموارد ، فإنّ احتمال جعل الحكم للمورد عفواً وتسهيلاً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كثرة الابتلاء ومراعاة حال المكلّفين ولا سيّما في بعض المناطق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المقام من قبيل بعض المقامات التي يلغي العرف فيها الخصوصية ،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ثوبي دم رعاف</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فإثبات الحكم لغير الصورة المتداولة ، وهي التي كانت معقد الإجماع ومورد الروايات ، مشكل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المناقشة في إثبات الحكم من موثّقة حنان</w:t>
      </w:r>
      <w:r>
        <w:rPr>
          <w:rStyle w:val="FootnoteAnchor"/>
          <w:rtl w:val="true"/>
        </w:rPr>
        <w:footnoteReference w:id="1358"/>
      </w:r>
      <w:r>
        <w:rPr>
          <w:rFonts w:ascii="Amiri" w:hAnsi="Amiri" w:eastAsia="Amiri" w:cs="Amiri"/>
          <w:color w:val="111111"/>
          <w:sz w:val="28"/>
          <w:sz w:val="28"/>
          <w:szCs w:val="28"/>
          <w:rtl w:val="true"/>
          <w:lang w:bidi="ar-SA"/>
        </w:rPr>
        <w:t>، ورواية علي بن أبي حمزة</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يبعد جواز 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بيع زقّ أو دبّة ونحوهما ؛ ممّا هو خارج عن مال التجارة ، في زقاق كثيرة ممّا يبتلي بها الزيّات والسمّان ؛ لاحتمال دخالة الخصوصية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والغضّ عن الغرر في مورد كثرة ابتلاء التجّار بالزقاق الكثيرة للتسهيل عليهم ، لا يوجب الإغماض عنه في مورد اشتراء الزيت في دبّة أو قارورة ، كما لا يصحّ إثباته لغير المائعات كالبطّيخ والقثّاء والباذنجان ؛ لخصوصية في المائعات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خصوص السمن والزيت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مقتضى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ثبوته لظرف واحد وللطعام أيضاً ، لكنّها ضعيفة</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استقرار فتوى الأصحاب قديماً وحديثاً ، على ثبوت الحكم لمطلق المظروف الذي يتعارف بيعه في ظرفه ، كما تشهد به عبارة الفخر قدّس سرّه </w:t>
      </w:r>
      <w:r>
        <w:rPr>
          <w:rStyle w:val="FootnoteAnchor"/>
          <w:rtl w:val="true"/>
        </w:rPr>
        <w:footnoteReference w:id="1362"/>
      </w:r>
      <w:r>
        <w:rPr>
          <w:rFonts w:ascii="IRNazanin" w:hAnsi="IRNazanin" w:eastAsia="IRNazanin"/>
          <w:color w:val="111111"/>
          <w:sz w:val="28"/>
          <w:sz w:val="28"/>
          <w:szCs w:val="28"/>
          <w:rtl w:val="true"/>
          <w:lang w:bidi="fa-IR"/>
        </w:rPr>
        <w:t>ومتون الفقه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والمناقشة في حجّية الشهرة بل الإجماع ، في مثل هذه المسألة الاجتهادية الواردة فيها النصوص ممكنة ، لكن ثبوت الحكم بنحو العموم ، كاشف عن تلقّيهم ذلك خلفاً عن سلف إلى زمان المعصومين عليهم السلام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تعارف ذلك في أسواق المسلمين وغيرهم من غير نكير ، كاشف عن ثبوت الحكم لمطلقه من الصدر الأوّل ، فتأمّل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 فهم العرف مساعد على ذلك ، وما ذكرناه واحتملناه ، وسوسة خارجة </w:t>
      </w:r>
    </w:p>
    <w:p>
      <w:pPr>
        <w:pStyle w:val="BookText"/>
        <w:rPr/>
      </w:pPr>
      <w:r>
        <w:rPr>
          <w:rFonts w:ascii="Amiri" w:hAnsi="Amiri" w:eastAsia="Amiri" w:cs="Amiri"/>
          <w:color w:val="111111"/>
          <w:sz w:val="28"/>
          <w:sz w:val="28"/>
          <w:szCs w:val="28"/>
          <w:rtl w:val="true"/>
          <w:lang w:bidi="ar-SA"/>
        </w:rPr>
        <w:t xml:space="preserve">عن متفاهم المخاطبات العرفية ، وعن الطريقة المألوفة ، ولو فتح باب تلك المناقشات العقلية ، لأمكنت المناقشة في أصل الحكم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موثّقة حنان وكذا رواية علي بن أبي حمزة ، ليستا بصدد بيان صحّة البيع وعدمها ، بل هما بصدد بيان جواز الإندار ، بعد الفراغ عن صحّة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صحّته المفروغ عنها لأجل رفع الغرر بإخبار البائع ، فإنّ 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إذا كان مؤتمناً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لرفع المجازفة والغرر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رفعهما بإخباره ، صحّة الاتّكال عليه في غير ذلك ، كما ورد في الروايات الدالّة على صحّة البيع اتّكالاً على قول البائع في الكيل، عدم جواز بيعه بغير كيل بمجرّد تصديق البائع ، كصحيحة عبد الرحمان</w:t>
      </w:r>
      <w:r>
        <w:rPr>
          <w:rStyle w:val="FootnoteAnchor"/>
          <w:rtl w:val="true"/>
        </w:rPr>
        <w:footnoteReference w:id="1364"/>
      </w:r>
      <w:r>
        <w:rPr>
          <w:rFonts w:ascii="Amiri" w:hAnsi="Amiri" w:eastAsia="Amiri" w:cs="Amiri"/>
          <w:color w:val="111111"/>
          <w:sz w:val="28"/>
          <w:sz w:val="28"/>
          <w:szCs w:val="28"/>
          <w:rtl w:val="true"/>
          <w:lang w:bidi="ar-SA"/>
        </w:rPr>
        <w:t xml:space="preserve">وغيرها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فيقال في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صحيح بإخبار البائع بالكيل ، لكن الإندار بعده يحتاج إلى رضا الطرفين ؛ ليحلّ مال الغير على فرض الزيادة أو 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بين لوازم الأمارات ، جائز ممكن ، ومع احتماله لا يصحّ رفع اليد عن القواعد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مع معهودية الإندار وتداوله على الوجه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يوزن الظرف والمظروف ، فيباع المظروف ، ويندر مقدار للظرف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مجال لتلك المناقشة ، ولهذا لا ترى في الكتب الاستدلالية ولا في فتاوى الأصحاب ، </w:t>
      </w:r>
      <w:bookmarkStart w:id="696" w:name="pg15209_204230"/>
    </w:p>
    <w:p>
      <w:pPr>
        <w:pStyle w:val="BookText"/>
        <w:rPr/>
      </w:pPr>
      <w:bookmarkEnd w:id="696"/>
      <w:r>
        <w:rPr>
          <w:rFonts w:ascii="Amiri" w:hAnsi="Amiri" w:eastAsia="Amiri" w:cs="Amiri"/>
          <w:color w:val="111111"/>
          <w:sz w:val="28"/>
          <w:sz w:val="28"/>
          <w:szCs w:val="28"/>
          <w:rtl w:val="true"/>
          <w:lang w:bidi="ar-SA"/>
        </w:rPr>
        <w:t>احتمال ذلك ، بل استقرّت الفتوى على جواز بيع المجهول واستثنائه من بيع الغرر ؛ بدليل ذكر الفرع في ذيل اشتراط الكيل والوزن</w:t>
      </w:r>
      <w:r>
        <w:rPr>
          <w:rStyle w:val="FootnoteAnchor"/>
          <w:rtl w:val="true"/>
        </w:rPr>
        <w:footnoteReference w:id="1366"/>
      </w:r>
      <w:r>
        <w:rPr>
          <w:rFonts w:ascii="Amiri" w:hAnsi="Amiri" w:eastAsia="Amiri" w:cs="Amiri"/>
          <w:color w:val="111111"/>
          <w:sz w:val="28"/>
          <w:sz w:val="28"/>
          <w:szCs w:val="28"/>
          <w:rtl w:val="true"/>
          <w:lang w:bidi="ar-SA"/>
        </w:rPr>
        <w:t xml:space="preserve">، وبدليل قول الفخر قدّس سرّه </w:t>
      </w:r>
      <w:r>
        <w:rPr>
          <w:rStyle w:val="FootnoteAnchor"/>
          <w:rtl w:val="true"/>
        </w:rPr>
        <w:footnoteReference w:id="1367"/>
      </w:r>
      <w:r>
        <w:rPr>
          <w:rFonts w:ascii="IRNazanin" w:hAnsi="IRNazanin" w:eastAsia="IRNazanin"/>
          <w:color w:val="111111"/>
          <w:sz w:val="28"/>
          <w:sz w:val="28"/>
          <w:szCs w:val="28"/>
          <w:rtl w:val="true"/>
          <w:lang w:bidi="fa-IR"/>
        </w:rPr>
        <w:t xml:space="preserve">المطّلع على فتاوى الأصحاب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مع ذلك كلّه ، إلحاق الجامدات من الحبوب والثمار والخضروات ، بالمائعات محلّ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بالتأمّل إلحاق كلّ مصاحب للمبيع يتعارف بيعه معه ، كالشمع في الحلي ، والمظروف الذي يقصد بيع ظرفه إذا كان وجوده فيه تبعاً ، كقليل من الدبس في الزقاق</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بالمناط أو إلغاء الخصوصية عرفاً </w:t>
      </w:r>
      <w:r>
        <w:rPr>
          <w:rStyle w:val="FootnoteAnchor"/>
          <w:rtl w:val="true"/>
        </w:rPr>
        <w:footnoteReference w:id="1369"/>
      </w:r>
      <w:r>
        <w:rPr>
          <w:rFonts w:ascii="Amiri" w:hAnsi="Amiri" w:eastAsia="Amiri" w:cs="Amiri"/>
          <w:color w:val="111111"/>
          <w:sz w:val="28"/>
          <w:sz w:val="28"/>
          <w:szCs w:val="28"/>
          <w:rtl w:val="true"/>
          <w:lang w:bidi="ar-SA"/>
        </w:rPr>
        <w:t xml:space="preserve">، عهدتها على مدّعيها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صلاحية ذلك التعارف عند بعض التجّار ، لتقييد دليل الغرر ، ودليل اعتبار الكيل </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2974787_2142443653"/>
      <w:bookmarkStart w:id="698" w:name="_Toc249"/>
      <w:bookmarkEnd w:id="697"/>
      <w:r>
        <w:rPr>
          <w:rtl w:val="true"/>
        </w:rPr>
        <w:t>احتمالات موثّقة حنان</w:t>
      </w:r>
      <w:bookmarkEnd w:id="698"/>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لقوله عليه السلام في موثّقة حنان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يزيد وينقص فلا بأس</w:t>
      </w:r>
      <w:r>
        <w:rPr>
          <w:rFonts w:eastAsia="Amiri" w:cs="Amiri" w:ascii="Amiri" w:hAnsi="Amiri"/>
          <w:color w:val="111111"/>
          <w:sz w:val="28"/>
          <w:szCs w:val="28"/>
          <w:rtl w:val="true"/>
          <w:lang w:bidi="ar-SA"/>
        </w:rPr>
        <w:t>»</w:t>
      </w:r>
      <w:r>
        <w:rPr>
          <w:rStyle w:val="FootnoteAnchor"/>
          <w:rtl w:val="true"/>
        </w:rPr>
        <w:footnoteReference w:id="13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احتمالات ، ذكرها الشيخ الأعظم قدّس سرّه </w:t>
      </w:r>
      <w:r>
        <w:rPr>
          <w:rStyle w:val="FootnoteAnchor"/>
          <w:rtl w:val="true"/>
        </w:rPr>
        <w:footnoteReference w:id="1372"/>
      </w:r>
      <w:r>
        <w:rPr>
          <w:rFonts w:ascii="Amiri" w:hAnsi="Amiri" w:eastAsia="Amiri" w:cs="Amiri"/>
          <w:color w:val="111111"/>
          <w:sz w:val="28"/>
          <w:sz w:val="28"/>
          <w:szCs w:val="28"/>
          <w:rtl w:val="true"/>
          <w:lang w:bidi="ar-SA"/>
        </w:rPr>
        <w:t xml:space="preserve">، وإن كان في بعض استشهاداته نظر ، لكن على جميع الاحتمالات ، تكون الزيادة والنقيصة محتملة في البيع الشخصي ؛ فإنّ كون نقيصة في بعض غير معلوم ، وزيادة في بعض كذلك ، يوجب الشكّ في الزيادة والنقيصة في الجميع ، كما أنّ حصول الزيادة في بعض المعاملات ، والنقيصة في بعض ، موجب للاحتمال في المعاملة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من بين الاحتمالات هو الثالث ، كما تشهد به رواية علي بن أبي حمزة</w:t>
      </w:r>
      <w:r>
        <w:rPr>
          <w:rStyle w:val="FootnoteAnchor"/>
          <w:rtl w:val="true"/>
        </w:rPr>
        <w:footnoteReference w:id="1373"/>
      </w:r>
      <w:r>
        <w:rPr>
          <w:rFonts w:ascii="Amiri" w:hAnsi="Amiri" w:eastAsia="Amiri" w:cs="Amiri"/>
          <w:color w:val="111111"/>
          <w:sz w:val="28"/>
          <w:sz w:val="28"/>
          <w:szCs w:val="28"/>
          <w:rtl w:val="true"/>
          <w:lang w:bidi="ar-SA"/>
        </w:rPr>
        <w:t xml:space="preserve">؛ فإنّ الظاهر منها أ نّه ربّما زاد في حال ، وربّما نقص في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رواية حنان أيضاً ذلك ؛ لأنّ السؤال إنّما هو عن نوع المعاملات الواقعة في خلال التجارة ، لا عن شخص معاملة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وينقص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نوعها ، كما أنّ رواية علي بن أبي حمزة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الاحتمالات ، في أنّ اللازم منها احتمال الزيادة والنقيصة في كلّ معاملة ، فحينئذٍ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الإندار شرط لصحّة البيع ، ولا بدّ وأن يكون قبله كما قيل</w:t>
      </w:r>
      <w:r>
        <w:rPr>
          <w:rStyle w:val="FootnoteAnchor"/>
          <w:rtl w:val="true"/>
        </w:rPr>
        <w:footnoteReference w:id="1374"/>
      </w:r>
      <w:r>
        <w:rPr>
          <w:rFonts w:ascii="Amiri" w:hAnsi="Amiri" w:eastAsia="Amiri" w:cs="Amiri"/>
          <w:color w:val="111111"/>
          <w:sz w:val="28"/>
          <w:sz w:val="28"/>
          <w:szCs w:val="28"/>
          <w:rtl w:val="true"/>
          <w:lang w:bidi="ar-SA"/>
        </w:rPr>
        <w:t xml:space="preserve">، فالظاهر من الموثّقة أنّ الشرط في الصحّة هو احتمالهما ؛ فإنّه المتعارف الخارج عن دليل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العلم بالزيادة أو النقيصة ، فيبقى تحت دليله ؛ لعدم كونه متعارفاً ، والخارج منه ما هو المتعارف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منها أنّ الشرطية الثانية لذكر أحد القسمين من المفهوم ، والميزان هو </w:t>
      </w:r>
    </w:p>
    <w:p>
      <w:pPr>
        <w:pStyle w:val="BookText"/>
        <w:rPr/>
      </w:pPr>
      <w:r>
        <w:rPr>
          <w:rFonts w:ascii="Amiri" w:hAnsi="Amiri" w:eastAsia="Amiri" w:cs="Amiri"/>
          <w:color w:val="111111"/>
          <w:sz w:val="28"/>
          <w:sz w:val="28"/>
          <w:szCs w:val="28"/>
          <w:rtl w:val="true"/>
          <w:lang w:bidi="ar-SA"/>
        </w:rPr>
        <w:t xml:space="preserve">الشرطية الاُولى ومفهومها ، والمستفاد منها عدم الصحّة في الفرضين ، فيرجع مفادها إلى أ نّه مع احتمال الأمرين يصحّ البيع ، وإلاّ لا يصحّ ، سواء علم بالزيادة أو بالنقيصة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من الروايتين ، أنّ اشتراء الزيت ونحوه في الزقاق والإندار ، كان أمراً متعارفاً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نشتري الزيت في زقاقه </w:t>
      </w:r>
      <w:r>
        <w:rPr>
          <w:rFonts w:eastAsia="Amiri" w:cs="Amiri" w:ascii="Amiri" w:hAnsi="Amiri"/>
          <w:color w:val="111111"/>
          <w:sz w:val="28"/>
          <w:szCs w:val="28"/>
          <w:rtl w:val="true"/>
          <w:lang w:bidi="ar-SA"/>
        </w:rPr>
        <w:t>. . .»</w:t>
      </w:r>
      <w:r>
        <w:rPr>
          <w:rStyle w:val="FootnoteAnchor"/>
          <w:rtl w:val="true"/>
        </w:rPr>
        <w:footnoteReference w:id="1375"/>
      </w:r>
      <w:r>
        <w:rPr>
          <w:rFonts w:ascii="Amiri" w:hAnsi="Amiri" w:eastAsia="Amiri" w:cs="Amiri"/>
          <w:color w:val="111111"/>
          <w:sz w:val="28"/>
          <w:sz w:val="28"/>
          <w:szCs w:val="28"/>
          <w:rtl w:val="true"/>
          <w:lang w:bidi="ar-SA"/>
        </w:rPr>
        <w:t xml:space="preserve">إلى آخره ، ظاهر في أنّ العمل العادي والمتعارف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الزيّات ، لم يسأل عن قضيّة شخصية ، بل مورد سؤاله ما هو المتعارف عند الزيّاتين والتجّار ، فاعتبار الاعتياد والمتعارف ممّا يدلّ عليه الروايتان ، فهو شرط ثانٍ لصحّته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الرضا منهما على هذا الاحتمال ، فلا إشكال في اعتباره ، لا لما أفاده الشيخ الأعظم قدّس سرّه </w:t>
      </w:r>
      <w:r>
        <w:rPr>
          <w:rStyle w:val="FootnoteAnchor"/>
          <w:rtl w:val="true"/>
        </w:rPr>
        <w:footnoteReference w:id="1376"/>
      </w:r>
      <w:r>
        <w:rPr>
          <w:rFonts w:ascii="Amiri" w:hAnsi="Amiri" w:eastAsia="Amiri" w:cs="Amiri"/>
          <w:color w:val="111111"/>
          <w:sz w:val="28"/>
          <w:sz w:val="28"/>
          <w:szCs w:val="28"/>
          <w:rtl w:val="true"/>
          <w:lang w:bidi="ar-SA"/>
        </w:rPr>
        <w:t xml:space="preserve">، بل لأنّ المفروض أنّ الإندار قبل البيع ، وهو دخيل في تعيين المبيع تخميناً ، ومعه لا بدّ من رضا المتبايعين حتّى يتعيّن المبيع بحسب الأرطال التخمينية ، ولا معنى لعدم اعتباره حال البيع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 نّه على هذا المبنى ، يرجّح من الأقوال الستّة التي ذكرها الشيخ قدّس سرّه ، القول الثاني الذي نسبه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 xml:space="preserve">كما ظهر ضعف سائر الأقوال والاحتمالات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الموثّقة في مقام البيان بالنسبة إلى نفس </w:t>
      </w:r>
      <w:bookmarkStart w:id="699" w:name="pg15209_204233"/>
    </w:p>
    <w:p>
      <w:pPr>
        <w:pStyle w:val="BookText"/>
        <w:rPr/>
      </w:pPr>
      <w:bookmarkEnd w:id="699"/>
      <w:r>
        <w:rPr>
          <w:rFonts w:ascii="IRNazanin" w:hAnsi="IRNazanin" w:eastAsia="IRNazanin"/>
          <w:color w:val="111111"/>
          <w:sz w:val="28"/>
          <w:sz w:val="28"/>
          <w:szCs w:val="28"/>
          <w:rtl w:val="true"/>
          <w:lang w:bidi="fa-IR"/>
        </w:rPr>
        <w:t>الشراء</w:t>
      </w:r>
      <w:r>
        <w:rPr>
          <w:rStyle w:val="FootnoteAnchor"/>
          <w:rtl w:val="true"/>
        </w:rPr>
        <w:footnoteReference w:id="1378"/>
      </w:r>
      <w:r>
        <w:rPr>
          <w:rFonts w:ascii="IRNazanin" w:hAnsi="IRNazanin" w:eastAsia="IRNazanin"/>
          <w:color w:val="111111"/>
          <w:sz w:val="28"/>
          <w:sz w:val="28"/>
          <w:szCs w:val="28"/>
          <w:rtl w:val="true"/>
          <w:lang w:bidi="fa-IR"/>
        </w:rPr>
        <w:t>، إنّما هو على القول المختار</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فرض كون السؤال عن الاشتراء الذي يندر فيه ، فالظاهر صحّة الإطلاق ؛ لأنّ المسؤول عنه هو الاشتراء بكيفية خاصّة ، لا الإندار بعد الفراغ عن تمامية البيع وصحّته ، هذا على الاحتمال المزيّف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المختار ، فيقع الكلام في أمرين </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2974789_2142443653"/>
      <w:bookmarkStart w:id="701" w:name="_Toc250"/>
      <w:bookmarkEnd w:id="700"/>
      <w:r>
        <w:rPr>
          <w:rtl w:val="true"/>
        </w:rPr>
        <w:t>في كفاية تعارف الإندار بعد البيع في صحّة بيع المجهول</w:t>
      </w:r>
      <w:bookmarkEnd w:id="701"/>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يعتبر في صحّة البيع بحسب الروايات ، لا بحسب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كون البيع في الظرف متعارفاً ومعتاداً ، فهو الظاهر من الروايتين كما مرّ ، كما أنّ كون الإندار بعد البيع كان معتاداً ومتعارفاً ، فهو أيضاً ظاهر منهما ، فالأمران يرجعان إلى شرط واحد ، وهو كون الإندار بعده متعارفاً ومتداولاً عند التجّار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هو تعارف وزن المجموع ، وبيع الشيء في ظرفه ، فهل تعارفه كذلك كافٍ في صحّة بيع المجهول ، أو أنّ لها شرطاً آخر ، وهو الإندار الخارجي بنحو الشرط المتأخّر ، أو بنحو آخر من الاحتمالات التي تقدّمت في إجازة الفضولي</w:t>
      </w:r>
      <w:r>
        <w:rPr>
          <w:rStyle w:val="FootnoteAnchor"/>
          <w:rtl w:val="true"/>
        </w:rPr>
        <w:footnoteReference w:id="1380"/>
      </w:r>
      <w:r>
        <w:rPr>
          <w:rFonts w:ascii="IRNazanin" w:hAnsi="IRNazanin" w:eastAsia="IRNazanin"/>
          <w:color w:val="111111"/>
          <w:sz w:val="28"/>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وجهان ، من أنّ الخروج عن القواعد لا يصحّ إلاّ بدليل ، ولا إطلاق للروايتين </w:t>
      </w:r>
    </w:p>
    <w:p>
      <w:pPr>
        <w:pStyle w:val="BookText"/>
        <w:rPr/>
      </w:pPr>
      <w:r>
        <w:rPr>
          <w:rFonts w:ascii="Amiri" w:hAnsi="Amiri" w:eastAsia="Amiri" w:cs="Amiri"/>
          <w:color w:val="111111"/>
          <w:sz w:val="28"/>
          <w:sz w:val="28"/>
          <w:szCs w:val="28"/>
          <w:rtl w:val="true"/>
          <w:lang w:bidi="ar-SA"/>
        </w:rPr>
        <w:t xml:space="preserve">بالنسبة إلى الاشتراء على هذا الفرض ، والمتيقّن من الخروج هو بيع المجهول الذي يتعقّبه الإندار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 الشرط المتأخّر والاحتمالات التي تقدّمت في إجازة الفضولي ، ممّا لا تنقدح في أذهان العامّة والعرف ، وتبعد عن السؤال والجواب ، وأنّ مثل الزيّات إنّما يسأل عمّا يتعارف بين التجّار ، ولا إشكال في أنّ المتعارف بينهم ، هو بيع المظروف بعد الوزن والبناء على تمامية البيع ، والإندار إنّما هو لتعيين المقدار التخميني في مقام الاحتساب ، وأداء حقّ البائع خارجاً ؛ بحيث لو أغمض أحد المتعاملين بعد البيع عن الإندار ، وأدّى مقداراً زائداً ، وأرضى صاحبه ، لا يرون به بأساً ، وكون الإندار دخيلاً في الصحّة ممّا هو بعيد عن الأذهان جدّاً ، ومخالف لفهم العرف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الأقوى هو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المناقشة في فرض عدم رضا المتعاملين بالإندار ، وإنهاء الأمر إلى إفراغ الظروف ووزنها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بعد وقوع البيع على المجهول ، إذا علم وزنه حقيقة ، لا يصحّ الاكتفاء به ، بل يجب تجديد العقد ؛ فإنّ هذا الفرض خارج عن مفاد الروايات المجوّزة ، فيعمل فيه على طبق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الإندار والاحتساب لو اتّفق العلم بالوزن ، فلا يعتنى به ؛ لدخوله في إطلاق الروايات ، بل معلومية الوزن بعد الإندار والاحتساب ، ليس أمراً عزيزاً ، فلو كانت المعلومية كذلك مضرّة ، كان عليه التنبيه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الإندار الخارجي ، شرطاً لصحّة الشراء بنحو الشرط المتأخّر ، يمكن استفادته من موثّقة حنان ، بعد فرض كون الظاهر منها تأخّر </w:t>
      </w:r>
    </w:p>
    <w:p>
      <w:pPr>
        <w:pStyle w:val="BookText"/>
        <w:rPr/>
      </w:pPr>
      <w:r>
        <w:rPr>
          <w:rFonts w:ascii="Amiri" w:hAnsi="Amiri" w:eastAsia="Amiri" w:cs="Amiri"/>
          <w:color w:val="111111"/>
          <w:sz w:val="28"/>
          <w:sz w:val="28"/>
          <w:szCs w:val="28"/>
          <w:rtl w:val="true"/>
          <w:lang w:bidi="ar-SA"/>
        </w:rPr>
        <w:t xml:space="preserve">الإندار عن البيع ؛ بدعوى أنّ متعلّق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الاشتراء ؛ أي لا بأس بالاشتراء إذا وقع الإندار بعده بما يحتمل الزيادة والنقيصة ، وأمّا مع العلم بالزيادة فلا تقربه ؛ أي لا تقرب الاشتراء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بناءً على هذا الوجه، يستكشف أنّ الرواية في مقام البيان من جهة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وحدة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والتفكيك بينهما خلاف السياق والظهور ، ولا إشكال في أنّ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 أو الحساب ، أو النقص ؛ أي مقداره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الزيت لا بأس به ولو كانت فيه زيادة ، أو الحساب كذلك لا بأس به ، وكذا النقص ، وكلّها ترجع بالنتيجة إلى 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مورد السؤال هو ذلك ، لا الشراء ، كما يشهد به سؤاله في رواية علي بن أبي حمزة</w:t>
      </w:r>
      <w:r>
        <w:rPr>
          <w:rStyle w:val="FootnoteAnchor"/>
          <w:rtl w:val="true"/>
        </w:rPr>
        <w:footnoteReference w:id="1381"/>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 نّه ليس عن البيع والشراء ، بل عن الطرح والإندار بما ينقص تارة ، ويزيد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ممّا مرّ ، أنّ موثّقة حنان</w:t>
      </w:r>
      <w:r>
        <w:rPr>
          <w:rStyle w:val="FootnoteAnchor"/>
          <w:rtl w:val="true"/>
        </w:rPr>
        <w:footnoteReference w:id="1382"/>
      </w:r>
      <w:r>
        <w:rPr>
          <w:rFonts w:ascii="Amiri" w:hAnsi="Amiri" w:eastAsia="Amiri" w:cs="Amiri"/>
          <w:color w:val="111111"/>
          <w:sz w:val="28"/>
          <w:sz w:val="28"/>
          <w:szCs w:val="28"/>
          <w:rtl w:val="true"/>
          <w:lang w:bidi="ar-SA"/>
        </w:rPr>
        <w:t xml:space="preserve">في مقام بيان جواز الإندار ، وعدم البأس به إذا احتملت الزيادة والنقيصة ، فيدفع بإطلاقها احتمال دخالة ما يشكّ في دخالته في جواز الإندار ، ويستكشف منه عدم دخالته في صحّة البيع ؛ لأ نّه مع عدم صحّته لا معنى لعدم البأس بالإندار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فاحتمال دخالة البناء على الإندار ، والرضا به حال البيع ، أو متّصلاً من </w:t>
      </w:r>
      <w:bookmarkStart w:id="702" w:name="pg15209_204236"/>
    </w:p>
    <w:p>
      <w:pPr>
        <w:pStyle w:val="BookText"/>
        <w:rPr/>
      </w:pPr>
      <w:bookmarkEnd w:id="702"/>
      <w:r>
        <w:rPr>
          <w:rFonts w:ascii="Amiri" w:hAnsi="Amiri" w:eastAsia="Amiri" w:cs="Amiri"/>
          <w:color w:val="111111"/>
          <w:sz w:val="28"/>
          <w:sz w:val="28"/>
          <w:szCs w:val="28"/>
          <w:rtl w:val="true"/>
          <w:lang w:bidi="ar-SA"/>
        </w:rPr>
        <w:t>حاله إلى زمان الإندار، يدفع بإطلاق الإندار، ويستكشف منه عدم شرطيته لصحّة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بن أبي حمزة على فرض صلاحيتها لتقييد الموثّقة ، لا تدلّ إلاّ على اعتبار الرضا بالإندار الخارجي ، لا بأصل الإندار ، ولا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يحتمل الزيادة والنقيصة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اعتباره في مصداق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اعتباره في صحّة البيع ، فلا يصحّ رفع اليد عن إطلاق الموثّقة بالنسبة إلى احتمال دخالة الرضا بأصل الإندار ، أو بعنوان ما تحتمل فيه الزيادة والنقيصة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صحّة دخالة الرضا بالإندار الخارجي في عقد البيع ؛ لأنّ دخالة الرضا بالإندار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المصداق المعلوم المحتمل للزيادة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قبيل الشرط المتأخّر ، الذي هو بعيد عن الأذهان بأيّ معنىً متصوّر ، والحمل عليه يحتاج إلى زيادة مؤونة مفقودة في المقام </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2974791_2142443653"/>
      <w:bookmarkStart w:id="704" w:name="_Toc251"/>
      <w:bookmarkEnd w:id="703"/>
      <w:r>
        <w:rPr>
          <w:rtl w:val="true"/>
        </w:rPr>
        <w:t>اعتبار رضا المتعاملين بالإندار</w:t>
      </w:r>
      <w:bookmarkEnd w:id="704"/>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 الإندار مضافاً إلى اعتبار كونه بمقدار تحتمل فيه الزيادة والنقيصة ؛ بحسب ما يتفاهم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اضطربت كلماتهم في اعتبار الرضا به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حمل الموثّقة على ما يتعارف فيه الإندار بمقدار معلوم ، فلا يعتبر فيه الرضا ، وحمل الخبرين على ما لا يتعارف فيعتبر</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جمعاً عقلائياً مقبولاً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الموثّقة ، وخبر علي بن أبي حمزة ؛ حيث إنّ الظاهر منهما أنّ السؤال عن أمر واحد ؛ وهو الإندار فيما يتعارف فيه ذلك ، من غير إشعار بأنّ المقدار كان متعارفاً أو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تعارف المقدار المعيّن في الإندار ، ممّا لا واقعية له ظاهراً ؛ لاختلاف الظروف صغرى وكبرى ، وضخامة ولطافة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محمولان على عدم الالتفات إلى ملازمة المعاملة للإندار ، أو على المعاملة بشرط عدم الإندار بالمقدار المعتاد</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أيضاً كسابقه ؛ من عدم الشاهد عليه ، بل الظاهر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بعضهم وقع في حيص بيص ؛ من جهة أ نّه على مقتضى الرضا المعاملي بالإندار ، لا معنى لاعتباره حال الإندار ؛ فإنّه من قبيل الشرط الضمني فيلزم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الرضا بالهبة والإبراء ، فلا وجه لاختصاصه بما تحتمل فيه الزيادة والنقيصة ، بل يعمّ صورة العلم بإحداهما ، مع توافق الروايات على القصر على صورة الاحتمال</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من قبيل الشرط الضمني ، إنّما هو أصل الإندار في قبال تركه مطلقاً ، والإندار بعنوان ما يحتمل الزيادة والنقيصة ، في قبال الإندار بالزيادة أو بالنقيصة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إندار مقدار معلوم خاصّ محتمل للزيادة والنقيصة ، فلا ملزم له ، </w:t>
      </w:r>
    </w:p>
    <w:p>
      <w:pPr>
        <w:pStyle w:val="BookText"/>
        <w:rPr/>
      </w:pPr>
      <w:r>
        <w:rPr>
          <w:rFonts w:ascii="Amiri" w:hAnsi="Amiri" w:eastAsia="Amiri" w:cs="Amiri"/>
          <w:color w:val="111111"/>
          <w:sz w:val="28"/>
          <w:sz w:val="28"/>
          <w:szCs w:val="28"/>
          <w:rtl w:val="true"/>
          <w:lang w:bidi="ar-SA"/>
        </w:rPr>
        <w:t xml:space="preserve">ولم يشترط في ضمن المعاملة ، بل لا معنى لاشتراطه بعد فرض كون الإندار كذلك بعد المعاملة ، وحال التخمين والتعيين حدساً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الإندار بمقدار معلوم ، لم يكن أمراً عادياً متعارفاً ؛ ضرورة اختلاف الظروف بما لا يتسامح به في التجارات بالأزقاق الكثيرة ، كما هو مورد الروايتين بل المفروض في المقام؛ فإنّ فرض معلومية مقدار الإندار حال المعاملة، مساوق لوقوع المعاملة على المقدار التخميني ، وهو خارج عن هذا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لما يحتمل الزيادة والنقيصة ، مصاديق خارجية في مثل تلك التجارات ؛ فإنّ له مراتب في كلّ تجارة ، فالتخمين والحدس بما يحتملهما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كانت النقيصة عنه والزيادة بأيّ مقدار ، تخرجه عن الاحتمال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واقع ، أو نادر الوقوع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يمكن اختلاف المتبايعين في مراتب ما يحتملهما بما لا يتسامح فيه مع كثرة الزقاق ، فيحتاج إلى التراضي والتوافق في ذلك ، لا في أصل الإندار أو في أصل ما يحتمل الزيادة والنقيصة بالحمل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التراضي وقت الإندار على ما ذكرناه ، كان متداولاً عند التجّار ؛ إذ لا ملزم لذلك أصلاً ، والتفاوت في مثل تلك التجارات غير متسامح فيه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السكوت عنه في رواية حنان</w:t>
      </w:r>
      <w:r>
        <w:rPr>
          <w:rStyle w:val="FootnoteAnchor"/>
          <w:rtl w:val="true"/>
        </w:rPr>
        <w:footnoteReference w:id="1386"/>
      </w:r>
      <w:r>
        <w:rPr>
          <w:rFonts w:ascii="Amiri" w:hAnsi="Amiri" w:eastAsia="Amiri" w:cs="Amiri"/>
          <w:color w:val="111111"/>
          <w:sz w:val="28"/>
          <w:sz w:val="28"/>
          <w:szCs w:val="28"/>
          <w:rtl w:val="true"/>
          <w:lang w:bidi="ar-SA"/>
        </w:rPr>
        <w:t>؛ لأجل ذلك التعارف ، ولا ينافي التنبيه عليه في رواية اُخرى</w:t>
      </w:r>
      <w:r>
        <w:rPr>
          <w:rStyle w:val="FootnoteAnchor"/>
          <w:rtl w:val="true"/>
        </w:rPr>
        <w:footnoteReference w:id="1387"/>
      </w:r>
      <w:r>
        <w:rPr>
          <w:rFonts w:ascii="Amiri" w:hAnsi="Amiri" w:eastAsia="Amiri" w:cs="Amiri"/>
          <w:color w:val="111111"/>
          <w:sz w:val="28"/>
          <w:sz w:val="28"/>
          <w:szCs w:val="28"/>
          <w:rtl w:val="true"/>
          <w:lang w:bidi="ar-SA"/>
        </w:rPr>
        <w:t xml:space="preserve">، ولو لم يسلّم ذلك ، فغاية الأمر تقيّد الموثّقة بالرواية ، فتأمّل </w:t>
      </w:r>
      <w:r>
        <w:rPr>
          <w:rFonts w:eastAsia="Amiri" w:cs="Amiri" w:ascii="Amiri" w:hAnsi="Amiri"/>
          <w:color w:val="111111"/>
          <w:sz w:val="28"/>
          <w:szCs w:val="28"/>
          <w:rtl w:val="true"/>
          <w:lang w:bidi="ar-SA"/>
        </w:rPr>
        <w:t xml:space="preserve">. </w:t>
      </w:r>
      <w:bookmarkStart w:id="705" w:name="pg15209_204239"/>
    </w:p>
    <w:p>
      <w:pPr>
        <w:pStyle w:val="Heading5"/>
        <w:numPr>
          <w:ilvl w:val="4"/>
          <w:numId w:val="1"/>
        </w:numPr>
        <w:rPr/>
      </w:pPr>
      <w:bookmarkStart w:id="706" w:name="__RefHeading___Toc2974793_2142443653"/>
      <w:bookmarkStart w:id="707" w:name="_Toc252"/>
      <w:bookmarkEnd w:id="705"/>
      <w:bookmarkEnd w:id="706"/>
      <w:r>
        <w:rPr>
          <w:rtl w:val="true"/>
        </w:rPr>
        <w:t>عدم جواز الإندار بما يزيد ولا ينقص</w:t>
      </w:r>
      <w:bookmarkEnd w:id="707"/>
    </w:p>
    <w:p>
      <w:pPr>
        <w:pStyle w:val="BookText"/>
        <w:rPr/>
      </w:pPr>
      <w:r>
        <w:rPr>
          <w:rFonts w:ascii="Amiri" w:hAnsi="Amiri" w:eastAsia="Amiri" w:cs="Amiri"/>
          <w:color w:val="111111"/>
          <w:sz w:val="28"/>
          <w:sz w:val="28"/>
          <w:szCs w:val="28"/>
          <w:rtl w:val="true"/>
          <w:lang w:bidi="ar-SA"/>
        </w:rPr>
        <w:t xml:space="preserve">ثمّ إنّ المتحصّل من مجموع الروايتين ، أنّ الإندار بما يحتمل النقيصة والزيادة ، جائز إذا رضيا به ، وأمّا بما يزيد ولا ينقص ، فغير جائز ومحرّم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 لأنّ البائع إنّما هو راضٍ بالإندار ، وما هو المتعارف منه هو ما يحتملهما ، فيكون رضاه على موضوع خاصّ لا يتجاوزه ، والإندار بغير ما هو المتعارف لم يتعلّ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به الرضا ، بل يحتاج إلى رضا مستأنف ، وهو مفقود فرضاً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في الرواية الزيادة فقط ؛ لأنّ السائل هو الزيّات المشتري ، والمتعارف في معامل الزيّاتين ، كون المحاسب من خدمهم ، فيرد عليهم الزيت من الأماكن البعيدة ، ويتكفّل خدمهم بالوزن والاحتساب والإندار ، فلا تحتمل حينئذٍ النقيصة دائماً بحسب النوع ، دون الزيادة بنفع الزيّات أو بنفعه ، فيكون الإندار بالزيادة ، من قبيل أكل مال الغير بالباطل وبغير 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الإندار بيد البائع فأندر ناقصاً عمداً ، يكون أخذ الثمن بمقداره أكلاً بالباطل ، وإنّما لم يذكره ؛ لأنّ السائل الزيّات المشتري ، وهو الذي كان الاحتساب بيده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البائع لو صرّح برضاه بمقدار إندار المحاسب ، لم يكن رضاه متجاوزاً عن الإندار المتعارف ، وهذا بوجه نظير الرضا في البيع الفاسد الذي مرّ الكلام فيه</w:t>
      </w:r>
      <w:r>
        <w:rPr>
          <w:rStyle w:val="FootnoteAnchor"/>
          <w:rtl w:val="true"/>
        </w:rPr>
        <w:footnoteReference w:id="1388"/>
      </w:r>
      <w:r>
        <w:rPr>
          <w:rFonts w:ascii="Amiri" w:hAnsi="Amiri" w:eastAsia="Amiri" w:cs="Amiri"/>
          <w:color w:val="111111"/>
          <w:sz w:val="28"/>
          <w:sz w:val="28"/>
          <w:szCs w:val="28"/>
          <w:rtl w:val="true"/>
          <w:lang w:bidi="ar-SA"/>
        </w:rPr>
        <w:t xml:space="preserve">، فتدبّر جيّداً </w:t>
      </w:r>
      <w:r>
        <w:rPr>
          <w:rFonts w:eastAsia="Amiri" w:cs="Amiri" w:ascii="Amiri" w:hAnsi="Amiri"/>
          <w:color w:val="111111"/>
          <w:sz w:val="28"/>
          <w:szCs w:val="28"/>
          <w:rtl w:val="true"/>
          <w:lang w:bidi="ar-SA"/>
        </w:rPr>
        <w:t xml:space="preserve">. </w:t>
      </w:r>
      <w:bookmarkStart w:id="708" w:name="pg15209_204240"/>
    </w:p>
    <w:p>
      <w:pPr>
        <w:pStyle w:val="Heading5"/>
        <w:numPr>
          <w:ilvl w:val="4"/>
          <w:numId w:val="1"/>
        </w:numPr>
        <w:rPr/>
      </w:pPr>
      <w:bookmarkStart w:id="709" w:name="__RefHeading___Toc2974795_2142443653"/>
      <w:bookmarkStart w:id="710" w:name="_Toc253"/>
      <w:bookmarkEnd w:id="708"/>
      <w:bookmarkEnd w:id="709"/>
      <w:r>
        <w:rPr>
          <w:rtl w:val="true"/>
        </w:rPr>
        <w:t>عدم جواز الإندار بما يحتمل الزيادة لا النقيصة</w:t>
      </w:r>
      <w:bookmarkEnd w:id="710"/>
    </w:p>
    <w:p>
      <w:pPr>
        <w:pStyle w:val="BookText"/>
        <w:rPr/>
      </w:pPr>
      <w:r>
        <w:rPr>
          <w:rFonts w:ascii="Amiri" w:hAnsi="Amiri" w:eastAsia="Amiri" w:cs="Amiri"/>
          <w:color w:val="111111"/>
          <w:sz w:val="28"/>
          <w:sz w:val="28"/>
          <w:szCs w:val="28"/>
          <w:rtl w:val="true"/>
          <w:lang w:bidi="ar-SA"/>
        </w:rPr>
        <w:t xml:space="preserve">ثمّ إنّ الإندار بما يحتمل الزيادة لا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طرف احتمال الزيادة هو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بما يحتمل النقيصة لا الزيادة بنحو ما ذكر ، خارجان عن منطوق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بدخولهما في مفهوم الشرطية الاُولى من الموثّقة</w:t>
      </w:r>
      <w:r>
        <w:rPr>
          <w:rStyle w:val="FootnoteAnchor"/>
          <w:rtl w:val="true"/>
        </w:rPr>
        <w:footnoteReference w:id="1389"/>
      </w:r>
      <w:r>
        <w:rPr>
          <w:rFonts w:ascii="Amiri" w:hAnsi="Amiri" w:eastAsia="Amiri" w:cs="Amiri"/>
          <w:color w:val="111111"/>
          <w:sz w:val="28"/>
          <w:sz w:val="28"/>
          <w:szCs w:val="28"/>
          <w:rtl w:val="true"/>
          <w:lang w:bidi="ar-SA"/>
        </w:rPr>
        <w:t xml:space="preserve">، فيكون الجواز وعدم البأس منحصرين بصورة واحدة ؛ هي ما تحتمل الزيادة والنقيصة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الشرطية الثانية من مصاديق مفهوم الاُولى ، 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السرّ في ذكر الزيادة دون النقيصة ، هو كون المشتري وعمّاله كفلاء الإندار ، وأمّا ذكر العلم بالزيادة ، دون احتمال الزيادة لا النقيصة ، فالظاهر أ نّه لبيان أنّ الميزان في عدم الجواز هو العلم ، فلو كان الاحتمال أيضاً موجباً للبأس ، لوجب ذكره ، ليتّضح حال العلم أيضاً ، فيستفاد من ذلك ، أنّ الشرطية الاُولى في مقابل العلم ، لا الأعمّ ، ولعلّ المتفاهم العرفي ذلك أيضاً ، فغير صورة العلم ، داخل في الجواز بشرط أن يكون الإندار كذلك متعارفاً ، وإلاّ ففيه إشكال </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2974797_2142443653"/>
      <w:bookmarkStart w:id="712" w:name="_Toc254"/>
      <w:bookmarkEnd w:id="711"/>
      <w:r>
        <w:rPr>
          <w:rtl w:val="true"/>
        </w:rPr>
        <w:t>في أنّ احتمال الزيادة والنقيصة موضوع لحكم جواز الإندار</w:t>
      </w:r>
      <w:bookmarkEnd w:id="712"/>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النصوص وطريقة العقلاء ، أنّ احتمال الزيادة والنقيصة ، موضوع الحكم بعدم البأس ، لا أنّ التخمين طريق إلى المقدار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713" w:name="pg15209_204241"/>
    </w:p>
    <w:p>
      <w:pPr>
        <w:pStyle w:val="BookText"/>
        <w:rPr/>
      </w:pPr>
      <w:bookmarkEnd w:id="713"/>
      <w:r>
        <w:rPr>
          <w:rFonts w:ascii="Amiri" w:hAnsi="Amiri" w:eastAsia="Amiri" w:cs="Amiri"/>
          <w:color w:val="111111"/>
          <w:sz w:val="28"/>
          <w:sz w:val="28"/>
          <w:szCs w:val="28"/>
          <w:rtl w:val="true"/>
          <w:lang w:bidi="ar-SA"/>
        </w:rPr>
        <w:t>احتمال جعل الشارع ذلك طريقاً في قبال العرف</w:t>
      </w:r>
      <w:r>
        <w:rPr>
          <w:rStyle w:val="FootnoteAnchor"/>
          <w:rtl w:val="true"/>
        </w:rPr>
        <w:footnoteReference w:id="1390"/>
      </w:r>
      <w:r>
        <w:rPr>
          <w:rFonts w:ascii="Amiri" w:hAnsi="Amiri" w:eastAsia="Amiri" w:cs="Amiri"/>
          <w:color w:val="111111"/>
          <w:sz w:val="28"/>
          <w:sz w:val="28"/>
          <w:szCs w:val="28"/>
          <w:rtl w:val="true"/>
          <w:lang w:bidi="ar-SA"/>
        </w:rPr>
        <w:t xml:space="preserve">، فينبغي القطع بخلافه ؛ فإنّ الإمام عليه السلام لم يتعرّض للحكم ابتداءً ، بل أجاب عمّا سأله الزيّات، مع شرط احتمال الزيادة والنقيصة ، وفي مثله يأبى الكلام عن الظهور في جعل الطريقية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طريقة العقلاء فهي أيضاً كذلك ، فلا يرجع المتعاملان بالزيادة أو النقيصة إذا لم تكن خارجة عن المتعارف ، ومع الخروج عنه يكون الإندار باطلاً ، وعلى خلاف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الأدلّة آبٍ عن الطريقية ؛ لأنّ فرض الطريقية فرض إلغاء الاحتمال ، وهو ينافي جعل الحكم للشكّ والاحتمال ، كما هو الظاهر </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2974799_2142443653"/>
      <w:bookmarkStart w:id="715" w:name="_Toc255"/>
      <w:bookmarkEnd w:id="714"/>
      <w:r>
        <w:rPr>
          <w:rtl w:val="true"/>
        </w:rPr>
        <w:t>حكم التمسّك بالأصل العملي عند الإندار</w:t>
      </w:r>
      <w:bookmarkEnd w:id="715"/>
    </w:p>
    <w:p>
      <w:pPr>
        <w:pStyle w:val="BookText"/>
        <w:rPr/>
      </w:pPr>
      <w:r>
        <w:rPr>
          <w:rFonts w:ascii="Amiri" w:hAnsi="Amiri" w:eastAsia="Amiri" w:cs="Amiri"/>
          <w:color w:val="111111"/>
          <w:sz w:val="28"/>
          <w:sz w:val="28"/>
          <w:szCs w:val="28"/>
          <w:rtl w:val="true"/>
          <w:lang w:bidi="ar-SA"/>
        </w:rPr>
        <w:t xml:space="preserve">بقي الكلام فيما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بالأصل مع قطع النظر عن الروايات</w:t>
      </w:r>
      <w:r>
        <w:rPr>
          <w:rStyle w:val="FootnoteAnchor"/>
          <w:rtl w:val="true"/>
        </w:rPr>
        <w:footnoteReference w:id="1391"/>
      </w:r>
      <w:r>
        <w:rPr>
          <w:rFonts w:ascii="Amiri" w:hAnsi="Amiri" w:eastAsia="Amiri" w:cs="Amiri"/>
          <w:color w:val="111111"/>
          <w:sz w:val="28"/>
          <w:sz w:val="28"/>
          <w:szCs w:val="28"/>
          <w:rtl w:val="true"/>
          <w:lang w:bidi="ar-SA"/>
        </w:rPr>
        <w:t xml:space="preserve">، ولا بأس بتوسعة نطاق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الإندار قبل البيع ، وقلنا بأنّ الحدس والتخمين لا يرفع الغرر ، فهل يمكن إجراء استصحاب عدم زيادة الزيت عمّا اُندر ، واستصحاب عدم زيادة الظروف عنه ؛ للبناء على صحّة البيع ، ورفع الغرر تعبّداً ؛ بدعوى أنّ المستفاد من أدلّة الاستصحاب هو إبقاء اليقين تعبّداً ، وإطالة عمره بلحاظ الآثار أو لا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الثاني ، لا لأنّ استصحاب عدم زيادة الزيت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 </w:t>
      </w:r>
    </w:p>
    <w:p>
      <w:pPr>
        <w:pStyle w:val="BookText"/>
        <w:rPr/>
      </w:pPr>
      <w:r>
        <w:rPr>
          <w:rFonts w:ascii="Amiri" w:hAnsi="Amiri" w:eastAsia="Amiri" w:cs="Amiri"/>
          <w:color w:val="111111"/>
          <w:sz w:val="28"/>
          <w:sz w:val="28"/>
          <w:szCs w:val="28"/>
          <w:rtl w:val="true"/>
          <w:lang w:bidi="ar-SA"/>
        </w:rPr>
        <w:t>غير مسبوق بالوجود ، وبنحو التامّة لا يفيد</w:t>
      </w:r>
      <w:r>
        <w:rPr>
          <w:rStyle w:val="FootnoteAnchor"/>
          <w:rtl w:val="true"/>
        </w:rPr>
        <w:footnoteReference w:id="1392"/>
      </w:r>
      <w:r>
        <w:rPr>
          <w:rFonts w:ascii="Amiri" w:hAnsi="Amiri" w:eastAsia="Amiri" w:cs="Amiri"/>
          <w:color w:val="111111"/>
          <w:sz w:val="28"/>
          <w:sz w:val="28"/>
          <w:szCs w:val="28"/>
          <w:rtl w:val="true"/>
          <w:lang w:bidi="ar-SA"/>
        </w:rPr>
        <w:t xml:space="preserve">، فإنّه قابل للدفع ؛ ضرورة أنّ الزيت يصبّ في الظروف تدريجاً ، فتكون له حالة سابقة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 كاستصحاب القلّة للماء إذا شكّ في حصول كثرته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الأصل في طرف الظروف غير جارٍ ؛ للإشكال المتقدّم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دفعه بما مرّ في المظروف ؛ فإنّ الأزقاق أيضاً متدرّجة من الصغر إلى الكبر حال كونها على ظهر الأغنام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عنه فإجراء الأصل في الظروف ؛ لكشف حال المظروف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عنه فالاستصحاب لا يرفع الغرر ، إلاّ مع البناء على قيامه بدليله مقام القطع الموضوعي ، وهو ممنوع ؛ لقصور أدلّته عن إثباته ، هذا حال الإندار قبل البيع لتصحيحه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جوازه في نفسه بعده بما يحتمل الزيادة والنقيصة ، فقد تمسّك الشيخ الأعظم قدّس سرّه فيه بأصالة عدم زيادة المبيع عليه ، وعدم استحقاق البائع أزيد ممّا يعطيه المشتري من الثمن</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جريان أصالة عدم زيادة المبيع ، واُغمض النظر عن عدم حالة سابقة على فرض ، وعن المثبتية على فرض آخر ، لصحّ جريان أصالة عدم النقيصة وعدم المساواة ؛ فإنّ النقيصة أيضاً أمر وجودي كالمساواة ، فتتعارض الاُصول الثلاثة ؛ فإنّ لكلّ منها في نفسه أثراً عقلائياً وشرعياً ولو إمضاءً وتبعاً ، </w:t>
      </w:r>
    </w:p>
    <w:p>
      <w:pPr>
        <w:pStyle w:val="BookText"/>
        <w:rPr/>
      </w:pPr>
      <w:r>
        <w:rPr>
          <w:rFonts w:ascii="Amiri" w:hAnsi="Amiri" w:eastAsia="Amiri" w:cs="Amiri"/>
          <w:color w:val="111111"/>
          <w:sz w:val="28"/>
          <w:sz w:val="28"/>
          <w:szCs w:val="28"/>
          <w:rtl w:val="true"/>
          <w:lang w:bidi="ar-SA"/>
        </w:rPr>
        <w:t xml:space="preserve">وبناؤهم على كفاية الأثر في طرف النقيض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الأصل لنفي موضوع ذي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تلك العناوين مسبوق بالعدم الأزلي ، فلو اُغمض النظر عن الإشكال في الاُصول الجارية في الأعدام الأزلية</w:t>
      </w:r>
      <w:r>
        <w:rPr>
          <w:rStyle w:val="FootnoteAnchor"/>
          <w:rtl w:val="true"/>
        </w:rPr>
        <w:footnoteReference w:id="1394"/>
      </w:r>
      <w:r>
        <w:rPr>
          <w:rFonts w:ascii="Amiri" w:hAnsi="Amiri" w:eastAsia="Amiri" w:cs="Amiri"/>
          <w:color w:val="111111"/>
          <w:sz w:val="28"/>
          <w:sz w:val="28"/>
          <w:szCs w:val="28"/>
          <w:rtl w:val="true"/>
          <w:lang w:bidi="ar-SA"/>
        </w:rPr>
        <w:t xml:space="preserve">، يجري جميعها ، وإلاّ فلا يجري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لأصالة عدم زيادة المبيع ، خصوصية ليست لغيرها ؛ وهي أنّ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تدريجاً في الزقاق ، فله حالة سابقة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 وبأصالة عدم زيادته إلى زمان تحقّق البيع ، يحرز جزء من الموضوع ، والجزء الآخر وجداني ؛ وهو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إحراز الموضوع بالأصل والوجدان ، إنّما هو في العناوين التي تثبت للموضوع عرضاً لا طولاً ، مثلاً لو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القضاء لمن كان فقيهاً وعادلاً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شخص عادلاً غير فقيه ، ثمّ صار فقيهاً ، وشكّ في بقاء عدالته ، تستصحب عدالته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عادل تعبّداً ، وفقيه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فيحرز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العادل إذا كان فقيهاً جاز له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عادلاً سابقاً غير فقيه ، ثمّ شكّ في عدالته وصار فقيهاً ، فلا يصحّ إحراز الموضوع فيه بالأصل والوجدان ؛ لأنّ الموضوع كون الفقيه عادلاً ، وهو غير مسبوق باليقين ، وما اُحرز بالأصل هو كونه عادلاً ، وما اُحرز بالوجدان كونه فقيهاً ، لا كون العادل فقيهاً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لازم ثبوت الصفتين له ، هو كون العادل فقيهاً ، والفقيه عادلاً ، وإثبات ذلك بالأصل غير جائز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والمقام من هذا القبيل ؛ فإنّ الحكم ثابت للمبيع ، أو للزيت إذا بيع أو اشتري ، واستصحاب عدم زيادة الزيت عمّا اُندر إلى زمان البيع ، لا يثبت كون المبيع كذلك ، بل ولا كون الزيت بعد الاشتراء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جواز الإندار ، لا يثبت بأصالة عدم زيادة المبيع عليه فقط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عدم الزيادة ، فيبقى احتمال النقيصة بحاله ، ولا أصل لدفعه ، وأصالة عدم زيادة الظروف ، لا تحرز حال المظروف ، إلاّ على القول بالأصل المثبت ، ومع عدم إحرازها لا يجوز الإندار ، هذا حال أصالة عدم زيادة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عدم استحقاق البائع ، فهي بهذا العنوان غير جارية ؛ لعدم الحالة السابقة له ، ولكن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أصالة عدم استحقاق زيد مثلاً ، أزيد ممّا يعطيه عمرو ، لكن لا يكفي ذلك لإثبات جواز الإندار ، إلاّ إذا ثبت في جانب المشتري أيضاً نظيره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أصالة عدم استحقاق المشتري زائداً عمّا في الظروف غير مفيدة ؛ فإنّ عدم استحقاقه لزيت زائد مقطوع به ، لأنّ البيع لم يقع على كلّي مطلق ، بل ولا على الكلّي ، وإنّما وقع على الموجود في الزقاق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مائة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فلو كان ناقصاً عنها فلا يستحقّ زيتاً بمقداره ، بل يرجع بثمنه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 أصل آخر يهدم أساس الإندار ، وهو أصالة عدم وصول حقّه إليه ، وأصالة عدم تسليم حقّه إليه ؛ لأنّ حقّه مائة رطل ، ووجودها في الأزقاق مشكوك فيه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تلك الاُصول لا جدوى لها ، ولا يثبت بها جواز الإندار </w:t>
      </w:r>
      <w:r>
        <w:rPr>
          <w:rFonts w:eastAsia="Amiri" w:cs="Amiri" w:ascii="Amiri" w:hAnsi="Amiri"/>
          <w:color w:val="111111"/>
          <w:sz w:val="28"/>
          <w:szCs w:val="28"/>
          <w:rtl w:val="true"/>
          <w:lang w:bidi="ar-SA"/>
        </w:rPr>
        <w:t xml:space="preserve">. </w:t>
      </w:r>
      <w:bookmarkStart w:id="716" w:name="pg15209_204245"/>
    </w:p>
    <w:p>
      <w:pPr>
        <w:pStyle w:val="Heading4"/>
        <w:numPr>
          <w:ilvl w:val="3"/>
          <w:numId w:val="1"/>
        </w:numPr>
        <w:rPr/>
      </w:pPr>
      <w:bookmarkStart w:id="717" w:name="__RefHeading___Toc2974801_2142443653"/>
      <w:bookmarkStart w:id="718" w:name="_Toc256"/>
      <w:bookmarkEnd w:id="716"/>
      <w:bookmarkEnd w:id="717"/>
      <w:r>
        <w:rPr>
          <w:rtl w:val="true"/>
        </w:rPr>
        <w:t>مسألة في صور بيع المظروف مع ظرفه وأحكامها</w:t>
      </w:r>
      <w:bookmarkEnd w:id="718"/>
    </w:p>
    <w:p>
      <w:pPr>
        <w:pStyle w:val="BookText"/>
        <w:rPr/>
      </w:pPr>
      <w:r>
        <w:rPr>
          <w:rFonts w:ascii="Amiri" w:hAnsi="Amiri" w:eastAsia="Amiri" w:cs="Amiri"/>
          <w:color w:val="111111"/>
          <w:sz w:val="28"/>
          <w:sz w:val="28"/>
          <w:szCs w:val="28"/>
          <w:rtl w:val="true"/>
          <w:lang w:bidi="ar-SA"/>
        </w:rPr>
        <w:t xml:space="preserve">بيع المظروف مع ظرفه على وجوه كثيرة ؛ فإنّهما إمّا موزونان ، كظروف الصفر فيها زيت ، أو معدودان كزقاق فيها جوز ، أو مختلفان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الظرف في نفسه يباع بالمشاهدة أو بالذرع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والموزونان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متّحدان قيمة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إنّهما قد يباعان معاً بلا تسعير بكذا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يباعان كلّ رطل بكذا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يباعان على أنّ كلّ رطل من المظروف بكذا ، والباقي للظرف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أنّ مقداراً معلوماً من الثمن بإزاء الظرف ، والباقي للمظروف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أنّ لكلّ ظرف كذا من الثمن بلا عدّ الظروف ، والباقي للمظروف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النهي عن الغرر</w:t>
      </w:r>
      <w:r>
        <w:rPr>
          <w:rStyle w:val="FootnoteAnchor"/>
          <w:rtl w:val="true"/>
        </w:rPr>
        <w:footnoteReference w:id="1395"/>
      </w:r>
      <w:r>
        <w:rPr>
          <w:rFonts w:ascii="Amiri" w:hAnsi="Amiri" w:eastAsia="Amiri" w:cs="Amiri"/>
          <w:color w:val="111111"/>
          <w:sz w:val="28"/>
          <w:sz w:val="28"/>
          <w:szCs w:val="28"/>
          <w:rtl w:val="true"/>
          <w:lang w:bidi="ar-SA"/>
        </w:rPr>
        <w:t xml:space="preserve">، متّبع في جميع الموارد المتحقّق </w:t>
      </w:r>
    </w:p>
    <w:p>
      <w:pPr>
        <w:pStyle w:val="BookText"/>
        <w:rPr/>
      </w:pPr>
      <w:r>
        <w:rPr>
          <w:rFonts w:ascii="Amiri" w:hAnsi="Amiri" w:eastAsia="Amiri" w:cs="Amiri"/>
          <w:color w:val="111111"/>
          <w:sz w:val="28"/>
          <w:sz w:val="28"/>
          <w:szCs w:val="28"/>
          <w:rtl w:val="true"/>
          <w:lang w:bidi="ar-SA"/>
        </w:rPr>
        <w:t xml:space="preserve">فيها الغرر ، ولا بدّ للخروج عنه من دليل مخرج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اعتبار الكيل والوزن فيما يكال ويوزن</w:t>
      </w:r>
      <w:r>
        <w:rPr>
          <w:rStyle w:val="FootnoteAnchor"/>
          <w:rtl w:val="true"/>
        </w:rPr>
        <w:footnoteReference w:id="1396"/>
      </w:r>
      <w:r>
        <w:rPr>
          <w:rFonts w:ascii="Amiri" w:hAnsi="Amiri" w:eastAsia="Amiri" w:cs="Amiri"/>
          <w:color w:val="111111"/>
          <w:sz w:val="28"/>
          <w:sz w:val="28"/>
          <w:szCs w:val="28"/>
          <w:rtl w:val="true"/>
          <w:lang w:bidi="ar-SA"/>
        </w:rPr>
        <w:t>، 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على لزوم العلم بهما عند البيع ، وعدم الصحّ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مجازفة ، فلا بدّ لرفع اليد عنها من دليل مخرج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تدلّ على جواز الإندار ، المستفاد منها صحّة البيع في مورده ، لا تشمل المقام ، ولا يمكن استنباط الحكم منها له حتّى صورة بيع الظرف والمظروف بكذا ، على أنّ كلّ رطل من المظروف بكذا ، وتكون البقيّة للظرف ؛ لأ نّها أيضاً خارجة عن مصبّ تلك الأخبار ، فتصحيح بيع الظرف والمظروف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المقصود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استفادة صحّة بيع المظروف كذلك منها ، لا تخلو من إشكال ؛ لأنّ هذا الفرض خارج عن المتعارف ، ومن المحتمل أن يكون تجويز البيع في صوره الإندار ؛ للتعارف عند التجّار ، وتسهيل الأمر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يقوى عدم الجواز إذا تعارف بيع المجموع وزناً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بتبعية الظرف</w:t>
      </w:r>
    </w:p>
    <w:p>
      <w:pPr>
        <w:pStyle w:val="BookText"/>
        <w:rPr/>
      </w:pPr>
      <w:r>
        <w:rPr>
          <w:rFonts w:ascii="Amiri" w:hAnsi="Amiri" w:eastAsia="Amiri" w:cs="Amiri"/>
          <w:color w:val="111111"/>
          <w:sz w:val="28"/>
          <w:sz w:val="28"/>
          <w:szCs w:val="28"/>
          <w:rtl w:val="true"/>
          <w:lang w:bidi="ar-SA"/>
        </w:rPr>
        <w:t xml:space="preserve">في هذه الحال للمظروف في الوزن؛ فإنّه مع صحّة بيعه كذلك بلا غرر ، يكون العدول عنه إلى ما فيه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وجه كان ، أو لغرض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للبطلان ، ولا يمكن تصحيحه برواية حنان ونحوها </w:t>
      </w:r>
      <w:r>
        <w:rPr>
          <w:rStyle w:val="FootnoteAnchor"/>
          <w:rtl w:val="true"/>
        </w:rPr>
        <w:footnoteReference w:id="1397"/>
      </w:r>
      <w:r>
        <w:rPr>
          <w:rFonts w:ascii="Amiri" w:hAnsi="Amiri" w:eastAsia="Amiri" w:cs="Amiri"/>
          <w:color w:val="111111"/>
          <w:sz w:val="28"/>
          <w:sz w:val="28"/>
          <w:szCs w:val="28"/>
          <w:rtl w:val="true"/>
          <w:lang w:bidi="ar-SA"/>
        </w:rPr>
        <w:t xml:space="preserve">، مع اختلاف موردهما من هذه الجهة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تبعية الظرف ، وبقائه على حكم المعدود ، فالصحّة في الصور </w:t>
      </w:r>
    </w:p>
    <w:p>
      <w:pPr>
        <w:pStyle w:val="BookText"/>
        <w:rPr/>
      </w:pPr>
      <w:r>
        <w:rPr>
          <w:rFonts w:ascii="Amiri" w:hAnsi="Amiri" w:eastAsia="Amiri" w:cs="Amiri"/>
          <w:color w:val="111111"/>
          <w:sz w:val="28"/>
          <w:sz w:val="28"/>
          <w:szCs w:val="28"/>
          <w:rtl w:val="true"/>
          <w:lang w:bidi="ar-SA"/>
        </w:rPr>
        <w:t xml:space="preserve">الثلاث بلا دليل ، بعد شمول دليل النهي عن الغرر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الصحّة في الصور الثلاث جميعاً كما أفاده الشيخ الأعظم قدّس سرّه </w:t>
      </w:r>
      <w:r>
        <w:rPr>
          <w:rStyle w:val="FootnoteAnchor"/>
          <w:rtl w:val="true"/>
        </w:rPr>
        <w:footnoteReference w:id="1398"/>
      </w:r>
      <w:r>
        <w:rPr>
          <w:rFonts w:ascii="Amiri" w:hAnsi="Amiri" w:eastAsia="Amiri" w:cs="Amiri"/>
          <w:color w:val="111111"/>
          <w:sz w:val="28"/>
          <w:sz w:val="28"/>
          <w:szCs w:val="28"/>
          <w:rtl w:val="true"/>
          <w:lang w:bidi="ar-SA"/>
        </w:rPr>
        <w:t xml:space="preserve">، 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المعدود يجوز بيعه وزناً ؛ لأنّ الأصل في التقدير هو الوزن</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وجيه إن اُريد جواز بيع المعدود وزناً ؛ فإنّ الأصالة بهذا المعنى غير ثابتة ، وأضبطية الوزن لا توجب رفع الغرر في المعدود إن كان المتعارف عدّه ، والأصالة بمعنى أسبقية الوزن على العدّ غير مفيدة ، مع أ نّها غير 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الاعتبار يقتضي تقدّم العدّ على الوزن فيما يعدّ ، حتّى في مثل اللوز والفستق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 ما هو المعروف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بيع المظروف مع ظرفه</w:t>
      </w:r>
      <w:r>
        <w:rPr>
          <w:rStyle w:val="FootnoteAnchor"/>
          <w:rtl w:val="true"/>
        </w:rPr>
        <w:footnoteReference w:id="1400"/>
      </w:r>
      <w:r>
        <w:rPr>
          <w:rFonts w:ascii="Amiri" w:hAnsi="Amiri" w:eastAsia="Amiri" w:cs="Amiri"/>
          <w:color w:val="111111"/>
          <w:sz w:val="28"/>
          <w:sz w:val="28"/>
          <w:szCs w:val="28"/>
          <w:rtl w:val="true"/>
          <w:lang w:bidi="ar-SA"/>
        </w:rPr>
        <w:t xml:space="preserve">، هو بيعهما معاً بكذا ، أو كلّ رطل بكذا ، والصحّة فيهما على القاعدة لو كان الظرف تبعاً للمظروف من الموزونات بحسب تعارف التجّار ، كما لا يبعد ذلك ، هذا حال بيع الظرف مع المظروف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غيره ، كبيع أحد المنضمّين اللذين لا يكفي في بيعه منفرداً معرفة وزن </w:t>
      </w:r>
    </w:p>
    <w:p>
      <w:pPr>
        <w:pStyle w:val="BookText"/>
        <w:rPr/>
      </w:pPr>
      <w:r>
        <w:rPr>
          <w:rFonts w:ascii="Amiri" w:hAnsi="Amiri" w:eastAsia="Amiri" w:cs="Amiri"/>
          <w:color w:val="111111"/>
          <w:sz w:val="28"/>
          <w:sz w:val="28"/>
          <w:szCs w:val="28"/>
          <w:rtl w:val="true"/>
          <w:lang w:bidi="ar-SA"/>
        </w:rPr>
        <w:t xml:space="preserve">المجموع ، فلا ينبغي الإشكال في الصحّة إذا بيعا معاً بثمن ، أو كلّ رطل من المجموع بكذا بعد وزنهما ، سواء اختلفت قيمتهما أم لا ، فاحشاً كان أم لا ؛ لعدم الغرر والجهالة بوجه ، فإنّ بيع الشيء أرخص من قيمته مع غرض عقلائي ، لا يكون فيه خطر ، ولا غرر ، ولا سفاهة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الشيخ قدّس سرّه القطع بفساده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الإقدام عليه خطر ، يستحقّ اللوم عليه من العقلاء</w:t>
      </w:r>
      <w:r>
        <w:rPr>
          <w:rStyle w:val="FootnoteAnchor"/>
          <w:rtl w:val="true"/>
        </w:rPr>
        <w:footnoteReference w:id="1401"/>
      </w:r>
      <w:r>
        <w:rPr>
          <w:rFonts w:ascii="Amiri" w:hAnsi="Amiri" w:eastAsia="Amiri" w:cs="Amiri"/>
          <w:color w:val="111111"/>
          <w:sz w:val="28"/>
          <w:sz w:val="28"/>
          <w:szCs w:val="28"/>
          <w:rtl w:val="true"/>
          <w:lang w:bidi="ar-SA"/>
        </w:rPr>
        <w:t xml:space="preserve">غير وجيهة إلاّ في بعض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بيعا بثمن معلوم ، على أن يكون كلّ رطل من أحدهما المعيّن بكذا ، والباقي للآخر ، فلا إشكال في بطلانه ؛ للغرر وعدم معلومية الكيل والوزن ؛ فإنّ هذا النحو يرجع إلى بيعهما منفرداً كما أشار إلى مثله الشيخ قدّس سرّه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فإطلاق كلام الشيخ قدّس سرّه في المقام</w:t>
      </w:r>
      <w:r>
        <w:rPr>
          <w:rStyle w:val="FootnoteAnchor"/>
          <w:rtl w:val="true"/>
        </w:rPr>
        <w:footnoteReference w:id="1403"/>
      </w:r>
      <w:r>
        <w:rPr>
          <w:rFonts w:ascii="Amiri" w:hAnsi="Amiri" w:eastAsia="Amiri" w:cs="Amiri"/>
          <w:color w:val="111111"/>
          <w:sz w:val="28"/>
          <w:sz w:val="28"/>
          <w:szCs w:val="28"/>
          <w:rtl w:val="true"/>
          <w:lang w:bidi="ar-SA"/>
        </w:rPr>
        <w:t xml:space="preserve">محلّ إشكال ، ولعلّ مراده أحد الوجهين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أحد الموزونين يجوز بيعه منفرداً ، مع معرفة وزن المجموع دون الآخر ، كما لو فرضنا جواز بيع الفضّة المحشّاة بالشمع ، وعدم جواز بيع الشمع كذلك ، فالظاهر بطلان بيع المجموع وإن كان الشمع تبعاً ؛ فإنّ التبعية هاهنا ليست كتبعية مفتاح الدار لها في الانتقال ، فإنّه خارج عن الفرض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الأصلي للشراء هو شراء الفضّة ، وبتبعه اشتري الشمع أيضاً ، وفي مثله لا وجه للصحّة بعد تحقّق الغرر ، وعدم الدليل على الاستثناء </w:t>
      </w:r>
      <w:r>
        <w:rPr>
          <w:rFonts w:eastAsia="Amiri" w:cs="Amiri" w:ascii="Amiri" w:hAnsi="Amiri"/>
          <w:color w:val="111111"/>
          <w:sz w:val="28"/>
          <w:szCs w:val="28"/>
          <w:rtl w:val="true"/>
          <w:lang w:bidi="ar-SA"/>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15209_204250"/>
      <w:bookmarkStart w:id="720" w:name="pg15209_204250"/>
      <w:bookmarkEnd w:id="720"/>
    </w:p>
    <w:p>
      <w:pPr>
        <w:pStyle w:val="Heading2"/>
        <w:numPr>
          <w:ilvl w:val="1"/>
          <w:numId w:val="1"/>
        </w:numPr>
        <w:rPr/>
      </w:pPr>
      <w:bookmarkStart w:id="721" w:name="pg15209_204250"/>
      <w:bookmarkStart w:id="722" w:name="__RefHeading___Toc2974803_2142443653"/>
      <w:bookmarkStart w:id="723" w:name="_Toc257"/>
      <w:bookmarkEnd w:id="721"/>
      <w:bookmarkEnd w:id="722"/>
      <w:r>
        <w:rPr>
          <w:rtl w:val="true"/>
        </w:rPr>
        <w:t>خاتمة</w:t>
      </w:r>
      <w:bookmarkEnd w:id="723"/>
    </w:p>
    <w:p>
      <w:pPr>
        <w:pStyle w:val="Heading3"/>
        <w:numPr>
          <w:ilvl w:val="2"/>
          <w:numId w:val="1"/>
        </w:numPr>
        <w:rPr/>
      </w:pPr>
      <w:bookmarkStart w:id="724" w:name="__RefHeading___Toc2974805_2142443653"/>
      <w:bookmarkStart w:id="725" w:name="_Toc258"/>
      <w:bookmarkEnd w:id="724"/>
      <w:r>
        <w:rPr>
          <w:rtl w:val="true"/>
        </w:rPr>
        <w:t xml:space="preserve">فيها اُمور </w:t>
      </w:r>
      <w:r>
        <w:rPr>
          <w:rtl w:val="true"/>
        </w:rPr>
        <w:t>:</w:t>
      </w:r>
      <w:bookmarkEnd w:id="725"/>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6" w:name="__RefHeading___Toc2974807_2142443653"/>
      <w:bookmarkStart w:id="727" w:name="_Toc259"/>
      <w:bookmarkEnd w:id="726"/>
      <w:r>
        <w:rPr>
          <w:rtl w:val="true"/>
        </w:rPr>
        <w:t>اشارة</w:t>
      </w:r>
      <w:bookmarkEnd w:id="727"/>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8" w:name="pg15209_204252"/>
      <w:bookmarkStart w:id="729" w:name="pg15209_204252"/>
      <w:bookmarkEnd w:id="729"/>
    </w:p>
    <w:p>
      <w:pPr>
        <w:pStyle w:val="Heading4"/>
        <w:numPr>
          <w:ilvl w:val="3"/>
          <w:numId w:val="1"/>
        </w:numPr>
        <w:rPr/>
      </w:pPr>
      <w:bookmarkStart w:id="730" w:name="pg15209_204252"/>
      <w:bookmarkStart w:id="731" w:name="__RefHeading___Toc2974809_2142443653"/>
      <w:bookmarkStart w:id="732" w:name="_Toc260"/>
      <w:bookmarkEnd w:id="730"/>
      <w:bookmarkEnd w:id="731"/>
      <w:r>
        <w:rPr>
          <w:rtl w:val="true"/>
        </w:rPr>
        <w:t>الأمر الأوّل</w:t>
      </w:r>
      <w:r>
        <w:rPr>
          <w:rtl w:val="true"/>
        </w:rPr>
        <w:t xml:space="preserve">: </w:t>
      </w:r>
      <w:r>
        <w:rPr>
          <w:rtl w:val="true"/>
        </w:rPr>
        <w:t>في حكم تعلّم الأحكام</w:t>
      </w:r>
      <w:bookmarkEnd w:id="732"/>
    </w:p>
    <w:p>
      <w:pPr>
        <w:pStyle w:val="BookText"/>
        <w:rPr/>
      </w:pPr>
      <w:r>
        <w:rPr>
          <w:rFonts w:ascii="Amiri" w:hAnsi="Amiri" w:eastAsia="Amiri" w:cs="Amiri"/>
          <w:color w:val="111111"/>
          <w:sz w:val="28"/>
          <w:sz w:val="28"/>
          <w:szCs w:val="28"/>
          <w:rtl w:val="true"/>
          <w:lang w:bidi="ar-SA"/>
        </w:rPr>
        <w:t xml:space="preserve">لا إشكال في حسن تعلّم أحكام الدين بل مطلق العلم عقلاً ، وفي استحباب التفقّه شرعاً ، كما لا إشكال في عدم الوجوب فيما لا يجب على المكلّف ، ولا يبتلى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وجوب تعلّم الواجبات والمحرّمات مع كونها محلّ ابتلائه ، ومعرفة الحلال والحرام فيما يبتلى به ، كالتاجر الذي يبتلى بالمكاسب التي فيها محرّم ومحلّل ، والقاضي بالنسبة إلى أحكام القضاء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الوجوب العقلي من باب المقدّمة ، فهو ممنوع صغرى وكبرى ؛ ضرورة أنّ التعلّم ليس مقدّمة وجودية لترك المحرّمات ولا للإتيان بالواجبات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 نّه على فرض المقدّمية ، لا يكون واجباً عقلاً ؛ فإنّ اللا بدّية العقلية أمر ، والوجوب العقلي والإيجاب أمر آخر ؛ فإنّ لا بدّية وجود المقدّمة لتحقّق ذيها ، لا يختصّ بالواجبات ، بل كلّ أمر عادي أو غيره إذا أراد الشخص أن يوجده ، </w:t>
      </w:r>
    </w:p>
    <w:p>
      <w:pPr>
        <w:pStyle w:val="BookText"/>
        <w:rPr/>
      </w:pPr>
      <w:r>
        <w:rPr>
          <w:rFonts w:ascii="Amiri" w:hAnsi="Amiri" w:eastAsia="Amiri" w:cs="Amiri"/>
          <w:color w:val="111111"/>
          <w:sz w:val="28"/>
          <w:sz w:val="28"/>
          <w:szCs w:val="28"/>
          <w:rtl w:val="true"/>
          <w:lang w:bidi="ar-SA"/>
        </w:rPr>
        <w:t>فلا محالة يريد وجود مقدّمته بإرادة مستقلّة بمبادئ خاصّة ، غير مترشّحة من إرادة ذي المقدّمة ، وقد فصّل ذلك في محلّه</w:t>
      </w:r>
      <w:r>
        <w:rPr>
          <w:rStyle w:val="FootnoteAnchor"/>
          <w:rtl w:val="true"/>
        </w:rPr>
        <w:footnoteReference w:id="1404"/>
      </w:r>
      <w:r>
        <w:rPr>
          <w:rFonts w:ascii="Amiri" w:hAnsi="Amiri" w:eastAsia="Amiri" w:cs="Amiri"/>
          <w:color w:val="111111"/>
          <w:sz w:val="28"/>
          <w:sz w:val="28"/>
          <w:szCs w:val="28"/>
          <w:rtl w:val="true"/>
          <w:lang w:bidi="ar-SA"/>
        </w:rPr>
        <w:t xml:space="preserve">، وهذا غير الحكم بوجوبها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حكم العقل بوجوب المقدّمة في الواجبات العقلية ، وحرمتها في المحرّمات العقلية ، فلا وجه له ؛ لعين ما قلناه في الوجوب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المقدّمة لا يعقل أن تجب شرعاً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فهاهنا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 العقل بوجوب ذي المقدّمة ، فإن انبعث منه العاقل ، فلا يعقل حكم آخر لمقدّمته ؛ فإنّ الانبعاث إلى ذي المقدّمة ، مع تصوّر توقّفه على المقدّمة والتصديق به ، كافٍ في إيجادها ، فلا وجه لحكم إلزامي آخر ، وإن لم ينبعث منه ، فلا يعقل كون إيجاب المقدّمة موجباً لانبعاثه ، هذا كلّه مع تسليم أنّ للعقل حكماً إيجابياً وتحريمياً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أنّ شأن العقل ليس إلاّ إدراك الحقائق ، وأ نّه يدرك قبح الظلم مثلاً وحسن العدل ، وأمّا الحكم بلزوم الاحتراز من ذلك ولزوم الإتيان بذاك ، فليس من شأنه ، فالأمر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للعقل أحكاماً إلزامية ، وقلنا بأنّ وجوب المقدّمة ليس منها ، مع أنّ التعلّم ليس مقدّمة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مناط إلزام العقل موجود في التعلّم وإن لم يكن مقدّمة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المناط بالمقدّمية</w:t>
      </w:r>
      <w:r>
        <w:rPr>
          <w:rStyle w:val="FootnoteAnchor"/>
          <w:rtl w:val="true"/>
        </w:rPr>
        <w:footnoteReference w:id="1406"/>
      </w:r>
      <w:r>
        <w:rPr>
          <w:rFonts w:ascii="Amiri" w:hAnsi="Amiri" w:eastAsia="Amiri" w:cs="Amiri"/>
          <w:color w:val="111111"/>
          <w:sz w:val="28"/>
          <w:sz w:val="28"/>
          <w:szCs w:val="28"/>
          <w:rtl w:val="true"/>
          <w:lang w:bidi="ar-SA"/>
        </w:rPr>
        <w:t xml:space="preserve">، غير مسموعة ؛ فإنّ كثيراً من الأحكام </w:t>
      </w:r>
    </w:p>
    <w:p>
      <w:pPr>
        <w:pStyle w:val="BookText"/>
        <w:rPr/>
      </w:pPr>
      <w:r>
        <w:rPr>
          <w:rFonts w:ascii="Amiri" w:hAnsi="Amiri" w:eastAsia="Amiri" w:cs="Amiri"/>
          <w:color w:val="111111"/>
          <w:sz w:val="28"/>
          <w:sz w:val="28"/>
          <w:szCs w:val="28"/>
          <w:rtl w:val="true"/>
          <w:lang w:bidi="ar-SA"/>
        </w:rPr>
        <w:t xml:space="preserve">العقلية ليست بمناط المقدّمية ، كحكمه بوجوب طاعة المولى ، وحرمة مخالفته ، وحكمه بوجوب ترك شيء لا يؤمن مع فعله من الضرر ، ولو من باب الملازمات ، لا المقدّمية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الاشتغال مثلاً بالتجارة التي فيها محرّمات وواجبات ، لا يؤمن معه من العقاب ، فلا بدّ من تركه ، ولو أراد الاشتغال بها ، يحكم العقل بوجوب التعلّم ؛ ليأمن من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فالوجوب هاهنا ، كوجوب الفحص عقلاً عن طعام يريد أكله ولا يأمن من كونه مسموماً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فالوجوب غيري لمن أراد التجارة ، لا مقدّمي ، ولا نفسي كما نسب</w:t>
      </w:r>
      <w:r>
        <w:rPr>
          <w:rStyle w:val="FootnoteAnchor"/>
          <w:rtl w:val="true"/>
        </w:rPr>
        <w:footnoteReference w:id="1407"/>
      </w:r>
      <w:r>
        <w:rPr>
          <w:rFonts w:ascii="Amiri" w:hAnsi="Amiri" w:eastAsia="Amiri" w:cs="Amiri"/>
          <w:color w:val="111111"/>
          <w:sz w:val="28"/>
          <w:sz w:val="28"/>
          <w:szCs w:val="28"/>
          <w:rtl w:val="true"/>
          <w:lang w:bidi="ar-SA"/>
        </w:rPr>
        <w:t xml:space="preserve">إلى الأردبيلي قدّس سرّه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الوجوب ؛ لإمكان التحرّز بترك التجارة ، أو ترك ما يحتمل فيه المحرّم</w:t>
      </w:r>
      <w:r>
        <w:rPr>
          <w:rStyle w:val="FootnoteAnchor"/>
          <w:rtl w:val="true"/>
        </w:rPr>
        <w:footnoteReference w:id="1409"/>
      </w:r>
      <w:r>
        <w:rPr>
          <w:rFonts w:ascii="Amiri" w:hAnsi="Amiri" w:eastAsia="Amiri" w:cs="Amiri"/>
          <w:color w:val="111111"/>
          <w:sz w:val="28"/>
          <w:sz w:val="28"/>
          <w:szCs w:val="28"/>
          <w:rtl w:val="true"/>
          <w:lang w:bidi="ar-SA"/>
        </w:rPr>
        <w:t>، خارج عن البحث ؛ فإنّ الكلام في التاجر المشتغل بالتجارة ، أو المريد لها، وفي الجاهل، لا في العالم الذي يعلم أنّ ما يرتكبه ليس مشتملاً على الحرام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الوجوب الشرعي ، فالظاهر عدم استفادته من الروايات الواردة في المقام ؛ فإنّ مثل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14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شبهة في عدم كون المراد منه ، أنّ جميع العلوم واجبة على جميع الناس ، فلا بدّ من إرادة كونه في الجملة من الفرائض ، ولعلّ المراد به هو العلم باُصول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يدلّ على الحثّ على طلب العلم</w:t>
      </w:r>
      <w:r>
        <w:rPr>
          <w:rStyle w:val="FootnoteAnchor"/>
          <w:rtl w:val="true"/>
        </w:rPr>
        <w:footnoteReference w:id="1411"/>
      </w:r>
      <w:r>
        <w:rPr>
          <w:rFonts w:ascii="Amiri" w:hAnsi="Amiri" w:eastAsia="Amiri" w:cs="Amiri"/>
          <w:color w:val="111111"/>
          <w:sz w:val="28"/>
          <w:sz w:val="28"/>
          <w:szCs w:val="28"/>
          <w:rtl w:val="true"/>
          <w:lang w:bidi="ar-SA"/>
        </w:rPr>
        <w:t xml:space="preserve">يمكن أن يكون إرشاداً إلى ما حكم به العقل ، بل في تلك الروايات شواهد على الإرشاد ، 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بغير علم فقد ارتطم في الربا ، ثمّ ارتطم</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التجارة فليتفقّه في دينه ؛ ليعلم بذلك ما يحلّ له ممّا يحرم عليه ، ومن لم يتفقّه في دينه ثمّ اتّجر ، تورّط في الشبهات</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الدالّة على الحثّ على التفقّه في الدين</w:t>
      </w:r>
      <w:r>
        <w:rPr>
          <w:rStyle w:val="FootnoteAnchor"/>
          <w:rtl w:val="true"/>
        </w:rPr>
        <w:footnoteReference w:id="1414"/>
      </w:r>
      <w:r>
        <w:rPr>
          <w:rFonts w:ascii="Amiri" w:hAnsi="Amiri" w:eastAsia="Amiri" w:cs="Amiri"/>
          <w:color w:val="111111"/>
          <w:sz w:val="28"/>
          <w:sz w:val="28"/>
          <w:szCs w:val="28"/>
          <w:rtl w:val="true"/>
          <w:lang w:bidi="ar-SA"/>
        </w:rPr>
        <w:t xml:space="preserve">، لا ينبغي الإشكال في عدم صحّة الأخذ بإطلاقها وعمومها مع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المعروف ؛ من العلم بالأحكام من الطرق الاجتهادية ، ضرورة أنّ تكليف جميع الناس بذلك ، موجب لاختلال النظام ، ومخالف للسيرة القطعية من زمن </w:t>
      </w:r>
    </w:p>
    <w:p>
      <w:pPr>
        <w:pStyle w:val="BookText"/>
        <w:rPr/>
      </w:pPr>
      <w:r>
        <w:rPr>
          <w:rFonts w:ascii="Amiri" w:hAnsi="Amiri" w:eastAsia="Amiri" w:cs="Amiri"/>
          <w:color w:val="111111"/>
          <w:sz w:val="28"/>
          <w:sz w:val="28"/>
          <w:szCs w:val="28"/>
          <w:rtl w:val="true"/>
          <w:lang w:bidi="ar-SA"/>
        </w:rPr>
        <w:t xml:space="preserve">الرسول صلي الله عليه و آله وسلم ، ومروراً بزمن الأئمّة عليهم السلام ، ولحدّ الآن ؛ من عدم اشتغال جميع الناس بعلم الحديث والفقه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حملها ، إمّا على لزوم العلم باُصول الدين ، كما حملها بعض المحدّثين المحقّقين قدّست أسرارهم</w:t>
      </w:r>
      <w:r>
        <w:rPr>
          <w:rStyle w:val="FootnoteAnchor"/>
          <w:rtl w:val="true"/>
        </w:rPr>
        <w:footnoteReference w:id="1415"/>
      </w:r>
      <w:r>
        <w:rPr>
          <w:rFonts w:ascii="Amiri" w:hAnsi="Amiri" w:eastAsia="Amiri" w:cs="Amiri"/>
          <w:color w:val="111111"/>
          <w:sz w:val="28"/>
          <w:sz w:val="28"/>
          <w:szCs w:val="28"/>
          <w:rtl w:val="true"/>
          <w:lang w:bidi="ar-SA"/>
        </w:rPr>
        <w:t xml:space="preserve">، وإن أبى عنه بعض تلك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على وجوب التفقّه بالمعنى المعهود كفاية ؛ فإنّ في تركه محو الشريعة ، أو خوفه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الوجوب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 ؛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لم يتفقّه منكم في الدين فهو أعرابي ،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فَقَّهُوا فِى ا 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الآية الشريفة على فرض دلالتها على الوجوب ، تدلّ على وجوبه على فرقة من كلّ طائفة ، مع أنّ في دلالتها عليه إشكالاً ، والتفصيل حول الآية يطلب من مظانّه</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على الاستحباب ، كما يشهد له بعضها ، 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الكمال كلّ الكمال التفقّه في الدين ، والصبر على النائبة ، وتقدير المعيشة</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 xml:space="preserve">، وإن كان ظاهر تعبير </w:t>
      </w:r>
    </w:p>
    <w:p>
      <w:pPr>
        <w:pStyle w:val="BookText"/>
        <w:rPr/>
      </w:pPr>
      <w:r>
        <w:rPr>
          <w:rFonts w:ascii="Amiri" w:hAnsi="Amiri" w:eastAsia="Amiri" w:cs="Amiri"/>
          <w:color w:val="111111"/>
          <w:sz w:val="28"/>
          <w:sz w:val="28"/>
          <w:szCs w:val="28"/>
          <w:rtl w:val="true"/>
          <w:lang w:bidi="ar-SA"/>
        </w:rPr>
        <w:t xml:space="preserve">بعض الروايات الوجوب ، 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يتفقّه في دين اللّه ، لم ينظر اللّه إليه يوم القيامة ، ولم يزكّ له عملاً</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ورود أمثال ذلك في المستحبّات ، ومعلومية عدم وجوب التفقّه في جميع الأحكام على جميع الناس ، شاهد على عدم إرادة الوجوب كذلك ، فلا بدّ من حملها إمّا على الاُصول ، أو على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يزكّ 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الحكم الإرشادي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 تلك الروايات على كثرتها ، وجوب التعلّم نفساً ، ولا وجوبه شرعاً للغير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المقام يزيد على غيره ؛ بأنّ الأصل في المعاملات الفساد ، فيحرم على التاجر التصرّف فيما يحصل بيده ؛ بمقتضى أصالة عدم الانتقال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معرفة المعاملة الصحيحة في هذا المقام شرعي ؛ لنهي الشارع عن التصرّف في مال لم يعلم انتقاله إليه</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فغير وجيه ؛ لعدم استلزام حرمة التصرّف ظاهراً فيما يحصل بيده ، لوجوب التعلّم شرعاً ، كما لا يخفى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لا مضايقة في الوجوب العقلي الغيري ، كما أشرنا إليه في صدر البحث</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733" w:name="pg15209_204258"/>
    </w:p>
    <w:p>
      <w:pPr>
        <w:pStyle w:val="Heading4"/>
        <w:numPr>
          <w:ilvl w:val="3"/>
          <w:numId w:val="1"/>
        </w:numPr>
        <w:rPr/>
      </w:pPr>
      <w:bookmarkStart w:id="734" w:name="__RefHeading___Toc2974811_2142443653"/>
      <w:bookmarkStart w:id="735" w:name="_Toc261"/>
      <w:bookmarkEnd w:id="733"/>
      <w:bookmarkEnd w:id="734"/>
      <w:r>
        <w:rPr>
          <w:rtl w:val="true"/>
        </w:rPr>
        <w:t>الأمر الثاني</w:t>
      </w:r>
      <w:r>
        <w:rPr>
          <w:rtl w:val="true"/>
        </w:rPr>
        <w:t xml:space="preserve">: </w:t>
      </w:r>
      <w:r>
        <w:rPr>
          <w:rtl w:val="true"/>
        </w:rPr>
        <w:t>في كراهة تلقّي الركبان</w:t>
      </w:r>
      <w:bookmarkEnd w:id="735"/>
    </w:p>
    <w:p>
      <w:pPr>
        <w:pStyle w:val="Heading5"/>
        <w:numPr>
          <w:ilvl w:val="4"/>
          <w:numId w:val="1"/>
        </w:numPr>
        <w:rPr/>
      </w:pPr>
      <w:bookmarkStart w:id="736" w:name="__RefHeading___Toc2974813_2142443653"/>
      <w:bookmarkStart w:id="737" w:name="_Toc262"/>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الظاهر قيام الشهرة</w:t>
      </w:r>
      <w:r>
        <w:rPr>
          <w:rStyle w:val="FootnoteAnchor"/>
          <w:rtl w:val="true"/>
        </w:rPr>
        <w:footnoteReference w:id="1423"/>
      </w:r>
      <w:r>
        <w:rPr>
          <w:rFonts w:ascii="Amiri" w:hAnsi="Amiri" w:eastAsia="Amiri" w:cs="Amiri"/>
          <w:color w:val="111111"/>
          <w:sz w:val="28"/>
          <w:sz w:val="28"/>
          <w:szCs w:val="28"/>
          <w:rtl w:val="true"/>
          <w:lang w:bidi="ar-SA"/>
        </w:rPr>
        <w:t xml:space="preserve">على كراهية تلقّي الركبان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قدّس سرّه ادّعى الإجماع على عدم تحريمه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 الركبان مكروه عند أكثر علمائنا ، وليس حراماً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بعدم الكراهة أيضاً معتدّ به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الخلاف نشأ بعد الشيخ قدّس سرّه ، وأن لا مخالف قبل عصره ، فقد يدّعي إجماع المتقدّمين ، إلاّ ما قد حكي عن ابن الجنيد الذي لا يزال موافقاً للعامّة غالباً </w:t>
      </w:r>
      <w:r>
        <w:rPr>
          <w:rStyle w:val="FootnoteAnchor"/>
          <w:rtl w:val="true"/>
        </w:rPr>
        <w:footnoteReference w:id="142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أي القول بالكراهة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استند القائل بالتحريم</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رواية عروة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ومنهال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وهما ضعيفتان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وتوهّم</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عن منهال ، ابن أبي عمير وابن محبوب وهما من أصحاب الإجماع</w:t>
      </w:r>
      <w:r>
        <w:rPr>
          <w:rStyle w:val="FootnoteAnchor"/>
          <w:rtl w:val="true"/>
        </w:rPr>
        <w:footnoteReference w:id="1429"/>
      </w:r>
      <w:r>
        <w:rPr>
          <w:rFonts w:ascii="Amiri" w:hAnsi="Amiri" w:eastAsia="Amiri" w:cs="Amiri"/>
          <w:color w:val="111111"/>
          <w:sz w:val="28"/>
          <w:sz w:val="28"/>
          <w:szCs w:val="28"/>
          <w:rtl w:val="true"/>
          <w:lang w:bidi="ar-SA"/>
        </w:rPr>
        <w:t>، قد فرغنا عن تزييفه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منه دعوى كثرة الرواية</w:t>
      </w:r>
      <w:r>
        <w:rPr>
          <w:rStyle w:val="FootnoteAnchor"/>
          <w:rtl w:val="true"/>
        </w:rPr>
        <w:footnoteReference w:id="1431"/>
      </w:r>
      <w:r>
        <w:rPr>
          <w:rFonts w:ascii="Amiri" w:hAnsi="Amiri" w:eastAsia="Amiri" w:cs="Amiri"/>
          <w:color w:val="111111"/>
          <w:sz w:val="28"/>
          <w:sz w:val="28"/>
          <w:szCs w:val="28"/>
          <w:rtl w:val="true"/>
          <w:lang w:bidi="ar-SA"/>
        </w:rPr>
        <w:t xml:space="preserve">، مع أ نّه ليس في المقام إلاّ رواية منهال ، وكثرة النقل عنه لا توجب كثرتها ، ورواية عروة ، ومرسلة الصدوق التي هي أيضاً </w:t>
      </w:r>
    </w:p>
    <w:p>
      <w:pPr>
        <w:pStyle w:val="BookText"/>
        <w:rPr/>
      </w:pPr>
      <w:r>
        <w:rPr>
          <w:rFonts w:ascii="Amiri" w:hAnsi="Amiri" w:eastAsia="Amiri" w:cs="Amiri"/>
          <w:color w:val="111111"/>
          <w:sz w:val="28"/>
          <w:sz w:val="28"/>
          <w:szCs w:val="28"/>
          <w:rtl w:val="true"/>
          <w:lang w:bidi="ar-SA"/>
        </w:rPr>
        <w:t xml:space="preserve">متن رواية عروة ، واختلاف بعض الكلمات ، لا يوجب تعدّد الرواية ، مع احتمال كونه لاختلاف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ذروا المسلمين يرزق اللّه بعضهم ببعض</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 xml:space="preserve">قرينة على الكراهة ؛ فإنّه ظاهر في الاستحباب ، بناءً على أ نّه راجع إلى التلقّي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رواية منهال توجّه النهي إليه ، ولعلّ المقصود اختصاص التلقّي بالغنم ، كما تشهد له رواية الصدوق قدّس سرّه عن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سأل أبا عبداللّه عليه السلام عن تلقّي 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 ، ولا تشتر ما تلقّي ، ولا تأكل من لحم ما تلقّي</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مثنّى الحنّاط ، عن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عين تلك الرواية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أي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 ، ولا تشتر ما تلقّي ، ولا تأكل منه</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الظاهر أنّ رواية منهال واحدة ، ذكر بعضها لبعض ، وبعضها لآخر ، فلا قائل لها بهذا المتن ، فتأمّل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رواية عروة مشتملة على التجارة</w:t>
      </w:r>
      <w:r>
        <w:rPr>
          <w:rStyle w:val="FootnoteAnchor"/>
          <w:rtl w:val="true"/>
        </w:rPr>
        <w:footnoteReference w:id="1435"/>
      </w:r>
      <w:r>
        <w:rPr>
          <w:rFonts w:ascii="IRNazanin" w:hAnsi="IRNazanin" w:eastAsia="IRNazanin"/>
          <w:color w:val="111111"/>
          <w:sz w:val="28"/>
          <w:sz w:val="28"/>
          <w:szCs w:val="28"/>
          <w:rtl w:val="true"/>
          <w:lang w:bidi="fa-IR"/>
        </w:rPr>
        <w:t>، أو على الطعام</w:t>
      </w:r>
      <w:r>
        <w:rPr>
          <w:rStyle w:val="FootnoteAnchor"/>
          <w:rtl w:val="true"/>
        </w:rPr>
        <w:footnoteReference w:id="1436"/>
      </w:r>
      <w:r>
        <w:rPr>
          <w:rFonts w:ascii="Amiri" w:hAnsi="Amiri" w:eastAsia="Amiri" w:cs="Amiri"/>
          <w:color w:val="111111"/>
          <w:sz w:val="28"/>
          <w:sz w:val="28"/>
          <w:szCs w:val="28"/>
          <w:rtl w:val="true"/>
          <w:lang w:bidi="ar-SA"/>
        </w:rPr>
        <w:t>، لكنّها ضعيفة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إعراض قدماء أصحابنا عنها ، وموافقة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 أقوى شاهد على أ نّها عليلة ، ولا ينافي ذلك فتواهم بالكراهة ؛ لأنّ تلك الفتوى متلقّاة من الأئمّة عليهم السلام خلفاً عن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تلك الروايات الظاهرة 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يقال</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بمرأى ومسمع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بكون مستندهم تلك الروايات</w:t>
      </w:r>
      <w:r>
        <w:rPr>
          <w:rStyle w:val="FootnoteAnchor"/>
          <w:rtl w:val="true"/>
        </w:rPr>
        <w:footnoteReference w:id="1439"/>
      </w:r>
      <w:r>
        <w:rPr>
          <w:rFonts w:ascii="Amiri" w:hAnsi="Amiri" w:eastAsia="Amiri" w:cs="Amiri"/>
          <w:color w:val="111111"/>
          <w:sz w:val="28"/>
          <w:sz w:val="28"/>
          <w:szCs w:val="28"/>
          <w:rtl w:val="true"/>
          <w:lang w:bidi="ar-SA"/>
        </w:rPr>
        <w:t xml:space="preserve">، عهدتها على مدّعيها ، مع أ نّه على فرض كون مستندهم في الفتوى بالكراهة تلك الروايات ، يكشف ذلك جزماً عن أ نّه كانت عندهم قرائن حالية على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الفتوى بالتحريم استناداً إلى تلك الرواية ، أو الروايتين الضعيفتين ، المشتمل بعضها على ما لا يقول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كبطلان المعاملة ، أو حرمة أكل ما يشترى بنحو التلقّي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 ولا سيّما مع إعراض أصحابنا عنها ، ولولا ذلك كانت مرسلة الصدوق قدّس سرّه ، أولى بالاستناد إليها من سائر الروايات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 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الواجب على الفقيه ، إمعان النظر في مساقط الأخبار ، وتتبّع الفتاوى والإجماعات ، وتحسين الظنّ بالمتقدّمين ، وملاحظة الاعتبار ، وبعد ذلك يجري على الاُصول ، وإلاّ فكلّ أحد يظهر له </w:t>
      </w:r>
      <w:bookmarkStart w:id="738" w:name="pg15209_204262"/>
    </w:p>
    <w:p>
      <w:pPr>
        <w:pStyle w:val="BookText"/>
        <w:rPr/>
      </w:pPr>
      <w:bookmarkEnd w:id="738"/>
      <w:r>
        <w:rPr>
          <w:rFonts w:ascii="Amiri" w:hAnsi="Amiri" w:eastAsia="Amiri" w:cs="Amiri"/>
          <w:color w:val="111111"/>
          <w:sz w:val="28"/>
          <w:sz w:val="28"/>
          <w:szCs w:val="28"/>
          <w:rtl w:val="true"/>
          <w:lang w:bidi="ar-SA"/>
        </w:rPr>
        <w:t>بادئ بدْء أنّ الحكم بالتحريم أظهر، كما صنع بعض من تأخّر عمّن تأخّر</w:t>
      </w:r>
      <w:r>
        <w:rPr>
          <w:rStyle w:val="FootnoteAnchor"/>
          <w:rtl w:val="true"/>
        </w:rPr>
        <w:footnoteReference w:id="144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التلقّي هو أن يستقبل الحضري البدوي قبل وصوله إلى البلد ، ويخبره بكساد ما معه كذباً ؛ ليشتري منه سلعته بالوكس ، وأقلّ من ثمن المثل</w:t>
      </w:r>
      <w:r>
        <w:rPr>
          <w:rStyle w:val="FootnoteAnchor"/>
          <w:rtl w:val="true"/>
        </w:rPr>
        <w:footnoteReference w:id="144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 التلقّي بحسب اللغة ، أو بحسب ما هو المعهود خارجاً ، ذلك الاستقبال بالقيود التي ذكرها ، لكان حراماً ؛ للكذب والتغرير ، ولعلّ فتوى العامّة أو بعض الخاصّة بالحرمة ؛ لذلك ، وإن كان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اللغة والعرف والنصّ</w:t>
      </w:r>
      <w:r>
        <w:rPr>
          <w:rStyle w:val="FootnoteAnchor"/>
          <w:rtl w:val="true"/>
        </w:rPr>
        <w:footnoteReference w:id="1442"/>
      </w:r>
      <w:r>
        <w:rPr>
          <w:rFonts w:ascii="IRNazanin" w:hAnsi="IRNazanin" w:eastAsia="IRNazanin"/>
          <w:color w:val="111111"/>
          <w:sz w:val="28"/>
          <w:sz w:val="28"/>
          <w:szCs w:val="28"/>
          <w:rtl w:val="true"/>
          <w:lang w:bidi="fa-IR"/>
        </w:rPr>
        <w:t>والفتوى</w:t>
      </w:r>
      <w:r>
        <w:rPr>
          <w:rStyle w:val="FootnoteAnchor"/>
          <w:rtl w:val="true"/>
        </w:rPr>
        <w:footnoteReference w:id="1443"/>
      </w:r>
      <w:r>
        <w:rPr>
          <w:rFonts w:ascii="Amiri" w:hAnsi="Amiri" w:eastAsia="Amiri" w:cs="Amiri"/>
          <w:color w:val="111111"/>
          <w:sz w:val="28"/>
          <w:sz w:val="28"/>
          <w:szCs w:val="28"/>
          <w:rtl w:val="true"/>
          <w:lang w:bidi="ar-SA"/>
        </w:rPr>
        <w:t xml:space="preserve">، هو نفس الاستقبال ، والإخبار كذباً خارج عنه ، كما أنّ الاختصاص باستقبال الحضري البدوي ، غير وجيه </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2974815_2142443653"/>
      <w:bookmarkStart w:id="740" w:name="_Toc263"/>
      <w:bookmarkEnd w:id="739"/>
      <w:r>
        <w:rPr>
          <w:rtl w:val="true"/>
        </w:rPr>
        <w:t>كراهة التجارة عن تلقٍّ لا نفس الاستقبال</w:t>
      </w:r>
      <w:bookmarkEnd w:id="740"/>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مرسلة الصدوق</w:t>
      </w:r>
      <w:r>
        <w:rPr>
          <w:rStyle w:val="FootnoteAnchor"/>
          <w:rtl w:val="true"/>
        </w:rPr>
        <w:footnoteReference w:id="1444"/>
      </w:r>
      <w:r>
        <w:rPr>
          <w:rFonts w:ascii="Amiri" w:hAnsi="Amiri" w:eastAsia="Amiri" w:cs="Amiri"/>
          <w:color w:val="111111"/>
          <w:sz w:val="28"/>
          <w:sz w:val="28"/>
          <w:szCs w:val="28"/>
          <w:rtl w:val="true"/>
          <w:lang w:bidi="ar-SA"/>
        </w:rPr>
        <w:t>ورواية عروة</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كونها غير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الصدوق عن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سأل أبا عبداللّه عليه السلام عن تلقّي </w:t>
      </w:r>
    </w:p>
    <w:p>
      <w:pPr>
        <w:pStyle w:val="BookText"/>
        <w:rPr/>
      </w:pPr>
      <w:r>
        <w:rPr>
          <w:rFonts w:ascii="IRNazanin" w:hAnsi="IRNazanin" w:eastAsia="IRNazanin"/>
          <w:color w:val="111111"/>
          <w:sz w:val="28"/>
          <w:sz w:val="28"/>
          <w:szCs w:val="28"/>
          <w:rtl w:val="true"/>
          <w:lang w:bidi="fa-IR"/>
        </w:rPr>
        <w:t>الغنم</w:t>
      </w:r>
      <w:r>
        <w:rPr>
          <w:rStyle w:val="FootnoteAnchor"/>
          <w:rtl w:val="true"/>
        </w:rPr>
        <w:footnoteReference w:id="1446"/>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المتفاهم من رواية الحنّاط عن منهال</w:t>
      </w:r>
      <w:r>
        <w:rPr>
          <w:rStyle w:val="FootnoteAnchor"/>
          <w:rtl w:val="true"/>
        </w:rPr>
        <w:footnoteReference w:id="1447"/>
      </w:r>
      <w:r>
        <w:rPr>
          <w:rFonts w:ascii="Amiri" w:hAnsi="Amiri" w:eastAsia="Amiri" w:cs="Amiri"/>
          <w:color w:val="111111"/>
          <w:sz w:val="28"/>
          <w:sz w:val="28"/>
          <w:szCs w:val="28"/>
          <w:rtl w:val="true"/>
          <w:lang w:bidi="ar-SA"/>
        </w:rPr>
        <w:t xml:space="preserve">أيضاً هو أنّ المكروه التجارة عن تلقٍّ ، لا نفس الاستقبال ولو بقصد التجارة إن لم يتّجر ، بل المتفاهم عرفاً من جميع الروايات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الظاهر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ذروا المسلمين يرزق اللّه بعضهم ببعض</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 xml:space="preserve">، بناءً على ربطه بكلتا الجملتين السابقتين ، كما هو المناسب عرفاً ، فحينئذٍ يمكن استفادة الكراهة ولو لم يكن الاشتراء عن تلقٍّ ، كما لو كان التاجر مع الركب ، فاشترى منهم قبل الوصول إلى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تعليلاً ، وإلاّ لم يختصّ بالركب ، ولا بخارج البلد ، وهو ممنوع مخالف للفتوى بل النصّ</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ظاهر النصوص ، دخالة الاستقبال عن قصد التجارة في الكراهة ، فلو استقبل لغرض آخر ، ثمّ بدا له الاتّجار ، فلا كراهية ، ولو استقبل لاتّجار نوع من المتاع ، ثمّ بدا له اتّجار نوع آخر حين الوصول إليهم ، فالظاهر كراهته ، وإن لم يخل من مناقشة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 الروايات والنكتة المذكورة في ذيل رواية عروة</w:t>
      </w:r>
      <w:r>
        <w:rPr>
          <w:rStyle w:val="FootnoteAnchor"/>
          <w:rtl w:val="true"/>
        </w:rPr>
        <w:footnoteReference w:id="1450"/>
      </w:r>
      <w:r>
        <w:rPr>
          <w:rFonts w:ascii="IRNazanin" w:hAnsi="IRNazanin" w:eastAsia="IRNazanin"/>
          <w:color w:val="111111"/>
          <w:sz w:val="28"/>
          <w:sz w:val="28"/>
          <w:szCs w:val="28"/>
          <w:rtl w:val="true"/>
          <w:lang w:bidi="fa-IR"/>
        </w:rPr>
        <w:t xml:space="preserve">، </w:t>
      </w:r>
      <w:bookmarkStart w:id="741" w:name="pg15209_204264"/>
    </w:p>
    <w:p>
      <w:pPr>
        <w:pStyle w:val="BookText"/>
        <w:rPr/>
      </w:pPr>
      <w:bookmarkEnd w:id="741"/>
      <w:r>
        <w:rPr>
          <w:rFonts w:ascii="Amiri" w:hAnsi="Amiri" w:eastAsia="Amiri" w:cs="Amiri"/>
          <w:color w:val="111111"/>
          <w:sz w:val="28"/>
          <w:sz w:val="28"/>
          <w:szCs w:val="28"/>
          <w:rtl w:val="true"/>
          <w:lang w:bidi="ar-SA"/>
        </w:rPr>
        <w:t xml:space="preserve">عدم اعتبار جهل البائع بسعر البلد ، ولا علم المشتري به ، وإن كان الغالب جهل الأوّل وعلم الثاني ، لكن ليس بحيث ينصرف الإطلاق إليه </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2974817_2142443653"/>
      <w:bookmarkStart w:id="743" w:name="_Toc264"/>
      <w:bookmarkEnd w:id="742"/>
      <w:r>
        <w:rPr>
          <w:rtl w:val="true"/>
        </w:rPr>
        <w:t>ارتفاع الكراهة بالوصول إلى أربعة فراسخ</w:t>
      </w:r>
      <w:bookmarkEnd w:id="743"/>
    </w:p>
    <w:p>
      <w:pPr>
        <w:pStyle w:val="BookText"/>
        <w:rPr/>
      </w:pPr>
      <w:r>
        <w:rPr>
          <w:rFonts w:ascii="Amiri" w:hAnsi="Amiri" w:eastAsia="Amiri" w:cs="Amiri"/>
          <w:color w:val="111111"/>
          <w:sz w:val="28"/>
          <w:sz w:val="28"/>
          <w:szCs w:val="28"/>
          <w:rtl w:val="true"/>
          <w:lang w:bidi="ar-SA"/>
        </w:rPr>
        <w:t>ثمّ إنّ الظاهر أنّ الكراهة ترتفع بالوصول إلى أربعة فراسخ ، كما هو ظاهر رواية ابن الحجّاج ، عن منهال</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مراد ابن أبي عمير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فوق ذلك فليس بتلقٍّ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فوق الحدّ الذي حدّه الشارع ، لا ما فوق أربعة فراسخ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التلقّي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روحة</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 xml:space="preserve">تفسّره رواية اُخرى ؛ وهي مرسلة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 التلقّي روحة ، فإذا صار إلى أربع فراسخ ، فهو جلب</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2974819_2142443653"/>
      <w:bookmarkStart w:id="745" w:name="_Toc265"/>
      <w:bookmarkEnd w:id="744"/>
      <w:r>
        <w:rPr>
          <w:rtl w:val="true"/>
        </w:rPr>
        <w:t>صحّة المعاملة مع التلقّي</w:t>
      </w:r>
      <w:bookmarkEnd w:id="745"/>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إشكال في صحّة البيع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بكراهته أم بحرمته ؛ لأ نّها تدلّ على الصحّة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كانت النواهي للإرشاد إلى البطلان ، فلا كراهة ولا حرمة ، لكنّه خلاف الفتوى بل النصوص</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جهل البائع بالسعر ، له الخيار مع الغبن الفاحش ،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مطلقاً ؛ استناداً إلى مرسلة</w:t>
      </w:r>
      <w:r>
        <w:rPr>
          <w:rStyle w:val="FootnoteAnchor"/>
          <w:rtl w:val="true"/>
        </w:rPr>
        <w:footnoteReference w:id="1455"/>
      </w:r>
      <w:r>
        <w:rPr>
          <w:rFonts w:ascii="Amiri" w:hAnsi="Amiri" w:eastAsia="Amiri" w:cs="Amiri"/>
          <w:color w:val="111111"/>
          <w:sz w:val="28"/>
          <w:sz w:val="28"/>
          <w:szCs w:val="28"/>
          <w:rtl w:val="true"/>
          <w:lang w:bidi="ar-SA"/>
        </w:rPr>
        <w:t xml:space="preserve">ليست من رواياتنا </w:t>
      </w:r>
      <w:r>
        <w:rPr>
          <w:rStyle w:val="FootnoteAnchor"/>
          <w:rtl w:val="true"/>
        </w:rPr>
        <w:footnoteReference w:id="1456"/>
      </w:r>
      <w:r>
        <w:rPr>
          <w:rFonts w:ascii="Amiri" w:hAnsi="Amiri" w:eastAsia="Amiri" w:cs="Amiri"/>
          <w:color w:val="111111"/>
          <w:sz w:val="28"/>
          <w:sz w:val="28"/>
          <w:szCs w:val="28"/>
          <w:rtl w:val="true"/>
          <w:lang w:bidi="ar-SA"/>
        </w:rPr>
        <w:t xml:space="preserve">ضعيف ، بل المتفاهم منها أيضاً ليس إلاّ الخيار المعهود ؛ أي خيار الغبن </w:t>
      </w:r>
      <w:r>
        <w:rPr>
          <w:rFonts w:eastAsia="Amiri" w:cs="Amiri" w:ascii="Amiri" w:hAnsi="Amiri"/>
          <w:color w:val="111111"/>
          <w:sz w:val="28"/>
          <w:szCs w:val="28"/>
          <w:rtl w:val="true"/>
          <w:lang w:bidi="ar-SA"/>
        </w:rPr>
        <w:t xml:space="preserve">. </w:t>
      </w:r>
      <w:bookmarkStart w:id="746" w:name="pg15209_204266"/>
    </w:p>
    <w:p>
      <w:pPr>
        <w:pStyle w:val="Heading4"/>
        <w:numPr>
          <w:ilvl w:val="3"/>
          <w:numId w:val="1"/>
        </w:numPr>
        <w:rPr/>
      </w:pPr>
      <w:bookmarkStart w:id="747" w:name="__RefHeading___Toc2974821_2142443653"/>
      <w:bookmarkStart w:id="748" w:name="_Toc266"/>
      <w:bookmarkEnd w:id="746"/>
      <w:bookmarkEnd w:id="747"/>
      <w:r>
        <w:rPr>
          <w:rtl w:val="true"/>
        </w:rPr>
        <w:t>الأمر الثالث</w:t>
      </w:r>
      <w:r>
        <w:rPr>
          <w:rtl w:val="true"/>
        </w:rPr>
        <w:t xml:space="preserve">: </w:t>
      </w:r>
      <w:r>
        <w:rPr>
          <w:rtl w:val="true"/>
        </w:rPr>
        <w:t>في حرمة الاحتكار</w:t>
      </w:r>
      <w:bookmarkEnd w:id="748"/>
    </w:p>
    <w:p>
      <w:pPr>
        <w:pStyle w:val="Heading5"/>
        <w:numPr>
          <w:ilvl w:val="4"/>
          <w:numId w:val="1"/>
        </w:numPr>
        <w:rPr/>
      </w:pPr>
      <w:bookmarkStart w:id="749" w:name="__RefHeading___Toc2974823_2142443653"/>
      <w:bookmarkStart w:id="750" w:name="_Toc267"/>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الاحتكار وهو حبس الطعام لانتظار الغلاء ، يحرم في الجملة على الأقوى مع عدم باذل الكفاية ، وفاقاً للمحكيّ عن القاضي ، والحلبي في أحد قوليه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 xml:space="preserve">والكراهة خيرة جمع كثير من الفقهاء أيضاً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الحرمة صحيحة الحنّ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عملك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حنّاط ، وربّما قدمت على نفاق ، وربّما قدمت على كساد فحبست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يقول من قبلك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محتكر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 أحد غيرك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أبيع أنا من ألف جزء جزءاً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 إنّما كان ذلك رجل من قريش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 وكان إذا دخل الطعام المدينة اشتراه كلّه ، فمرّ عليه النبي صلي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بن حزام ، إيّاك أن تحتكر</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لا ينبغي الإشكال في أنّ 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تحتكر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التحذير عنه بوجه شديد ، واستشهاد الإمام عليه السلام به ، يوجب ظهور البأس في الحرمة ، إن لم يكن في نفسه ظاهراً فيه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استعمال الجملة في المستحبّات أيضاً ، لا يوجب رفع اليد عن الظاهر ؛ فإنّ الأوامر والنواهي أيضاً تستعمل كثيراً في المستحبّ والمكروه ، حتّى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استعمالها فيهما</w:t>
      </w:r>
      <w:r>
        <w:rPr>
          <w:rFonts w:eastAsia="Amiri" w:cs="Amiri" w:ascii="Amiri" w:hAnsi="Amiri"/>
          <w:color w:val="111111"/>
          <w:sz w:val="28"/>
          <w:szCs w:val="28"/>
          <w:rtl w:val="true"/>
          <w:lang w:bidi="ar-SA"/>
        </w:rPr>
        <w:t>»</w:t>
      </w:r>
      <w:r>
        <w:rPr>
          <w:rStyle w:val="FootnoteAnchor"/>
          <w:rtl w:val="true"/>
        </w:rPr>
        <w:footnoteReference w:id="1460"/>
      </w:r>
      <w:r>
        <w:rPr>
          <w:rFonts w:ascii="Amiri" w:hAnsi="Amiri" w:eastAsia="Amiri" w:cs="Amiri"/>
          <w:color w:val="111111"/>
          <w:sz w:val="28"/>
          <w:sz w:val="28"/>
          <w:szCs w:val="28"/>
          <w:rtl w:val="true"/>
          <w:lang w:bidi="ar-SA"/>
        </w:rPr>
        <w:t>ومع ذلك إذا ورد أمر أو نهي ، يكون حجّة على العبد</w:t>
      </w:r>
      <w:r>
        <w:rPr>
          <w:rStyle w:val="FootnoteAnchor"/>
          <w:rtl w:val="true"/>
        </w:rPr>
        <w:footnoteReference w:id="1461"/>
      </w:r>
      <w:r>
        <w:rPr>
          <w:rFonts w:ascii="Amiri" w:hAnsi="Amiri" w:eastAsia="Amiri" w:cs="Amiri"/>
          <w:color w:val="111111"/>
          <w:sz w:val="28"/>
          <w:sz w:val="28"/>
          <w:szCs w:val="28"/>
          <w:rtl w:val="true"/>
          <w:lang w:bidi="ar-SA"/>
        </w:rPr>
        <w:t>، أو ظاهراً في الحرمة والوجوب</w:t>
      </w:r>
      <w:r>
        <w:rPr>
          <w:rStyle w:val="FootnoteAnchor"/>
          <w:rtl w:val="true"/>
        </w:rPr>
        <w:footnoteReference w:id="1462"/>
      </w:r>
      <w:r>
        <w:rPr>
          <w:rFonts w:ascii="Amiri" w:hAnsi="Amiri" w:eastAsia="Amiri" w:cs="Amiri"/>
          <w:color w:val="111111"/>
          <w:sz w:val="28"/>
          <w:sz w:val="28"/>
          <w:szCs w:val="28"/>
          <w:rtl w:val="true"/>
          <w:lang w:bidi="ar-SA"/>
        </w:rPr>
        <w:t xml:space="preserve">، على اختلاف المسلكين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حذيفة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وثاقة محمّد بن سنان 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نفد الطعام على عهد رسول اللّه صلي الله عليه و آله وسلم ، فأتاه المسلمون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قد نفد الطعام ، ولم يبق منه شيء إلاّ عند فلان ، فمره يبيعه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 إنّ المسلمين ذكروا أنّ الطعام قد نفد إلاّ شيئاً عندك ، فأخرجه وبعه كيف شئت ، ولا تحبسه</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أمره بالإخراج ، والنهي عن الحبس ، حكم إلهي شرعي ، لا مولوي سلطاني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لم يكن مختصّاً برجل خاصّ في المدينة ، بل هو حكم كلّي ، يظهر منه عدم جواز حبس الطعام عند احتياج الناس إليه وفقده ، بل لو كان حكماً سلطانياً منه صلي الله عليه و آله وسلم ، فهو نافذ على الاُمّة إلى الأبد ، وليست أحكامه كأحكام سائر السلاطين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أحكام سائر الأئمّة عليهم السلام أيضاً كذلك ، كما ترى أنّ بعض الأئمّة عليهم السلام ، استشهد في روايات الباب وغيره</w:t>
      </w:r>
      <w:r>
        <w:rPr>
          <w:rStyle w:val="FootnoteAnchor"/>
          <w:rtl w:val="true"/>
        </w:rPr>
        <w:footnoteReference w:id="14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إحياء الموات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بأحكام رسول اللّه صلي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الحرمة ، سواء كان المنع شرعياً أو سلطانياً ، وحكمه على الأوّلين حكمه على الآخرين كالحكم الشرعي ، كما يظهر من صحيحة الحنّاط ومن كتاب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 الدالّ على حرمة الاحتكار 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فامنع من الاحتكار ؛ فإنّ رسول اللّه منع منه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قارف حُكْرة بعد نهيك إيّاه ، فنكّل به وعاقب في غير إسراف</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 أ نّه أمره بالمنع اتّكالاً على منع رسول اللّه صلي الله عليه و آله وسلم ، فإن كان منعه شرعياً فهو ، وإن كان سلطانياً يظهر من كلام الأمير عليه السلام أنّ منعه باقٍ ومتّبع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في استفادة عدم جواز الحكرة منه ، ولا سيّما مع الأمر بالعقوبة ، والتنكيل بالمحتكر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مع اشتهاره ، متنه يدلّ على صدقه ، ومناقشة بعض أهل النظر في دلالته</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لمن تقدّمه</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محلّها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دلالة مرسلة الصدوق قدّس سرّه على المطلوب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رسول اللّه صلي الله عليه و آله وسلم بالمحتكرين ، فأمر بحكرتهم أن تخرج إلى بطون الأسواق ، </w:t>
      </w:r>
    </w:p>
    <w:p>
      <w:pPr>
        <w:pStyle w:val="BookText"/>
        <w:rPr/>
      </w:pPr>
      <w:r>
        <w:rPr>
          <w:rFonts w:ascii="Amiri" w:hAnsi="Amiri" w:eastAsia="Amiri" w:cs="Amiri"/>
          <w:color w:val="111111"/>
          <w:sz w:val="28"/>
          <w:sz w:val="28"/>
          <w:szCs w:val="28"/>
          <w:rtl w:val="true"/>
          <w:lang w:bidi="ar-SA"/>
        </w:rPr>
        <w:t xml:space="preserve">وحيث ينظر الناس إليها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أو يؤيّده أيضاً ، مرسلته الاُخرى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يحتكر الطعام إلاّ خاطئ</w:t>
      </w:r>
      <w:r>
        <w:rPr>
          <w:rFonts w:eastAsia="Amiri" w:cs="Amiri" w:ascii="Amiri" w:hAnsi="Amiri"/>
          <w:color w:val="111111"/>
          <w:sz w:val="28"/>
          <w:szCs w:val="28"/>
          <w:rtl w:val="true"/>
          <w:lang w:bidi="ar-SA"/>
        </w:rPr>
        <w:t>»</w:t>
      </w:r>
      <w:r>
        <w:rPr>
          <w:rStyle w:val="FootnoteAnchor"/>
          <w:rtl w:val="true"/>
        </w:rPr>
        <w:footnoteReference w:id="1469"/>
      </w:r>
      <w:r>
        <w:rPr>
          <w:rFonts w:ascii="Amiri" w:hAnsi="Amiri" w:eastAsia="Amiri" w:cs="Amiri"/>
          <w:color w:val="111111"/>
          <w:sz w:val="28"/>
          <w:sz w:val="28"/>
          <w:szCs w:val="28"/>
          <w:rtl w:val="true"/>
          <w:lang w:bidi="ar-SA"/>
        </w:rPr>
        <w:t>، ورواها الشيخ قدّس سرّه بسند جيّد</w:t>
      </w:r>
      <w:r>
        <w:rPr>
          <w:rStyle w:val="FootnoteAnchor"/>
          <w:rtl w:val="true"/>
        </w:rPr>
        <w:footnoteReference w:id="1470"/>
      </w:r>
      <w:r>
        <w:rPr>
          <w:rFonts w:ascii="Amiri" w:hAnsi="Amiri" w:eastAsia="Amiri" w:cs="Amiri"/>
          <w:color w:val="111111"/>
          <w:sz w:val="28"/>
          <w:sz w:val="28"/>
          <w:szCs w:val="28"/>
          <w:rtl w:val="true"/>
          <w:lang w:bidi="ar-SA"/>
        </w:rPr>
        <w:t xml:space="preserve">، بداهة أ نّه لا يقال لفاعل المكروه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خاطئ</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ومرسلته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أمير المؤمنين عليه السلام عن الحكرة في الأمصار</w:t>
      </w:r>
      <w:r>
        <w:rPr>
          <w:rStyle w:val="FootnoteAnchor"/>
          <w:rtl w:val="true"/>
        </w:rPr>
        <w:footnoteReference w:id="1471"/>
      </w:r>
      <w:r>
        <w:rPr>
          <w:rFonts w:ascii="Amiri" w:hAnsi="Amiri" w:eastAsia="Amiri" w:cs="Amiri"/>
          <w:color w:val="111111"/>
          <w:sz w:val="28"/>
          <w:sz w:val="28"/>
          <w:szCs w:val="28"/>
          <w:rtl w:val="true"/>
          <w:lang w:bidi="ar-SA"/>
        </w:rPr>
        <w:t xml:space="preserve">ولو كان الحكم منه سلطانياً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كأحكام رسول اللّه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متّبعاً إلى الأبد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ومرسلته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الجالب مرزوق ، والمحتكر ملعون</w:t>
      </w:r>
      <w:r>
        <w:rPr>
          <w:rFonts w:eastAsia="Amiri" w:cs="Amiri" w:ascii="Amiri" w:hAnsi="Amiri"/>
          <w:color w:val="111111"/>
          <w:sz w:val="28"/>
          <w:szCs w:val="28"/>
          <w:rtl w:val="true"/>
          <w:lang w:bidi="ar-SA"/>
        </w:rPr>
        <w:t>»</w:t>
      </w:r>
      <w:r>
        <w:rPr>
          <w:rStyle w:val="FootnoteAnchor"/>
          <w:rtl w:val="true"/>
        </w:rPr>
        <w:footnoteReference w:id="1472"/>
      </w:r>
      <w:r>
        <w:rPr>
          <w:rFonts w:ascii="Amiri" w:hAnsi="Amiri" w:eastAsia="Amiri" w:cs="Amiri"/>
          <w:color w:val="111111"/>
          <w:sz w:val="28"/>
          <w:sz w:val="28"/>
          <w:szCs w:val="28"/>
          <w:rtl w:val="true"/>
          <w:lang w:bidi="ar-SA"/>
        </w:rPr>
        <w:t xml:space="preserve">ورواها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مسندة</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رواية ورّام بن أبي فراس في كتابه ، عن النبي صلي الله عليه و آله وسلم ، عن جبرئيل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اطّلعت في النار ، فرأيت وادياً في جهنّم يغلي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لمن هذا؟ </w:t>
      </w:r>
    </w:p>
    <w:p>
      <w:pPr>
        <w:pStyle w:val="BookText"/>
        <w:rPr/>
      </w:pPr>
      <w:r>
        <w:rPr>
          <w:rFonts w:ascii="Amiri" w:hAnsi="Amiri" w:eastAsia="Amiri" w:cs="Amiri"/>
          <w:color w:val="111111"/>
          <w:sz w:val="28"/>
          <w:sz w:val="28"/>
          <w:szCs w:val="28"/>
          <w:rtl w:val="true"/>
          <w:lang w:bidi="ar-SA"/>
        </w:rPr>
        <w:t xml:space="preserve">فقال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المحتكرين ، والمدمنين الخمر ، والقوّادين</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ورّام جدّ السيّد رضيالدين بن طاووس لاُمّه ، وكان يثني عليه ثناءً زائداً ، ويعتمد كتابه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الروايات ، كرواية السكوني ، عن الصادق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طائفة من بني إسرائيل ليلاً عذاب ، وأصبحوا وقد فقدوا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الطبّالين ، والمغنّين ، والمحتكرين للطعام ، والصيارفة أكلة الربا منهم</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المحتكر آثم وعاصٍ</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نهى عن الاحتكار</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حبس طعاماً يتربّص به الغلاء أربعين يوماً ، فقد برأ من اللّه ، وبرأ منه</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الاحتكار شيمة الفجّار</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إشكال في ظهور تلك الروايات المتظافرة في الحرمة ، وما في بعض الروايات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المراد منه الكراهة المصطلحة بعد عصرهم عليهم السلام ، بل في نفس الرواية شاهد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الحكرة أن يشتري طعاماً ليس في المصر غيره فيحتكره ، فإن كان في المصر طعام أو متاع غيره ، أو كان كثيراً يجد الناس ما يشترون ، فلا بأس به ، وإن لم يوجد فإنّه يكره أن يحتكر ، وإنّما النهي من رسول اللّه صلي الله عليه و آله وسلم عن الحكرة ؛ أنّ رجلاً من قريش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 كان إذا دخل على المدينة بطعام اشتراه كلّه ، فمرّ عليه النبي صلي الله عليه و آله وسلم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 إيّاك أن تحتكر</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الظاهر أنّ الكراهة هي الحرمة بعد نهي رسول اللّه صلي الله عليه و آله وسلم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تحتكر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التحريم بوجه أكيد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يظهر الكلام في صحيحة الحلبي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يحتكر الطعام ، ويتربّص به ، هل يصلح ذلك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الطعام كثيراً يسع الناس فلا بأس به ، وإن كان الطعام قليلاً </w:t>
      </w:r>
      <w:bookmarkStart w:id="751" w:name="pg15209_204273"/>
    </w:p>
    <w:p>
      <w:pPr>
        <w:pStyle w:val="BookText"/>
        <w:rPr/>
      </w:pPr>
      <w:bookmarkEnd w:id="751"/>
      <w:r>
        <w:rPr>
          <w:rFonts w:ascii="Amiri" w:hAnsi="Amiri" w:eastAsia="Amiri" w:cs="Amiri"/>
          <w:color w:val="111111"/>
          <w:sz w:val="28"/>
          <w:sz w:val="28"/>
          <w:szCs w:val="28"/>
          <w:rtl w:val="true"/>
          <w:lang w:bidi="ar-SA"/>
        </w:rPr>
        <w:t>لا يسع الناس ، فإنّه يكره أن يحتكر الطعام ، ويترك الناس ليس لهم طعام</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جوازه ، والمفهوم منه عدمه عند عدم الشرط ، فيكون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 من البعيد جدّاً من مذاق الشرع ، أن يكون الاحتكار الموجب لترك الناس ليس لهم طعام ، جائزاً مرجوحاً </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2974825_2142443653"/>
      <w:bookmarkStart w:id="753" w:name="_Toc268"/>
      <w:bookmarkEnd w:id="752"/>
      <w:r>
        <w:rPr>
          <w:rtl w:val="true"/>
        </w:rPr>
        <w:t>مناقشة التحديد الوارد في موثّقة السكوني</w:t>
      </w:r>
      <w:bookmarkEnd w:id="753"/>
    </w:p>
    <w:p>
      <w:pPr>
        <w:pStyle w:val="BookText"/>
        <w:rPr/>
      </w:pPr>
      <w:r>
        <w:rPr>
          <w:rFonts w:ascii="Amiri" w:hAnsi="Amiri" w:eastAsia="Amiri" w:cs="Amiri"/>
          <w:color w:val="111111"/>
          <w:sz w:val="28"/>
          <w:sz w:val="28"/>
          <w:szCs w:val="28"/>
          <w:rtl w:val="true"/>
          <w:lang w:bidi="ar-SA"/>
        </w:rPr>
        <w:t xml:space="preserve">بقي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السكوني</w:t>
      </w:r>
      <w:r>
        <w:rPr>
          <w:rStyle w:val="FootnoteAnchor"/>
          <w:rtl w:val="true"/>
        </w:rPr>
        <w:footnoteReference w:id="1483"/>
      </w:r>
      <w:r>
        <w:rPr>
          <w:rFonts w:ascii="Amiri" w:hAnsi="Amiri" w:eastAsia="Amiri" w:cs="Amiri"/>
          <w:color w:val="111111"/>
          <w:sz w:val="28"/>
          <w:sz w:val="28"/>
          <w:szCs w:val="28"/>
          <w:rtl w:val="true"/>
          <w:lang w:bidi="ar-SA"/>
        </w:rPr>
        <w:t xml:space="preserve">،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الحكرة في الخصب أربعون يوماً ، وفي الشدّة والبلاء ثلاثة أيّام ، فما زاد على الأربعين يوماً في الخصب فصاحبه ملعون ، وما زاد على ثلاثة أيّام في العسرة فصاحبه ملعون</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الممكن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حاكمة على الروايات الناهية والمانعة ، فتدلّ على عدم كراهة الحكرة قبل الأربعين في الخصب ، وعدم حرمتها قبل الثلاثة في الشدّة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يمكن استفادة كراهتها حتّى حال الشدّة والبلاء ؛ فإنّ الزائد على الأربعين في الخصب مكروه ، ومع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فصاحبه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قرينة على أنّ في الزائد على الثلاثة ، صاحبه ملعون بهذا المعنى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تنافيها صحيحة الحلبي ،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الحكرة أن تشتري طعاماً وليس في المصر غيره فتحتكره </w:t>
      </w:r>
      <w:r>
        <w:rPr>
          <w:rFonts w:eastAsia="Amiri" w:cs="Amiri" w:ascii="Amiri" w:hAnsi="Amiri"/>
          <w:color w:val="111111"/>
          <w:sz w:val="28"/>
          <w:szCs w:val="28"/>
          <w:rtl w:val="true"/>
          <w:lang w:bidi="ar-SA"/>
        </w:rPr>
        <w:t>. . .»</w:t>
      </w:r>
      <w:r>
        <w:rPr>
          <w:rStyle w:val="FootnoteAnchor"/>
          <w:rtl w:val="true"/>
        </w:rPr>
        <w:footnoteReference w:id="1485"/>
      </w:r>
      <w:r>
        <w:rPr>
          <w:rFonts w:ascii="Amiri" w:hAnsi="Amiri" w:eastAsia="Amiri" w:cs="Amiri"/>
          <w:color w:val="111111"/>
          <w:sz w:val="28"/>
          <w:sz w:val="28"/>
          <w:szCs w:val="28"/>
          <w:rtl w:val="true"/>
          <w:lang w:bidi="ar-SA"/>
        </w:rPr>
        <w:t xml:space="preserve">إلى آخرها ، وما في هذه الصحيحة موافق للاعتبار ، ومناسب للحكم والموضوع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رضا الشارع ببقاء الناس في الشدّة والبلاء ثلاثة أيّام ، بعيد جدّاً ، فلا بدّ من حمل الموثّقة على الغالب ؛ أي سعة الناس نوعاً في قوتهم إلى ثلاثة أيّام حتّى في الشدّة ، وعدم سعتهم حتّى في الرخاء والخصب بعد الأربعين ، ولا سيّما في تلك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عدم قرينية ما ذكر على الكراهة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فالميزان في حرمة الحكرة هو احتياج الناس ، وعدم الباذل ، كما يظهر من صحيحة الحلبي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الحمل على الكراهة في الشدّة بالتقريب المذكور ، ليس بأولى من العكس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في الزائد على الثلاثة في الشدّة ، قرينة على أ نّه في الخصب أيضاً يحرم الاحتكار زائداً على الأربعين ، مع أنّ التفكيك بين الجمل في رواية واحدة ليس بعزيز ، فلو دلّ دليل على عدم الحرمة في الخصب مطلقاً ، رفعت اليد عن الظهور بالنسبة إليه ، لا بالنسبة إلى قرينه </w:t>
      </w:r>
      <w:r>
        <w:rPr>
          <w:rFonts w:eastAsia="Amiri" w:cs="Amiri" w:ascii="Amiri" w:hAnsi="Amiri"/>
          <w:color w:val="111111"/>
          <w:sz w:val="28"/>
          <w:szCs w:val="28"/>
          <w:rtl w:val="true"/>
          <w:lang w:bidi="ar-SA"/>
        </w:rPr>
        <w:t xml:space="preserve">. </w:t>
      </w:r>
      <w:bookmarkStart w:id="754" w:name="pg15209_204275"/>
    </w:p>
    <w:p>
      <w:pPr>
        <w:pStyle w:val="BookText"/>
        <w:rPr/>
      </w:pPr>
      <w:bookmarkEnd w:id="754"/>
      <w:r>
        <w:rPr>
          <w:rFonts w:ascii="Amiri" w:hAnsi="Amiri" w:eastAsia="Amiri" w:cs="Amiri"/>
          <w:color w:val="111111"/>
          <w:sz w:val="28"/>
          <w:sz w:val="28"/>
          <w:szCs w:val="28"/>
          <w:rtl w:val="true"/>
          <w:lang w:bidi="ar-SA"/>
        </w:rPr>
        <w:t>ولو حصل الإجمال لعدم الترجيح ، يرجع إلى سائر الروايات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على الحرمة</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حرمة الاحتكار حال ضرورة الناس ، وحال الشدّة والبلاء </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2974827_2142443653"/>
      <w:bookmarkStart w:id="756" w:name="_Toc269"/>
      <w:bookmarkEnd w:id="755"/>
      <w:r>
        <w:rPr>
          <w:rtl w:val="true"/>
        </w:rPr>
        <w:t>بيان الأطعمة التي يحرم احتكارها</w:t>
      </w:r>
      <w:bookmarkEnd w:id="756"/>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رواية غياث بن إبراهيم الصحيحة أو الموثّقة</w:t>
      </w:r>
      <w:r>
        <w:rPr>
          <w:rStyle w:val="FootnoteAnchor"/>
          <w:rtl w:val="true"/>
        </w:rPr>
        <w:footnoteReference w:id="1487"/>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عدم الحكرة إلاّ في الغلاّت الأربع والسمن، ومقتضى رواية السكوني</w:t>
      </w:r>
      <w:r>
        <w:rPr>
          <w:rStyle w:val="FootnoteAnchor"/>
          <w:rtl w:val="true"/>
        </w:rPr>
        <w:footnoteReference w:id="1489"/>
      </w:r>
      <w:bookmarkStart w:id="757" w:name="pg15209_204276"/>
    </w:p>
    <w:p>
      <w:pPr>
        <w:pStyle w:val="BookText"/>
        <w:rPr/>
      </w:pPr>
      <w:bookmarkEnd w:id="757"/>
      <w:r>
        <w:rPr>
          <w:rFonts w:ascii="Amiri" w:hAnsi="Amiri" w:eastAsia="Amiri" w:cs="Amiri"/>
          <w:color w:val="111111"/>
          <w:sz w:val="28"/>
          <w:sz w:val="28"/>
          <w:szCs w:val="28"/>
          <w:rtl w:val="true"/>
          <w:lang w:bidi="ar-SA"/>
        </w:rPr>
        <w:t>وصحيحة الحلبي</w:t>
      </w:r>
      <w:r>
        <w:rPr>
          <w:rStyle w:val="FootnoteAnchor"/>
          <w:rtl w:val="true"/>
        </w:rPr>
        <w:footnoteReference w:id="1490"/>
      </w:r>
      <w:r>
        <w:rPr>
          <w:rFonts w:ascii="Amiri" w:hAnsi="Amiri" w:eastAsia="Amiri" w:cs="Amiri"/>
          <w:color w:val="111111"/>
          <w:sz w:val="28"/>
          <w:sz w:val="28"/>
          <w:szCs w:val="28"/>
          <w:rtl w:val="true"/>
          <w:lang w:bidi="ar-SA"/>
        </w:rPr>
        <w:t>إلحاق الزيت بها ، وقد ادّعي الإجماع</w:t>
      </w:r>
      <w:r>
        <w:rPr>
          <w:rStyle w:val="FootnoteAnchor"/>
          <w:rtl w:val="true"/>
        </w:rPr>
        <w:footnoteReference w:id="1491"/>
      </w:r>
      <w:r>
        <w:rPr>
          <w:rFonts w:ascii="IRNazanin" w:hAnsi="IRNazanin" w:eastAsia="IRNazanin"/>
          <w:color w:val="111111"/>
          <w:sz w:val="28"/>
          <w:sz w:val="28"/>
          <w:szCs w:val="28"/>
          <w:rtl w:val="true"/>
          <w:lang w:bidi="fa-IR"/>
        </w:rPr>
        <w:t>وعدم الخلاف</w:t>
      </w:r>
      <w:r>
        <w:rPr>
          <w:rStyle w:val="FootnoteAnchor"/>
          <w:rtl w:val="true"/>
        </w:rPr>
        <w:footnoteReference w:id="1492"/>
      </w:r>
      <w:r>
        <w:rPr>
          <w:rFonts w:ascii="Amiri" w:hAnsi="Amiri" w:eastAsia="Amiri" w:cs="Amiri"/>
          <w:color w:val="111111"/>
          <w:sz w:val="28"/>
          <w:sz w:val="28"/>
          <w:szCs w:val="28"/>
          <w:rtl w:val="true"/>
          <w:lang w:bidi="ar-SA"/>
        </w:rPr>
        <w:t xml:space="preserve">فيما عدا الزيت ، وأمّا هذا فقد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إلحاقه بها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عليه الفتوى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نّه لا بأس به</w:t>
      </w:r>
      <w:r>
        <w:rPr>
          <w:rStyle w:val="FootnoteAnchor"/>
          <w:rtl w:val="true"/>
        </w:rPr>
        <w:footnoteReference w:id="1493"/>
      </w:r>
      <w:r>
        <w:rPr>
          <w:rFonts w:ascii="Amiri" w:hAnsi="Amiri" w:eastAsia="Amiri" w:cs="Amiri"/>
          <w:color w:val="111111"/>
          <w:sz w:val="28"/>
          <w:sz w:val="28"/>
          <w:szCs w:val="28"/>
          <w:rtl w:val="true"/>
          <w:lang w:bidi="ar-SA"/>
        </w:rPr>
        <w:t xml:space="preserve">، وهو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إلحاق الملح فلا دليل عليه ، وإن حكي</w:t>
      </w:r>
      <w:r>
        <w:rPr>
          <w:rStyle w:val="FootnoteAnchor"/>
          <w:rtl w:val="true"/>
        </w:rPr>
        <w:footnoteReference w:id="1494"/>
      </w:r>
      <w:r>
        <w:rPr>
          <w:rFonts w:ascii="IRNazanin" w:hAnsi="IRNazanin" w:eastAsia="IRNazanin"/>
          <w:color w:val="111111"/>
          <w:sz w:val="28"/>
          <w:sz w:val="28"/>
          <w:szCs w:val="28"/>
          <w:rtl w:val="true"/>
          <w:lang w:bidi="fa-IR"/>
        </w:rPr>
        <w:t>القول به عن جمع من الأصحاب</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2974829_2142443653"/>
      <w:bookmarkStart w:id="759" w:name="_Toc270"/>
      <w:bookmarkEnd w:id="758"/>
      <w:r>
        <w:rPr>
          <w:rtl w:val="true"/>
        </w:rPr>
        <w:t>تحريم احتكار الطعام وإن لم يملكه بالاشتراء</w:t>
      </w:r>
      <w:bookmarkEnd w:id="759"/>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أكثر الروايات</w:t>
      </w:r>
      <w:r>
        <w:rPr>
          <w:rStyle w:val="FootnoteAnchor"/>
          <w:rtl w:val="true"/>
        </w:rPr>
        <w:footnoteReference w:id="1496"/>
      </w:r>
      <w:r>
        <w:rPr>
          <w:rFonts w:ascii="Amiri" w:hAnsi="Amiri" w:eastAsia="Amiri" w:cs="Amiri"/>
          <w:color w:val="111111"/>
          <w:sz w:val="28"/>
          <w:sz w:val="28"/>
          <w:szCs w:val="28"/>
          <w:rtl w:val="true"/>
          <w:lang w:bidi="ar-SA"/>
        </w:rPr>
        <w:t xml:space="preserve">، حرمة الاحتكار ، سواء حصل له الطعام بالاشتراء ، أو بغيره من الزرع ، والاستيهاب ، والإرث وغيرها </w:t>
      </w:r>
      <w:r>
        <w:rPr>
          <w:rFonts w:eastAsia="Amiri" w:cs="Amiri" w:ascii="Amiri" w:hAnsi="Amiri"/>
          <w:color w:val="111111"/>
          <w:sz w:val="28"/>
          <w:szCs w:val="28"/>
          <w:rtl w:val="true"/>
          <w:lang w:bidi="ar-SA"/>
        </w:rPr>
        <w:t xml:space="preserve">. </w:t>
      </w:r>
      <w:bookmarkStart w:id="760" w:name="pg15209_204277"/>
    </w:p>
    <w:p>
      <w:pPr>
        <w:pStyle w:val="BookText"/>
        <w:rPr/>
      </w:pPr>
      <w:bookmarkEnd w:id="760"/>
      <w:r>
        <w:rPr>
          <w:rFonts w:ascii="Amiri" w:hAnsi="Amiri" w:eastAsia="Amiri" w:cs="Amiri"/>
          <w:color w:val="111111"/>
          <w:sz w:val="28"/>
          <w:sz w:val="28"/>
          <w:szCs w:val="28"/>
          <w:rtl w:val="true"/>
          <w:lang w:bidi="ar-SA"/>
        </w:rPr>
        <w:t xml:space="preserve">وما في صحيحة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الحكرة أن تشتري طعاماً</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 xml:space="preserve">لا يدلّ على الحصر ، للإشكال في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ولو سلّمت فإنّما سيق الكلام فيها في مقابل وجود الطعام ، لا في مقابل عدم الاشتراء ، كما هو ظاهر المقابلة فيها ، فلو كان المراد الحصر في الاشتراء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بغير اشتراء أو في المصر طعام ، فلا بأس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من الواضح أنّ النهي عن الاحتكار ، إنّما هو لأجل رفع الشدّة والحاجة عن الناس في طعامهم ، ولا دخالة لخصوصية الاشتراء فيه ، كما أشار إليه في صحيحة الحلبي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ويترك الناس ليس لهم طعام</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الاشتراء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 ، أو القول به</w:t>
      </w:r>
      <w:r>
        <w:rPr>
          <w:rStyle w:val="FootnoteAnchor"/>
          <w:rtl w:val="true"/>
        </w:rPr>
        <w:footnoteReference w:id="1499"/>
      </w:r>
      <w:r>
        <w:rPr>
          <w:rFonts w:ascii="Amiri" w:hAnsi="Amiri" w:eastAsia="Amiri" w:cs="Amiri"/>
          <w:color w:val="111111"/>
          <w:sz w:val="28"/>
          <w:sz w:val="28"/>
          <w:szCs w:val="28"/>
          <w:rtl w:val="true"/>
          <w:lang w:bidi="ar-SA"/>
        </w:rPr>
        <w:t xml:space="preserve">، ليس بمرضيّ </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2974831_2142443653"/>
      <w:bookmarkStart w:id="762" w:name="_Toc271"/>
      <w:bookmarkEnd w:id="761"/>
      <w:r>
        <w:rPr>
          <w:rtl w:val="true"/>
        </w:rPr>
        <w:t>إجبار المحتكر على البيع عند الامتناع والتسعير عند الإجحاف</w:t>
      </w:r>
      <w:bookmarkEnd w:id="762"/>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إجباره على البيع إذا امتنع عنه ، وقد حكي الإجماع</w:t>
      </w:r>
      <w:r>
        <w:rPr>
          <w:rStyle w:val="FootnoteAnchor"/>
          <w:rtl w:val="true"/>
        </w:rPr>
        <w:footnoteReference w:id="1500"/>
      </w:r>
      <w:r>
        <w:rPr>
          <w:rFonts w:ascii="IRNazanin" w:hAnsi="IRNazanin" w:eastAsia="IRNazanin"/>
          <w:color w:val="111111"/>
          <w:sz w:val="28"/>
          <w:sz w:val="28"/>
          <w:szCs w:val="28"/>
          <w:rtl w:val="true"/>
          <w:lang w:bidi="fa-IR"/>
        </w:rPr>
        <w:t>، وعدم الخلاف</w:t>
      </w:r>
      <w:r>
        <w:rPr>
          <w:rStyle w:val="FootnoteAnchor"/>
          <w:rtl w:val="true"/>
        </w:rPr>
        <w:footnoteReference w:id="1501"/>
      </w:r>
      <w:r>
        <w:rPr>
          <w:rFonts w:ascii="Amiri" w:hAnsi="Amiri" w:eastAsia="Amiri" w:cs="Amiri"/>
          <w:color w:val="111111"/>
          <w:sz w:val="28"/>
          <w:sz w:val="28"/>
          <w:szCs w:val="28"/>
          <w:rtl w:val="true"/>
          <w:lang w:bidi="ar-SA"/>
        </w:rPr>
        <w:t>، وعدم الكلام فيه</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أمير المؤمنين عليه السلام إلى مالك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قارف حكرة بعد نهيك إيّاه فنكّل به وعاقب</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 xml:space="preserve">دالّ على العقوبة والتنكيل على ترك البيع ، فيصحّ بيعه إلزاماً وإكراهاً في مثل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التسعير فلا يجوز ابتداءً ، نعم لو أجحف اُلزم بالتنزّل ، وإلاّ ألزمه الحاكم بسعر البلد ، أو بما يراه 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دلّ على عدم التسعير ، منصرف عن مثل ذلك ؛ فإنّ عدم التسعير عليه قد ينتهي إلى بقاء الاحتكار ، كما لو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لا يتمكّن أحد من الاشتراء بها ، فلا إشكال في أنّ أمثال ذلك إلى الوالي ، والأخبار لا تشمل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المرويّ عن علي بن أبي طالب عليه السلام أ 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الحديث إلى رسول اللّه صلي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مرّ بالمحتكرين ، فأمر بحكرتهم أن تخرج إلى بطون الأسواق ، وحيث تنظر الأبصار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قوّمت عليهم ، فغضب رسول اللّه صلي الله عليه و آله وسلم ، حتّى عرف الغضب في وجهه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اُقوّم عليهم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السعر إلى اللّه ، يرفعه إذا شاء ، ويخفضه إذا شاء</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 xml:space="preserve">، أنّ مقصود القوم بتسعيره أن يسعّر دون السعر المتعارف ، فأجاب بأنّ </w:t>
      </w:r>
    </w:p>
    <w:p>
      <w:pPr>
        <w:pStyle w:val="BookText"/>
        <w:rPr/>
      </w:pPr>
      <w:r>
        <w:rPr>
          <w:rFonts w:ascii="Amiri" w:hAnsi="Amiri" w:eastAsia="Amiri" w:cs="Amiri"/>
          <w:color w:val="111111"/>
          <w:sz w:val="28"/>
          <w:sz w:val="28"/>
          <w:szCs w:val="28"/>
          <w:rtl w:val="true"/>
          <w:lang w:bidi="ar-SA"/>
        </w:rPr>
        <w:t xml:space="preserve">السعر إلى اللّه ، وما هو إلى اللّه هو السعر المتعارف ، لا ما يكون إجحافاً بالبائع أو الناس ، ولا يظهر من سائر الروايات إلاّ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للحاكم إلاّ إلزامه بالبيع ، من دون تعيين سعر على خلاف سعر السوق ، إلاّ أن يرى مصلحة ملزمة ، وليس للبائع إلاّ البيع بالسعر المتعارف ، أو القريب منه ، لا المجحف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الروايات على عدم التسعير مطلقاً </w:t>
      </w:r>
      <w:r>
        <w:rPr>
          <w:rStyle w:val="FootnoteAnchor"/>
          <w:rtl w:val="true"/>
        </w:rPr>
        <w:footnoteReference w:id="1505"/>
      </w:r>
      <w:r>
        <w:rPr>
          <w:rFonts w:ascii="Amiri" w:hAnsi="Amiri" w:eastAsia="Amiri" w:cs="Amiri"/>
          <w:color w:val="111111"/>
          <w:sz w:val="28"/>
          <w:sz w:val="28"/>
          <w:szCs w:val="28"/>
          <w:rtl w:val="true"/>
          <w:lang w:bidi="ar-SA"/>
        </w:rPr>
        <w:t xml:space="preserve">، غير مرضيّ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جرى به القلم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الفقير ، وكان الفراغ منه في صبيحة يوم الجمعة الحادي عشر من جمادى الاُولى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شاكراً لأنعم اللّه تعالى ، حامداً له ، مصلّياً على النبي الأعظم وآله الأمجاد </w:t>
      </w:r>
      <w:r>
        <w:rPr>
          <w:rFonts w:eastAsia="Amiri" w:cs="Amiri" w:ascii="Amiri" w:hAnsi="Amiri"/>
          <w:color w:val="111111"/>
          <w:sz w:val="28"/>
          <w:szCs w:val="28"/>
          <w:rtl w:val="true"/>
          <w:lang w:bidi="ar-SA"/>
        </w:rPr>
        <w:t xml:space="preserve">. </w:t>
      </w:r>
      <w:bookmarkStart w:id="763" w:name="pg15209_204280"/>
    </w:p>
    <w:p>
      <w:pPr>
        <w:pStyle w:val="Heading2"/>
        <w:numPr>
          <w:ilvl w:val="1"/>
          <w:numId w:val="1"/>
        </w:numPr>
        <w:rPr/>
      </w:pPr>
      <w:bookmarkStart w:id="764" w:name="__RefHeading___Toc2974833_2142443653"/>
      <w:bookmarkStart w:id="765" w:name="_Toc272"/>
      <w:bookmarkEnd w:id="763"/>
      <w:bookmarkEnd w:id="764"/>
      <w:r>
        <w:rPr>
          <w:rtl w:val="true"/>
        </w:rPr>
        <w:t>الفهارس العامّة</w:t>
      </w:r>
      <w:bookmarkEnd w:id="765"/>
    </w:p>
    <w:p>
      <w:pPr>
        <w:pStyle w:val="Heading3"/>
        <w:numPr>
          <w:ilvl w:val="2"/>
          <w:numId w:val="1"/>
        </w:numPr>
        <w:rPr/>
      </w:pPr>
      <w:bookmarkStart w:id="766" w:name="__RefHeading___Toc2974835_2142443653"/>
      <w:bookmarkStart w:id="767" w:name="_Toc273"/>
      <w:bookmarkEnd w:id="766"/>
      <w:r>
        <w:rPr>
          <w:rtl w:val="true"/>
        </w:rPr>
        <w:t>اشارة</w:t>
      </w:r>
      <w:bookmarkEnd w:id="7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المعصومين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8" w:name="pg15209_204282"/>
      <w:bookmarkStart w:id="769" w:name="pg15209_204282"/>
      <w:bookmarkEnd w:id="769"/>
    </w:p>
    <w:p>
      <w:pPr>
        <w:pStyle w:val="Heading3"/>
        <w:numPr>
          <w:ilvl w:val="2"/>
          <w:numId w:val="1"/>
        </w:numPr>
        <w:rPr/>
      </w:pPr>
      <w:bookmarkStart w:id="770" w:name="pg15209_204282"/>
      <w:bookmarkStart w:id="771" w:name="__RefHeading___Toc2974837_2142443653"/>
      <w:bookmarkStart w:id="772" w:name="_Toc274"/>
      <w:bookmarkEnd w:id="770"/>
      <w:bookmarkEnd w:id="771"/>
      <w:r>
        <w:rPr/>
        <w:t>1</w:t>
      </w:r>
      <w:r>
        <w:rPr>
          <w:rtl w:val="true"/>
        </w:rPr>
        <w:t xml:space="preserve"> - </w:t>
      </w:r>
      <w:r>
        <w:rPr>
          <w:rtl w:val="true"/>
        </w:rPr>
        <w:t>فهرس الآيات الكريمة</w:t>
      </w:r>
      <w:bookmarkEnd w:id="772"/>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 لَكُمْ مَا فِى الْأَرْضِ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w:t>
      </w:r>
    </w:p>
    <w:p>
      <w:pPr>
        <w:pStyle w:val="BookText"/>
        <w:rPr/>
      </w:pP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 لُونَكَ عَنِ الْأَنْفَالِ قُلِ الْأَنْفَالُ للّهِ وَالرَّسُولِ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وَأَصْلِحُوا ذَاتَ بَيْنِكُمْ وَأَطِيعُوا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 نَّمَا غَنِمْتُمْ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 نَّمَا غَنِمْتُمْ مِنْ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 نَّمَا غَنِمْتُمْ مِنْ شَىْ‌ءٍ فَأَنَّ للّه‌ِ خُمُسَهُ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 اللّه‌َ هُوَ يَقْبَلُ التَّوْبَةَ عَنْ عِبَادِهِ</w:t>
      </w:r>
    </w:p>
    <w:p>
      <w:pPr>
        <w:pStyle w:val="BookText"/>
        <w:rPr/>
      </w:pPr>
      <w:r>
        <w:rPr>
          <w:rFonts w:ascii="Amiri" w:hAnsi="Amiri" w:eastAsia="Amiri" w:cs="Amiri"/>
          <w:color w:val="111111"/>
          <w:sz w:val="28"/>
          <w:sz w:val="28"/>
          <w:szCs w:val="28"/>
          <w:rtl w:val="true"/>
          <w:lang w:bidi="ar-SA"/>
        </w:rPr>
        <w:t>وَيَأخُذُ الصَّدَقَاتِ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 فِى الدِّينِ وَلِيُنْذِرُوا قَوْمَهُمْ إِذَا رَجَعُوا إِلَيْهِمْ لَعَلَّهُمْ يَحْذَرُونَ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 نشَأَكُمْ مِنَ الْأَرْضِ وَاسْتَعْمَرَكُمْ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فِى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يُغْنِى مِنَ الْحَقِّ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 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وَلَهُ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bookmarkStart w:id="773" w:name="pg15209_204286"/>
    </w:p>
    <w:p>
      <w:pPr>
        <w:pStyle w:val="Heading3"/>
        <w:numPr>
          <w:ilvl w:val="2"/>
          <w:numId w:val="1"/>
        </w:numPr>
        <w:rPr/>
      </w:pPr>
      <w:bookmarkStart w:id="774" w:name="__RefHeading___Toc2974839_2142443653"/>
      <w:bookmarkStart w:id="775" w:name="_Toc275"/>
      <w:bookmarkEnd w:id="773"/>
      <w:bookmarkEnd w:id="774"/>
      <w:r>
        <w:rPr/>
        <w:t>2</w:t>
      </w:r>
      <w:r>
        <w:rPr>
          <w:rtl w:val="true"/>
        </w:rPr>
        <w:t xml:space="preserve"> - </w:t>
      </w:r>
      <w:r>
        <w:rPr>
          <w:rtl w:val="true"/>
        </w:rPr>
        <w:t>فهرس الأحاديث الشريفة</w:t>
      </w:r>
      <w:bookmarkEnd w:id="775"/>
    </w:p>
    <w:p>
      <w:pPr>
        <w:pStyle w:val="BookText"/>
        <w:rPr/>
      </w:pPr>
      <w:r>
        <w:rPr>
          <w:rFonts w:ascii="Amiri" w:hAnsi="Amiri" w:eastAsia="Amiri" w:cs="Amiri"/>
          <w:color w:val="111111"/>
          <w:sz w:val="28"/>
          <w:sz w:val="28"/>
          <w:szCs w:val="28"/>
          <w:rtl w:val="true"/>
          <w:lang w:bidi="ar-SA"/>
        </w:rPr>
        <w:t>الاحتكار شيمة الفجّار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أحلت يا أبا محمّد ، أما علمت أنّ الدنيا والآخرة للإمام ؛ يضعها حيث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اُخرج شيء من السمك ، فيباع وما في الأجمة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ادفعها إلى من اُوقفت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إذا ائتمنك فلا بأس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إذا علمت من ذلك شيئاً واحداً قد أدرك ، فاشتره وتقبّل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إذا غزا قوم بغير إذن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إذا غزا قوم بغير إذن الإمام فغنموا ، كانت الغنيمة كلّها للإمام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إذا غزوا بأمر الإمام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إذا غزوا بأمر الإمام فغنموا كان للإمام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إذا كان الوقف على إمام المسلمين ، فلا يجوز 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إذا كان الوقف على قوم بأعيانهم وأعقابهم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إذا كان الوقف على قوم بأعيانهم وأعقابهم ، فاجتمع أهل الوقف على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إذا كانت أجمة ليس فيها قصب ، اُخرج شيء من السمك ، فيباع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إذا كان ذلك عن تراضٍ منكم فلا بأس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مع ذلك شيء حاضر جاز بيعه ، يقع البيع على الحاضر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لم يعلم وزن الباسنة والجوالق فلا بأس إذا تراضيا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أرى أن تقوّم الجارية قيمة عادلة ، فإن كان قيمتها أكثر ممّا بعثت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أسنان معلومة وأسنان معدودة إلى أجل مسمّى ، لا بأس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اشتر منّي هذا اللبن الذي في الاُسكرّجة وما في ضروعها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الأشياء كلّها على هذا ، حتّى يستبين لك غير ذلك ، أو تقوم به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اطّلعت في النار ، فرأيت وادياً في جهنّم يغلي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 لمن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أعلِم فلاناً أ نّي آمره ببيع حقّي من الضيعة ، وإيصال ثمن ذلك 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إلاّ من كانت له 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اللهمّ إنّا قد أحللنا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اللهمّ إنّا قد أحللنا ذلك لشيعتنا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أليس في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أن يعطى الذي اُوصي له من الغلّة ثلاثمائة درهم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إلى غير وقت جهل 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أمّا أن تأتي رجلاً في طعام قد كيل ووزن تشتري منه مرابحة ، فلا بأس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إمّا أن يأخذ كلّه بتصديقه ، وإمّا أن يكيله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أمّا وجه الإمارة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 نَّمَا غَنِمْتُمْ مِنْ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إنّ أرض السواد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أنّ الدنيا وما عليها لرسول اللّه صلي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أنّ الراهن والمرتهن ممنوعان من 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إنّ القائم بعد صاحبه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إنّ اللّه جعل لنا أهل البيت سهاماً ثلاثة في جميع الفيء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إنّ الناس ليتقلّبون في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أنّ الوقف إذا كان غير موقّت فهو باطل مردود على الورثة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حد التلقّي روحة ، فإذا صار إلى أربع فراسخ ، فهو جلب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ذلك رأيي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إنّ رسول اللّه صلي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بيعاً إلى أجل لا يعرف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إن شاء جعله شراء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إن قاتلوا عليها مع أمير أمّره الإمام عليهم ، أخرج منها الخمس للّه وللرسول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إن كان الطعام كثيراً يسع الناس فلا بأس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إن كان يزيد وينقص فلا بأس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إن كان يزيد وينقص فلا بأس ، وإن كان يزيد ولا ينقص فلا تقربه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إن كان يعرف صاحبها فليؤدّ إليه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أنّ كلّ وقف إلى وقت معلوم فهو واجب على الورثة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إن لم يكن في الضرع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إنّما أرض الخراج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إنّما الحكرة أن تشتري طعاماً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إنّما الحكرة أن تشتري طعاماً وليس في المصر غيره فتحتكره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إنّما السعر إلى اللّه ، يرفعه إذا شاء ، ويخفضه إذا 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إن مات كانت الثلاثمائة درهم لورثته ، يتوارثونها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أنّ ما لرسول اللّه صلي الله عليه و آله وسلم فهو للأئمّة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إنّها فيء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أنّه ربّما جاء في الاختلاف تلف الأموال والنفوس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أنّه ربّما جاء في الاختلاف تلف النفوس والأموال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إنّه كره أن يشتري الثوب بدينار غير 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أ نّه لم يعصِ اللّه ، إنّما عصى سيّده ، فإذا أجازه فهو له 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إنّه مرّ بالمحتكرين ، فأمر بحكرتهم أن تخرج إلى بطون الأسواق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نّه نهى عن الغرر</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نّه نهى عن المجر وعن الملاقيح والمضامين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أ نّي آمره ببيع حقّي من الضيعة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أن يترك المال ولا يباع منه شيء ، ولا يوهب ، ولا يورث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أوَما لنا من الأرض وما أخرج اللّه منها إلاّ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إيّاك أن تحتكر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أيّما قوم أحيوا شيئاً من الأرض أو عمروها ، فهم أحقّ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أيّما قوم أحيوا شيئاً من الأرض وعمروها ، فهم أحقّ بها ، وهي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بحسب ما يوقفها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بسم اللّه الرحمن الرحيم ، هذا ما تصدّق به فلان بن فلان وهو حيّ 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البيّنة على المدّعي ، واليمين على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تردّ إلى ما يخرج من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تصدّق أمير المؤمنين عليه السلام بدار له في المدينة في بني زريق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تصدّق موسى بن جعفر عليه السلام بصدقته هذه وهو حيّ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تفقّهوا في الدين ؛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لم يتفقّه منكم في الدين فهو أعرابي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ثمّ هي لكم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جائز للذي اُوصي له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الجالب مرزوق ، والمحتكر ملعون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الحكرة في الخصب أربعون يوماً ، وفي الشدّة والبلاء 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خطبنا أمير المؤمنين عليه السلام على المنبر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ذروا المسلمين يرزق اللّه بعضهم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جائز إذا علما جميعاً ما باعاه واشترياه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الراهن ممنوع من 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الراهن والمرهون ممنوعان من التصرّف في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رفع إلى أمير المؤمنين عليه السلام رجل مسلم ، اشترى أرضاً من أراضي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سَريّ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سمّيت فيها كيلاً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صدقة لا تباع ولا توهب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تباع ، ولا توهب ، ولا تورث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رجعة فيها ولا 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صدقة واجبة بتلة ، حيّاً أنا أو 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عادي الأرض للّه ولرسوله ، ثمّ هي منّي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العشرة آلاف التي بقيت هي للمشتري ، والعشرون التي احترقت من مال البائع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فاجتمع أهل الوقف على 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فإذا شاء وليّ الأمر أن يأخذها أخذها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فإذا ظهر القائم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فاسد ؛ فلعلّ الدينار يصير بدرهم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فامنع من الاحتكار ؛ فإنّ رسول اللّه منع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فإن أراد أن يبيع نصيباً من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فإنّ الأرض للّه ولمن عمرها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فإن كانت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قبله ، فغاب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فإن وجد آل أبي طالب قد ذهب كبراؤهم وذووا آرائهم ، فإنّه يجعله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منكم جاريتكم فلانة وهذا المتاع بكذا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للّه خمس الغنائم ، والخمس يخرج من أربعة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إنّ المسلمين ذكروا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ascii="IRNazanin" w:hAnsi="IRNazanin" w:eastAsia="IRNazanin"/>
          <w:color w:val="111111"/>
          <w:sz w:val="28"/>
          <w:sz w:val="28"/>
          <w:szCs w:val="28"/>
          <w:rtl w:val="true"/>
          <w:lang w:bidi="fa-IR"/>
        </w:rPr>
        <w:t>فصاحبه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فما يقول من قبلك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فمن أحيا أرضاً من المسلمين فليعمرها ، ويؤدّ خراجها إلى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فمن باعها أو وهبها فعليه لعنة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فمن قارف حكرة بعد نهيك إيّاه فنكّل به وعاقب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فنحن أصحاب الخمس والفيء ، وقد حرّمناه على جميع الناس ما خلا شيعتنا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فهم أحقّ بها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قال أمير المؤمنين عليه السلام لفاطمة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أحلّي نصيبك من الفيء لآباء شيعتنا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وأقطعه الدنيا قطيعة ، فما كان لآدم فلرسول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طائفة من بني إسرائيل ليلاً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 شجراً ، أو حفر وادياً بديّاً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له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قضاء من اللّه ورسوله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من المؤمنين فهي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كان يشاورني في موارد الاُمور ومصادرها ، فيصدرها عن أمري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كلّ أرض جلا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كلّ أرض خربة قد باد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كلّ أرض لا ربّ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كلّ أرض لا ربّ لها ، وكلّ أرض باد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كلّ أرض ميتة قد جلا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كلّ شيء حلال إلاّ أن يعلم أ نّه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شيء قوتل عليه على شهادة أن لا إله إلاّ اللّه ، وأنّ محمّداً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شيء يكال أو يوزن فلا يصلح مثلين بمثل ، إذا كان من جنس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كلّ قرية يهلك أهلها أو يجلون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كلّ ما كان في أيدي شيعتنا من الأرض فهم فيه محلّلون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الكمال كلّ الكمال التفقّه في الدين ، والصبر على النائبة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لا ، إلاّ أن يحلب لك منه اُسكرّجة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منّي هذا اللبن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لا بأس ، إلاّ أن يستحيي من عيب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لا بأس أن تشتريها ، فتكون إذا كان ذلك بمنزلتهم ، تؤدّي فيها كما يؤدّون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لا بأس ، إنّما كان ذلك رجل من قريش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لا بأس أن يشترى الآجام إذا كانت فيها قصب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لا بأس بالسلم في الحيوان ، إذا سمّيت الذي يسلم فيه فوصفته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لا بأس بالسلم في الحيوان والمتاع ، إذا وصفت الطول والعرض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لا بأس بالسلم في المتاع ، إذا وصفت طوله وعرضه وجنسه وكان معلوماً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لا بأس بذلك ، إن لم يكن في بطونها حمل ، كان رأس ماله في الصوف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لا بأس بها ، فتكون إذا كان ذلك بمنزلتهم ، تؤدّي عنها كما يؤدّون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لا بأس ما لم يكن كيلاً أو وزناً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لا بأس ، ولكن لا تبعه حتّى تكيله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لا بأس ، يشتري حقّه منها ، ويحوِّل حقَّ المسلمين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لا بيع إلاّ فيما تملك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لا بيع إلاّ فيما تملكه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تباع ، ولا توهب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تبع راحلة عاجلة ، بعشر ملاقيح من أولاد جمل في قابل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لا تبعه حتّى تكيله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لا تُدخِل الغلّةَ في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لا تدخل الغلّة في ملكك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لا تشترِ من أرض السواد شيئاً إلاّ من كانت له ذمّة ، فإنّما هو فيء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لا تشترِ من عقار أهل الذمّة ، ولا من أرضهم شيئاً ؛ لأ نّه فيء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لا تشتروا من أرض السواد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لا تشتروا من أرض السواد شيئاً إلاّ من كانت له ذمّة ؛ فإنّما هو فيء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لا تصلّ في وبر ما لا يؤكل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لا تلقّ ، ولا تشتر ما تلقّي ، ولا تأكل من لحم ما تلقّي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لا تلقّ ، ولا تشتر ما تلقّي ، ولا تأكل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لأ نّه لا يدري كم الدينار من الدرهم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لا يباع منه شيء ، ولا يوهب ، ولا يورث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لا يجوز بيع العبد الآبق ، ولا الدابّة الضالّة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لا يجوز شراء الوقوف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لا يحتكر الطعام إلاّ خاطئ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لا يحلّ لمؤمن يؤمن باللّه واليوم الآخر أن يبيعها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 مال امرئ مسلم إلاّ بطيبة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يشتري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من كان له 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لا يشتري من أراضي أهل السواد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لا يصلح إلاّ أن يشتري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لا يصلح إلاّ أن يشتري منهم على أن يصيّرها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لا يصلح إلاّ بكيل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لا يصلح بيعه مجازفة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لا يصلح شراء الآبقة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لا يصلح شراؤها إلاّ أن تشتري منهم معها ثوباً أو متاعاً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لا يصلح له إلاّ أن يشتري معه شيئاً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لمن هو اليوم ، ولمن يدخل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لم يزكّ له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لنا سهاماً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ليس به بأس ، وقد ظهر رسول اللّه صلي الله عليه و آله وسلم على أهل خيبر ، فخارجهم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ليس فيها قصب ، إنّما هي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ليس لقرابته أن يأخذوا من الغلّة شيئاً ، حتّى يوفّوا الموصى له ثلاثمائة 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ليس لك أن تردّها ، ولك أن تأخذ قيمة ما بين الصحّة والعيب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ليس لنفسه من ذلك قليل ولا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ليولجني به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ما تقع صدقة المؤمن في يد السائل حتّى تقع في 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ما جعل للّه فلا رجعة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ما على فطرة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ما كان للّه فهو لرسول اللّه ، وما كان لرسول اللّه فهو للإمام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كان من طعام سمّيت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ما كان من طعام سمّيت فيه كيلاً فلا يصلح بيعه مجازفة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ما لم يسبق إليه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ما لم يكن كيل أو وزن فلا تبعه حتّى تكيله أو تزنه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المحتكر آثم وعاصٍ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من اتّجر بغير علم فقد ارتطم في الربا ، ثمّ ارتطم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من أتلف مال الغير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من أحيا أرضاً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من أحيا أرضاً فهي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من أراد التجارة فليتفقّه في دينه ؛ ليعلم بذلك ما يحلّ له ممّا يحرم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من حاز شيئاً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من حبس طعاماً يتربّص به الغلاء أربعين يوماً ، فقد برأ من اللّه ، وبرأ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من حفر وادياً بديّاً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من حفر وادياً بديّاً لم يسبقه إليه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من سبق إلى ما لا يسبقه إليه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من سبق إلى ما لا يسبقه إليه مسلم ، فهو أحقّ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من كانت له 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من لم يتفقّه في دين اللّه ، لم ينظر اللّه إليه يوم القيامة ، ولم يزكّ له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من يبيع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مَوَتان الأرض للّه ورسوله ، ثمّ هي لكم منّي أيّها المسلمون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الناس مسلّطون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نعم ، إذا رضوا كلّهم وكان البيع خيراً لهم ، باعوا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نعم ، حتّى تنقطع أو شيء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نعم ، فليذقه ، ولا يذوقنّ ما لا يشتري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نِعْم ما قضت به قضاتكم ، وبئسما صنع والدك ، إنّما الصدقة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نفد الطعام على عهد رسول اللّه صلي الله عليه و آله وسلم ، فأتاه المسلمون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نهى النبي صلي الله عليه و آله وسلم عن الغرر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نهى النبي صلي الله عليه و آله وسلم عن بيع الغرر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نهى النبي صلي الله عليه و آله وسلم عن بيع ما ليس عندك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نهى رسول اللّه صلي الله عليه و آله وسلم عن سلف وبيع ، وعن بيعين في 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نهى عن بيع الصُبْرة بالصُبْرة ، ولا يدرى ما كيل هذه من كيل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نهى عن بيعين في 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وإذا غزوا بأمر الإمام </w:t>
      </w:r>
      <w:r>
        <w:rPr>
          <w:rFonts w:eastAsia="IRNazanin" w:cs="IRNazanin"/>
          <w:color w:val="111111"/>
          <w:sz w:val="28"/>
          <w:szCs w:val="28"/>
          <w:rtl w:val="true"/>
          <w:lang w:bidi="fa-IR"/>
        </w:rPr>
        <w:t xml:space="preserve">. . .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وأسكن هذه الصدقة خالاته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وأعلمه أنّ رأيي له إن كان قد علم الاختلاف ما بين أصحاب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والأرض التي اُخذت عنوة بخيل أو ركاب ، فهي موقوفة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والأرض التي اُخذت عنوة بخيل وركاب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والأرض التي اُخذت عنوة بخيل وركاب ، فهي موقوفة متروكة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وأمّا وجه العمارة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وإنّ الذي كتبت من أموالي هذه صدقة واجبة بتلة ، حيّاً أنا أو 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الناس ليتقلّبون في حرام إلى يوم القيامة بظلمنا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دار الحسن غير دار الصدقة ، فبدا له أن يبيعها ، فليبعها إن 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وإن لم يكونوا قاتلوا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وإنّه يقوم على ذلك الحسن بن علي ، يأكل منه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وأيّما قوم أحيوا شيئاً من الأرض أو عملوه ، فهم أحقّ بها ، وهي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وأهل بيتي الذين أورثنا اللّه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وسيأتي على الناس زمان يقدّم الأشرار وليسوا بأخيار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الوقوف بحسب ما يوقفها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الوقوف تكون على 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الوقوف تكون على حسب ما يوقفها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ولعلّه يكون أقوى عليها ، وأملى بخراجهم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وله رؤوس الجبال وبطون الأودية والآجام ، وكلّ أرض ميتة لا ربّ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وليس لمن قاتل شيء من الأرضين وما غلبوا عليه ، إلاّ ما احتوى العسكر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وما اُخذ بالسيف فذاك إلى الإمام عليه السلام ، يقبّله بالذي 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وما كان لنا فهو لشيعتنا ، وليس لعدوّنا منه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وما كان من الأرضين باد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وما كان من طعام سمّيت فيه كيلاً فإنّه لا يصلح مجازفة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ومن يبيع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ونهى عن بيع حبل الحبل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ونهى عن بيع ما ليس عندك ، ونهى عن بيع وسلف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ويترك الناس ليس لهم 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ويحوِّل حقَّ المسلمين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ويصنع بخراج المسلمين ماذا؟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ويؤخذ بعد ما بقي من العشر ، فيقسم بين الوالي وبين شركائه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هذا كلّه لا يجوز ؛ لأ نّه مجهول غير معروف ، يقلّ ويكثر ، وهو غرر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هذا ما أوصى به وقضى في ماله عبداللّه علي ابتغاء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هكذا هو عندي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هو لجميع المسلمين ؛ لمن هو اليوم ، ولمن يدخل في الإسلام بعد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هي أرض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هي القرى التي قد جلا أهلها وهلكوا فخربت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هي القرى التي قد خربت وانجلى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هي صدقة بتّاً بتلاً ، في حجيج بيت اللّه ، وعابري سبيله ، لا تباع ، ولا توهب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هي صدقة بتّة بتلاً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هي صدقة بتّة بتلاً في حجيج بيت اللّه وعابري سبيله ، لا تباع ، ولا توهب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يا أشباه الرجال ، ولا 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يأتي على الناس زمان عضوض ، يعضّ كلّ امرئ على ما في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يا 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إنّ لنا الخمس في كتاب اللّه ، ولنا الأنفال ، ولنا صفو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يا نجيّة ، ما على فطرة إبراهيم غيرنا وغير شيعتنا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يبيعه أحد غيرك؟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يترك المال على اُصوله ، وينفق 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يخرج منه الخمس ، ويقسم ما بقي على من قاتل عليه وولي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يخلّي سبيل أيّتهنّ شاء ، ويمسك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يردّ إليه رأس ماله ، وله ما أكل من غلّتها بما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يشارطهم ، فما أخذ بعد الشرط فهو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يصيد كفّاً من 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يصيد كفّاً من سمك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 هذا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بكذا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يضعها حيث يحبّ ، وحيث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يكره أن يشتري الثوب بدينار غير 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يمسك أربعاً ، ويطلّق ثلاثاً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يؤخذ من كلّ هذه الصنوف الخمس ، فيجعل لمن جعله اللّه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776" w:name="pg15209_204300"/>
    </w:p>
    <w:p>
      <w:pPr>
        <w:pStyle w:val="Heading3"/>
        <w:numPr>
          <w:ilvl w:val="2"/>
          <w:numId w:val="1"/>
        </w:numPr>
        <w:rPr/>
      </w:pPr>
      <w:bookmarkStart w:id="777" w:name="__RefHeading___Toc2974841_2142443653"/>
      <w:bookmarkStart w:id="778" w:name="_Toc276"/>
      <w:bookmarkEnd w:id="776"/>
      <w:bookmarkEnd w:id="777"/>
      <w:r>
        <w:rPr/>
        <w:t>3</w:t>
      </w:r>
      <w:r>
        <w:rPr>
          <w:rtl w:val="true"/>
        </w:rPr>
        <w:t xml:space="preserve"> - </w:t>
      </w:r>
      <w:r>
        <w:rPr>
          <w:rtl w:val="true"/>
        </w:rPr>
        <w:t>فهرس أسماء المعصومين</w:t>
      </w:r>
      <w:bookmarkEnd w:id="778"/>
    </w:p>
    <w:p>
      <w:pPr>
        <w:pStyle w:val="BookText"/>
        <w:rPr/>
      </w:pPr>
      <w:r>
        <w:rPr>
          <w:rFonts w:ascii="Amiri" w:hAnsi="Amiri" w:eastAsia="Amiri" w:cs="Amiri"/>
          <w:color w:val="111111"/>
          <w:sz w:val="28"/>
          <w:sz w:val="28"/>
          <w:szCs w:val="28"/>
          <w:rtl w:val="true"/>
          <w:lang w:bidi="ar-SA"/>
        </w:rPr>
        <w:t xml:space="preserve">النبي، محمّد، رسول اللّه صلي الله عليه و آله وسلم محمّد بن عبداللّه صلي الله عليه و آله وسلم ، نبي الإسلام محمّد بن عبداللّه صلي الله عليه و آله وسلم ، نبي الإسلام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أمير المؤمنين عليه السلام علي بن أبي طالب عليه السلام ، الإمام الأوّل علي بن أبي طالب عليه السلام ، الإمام الأوّل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أبو محمّد الحسن عليه السلام الحسن بن علي عليه السلام ، الإمام الثاني الحسن بن علي عليه السلام ، الإمام الثاني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الحسين بن علي عليه السلام ، الإمام الثالث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عليه السلام ، الإمام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 ، الإمام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عليه السلام محمّد بن علي عليه السلام ، الإمام الخامس محمّد بن علي عليه السلام ، الإمام الخامس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 xml:space="preserve">الصادق ، أبو عبداللّه عليه السلام جعفر بن محمّد عليه السلام ، الإمام السادس جعفر بن محمّد عليه السلام ، الإمام السادس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الكاظم، أبو إبراهيم، أبو الحسن عليه السلام موسى بن جعفر عليه السلام ، الإمام السابع</w:t>
      </w:r>
    </w:p>
    <w:p>
      <w:pPr>
        <w:pStyle w:val="BookText"/>
        <w:rPr/>
      </w:pPr>
      <w:r>
        <w:rPr>
          <w:rFonts w:ascii="Amiri" w:hAnsi="Amiri" w:eastAsia="Amiri" w:cs="Amiri"/>
          <w:color w:val="111111"/>
          <w:sz w:val="28"/>
          <w:sz w:val="28"/>
          <w:szCs w:val="28"/>
          <w:rtl w:val="true"/>
          <w:lang w:bidi="ar-SA"/>
        </w:rPr>
        <w:t xml:space="preserve">موسى بن جعفر عليه السلام ، الإمام السابع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الرضا ، أبو الحسن عليه السلام علي بن موسى عليه السلام ، الإمام الثامن علي بن موسى عليه السلام ، الإمام الثامن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أبو جعفر الثاني عليه السلام محمّد بن علي عليه السلام ، الإمام التاسع محمّد بن علي عليه السلام ، الإمام التاسع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الهادي ، أبو الحسن الثالث عليه السلام علي بن محمّد عليه السلام ، الإمام العاشر على بن محمّد عليه السلام ، الإمام العاشر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العسكري ، أبو محمّد حسن بن علي عليه السلام الحسن بن علي عليه السلام ، الإمام الحادي عشر الحسن بن علي عليه السلام ، الإمام الحادي عشر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الإمام المهدي، صاحب الزمان ، صاحب الأمر ، القائم عليه السلام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الثاني عشر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19</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النبي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779" w:name="pg15209_204302"/>
    </w:p>
    <w:p>
      <w:pPr>
        <w:pStyle w:val="Heading3"/>
        <w:numPr>
          <w:ilvl w:val="2"/>
          <w:numId w:val="1"/>
        </w:numPr>
        <w:rPr/>
      </w:pPr>
      <w:bookmarkStart w:id="780" w:name="__RefHeading___Toc2974843_2142443653"/>
      <w:bookmarkStart w:id="781" w:name="_Toc277"/>
      <w:bookmarkEnd w:id="779"/>
      <w:bookmarkEnd w:id="780"/>
      <w:r>
        <w:rPr/>
        <w:t>4</w:t>
      </w:r>
      <w:r>
        <w:rPr>
          <w:rtl w:val="true"/>
        </w:rPr>
        <w:t xml:space="preserve"> - </w:t>
      </w:r>
      <w:r>
        <w:rPr>
          <w:rtl w:val="true"/>
        </w:rPr>
        <w:t>فهرس الأعلام</w:t>
      </w:r>
      <w:bookmarkEnd w:id="781"/>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أبان أبان بن عثمان</w:t>
      </w:r>
    </w:p>
    <w:p>
      <w:pPr>
        <w:pStyle w:val="BookText"/>
        <w:rPr/>
      </w:pPr>
      <w:r>
        <w:rPr>
          <w:rFonts w:ascii="Amiri" w:hAnsi="Amiri" w:eastAsia="Amiri" w:cs="Amiri"/>
          <w:color w:val="111111"/>
          <w:sz w:val="28"/>
          <w:sz w:val="28"/>
          <w:szCs w:val="28"/>
          <w:rtl w:val="true"/>
          <w:lang w:bidi="ar-SA"/>
        </w:rPr>
        <w:t>إبراهيم الكرخي الكرخي، إبراهيم</w:t>
      </w:r>
    </w:p>
    <w:p>
      <w:pPr>
        <w:pStyle w:val="BookText"/>
        <w:rPr/>
      </w:pPr>
      <w:r>
        <w:rPr>
          <w:rFonts w:ascii="Amiri" w:hAnsi="Amiri" w:eastAsia="Amiri" w:cs="Amiri"/>
          <w:color w:val="111111"/>
          <w:sz w:val="28"/>
          <w:sz w:val="28"/>
          <w:szCs w:val="28"/>
          <w:rtl w:val="true"/>
          <w:lang w:bidi="ar-SA"/>
        </w:rPr>
        <w:t xml:space="preserve">ابن أبي جمهور، محمّد بن زين الدين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ابن أبي عمير، محمّد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ابن أبي نصر البزنطي، أحمد بن محمّد</w:t>
      </w:r>
    </w:p>
    <w:p>
      <w:pPr>
        <w:pStyle w:val="BookText"/>
        <w:rPr/>
      </w:pPr>
      <w:r>
        <w:rPr>
          <w:rFonts w:ascii="Amiri" w:hAnsi="Amiri" w:eastAsia="Amiri" w:cs="Amiri"/>
          <w:color w:val="111111"/>
          <w:sz w:val="28"/>
          <w:sz w:val="28"/>
          <w:szCs w:val="28"/>
          <w:rtl w:val="true"/>
          <w:lang w:bidi="ar-SA"/>
        </w:rPr>
        <w:t xml:space="preserve">ابن إدريس، محمّد بن أحمد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ابن البرّاج، عبدالعزيز بن نحرير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ابن الجنيد الإسكافي، محمّد بن أحمد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ابن الجنيد ابن الجنيد الإسكافي، محمّد بن أحمد</w:t>
      </w:r>
    </w:p>
    <w:p>
      <w:pPr>
        <w:pStyle w:val="BookText"/>
        <w:rPr/>
      </w:pPr>
      <w:r>
        <w:rPr>
          <w:rFonts w:ascii="IRNazanin" w:hAnsi="IRNazanin" w:eastAsia="IRNazanin"/>
          <w:color w:val="111111"/>
          <w:sz w:val="28"/>
          <w:sz w:val="28"/>
          <w:szCs w:val="28"/>
          <w:rtl w:val="true"/>
          <w:lang w:bidi="fa-IR"/>
        </w:rPr>
        <w:t>ابن الحجّاج عبدالرحمان بن الحجّاج</w:t>
      </w:r>
    </w:p>
    <w:p>
      <w:pPr>
        <w:pStyle w:val="BookText"/>
        <w:rPr/>
      </w:pPr>
      <w:r>
        <w:rPr>
          <w:rFonts w:ascii="Amiri" w:hAnsi="Amiri" w:eastAsia="Amiri" w:cs="Amiri"/>
          <w:color w:val="111111"/>
          <w:sz w:val="28"/>
          <w:sz w:val="28"/>
          <w:szCs w:val="28"/>
          <w:rtl w:val="true"/>
          <w:lang w:bidi="ar-SA"/>
        </w:rPr>
        <w:t xml:space="preserve">ابن الغضائري، أحمد بن الحسين الغضائري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ابن بكير، عبداللّه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ابن حيّان جعفر بن حيّان</w:t>
      </w:r>
    </w:p>
    <w:p>
      <w:pPr>
        <w:pStyle w:val="BookText"/>
        <w:rPr/>
      </w:pPr>
      <w:r>
        <w:rPr>
          <w:rFonts w:ascii="Amiri" w:hAnsi="Amiri" w:eastAsia="Amiri" w:cs="Amiri"/>
          <w:color w:val="111111"/>
          <w:sz w:val="28"/>
          <w:sz w:val="28"/>
          <w:szCs w:val="28"/>
          <w:rtl w:val="true"/>
          <w:lang w:bidi="ar-SA"/>
        </w:rPr>
        <w:t>ابن راشد أبو علي بن راشد</w:t>
      </w:r>
    </w:p>
    <w:p>
      <w:pPr>
        <w:pStyle w:val="BookText"/>
        <w:rPr/>
      </w:pPr>
      <w:r>
        <w:rPr>
          <w:rFonts w:ascii="Amiri" w:hAnsi="Amiri" w:eastAsia="Amiri" w:cs="Amiri"/>
          <w:color w:val="111111"/>
          <w:sz w:val="28"/>
          <w:sz w:val="28"/>
          <w:szCs w:val="28"/>
          <w:rtl w:val="true"/>
          <w:lang w:bidi="ar-SA"/>
        </w:rPr>
        <w:t xml:space="preserve">ابن زهرة، حمزة بن علي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ابن سنان عبداللّه بن سنان</w:t>
      </w:r>
    </w:p>
    <w:p>
      <w:pPr>
        <w:pStyle w:val="BookText"/>
        <w:rPr/>
      </w:pPr>
      <w:r>
        <w:rPr>
          <w:rFonts w:ascii="Amiri" w:hAnsi="Amiri" w:eastAsia="Amiri" w:cs="Amiri"/>
          <w:color w:val="111111"/>
          <w:sz w:val="28"/>
          <w:sz w:val="28"/>
          <w:szCs w:val="28"/>
          <w:rtl w:val="true"/>
          <w:lang w:bidi="ar-SA"/>
        </w:rPr>
        <w:t xml:space="preserve">ابن شريح، محمّد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ابن طاوس، علي بن موسى </w:t>
      </w:r>
      <w:r>
        <w:rPr>
          <w:rFonts w:eastAsia="Amiri" w:cs="Amiri" w:ascii="Amiri" w:hAnsi="Amiri"/>
          <w:color w:val="111111"/>
          <w:sz w:val="28"/>
          <w:szCs w:val="28"/>
          <w:lang w:bidi="ar-SA"/>
        </w:rPr>
        <w:t>628</w:t>
      </w:r>
    </w:p>
    <w:p>
      <w:pPr>
        <w:pStyle w:val="BookText"/>
        <w:rPr/>
      </w:pPr>
      <w:r>
        <w:rPr>
          <w:rFonts w:ascii="IRNazanin" w:hAnsi="IRNazanin" w:eastAsia="IRNazanin"/>
          <w:color w:val="111111"/>
          <w:sz w:val="28"/>
          <w:sz w:val="28"/>
          <w:szCs w:val="28"/>
          <w:rtl w:val="true"/>
          <w:lang w:bidi="fa-IR"/>
        </w:rPr>
        <w:t xml:space="preserve">ابن عبد مناف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ابن عيسى، أحمد بن محمّد </w:t>
      </w:r>
      <w:r>
        <w:rPr>
          <w:rFonts w:eastAsia="Amiri" w:cs="Amiri" w:ascii="Amiri" w:hAnsi="Amiri"/>
          <w:color w:val="111111"/>
          <w:sz w:val="28"/>
          <w:szCs w:val="28"/>
          <w:lang w:bidi="ar-SA"/>
        </w:rPr>
        <w:t>54</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محبوب، الحسن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مسلم محمّد بن مسلم</w:t>
      </w:r>
    </w:p>
    <w:p>
      <w:pPr>
        <w:pStyle w:val="BookText"/>
        <w:rPr/>
      </w:pPr>
      <w:r>
        <w:rPr>
          <w:rFonts w:ascii="Amiri" w:hAnsi="Amiri" w:eastAsia="Amiri" w:cs="Amiri"/>
          <w:color w:val="111111"/>
          <w:sz w:val="28"/>
          <w:sz w:val="28"/>
          <w:szCs w:val="28"/>
          <w:rtl w:val="true"/>
          <w:lang w:bidi="ar-SA"/>
        </w:rPr>
        <w:t>ابن مهزيار علي بن مهزيار</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أبو الربيع الشامي الشامي، أبو الربيع</w:t>
      </w:r>
    </w:p>
    <w:p>
      <w:pPr>
        <w:pStyle w:val="BookText"/>
        <w:rPr/>
      </w:pPr>
      <w:r>
        <w:rPr>
          <w:rFonts w:ascii="IRNazanin" w:hAnsi="IRNazanin" w:eastAsia="IRNazanin"/>
          <w:color w:val="111111"/>
          <w:sz w:val="28"/>
          <w:sz w:val="28"/>
          <w:szCs w:val="28"/>
          <w:rtl w:val="true"/>
          <w:lang w:bidi="fa-IR"/>
        </w:rPr>
        <w:t xml:space="preserve">أبو العطارد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أبو بردة بن رجا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أبو حمزة الثمالي، ثابت بن دينار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أبو علي بن راشد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أحمد بن عديس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أحمد بن محمّد أحمد بن محمّد بن</w:t>
      </w:r>
    </w:p>
    <w:p>
      <w:pPr>
        <w:pStyle w:val="BookText"/>
        <w:rPr/>
      </w:pPr>
      <w:r>
        <w:rPr>
          <w:rFonts w:ascii="Amiri" w:hAnsi="Amiri" w:eastAsia="Amiri" w:cs="Amiri"/>
          <w:color w:val="111111"/>
          <w:sz w:val="28"/>
          <w:sz w:val="28"/>
          <w:szCs w:val="28"/>
          <w:rtl w:val="true"/>
          <w:lang w:bidi="ar-SA"/>
        </w:rPr>
        <w:t>عيسى</w:t>
      </w:r>
    </w:p>
    <w:p>
      <w:pPr>
        <w:pStyle w:val="BookText"/>
        <w:rPr/>
      </w:pPr>
      <w:r>
        <w:rPr>
          <w:rFonts w:ascii="Amiri" w:hAnsi="Amiri" w:eastAsia="Amiri" w:cs="Amiri"/>
          <w:color w:val="111111"/>
          <w:sz w:val="28"/>
          <w:sz w:val="28"/>
          <w:szCs w:val="28"/>
          <w:rtl w:val="true"/>
          <w:lang w:bidi="ar-SA"/>
        </w:rPr>
        <w:t xml:space="preserve">الأردبيلي، أحمد بن محمّد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الأزهري الأزهري، محمّد بن أحمد</w:t>
      </w:r>
    </w:p>
    <w:p>
      <w:pPr>
        <w:pStyle w:val="BookText"/>
        <w:rPr/>
      </w:pPr>
      <w:r>
        <w:rPr>
          <w:rFonts w:ascii="Amiri" w:hAnsi="Amiri" w:eastAsia="Amiri" w:cs="Amiri"/>
          <w:color w:val="111111"/>
          <w:sz w:val="28"/>
          <w:sz w:val="28"/>
          <w:szCs w:val="28"/>
          <w:rtl w:val="true"/>
          <w:lang w:bidi="ar-SA"/>
        </w:rPr>
        <w:t xml:space="preserve">الأزهري، محمّد بن أحمد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الأصفهاني، محمّد حسين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الأقطع، سليمان بن خالد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الأنصاري الأنصاري، مرتضى بن محمّد أمين الأنصاري، مرتضى بن محمّد أمين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أيّوب بن عطيّة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 xml:space="preserve">البارقي، عروة بن أبي الجعد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البحراني، يوسف بن أحمد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البزنطي، أحمد بن محمّد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البطائني، علي بن أبي حمزة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بعض الأجلّة الأصفهاني، محمّد حسين</w:t>
      </w:r>
    </w:p>
    <w:p>
      <w:pPr>
        <w:pStyle w:val="BookText"/>
        <w:rPr/>
      </w:pPr>
      <w:r>
        <w:rPr>
          <w:rFonts w:ascii="Amiri" w:hAnsi="Amiri" w:eastAsia="Amiri" w:cs="Amiri"/>
          <w:color w:val="111111"/>
          <w:sz w:val="28"/>
          <w:sz w:val="28"/>
          <w:szCs w:val="28"/>
          <w:rtl w:val="true"/>
          <w:lang w:bidi="ar-SA"/>
        </w:rPr>
        <w:t>بعض الأعاظم النائيني، محمّد حسين</w:t>
      </w:r>
    </w:p>
    <w:p>
      <w:pPr>
        <w:pStyle w:val="BookText"/>
        <w:rPr/>
      </w:pPr>
      <w:r>
        <w:rPr>
          <w:rFonts w:ascii="Amiri" w:hAnsi="Amiri" w:eastAsia="Amiri" w:cs="Amiri"/>
          <w:color w:val="111111"/>
          <w:sz w:val="28"/>
          <w:sz w:val="28"/>
          <w:szCs w:val="28"/>
          <w:rtl w:val="true"/>
          <w:lang w:bidi="ar-SA"/>
        </w:rPr>
        <w:t>بعض أهل التحقيق الأصفهاني، محمّد حسين</w:t>
      </w:r>
    </w:p>
    <w:p>
      <w:pPr>
        <w:pStyle w:val="BookText"/>
        <w:rPr/>
      </w:pPr>
      <w:r>
        <w:rPr>
          <w:rFonts w:ascii="Amiri" w:hAnsi="Amiri" w:eastAsia="Amiri" w:cs="Amiri"/>
          <w:color w:val="111111"/>
          <w:sz w:val="28"/>
          <w:sz w:val="28"/>
          <w:szCs w:val="28"/>
          <w:rtl w:val="true"/>
          <w:lang w:bidi="ar-SA"/>
        </w:rPr>
        <w:t>بعض أهل التدقيق الأصفهاني، محمّد حسين</w:t>
      </w:r>
    </w:p>
    <w:p>
      <w:pPr>
        <w:pStyle w:val="BookText"/>
        <w:rPr/>
      </w:pPr>
      <w:r>
        <w:rPr>
          <w:rFonts w:ascii="Amiri" w:hAnsi="Amiri" w:eastAsia="Amiri" w:cs="Amiri"/>
          <w:color w:val="111111"/>
          <w:sz w:val="28"/>
          <w:sz w:val="28"/>
          <w:szCs w:val="28"/>
          <w:rtl w:val="true"/>
          <w:lang w:bidi="ar-SA"/>
        </w:rPr>
        <w:t>بعض أهل النظر الأصفهاني، محمّد حسين</w:t>
      </w:r>
    </w:p>
    <w:p>
      <w:pPr>
        <w:pStyle w:val="BookText"/>
        <w:rPr/>
      </w:pPr>
      <w:r>
        <w:rPr>
          <w:rFonts w:ascii="Amiri" w:hAnsi="Amiri" w:eastAsia="Amiri" w:cs="Amiri"/>
          <w:color w:val="111111"/>
          <w:sz w:val="28"/>
          <w:sz w:val="28"/>
          <w:szCs w:val="28"/>
          <w:rtl w:val="true"/>
          <w:lang w:bidi="ar-SA"/>
        </w:rPr>
        <w:t>بعض شرّاح الحديث المجلسي، محمّد باقر بن محمّد تقي</w:t>
      </w:r>
    </w:p>
    <w:p>
      <w:pPr>
        <w:pStyle w:val="BookText"/>
        <w:rPr/>
      </w:pPr>
      <w:r>
        <w:rPr>
          <w:rFonts w:ascii="Amiri" w:hAnsi="Amiri" w:eastAsia="Amiri" w:cs="Amiri"/>
          <w:color w:val="111111"/>
          <w:sz w:val="28"/>
          <w:sz w:val="28"/>
          <w:szCs w:val="28"/>
          <w:rtl w:val="true"/>
          <w:lang w:bidi="ar-SA"/>
        </w:rPr>
        <w:t>بعض المحدّثين الفيض الكاشاني، محمّد بن شاه مرتضى</w:t>
      </w:r>
    </w:p>
    <w:p>
      <w:pPr>
        <w:pStyle w:val="BookText"/>
        <w:rPr/>
      </w:pPr>
      <w:r>
        <w:rPr>
          <w:rFonts w:ascii="Amiri" w:hAnsi="Amiri" w:eastAsia="Amiri" w:cs="Amiri"/>
          <w:color w:val="111111"/>
          <w:sz w:val="28"/>
          <w:sz w:val="28"/>
          <w:szCs w:val="28"/>
          <w:rtl w:val="true"/>
          <w:lang w:bidi="ar-SA"/>
        </w:rPr>
        <w:t>بعض المحشّين الأصفهاني، محمّد حسين</w:t>
      </w:r>
    </w:p>
    <w:p>
      <w:pPr>
        <w:pStyle w:val="BookText"/>
        <w:rPr/>
      </w:pPr>
      <w:r>
        <w:rPr>
          <w:rFonts w:ascii="Amiri" w:hAnsi="Amiri" w:eastAsia="Amiri" w:cs="Amiri"/>
          <w:color w:val="111111"/>
          <w:sz w:val="28"/>
          <w:sz w:val="28"/>
          <w:szCs w:val="28"/>
          <w:rtl w:val="true"/>
          <w:lang w:bidi="ar-SA"/>
        </w:rPr>
        <w:t>بعض المحقّقين الآخوند الخراساني، محمد كاظم بن الحسين</w:t>
      </w:r>
    </w:p>
    <w:p>
      <w:pPr>
        <w:pStyle w:val="BookText"/>
        <w:rPr/>
      </w:pPr>
      <w:r>
        <w:rPr>
          <w:rFonts w:ascii="Amiri" w:hAnsi="Amiri" w:eastAsia="Amiri" w:cs="Amiri"/>
          <w:color w:val="111111"/>
          <w:sz w:val="28"/>
          <w:sz w:val="28"/>
          <w:szCs w:val="28"/>
          <w:rtl w:val="true"/>
          <w:lang w:bidi="ar-SA"/>
        </w:rPr>
        <w:t>التستري الكاظمي، أسداللّه بن إسماعيل</w:t>
      </w:r>
    </w:p>
    <w:p>
      <w:pPr>
        <w:pStyle w:val="BookText"/>
        <w:rPr/>
      </w:pPr>
      <w:r>
        <w:rPr>
          <w:rFonts w:ascii="Amiri" w:hAnsi="Amiri" w:eastAsia="Amiri" w:cs="Amiri"/>
          <w:color w:val="111111"/>
          <w:sz w:val="28"/>
          <w:sz w:val="28"/>
          <w:szCs w:val="28"/>
          <w:rtl w:val="true"/>
          <w:lang w:bidi="ar-SA"/>
        </w:rPr>
        <w:t>الثمالي أبو حمزة الثمالي، ثابت بن دينار</w:t>
      </w:r>
    </w:p>
    <w:p>
      <w:pPr>
        <w:pStyle w:val="BookText"/>
        <w:rPr/>
      </w:pPr>
      <w:r>
        <w:rPr>
          <w:rFonts w:ascii="Amiri" w:hAnsi="Amiri" w:eastAsia="Amiri" w:cs="Amiri"/>
          <w:color w:val="111111"/>
          <w:sz w:val="28"/>
          <w:sz w:val="28"/>
          <w:szCs w:val="28"/>
          <w:rtl w:val="true"/>
          <w:lang w:bidi="ar-SA"/>
        </w:rPr>
        <w:t xml:space="preserve">جابر الجعفي، جابر بن يزيد جعفر بن حيّان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Amiri" w:hAnsi="Amiri" w:eastAsia="Amiri" w:cs="Amiri"/>
          <w:color w:val="111111"/>
          <w:sz w:val="28"/>
          <w:sz w:val="28"/>
          <w:szCs w:val="28"/>
          <w:rtl w:val="true"/>
          <w:lang w:bidi="ar-SA"/>
        </w:rPr>
        <w:t xml:space="preserve">جعفر بن عيسى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جعفر بن محمّد بن حكيم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الجعفي، جابر بن يزيد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الحارث بن المغيرة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حذيفة بن منصور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الحسين بن زيد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حكيم بن حزام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الحلبي، عبيداللّه بن علي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 ابن إدريس، محمّد بن أحمد </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حمّاد بن ميسّر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الحميري، أبو العبّاس عبداللّه</w:t>
      </w:r>
    </w:p>
    <w:p>
      <w:pPr>
        <w:pStyle w:val="BookText"/>
        <w:rPr/>
      </w:pPr>
      <w:r>
        <w:rPr>
          <w:rFonts w:ascii="Amiri" w:hAnsi="Amiri" w:eastAsia="Amiri" w:cs="Amiri"/>
          <w:color w:val="111111"/>
          <w:sz w:val="28"/>
          <w:sz w:val="28"/>
          <w:szCs w:val="28"/>
          <w:rtl w:val="true"/>
          <w:lang w:bidi="ar-SA"/>
        </w:rPr>
        <w:t>الحميري، عبداللّه بن جعفر</w:t>
      </w:r>
    </w:p>
    <w:p>
      <w:pPr>
        <w:pStyle w:val="BookText"/>
        <w:rPr/>
      </w:pPr>
      <w:r>
        <w:rPr>
          <w:rFonts w:ascii="Amiri" w:hAnsi="Amiri" w:eastAsia="Amiri" w:cs="Amiri"/>
          <w:color w:val="111111"/>
          <w:sz w:val="28"/>
          <w:sz w:val="28"/>
          <w:szCs w:val="28"/>
          <w:rtl w:val="true"/>
          <w:lang w:bidi="ar-SA"/>
        </w:rPr>
        <w:t xml:space="preserve">الحميري، عبداللّه بن جعفر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الحنّاط، محمّد بن القاسم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Amiri" w:hAnsi="Amiri" w:eastAsia="Amiri" w:cs="Amiri"/>
          <w:color w:val="111111"/>
          <w:sz w:val="28"/>
          <w:sz w:val="28"/>
          <w:szCs w:val="28"/>
          <w:rtl w:val="true"/>
          <w:lang w:bidi="ar-SA"/>
        </w:rPr>
        <w:t>حنّان حنّان بن سدير</w:t>
      </w:r>
    </w:p>
    <w:p>
      <w:pPr>
        <w:pStyle w:val="BookText"/>
        <w:rPr/>
      </w:pP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الخراساني الآخوند الخراساني،</w:t>
      </w:r>
    </w:p>
    <w:p>
      <w:pPr>
        <w:pStyle w:val="BookText"/>
        <w:rPr/>
      </w:pPr>
      <w:r>
        <w:rPr>
          <w:rFonts w:ascii="Amiri" w:hAnsi="Amiri" w:eastAsia="Amiri" w:cs="Amiri"/>
          <w:color w:val="111111"/>
          <w:sz w:val="28"/>
          <w:sz w:val="28"/>
          <w:szCs w:val="28"/>
          <w:rtl w:val="true"/>
          <w:lang w:bidi="ar-SA"/>
        </w:rPr>
        <w:t>محمّد كاظم بن الحسين</w:t>
      </w:r>
    </w:p>
    <w:p>
      <w:pPr>
        <w:pStyle w:val="BookText"/>
        <w:rPr/>
      </w:pPr>
      <w:r>
        <w:rPr>
          <w:rFonts w:ascii="Amiri" w:hAnsi="Amiri" w:eastAsia="Amiri" w:cs="Amiri"/>
          <w:color w:val="111111"/>
          <w:sz w:val="28"/>
          <w:sz w:val="28"/>
          <w:szCs w:val="28"/>
          <w:rtl w:val="true"/>
          <w:lang w:bidi="ar-SA"/>
        </w:rPr>
        <w:t>الخليفة الثاني عمر بن الخطّاب</w:t>
      </w:r>
    </w:p>
    <w:p>
      <w:pPr>
        <w:pStyle w:val="BookText"/>
        <w:rPr/>
      </w:pPr>
      <w:r>
        <w:rPr>
          <w:rFonts w:ascii="Amiri" w:hAnsi="Amiri" w:eastAsia="Amiri" w:cs="Amiri"/>
          <w:color w:val="111111"/>
          <w:sz w:val="28"/>
          <w:sz w:val="28"/>
          <w:szCs w:val="28"/>
          <w:rtl w:val="true"/>
          <w:lang w:bidi="ar-SA"/>
        </w:rPr>
        <w:t xml:space="preserve">ربعي بن عبداللّه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رفاعة بن موسى النخّاس النخّاس،</w:t>
      </w:r>
    </w:p>
    <w:p>
      <w:pPr>
        <w:pStyle w:val="BookText"/>
        <w:rPr/>
      </w:pPr>
      <w:r>
        <w:rPr>
          <w:rFonts w:ascii="Amiri" w:hAnsi="Amiri" w:eastAsia="Amiri" w:cs="Amiri"/>
          <w:color w:val="111111"/>
          <w:sz w:val="28"/>
          <w:sz w:val="28"/>
          <w:szCs w:val="28"/>
          <w:rtl w:val="true"/>
          <w:lang w:bidi="ar-SA"/>
        </w:rPr>
        <w:t>رفاعة بن موسى</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السكوني، إسماعيل بن أبي زياد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سليمان بن خالد الأقطع، سليمان بن</w:t>
      </w:r>
    </w:p>
    <w:p>
      <w:pPr>
        <w:pStyle w:val="BookText"/>
        <w:rPr/>
      </w:pPr>
      <w:r>
        <w:rPr>
          <w:rFonts w:ascii="IRNazanin" w:hAnsi="IRNazanin" w:eastAsia="IRNazanin"/>
          <w:color w:val="111111"/>
          <w:sz w:val="28"/>
          <w:sz w:val="28"/>
          <w:szCs w:val="28"/>
          <w:rtl w:val="true"/>
          <w:lang w:bidi="fa-IR"/>
        </w:rPr>
        <w:t>خالد</w:t>
      </w:r>
    </w:p>
    <w:p>
      <w:pPr>
        <w:pStyle w:val="BookText"/>
        <w:rPr/>
      </w:pPr>
      <w:r>
        <w:rPr>
          <w:rFonts w:ascii="Amiri" w:hAnsi="Amiri" w:eastAsia="Amiri" w:cs="Amiri"/>
          <w:color w:val="111111"/>
          <w:sz w:val="28"/>
          <w:sz w:val="28"/>
          <w:szCs w:val="28"/>
          <w:rtl w:val="true"/>
          <w:lang w:bidi="ar-SA"/>
        </w:rPr>
        <w:t xml:space="preserve">سليمان بن صالح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السيّاري، أحمد بن محمّد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السيّد المرتضى علم الهدى، علي بن</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Amiri" w:hAnsi="Amiri" w:eastAsia="Amiri" w:cs="Amiri"/>
          <w:color w:val="111111"/>
          <w:sz w:val="28"/>
          <w:sz w:val="28"/>
          <w:szCs w:val="28"/>
          <w:rtl w:val="true"/>
          <w:lang w:bidi="ar-SA"/>
        </w:rPr>
        <w:t>السيّد رضي الدين بن طاوس ابن</w:t>
      </w:r>
    </w:p>
    <w:p>
      <w:pPr>
        <w:pStyle w:val="BookText"/>
        <w:rPr/>
      </w:pPr>
      <w:r>
        <w:rPr>
          <w:rFonts w:ascii="Amiri" w:hAnsi="Amiri" w:eastAsia="Amiri" w:cs="Amiri"/>
          <w:color w:val="111111"/>
          <w:sz w:val="28"/>
          <w:sz w:val="28"/>
          <w:szCs w:val="28"/>
          <w:rtl w:val="true"/>
          <w:lang w:bidi="ar-SA"/>
        </w:rPr>
        <w:t>طاوس، علي بن موسى</w:t>
      </w:r>
    </w:p>
    <w:p>
      <w:pPr>
        <w:pStyle w:val="BookText"/>
        <w:rPr/>
      </w:pPr>
      <w:r>
        <w:rPr>
          <w:rFonts w:ascii="Amiri" w:hAnsi="Amiri" w:eastAsia="Amiri" w:cs="Amiri"/>
          <w:color w:val="111111"/>
          <w:sz w:val="28"/>
          <w:sz w:val="28"/>
          <w:szCs w:val="28"/>
          <w:rtl w:val="true"/>
          <w:lang w:bidi="ar-SA"/>
        </w:rPr>
        <w:t xml:space="preserve">الشافعي، محمّد بن إدريس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الشامي، أبو الربيع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شعيب بن واقد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الشيخ الطوسي، محمّد بن الحسن</w:t>
      </w:r>
    </w:p>
    <w:p>
      <w:pPr>
        <w:pStyle w:val="BookText"/>
        <w:rPr/>
      </w:pPr>
      <w:r>
        <w:rPr>
          <w:rFonts w:ascii="Amiri" w:hAnsi="Amiri" w:eastAsia="Amiri" w:cs="Amiri"/>
          <w:color w:val="111111"/>
          <w:sz w:val="28"/>
          <w:sz w:val="28"/>
          <w:szCs w:val="28"/>
          <w:rtl w:val="true"/>
          <w:lang w:bidi="ar-SA"/>
        </w:rPr>
        <w:t>الشيخ الأعظم الأنصاري، مرتضى بن</w:t>
      </w:r>
    </w:p>
    <w:p>
      <w:pPr>
        <w:pStyle w:val="BookText"/>
        <w:rPr/>
      </w:pPr>
      <w:r>
        <w:rPr>
          <w:rFonts w:ascii="Amiri" w:hAnsi="Amiri" w:eastAsia="Amiri" w:cs="Amiri"/>
          <w:color w:val="111111"/>
          <w:sz w:val="28"/>
          <w:sz w:val="28"/>
          <w:szCs w:val="28"/>
          <w:rtl w:val="true"/>
          <w:lang w:bidi="ar-SA"/>
        </w:rPr>
        <w:t>محمّد أمين</w:t>
      </w:r>
    </w:p>
    <w:p>
      <w:pPr>
        <w:pStyle w:val="BookText"/>
        <w:rPr/>
      </w:pPr>
      <w:r>
        <w:rPr>
          <w:rFonts w:ascii="Amiri" w:hAnsi="Amiri" w:eastAsia="Amiri" w:cs="Amiri"/>
          <w:color w:val="111111"/>
          <w:sz w:val="28"/>
          <w:sz w:val="28"/>
          <w:szCs w:val="28"/>
          <w:rtl w:val="true"/>
          <w:lang w:bidi="ar-SA"/>
        </w:rPr>
        <w:t>شيخ الطائفة الطوسي، محمّد بن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الشيخ المفيد المفيد، محمّد بن محمّد</w:t>
      </w:r>
    </w:p>
    <w:p>
      <w:pPr>
        <w:pStyle w:val="BookText"/>
        <w:rPr/>
      </w:pPr>
      <w:r>
        <w:rPr>
          <w:rFonts w:ascii="Amiri" w:hAnsi="Amiri" w:eastAsia="Amiri" w:cs="Amiri"/>
          <w:color w:val="111111"/>
          <w:sz w:val="28"/>
          <w:sz w:val="28"/>
          <w:szCs w:val="28"/>
          <w:rtl w:val="true"/>
          <w:lang w:bidi="ar-SA"/>
        </w:rPr>
        <w:t>الشيخ الأنصاري، مرتضى بن محمّد</w:t>
      </w:r>
    </w:p>
    <w:p>
      <w:pPr>
        <w:pStyle w:val="BookText"/>
        <w:rPr/>
      </w:pPr>
      <w:r>
        <w:rPr>
          <w:rFonts w:ascii="Amiri" w:hAnsi="Amiri" w:eastAsia="Amiri" w:cs="Amiri"/>
          <w:color w:val="111111"/>
          <w:sz w:val="28"/>
          <w:sz w:val="28"/>
          <w:szCs w:val="28"/>
          <w:rtl w:val="true"/>
          <w:lang w:bidi="ar-SA"/>
        </w:rPr>
        <w:t>أمين</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الجواهر، محمّد حسن بن باقر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صاحب الحدائق البحراني، يوسف بن</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Amiri" w:hAnsi="Amiri" w:eastAsia="Amiri" w:cs="Amiri"/>
          <w:color w:val="111111"/>
          <w:sz w:val="28"/>
          <w:sz w:val="28"/>
          <w:szCs w:val="28"/>
          <w:rtl w:val="true"/>
          <w:lang w:bidi="ar-SA"/>
        </w:rPr>
        <w:t>صاحب المقابس الكاظمي، أسداللّه بن</w:t>
      </w:r>
    </w:p>
    <w:p>
      <w:pPr>
        <w:pStyle w:val="BookText"/>
        <w:rPr/>
      </w:pPr>
      <w:r>
        <w:rPr>
          <w:rFonts w:ascii="Amiri" w:hAnsi="Amiri" w:eastAsia="Amiri" w:cs="Amiri"/>
          <w:color w:val="111111"/>
          <w:sz w:val="28"/>
          <w:sz w:val="28"/>
          <w:szCs w:val="28"/>
          <w:rtl w:val="true"/>
          <w:lang w:bidi="ar-SA"/>
        </w:rPr>
        <w:t>إسماعيل</w:t>
      </w:r>
    </w:p>
    <w:p>
      <w:pPr>
        <w:pStyle w:val="BookText"/>
        <w:rPr/>
      </w:pPr>
      <w:r>
        <w:rPr>
          <w:rFonts w:ascii="Amiri" w:hAnsi="Amiri" w:eastAsia="Amiri" w:cs="Amiri"/>
          <w:color w:val="111111"/>
          <w:sz w:val="28"/>
          <w:sz w:val="28"/>
          <w:szCs w:val="28"/>
          <w:rtl w:val="true"/>
          <w:lang w:bidi="ar-SA"/>
        </w:rPr>
        <w:t>صاحب الوسائل الحرّ العاملي، محمّد</w:t>
      </w:r>
    </w:p>
    <w:p>
      <w:pPr>
        <w:pStyle w:val="BookText"/>
        <w:rPr/>
      </w:pPr>
      <w:r>
        <w:rPr>
          <w:rFonts w:ascii="IRNazanin" w:hAnsi="IRNazanin" w:eastAsia="IRNazanin"/>
          <w:color w:val="111111"/>
          <w:sz w:val="28"/>
          <w:sz w:val="28"/>
          <w:szCs w:val="28"/>
          <w:rtl w:val="true"/>
          <w:lang w:bidi="fa-IR"/>
        </w:rPr>
        <w:t>بن الحسن</w:t>
      </w:r>
    </w:p>
    <w:p>
      <w:pPr>
        <w:pStyle w:val="BookText"/>
        <w:rPr/>
      </w:pPr>
      <w:r>
        <w:rPr>
          <w:rFonts w:ascii="IRNazanin" w:hAnsi="IRNazanin" w:eastAsia="IRNazanin"/>
          <w:color w:val="111111"/>
          <w:sz w:val="28"/>
          <w:sz w:val="28"/>
          <w:szCs w:val="28"/>
          <w:rtl w:val="true"/>
          <w:lang w:bidi="fa-IR"/>
        </w:rPr>
        <w:t>صاحب جامع المقاصد المحقّق</w:t>
      </w:r>
    </w:p>
    <w:p>
      <w:pPr>
        <w:pStyle w:val="BookText"/>
        <w:rPr/>
      </w:pPr>
      <w:r>
        <w:rPr>
          <w:rFonts w:ascii="Amiri" w:hAnsi="Amiri" w:eastAsia="Amiri" w:cs="Amiri"/>
          <w:color w:val="111111"/>
          <w:sz w:val="28"/>
          <w:sz w:val="28"/>
          <w:szCs w:val="28"/>
          <w:rtl w:val="true"/>
          <w:lang w:bidi="ar-SA"/>
        </w:rPr>
        <w:t>الكركي، علي بن الحسين</w:t>
      </w:r>
    </w:p>
    <w:p>
      <w:pPr>
        <w:pStyle w:val="BookText"/>
        <w:rPr/>
      </w:pPr>
      <w:r>
        <w:rPr>
          <w:rFonts w:ascii="Amiri" w:hAnsi="Amiri" w:eastAsia="Amiri" w:cs="Amiri"/>
          <w:color w:val="111111"/>
          <w:sz w:val="28"/>
          <w:sz w:val="28"/>
          <w:szCs w:val="28"/>
          <w:rtl w:val="true"/>
          <w:lang w:bidi="ar-SA"/>
        </w:rPr>
        <w:t>صاحب مفتاح الكرامة العاملي،</w:t>
      </w:r>
    </w:p>
    <w:p>
      <w:pPr>
        <w:pStyle w:val="BookText"/>
        <w:rPr/>
      </w:pPr>
      <w:r>
        <w:rPr>
          <w:rFonts w:ascii="Amiri" w:hAnsi="Amiri" w:eastAsia="Amiri" w:cs="Amiri"/>
          <w:color w:val="111111"/>
          <w:sz w:val="28"/>
          <w:sz w:val="28"/>
          <w:szCs w:val="28"/>
          <w:rtl w:val="true"/>
          <w:lang w:bidi="ar-SA"/>
        </w:rPr>
        <w:t>الغروي، جواد بن محمّد</w:t>
      </w:r>
    </w:p>
    <w:p>
      <w:pPr>
        <w:pStyle w:val="BookText"/>
        <w:rPr/>
      </w:pPr>
      <w:r>
        <w:rPr>
          <w:rFonts w:ascii="Amiri" w:hAnsi="Amiri" w:eastAsia="Amiri" w:cs="Amiri"/>
          <w:color w:val="111111"/>
          <w:sz w:val="28"/>
          <w:sz w:val="28"/>
          <w:szCs w:val="28"/>
          <w:rtl w:val="true"/>
          <w:lang w:bidi="ar-SA"/>
        </w:rPr>
        <w:t>الصدوق ابن بابويه، محمّد بن علي</w:t>
      </w:r>
    </w:p>
    <w:p>
      <w:pPr>
        <w:pStyle w:val="BookText"/>
        <w:rPr/>
      </w:pPr>
      <w:r>
        <w:rPr>
          <w:rFonts w:ascii="IRNazanin" w:hAnsi="IRNazanin" w:eastAsia="IRNazanin"/>
          <w:color w:val="111111"/>
          <w:sz w:val="28"/>
          <w:sz w:val="28"/>
          <w:szCs w:val="28"/>
          <w:rtl w:val="true"/>
          <w:lang w:bidi="fa-IR"/>
        </w:rPr>
        <w:t xml:space="preserve">الصفّار، محمّد بن الحسن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صفوان صفوان بن يحيى</w:t>
      </w:r>
    </w:p>
    <w:p>
      <w:pPr>
        <w:pStyle w:val="BookText"/>
        <w:rPr/>
      </w:pPr>
      <w:r>
        <w:rPr>
          <w:rFonts w:ascii="Amiri" w:hAnsi="Amiri" w:eastAsia="Amiri" w:cs="Amiri"/>
          <w:color w:val="111111"/>
          <w:sz w:val="28"/>
          <w:sz w:val="28"/>
          <w:szCs w:val="28"/>
          <w:rtl w:val="true"/>
          <w:lang w:bidi="ar-SA"/>
        </w:rPr>
        <w:t xml:space="preserve">الطبرسي، أحمد بن علي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العاملي الغروي، جواد بن محمّد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w:t>
      </w:r>
    </w:p>
    <w:p>
      <w:pPr>
        <w:pStyle w:val="BookText"/>
        <w:rPr/>
      </w:pPr>
      <w:r>
        <w:rPr>
          <w:rFonts w:ascii="Amiri" w:hAnsi="Amiri" w:eastAsia="Amiri" w:cs="Amiri"/>
          <w:color w:val="111111"/>
          <w:sz w:val="28"/>
          <w:sz w:val="28"/>
          <w:szCs w:val="28"/>
          <w:rtl w:val="true"/>
          <w:lang w:bidi="ar-SA"/>
        </w:rPr>
        <w:t xml:space="preserve">عبدالأعلى بن أعين مولى آل سام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عبدالأعلى بن أعين عبدالأعلى بن</w:t>
      </w:r>
    </w:p>
    <w:p>
      <w:pPr>
        <w:pStyle w:val="BookText"/>
        <w:rPr/>
      </w:pPr>
      <w:r>
        <w:rPr>
          <w:rFonts w:ascii="Amiri" w:hAnsi="Amiri" w:eastAsia="Amiri" w:cs="Amiri"/>
          <w:color w:val="111111"/>
          <w:sz w:val="28"/>
          <w:sz w:val="28"/>
          <w:szCs w:val="28"/>
          <w:rtl w:val="true"/>
          <w:lang w:bidi="ar-SA"/>
        </w:rPr>
        <w:t>أعين مولى آل سام</w:t>
      </w:r>
    </w:p>
    <w:p>
      <w:pPr>
        <w:pStyle w:val="BookText"/>
        <w:rPr/>
      </w:pPr>
      <w:r>
        <w:rPr>
          <w:rFonts w:ascii="Amiri" w:hAnsi="Amiri" w:eastAsia="Amiri" w:cs="Amiri"/>
          <w:color w:val="111111"/>
          <w:sz w:val="28"/>
          <w:sz w:val="28"/>
          <w:szCs w:val="28"/>
          <w:rtl w:val="true"/>
          <w:lang w:bidi="ar-SA"/>
        </w:rPr>
        <w:t xml:space="preserve">عبدالرحمان بن أبي عبداللّه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عبدالرحمان بن الحجّاج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عبدالملك بن عمرو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عجلان أبي صالح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علم الهدى، علي بن الحسين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علي بن إبراهيم القمّي، علي بن</w:t>
      </w:r>
    </w:p>
    <w:p>
      <w:pPr>
        <w:pStyle w:val="BookText"/>
        <w:rPr/>
      </w:pPr>
      <w:r>
        <w:rPr>
          <w:rFonts w:ascii="Amiri" w:hAnsi="Amiri" w:eastAsia="Amiri" w:cs="Amiri"/>
          <w:color w:val="111111"/>
          <w:sz w:val="28"/>
          <w:sz w:val="28"/>
          <w:szCs w:val="28"/>
          <w:rtl w:val="true"/>
          <w:lang w:bidi="ar-SA"/>
        </w:rPr>
        <w:t>إبراهيم</w:t>
      </w:r>
    </w:p>
    <w:p>
      <w:pPr>
        <w:pStyle w:val="BookText"/>
        <w:rPr/>
      </w:pPr>
      <w:r>
        <w:rPr>
          <w:rFonts w:ascii="Amiri" w:hAnsi="Amiri" w:eastAsia="Amiri" w:cs="Amiri"/>
          <w:color w:val="111111"/>
          <w:sz w:val="28"/>
          <w:sz w:val="28"/>
          <w:szCs w:val="28"/>
          <w:rtl w:val="true"/>
          <w:lang w:bidi="ar-SA"/>
        </w:rPr>
        <w:t>علي بن أبي حمزة البطائني، علي بن</w:t>
      </w:r>
    </w:p>
    <w:p>
      <w:pPr>
        <w:pStyle w:val="BookText"/>
        <w:rPr/>
      </w:pPr>
      <w:r>
        <w:rPr>
          <w:rFonts w:ascii="Amiri" w:hAnsi="Amiri" w:eastAsia="Amiri" w:cs="Amiri"/>
          <w:color w:val="111111"/>
          <w:sz w:val="28"/>
          <w:sz w:val="28"/>
          <w:szCs w:val="28"/>
          <w:rtl w:val="true"/>
          <w:lang w:bidi="ar-SA"/>
        </w:rPr>
        <w:t>أبي حمزة</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عمّار ياسر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العيص بن القاسم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غياث بن إبراهيم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فخر الدين فخر المحقّقين، محمّد بن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فخر المحقّقين، محمّد بن الحسن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الفخر فخر المحقّقين، محمّد بن</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Amiri" w:hAnsi="Amiri" w:eastAsia="Amiri" w:cs="Amiri"/>
          <w:color w:val="111111"/>
          <w:sz w:val="28"/>
          <w:sz w:val="28"/>
          <w:szCs w:val="28"/>
          <w:rtl w:val="true"/>
          <w:lang w:bidi="ar-SA"/>
        </w:rPr>
        <w:t xml:space="preserve">فرات بن إبراهيم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الفضيل الفضيل بن يسار</w:t>
      </w:r>
    </w:p>
    <w:p>
      <w:pPr>
        <w:pStyle w:val="BookText"/>
        <w:rPr/>
      </w:pPr>
      <w:r>
        <w:rPr>
          <w:rFonts w:ascii="Amiri" w:hAnsi="Amiri" w:eastAsia="Amiri" w:cs="Amiri"/>
          <w:color w:val="111111"/>
          <w:sz w:val="28"/>
          <w:sz w:val="28"/>
          <w:szCs w:val="28"/>
          <w:rtl w:val="true"/>
          <w:lang w:bidi="ar-SA"/>
        </w:rPr>
        <w:t>الفيض الكاشاني، محمّد بن شاه مرتضى</w:t>
      </w:r>
    </w:p>
    <w:p>
      <w:pPr>
        <w:pStyle w:val="BookText"/>
        <w:rPr/>
      </w:pPr>
      <w:r>
        <w:rPr>
          <w:rFonts w:eastAsia="Times New Roman" w:cs="Times New Roman" w:ascii="Times New Roman" w:hAnsi="Times New Roman"/>
          <w:color w:val="111111"/>
          <w:sz w:val="28"/>
          <w:szCs w:val="28"/>
          <w:lang w:val="en-US" w:bidi="en-US"/>
        </w:rPr>
        <w:t>556</w:t>
      </w:r>
    </w:p>
    <w:p>
      <w:pPr>
        <w:pStyle w:val="BookText"/>
        <w:rPr/>
      </w:pPr>
      <w:r>
        <w:rPr>
          <w:rFonts w:ascii="Amiri" w:hAnsi="Amiri" w:eastAsia="Amiri" w:cs="Amiri"/>
          <w:color w:val="111111"/>
          <w:sz w:val="28"/>
          <w:sz w:val="28"/>
          <w:szCs w:val="28"/>
          <w:rtl w:val="true"/>
          <w:lang w:bidi="ar-SA"/>
        </w:rPr>
        <w:t>القاضي ابن البرّاج، عبدالعزيز بن</w:t>
      </w:r>
    </w:p>
    <w:p>
      <w:pPr>
        <w:pStyle w:val="BookText"/>
        <w:rPr/>
      </w:pPr>
      <w:r>
        <w:rPr>
          <w:rFonts w:ascii="Amiri" w:hAnsi="Amiri" w:eastAsia="Amiri" w:cs="Amiri"/>
          <w:color w:val="111111"/>
          <w:sz w:val="28"/>
          <w:sz w:val="28"/>
          <w:szCs w:val="28"/>
          <w:rtl w:val="true"/>
          <w:lang w:bidi="ar-SA"/>
        </w:rPr>
        <w:t>نحرير</w:t>
      </w:r>
    </w:p>
    <w:p>
      <w:pPr>
        <w:pStyle w:val="BookText"/>
        <w:rPr/>
      </w:pPr>
      <w:r>
        <w:rPr>
          <w:rFonts w:ascii="Amiri" w:hAnsi="Amiri" w:eastAsia="Amiri" w:cs="Amiri"/>
          <w:color w:val="111111"/>
          <w:sz w:val="28"/>
          <w:sz w:val="28"/>
          <w:szCs w:val="28"/>
          <w:rtl w:val="true"/>
          <w:lang w:bidi="ar-SA"/>
        </w:rPr>
        <w:t xml:space="preserve">القمّي، علي بن إبراهيم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الكابلي، أبو خالد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كاشف الغطاء، جعفر بن خضر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الكاظمي، أسداللّه بن إسماعيل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الكرخي، إبراهيم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مثنّى الحنّاط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المجلسي، محمّد باقر بن محمّد تقي</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المحقّق الثاني المحقّق الكركي، علي</w:t>
      </w:r>
    </w:p>
    <w:p>
      <w:pPr>
        <w:pStyle w:val="BookText"/>
        <w:rPr/>
      </w:pPr>
      <w:r>
        <w:rPr>
          <w:rFonts w:ascii="Amiri" w:hAnsi="Amiri" w:eastAsia="Amiri" w:cs="Amiri"/>
          <w:color w:val="111111"/>
          <w:sz w:val="28"/>
          <w:sz w:val="28"/>
          <w:szCs w:val="28"/>
          <w:rtl w:val="true"/>
          <w:lang w:bidi="ar-SA"/>
        </w:rPr>
        <w:t>بن الحسين</w:t>
      </w:r>
    </w:p>
    <w:p>
      <w:pPr>
        <w:pStyle w:val="BookText"/>
        <w:rPr/>
      </w:pP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w:t>
      </w:r>
    </w:p>
    <w:p>
      <w:pPr>
        <w:pStyle w:val="BookText"/>
        <w:rPr/>
      </w:pPr>
      <w:r>
        <w:rPr>
          <w:rFonts w:ascii="Amiri" w:hAnsi="Amiri" w:eastAsia="Amiri" w:cs="Amiri"/>
          <w:color w:val="111111"/>
          <w:sz w:val="28"/>
          <w:sz w:val="28"/>
          <w:szCs w:val="28"/>
          <w:rtl w:val="true"/>
          <w:lang w:bidi="ar-SA"/>
        </w:rPr>
        <w:t xml:space="preserve">محمّد بن الريّان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محمّد بن العيص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محمّد بن زياد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 xml:space="preserve">محمّد بن شريح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lang w:bidi="ar-SA"/>
        </w:rPr>
        <w:t>28</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منهال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النجاشي، أحمد بن علي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النخّاس، رفاعة بن موسى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الورّاق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ابن عبد مناف</w:t>
      </w:r>
    </w:p>
    <w:p>
      <w:pPr>
        <w:pStyle w:val="BookText"/>
        <w:rPr/>
      </w:pPr>
      <w:r>
        <w:rPr>
          <w:rFonts w:ascii="IRNazanin" w:hAnsi="IRNazanin" w:eastAsia="IRNazanin"/>
          <w:color w:val="111111"/>
          <w:sz w:val="28"/>
          <w:sz w:val="28"/>
          <w:szCs w:val="28"/>
          <w:rtl w:val="true"/>
          <w:lang w:bidi="fa-IR"/>
        </w:rPr>
        <w:t xml:space="preserve">هاشم بن عبد مناف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الهاشمي، إسماعيل بن الفضل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lang w:bidi="ar-SA"/>
        </w:rPr>
        <w:t>370</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15209_204310"/>
      <w:bookmarkStart w:id="783" w:name="pg15209_204310"/>
      <w:bookmarkEnd w:id="783"/>
    </w:p>
    <w:p>
      <w:pPr>
        <w:pStyle w:val="Heading3"/>
        <w:numPr>
          <w:ilvl w:val="2"/>
          <w:numId w:val="1"/>
        </w:numPr>
        <w:rPr/>
      </w:pPr>
      <w:bookmarkStart w:id="784" w:name="pg15209_204310"/>
      <w:bookmarkStart w:id="785" w:name="__RefHeading___Toc2974845_2142443653"/>
      <w:bookmarkStart w:id="786" w:name="_Toc278"/>
      <w:bookmarkEnd w:id="784"/>
      <w:bookmarkEnd w:id="785"/>
      <w:r>
        <w:rPr/>
        <w:t>5</w:t>
      </w:r>
      <w:r>
        <w:rPr>
          <w:rtl w:val="true"/>
        </w:rPr>
        <w:t xml:space="preserve"> - </w:t>
      </w:r>
      <w:r>
        <w:rPr>
          <w:rtl w:val="true"/>
        </w:rPr>
        <w:t>فهرس الكتب الواردة في المتن</w:t>
      </w:r>
      <w:bookmarkEnd w:id="786"/>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أقرب الموارد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إيضاح النافع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w:t>
      </w:r>
    </w:p>
    <w:p>
      <w:pPr>
        <w:pStyle w:val="BookText"/>
        <w:rPr/>
      </w:pP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تفسير النعماني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تفسير فرات بن إبراهيم تفسير</w:t>
      </w:r>
    </w:p>
    <w:p>
      <w:pPr>
        <w:pStyle w:val="BookText"/>
        <w:rPr/>
      </w:pPr>
      <w:r>
        <w:rPr>
          <w:rFonts w:ascii="Amiri" w:hAnsi="Amiri" w:eastAsia="Amiri" w:cs="Amiri"/>
          <w:color w:val="111111"/>
          <w:sz w:val="28"/>
          <w:sz w:val="28"/>
          <w:szCs w:val="28"/>
          <w:rtl w:val="true"/>
          <w:lang w:bidi="ar-SA"/>
        </w:rPr>
        <w:t>فرات الكوفي</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التنقيح الرائع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درر اللآلي </w:t>
      </w:r>
      <w:r>
        <w:rPr>
          <w:rFonts w:eastAsia="Amiri" w:cs="Amiri" w:ascii="Amiri" w:hAnsi="Amiri"/>
          <w:color w:val="111111"/>
          <w:sz w:val="28"/>
          <w:szCs w:val="28"/>
          <w:lang w:bidi="ar-SA"/>
        </w:rPr>
        <w:t>279</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p>
    <w:p>
      <w:pPr>
        <w:pStyle w:val="BookText"/>
        <w:rPr/>
      </w:pP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شرح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القواعد لكاشف الغطاء</w:t>
      </w:r>
    </w:p>
    <w:p>
      <w:pPr>
        <w:pStyle w:val="BookText"/>
        <w:rPr/>
      </w:pPr>
      <w:r>
        <w:rPr>
          <w:rFonts w:ascii="Amiri" w:hAnsi="Amiri" w:eastAsia="Amiri" w:cs="Amiri"/>
          <w:color w:val="111111"/>
          <w:sz w:val="28"/>
          <w:sz w:val="28"/>
          <w:szCs w:val="28"/>
          <w:rtl w:val="true"/>
          <w:lang w:bidi="ar-SA"/>
        </w:rPr>
        <w:t xml:space="preserve">شرح القواعد لكاشف الغطاء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صحيفة الرضا عليه السلام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w:t>
      </w:r>
    </w:p>
    <w:p>
      <w:pPr>
        <w:pStyle w:val="BookText"/>
        <w:rPr/>
      </w:pPr>
      <w:r>
        <w:rPr>
          <w:rFonts w:ascii="Amiri" w:hAnsi="Amiri" w:eastAsia="Amiri" w:cs="Amiri"/>
          <w:color w:val="111111"/>
          <w:sz w:val="28"/>
          <w:sz w:val="28"/>
          <w:szCs w:val="28"/>
          <w:rtl w:val="true"/>
          <w:lang w:bidi="ar-SA"/>
        </w:rPr>
        <w:t>الرضا عليه السلام</w:t>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p>
    <w:p>
      <w:p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كتاب علي عليه السلام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كتاب ورّام بن أبي فراس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الفقه</w:t>
      </w:r>
    </w:p>
    <w:p>
      <w:pPr>
        <w:pStyle w:val="BookText"/>
        <w:rPr/>
      </w:pP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رسالة المحكم والمتشابة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p>
    <w:p>
      <w:pPr>
        <w:pStyle w:val="BookText"/>
        <w:rPr/>
      </w:pP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المقابس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مقابس الأنوار</w:t>
      </w:r>
    </w:p>
    <w:p>
      <w:pPr>
        <w:pStyle w:val="BookText"/>
        <w:rPr/>
      </w:pPr>
      <w:r>
        <w:rPr>
          <w:rFonts w:ascii="IRNazanin" w:hAnsi="IRNazanin" w:eastAsia="IRNazanin"/>
          <w:color w:val="111111"/>
          <w:sz w:val="28"/>
          <w:sz w:val="28"/>
          <w:szCs w:val="28"/>
          <w:rtl w:val="true"/>
          <w:lang w:bidi="fa-IR"/>
        </w:rPr>
        <w:t xml:space="preserve">مقابس الأنوار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منتهى الإرب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w:t>
      </w:r>
    </w:p>
    <w:p>
      <w:pPr>
        <w:pStyle w:val="BookText"/>
        <w:rPr/>
      </w:pP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w:t>
      </w:r>
    </w:p>
    <w:p>
      <w:pPr>
        <w:pStyle w:val="BookText"/>
        <w:rPr/>
      </w:pPr>
      <w:r>
        <w:rPr>
          <w:rFonts w:ascii="Amiri" w:hAnsi="Amiri" w:eastAsia="Amiri" w:cs="Amiri"/>
          <w:color w:val="111111"/>
          <w:sz w:val="28"/>
          <w:sz w:val="28"/>
          <w:szCs w:val="28"/>
          <w:rtl w:val="true"/>
          <w:lang w:bidi="ar-SA"/>
        </w:rPr>
        <w:t xml:space="preserve">نوادر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لأحمد بن محمّد بن عيسى</w:t>
      </w:r>
    </w:p>
    <w:p>
      <w:pPr>
        <w:pStyle w:val="BookText"/>
        <w:rPr/>
      </w:pPr>
      <w:r>
        <w:rPr>
          <w:rFonts w:ascii="Amiri" w:hAnsi="Amiri" w:eastAsia="Amiri" w:cs="Amiri"/>
          <w:color w:val="111111"/>
          <w:sz w:val="28"/>
          <w:sz w:val="28"/>
          <w:szCs w:val="28"/>
          <w:rtl w:val="true"/>
          <w:lang w:bidi="ar-SA"/>
        </w:rPr>
        <w:t xml:space="preserve">نهاية الإحكام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النوادر لأحمد بن محمّد بن عيسى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w:t>
      </w:r>
    </w:p>
    <w:p>
      <w:pPr>
        <w:pStyle w:val="BookText"/>
        <w:rPr/>
      </w:pP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للصدوق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15209_204314"/>
      <w:bookmarkStart w:id="788" w:name="pg15209_204314"/>
      <w:bookmarkEnd w:id="788"/>
    </w:p>
    <w:p>
      <w:pPr>
        <w:pStyle w:val="Heading3"/>
        <w:numPr>
          <w:ilvl w:val="2"/>
          <w:numId w:val="1"/>
        </w:numPr>
        <w:rPr/>
      </w:pPr>
      <w:bookmarkStart w:id="789" w:name="pg15209_204314"/>
      <w:bookmarkStart w:id="790" w:name="__RefHeading___Toc2974847_2142443653"/>
      <w:bookmarkStart w:id="791" w:name="_Toc279"/>
      <w:bookmarkEnd w:id="789"/>
      <w:bookmarkEnd w:id="790"/>
      <w:r>
        <w:rPr/>
        <w:t>6</w:t>
      </w:r>
      <w:r>
        <w:rPr>
          <w:rtl w:val="true"/>
        </w:rPr>
        <w:t xml:space="preserve"> - </w:t>
      </w:r>
      <w:r>
        <w:rPr>
          <w:rtl w:val="true"/>
        </w:rPr>
        <w:t>فهرس مصادر التحقيق</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والتقليد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أجود التقريرات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المحقّق النائيني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أبو القاسم الموسوي الخوئي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مطبعة ستارة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إبراهيم البهادري و محمّد هادي به ، الطبعة الاُولى ، مجلّدان ، قم ، منشورات اُسوة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حسن المصطفوي ، جامعة مشهد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فارس الحسّون ، الطبعة الاُولى ، مجلّدان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w:t>
      </w:r>
    </w:p>
    <w:p>
      <w:pPr>
        <w:pStyle w:val="BookText"/>
        <w:rPr/>
      </w:pPr>
      <w:r>
        <w:rPr>
          <w:rFonts w:ascii="Amiri" w:hAnsi="Amiri" w:eastAsia="Amiri" w:cs="Amiri"/>
          <w:color w:val="111111"/>
          <w:sz w:val="28"/>
          <w:sz w:val="28"/>
          <w:szCs w:val="28"/>
          <w:rtl w:val="true"/>
          <w:lang w:bidi="ar-SA"/>
        </w:rPr>
        <w:t xml:space="preserve">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دارالكتب الإسلامية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عز الدين علي بن أبي الكرم محمّد بن محمّد ابن عبدالكريم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إبراهيم البنّاء ومحمّد أحمد عاشور و محمود عبدالوهّاب فايد ، الطبع الثاني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الإشارات و التنبيهات ، مع الشرح للمحقّق نصير الدين الطوسي وشرح الشرح للعلاّمة قطب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دفتر نشر كتاب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إصباح الشيعة بمصباح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الحسين الكيدرى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إبراهيم البهادري ، الطبعة الاُولى ، قم ، مؤسّسة الإمام الصادق عليه السلام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الخوري الشرتوني اللبناني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آية اللّه المرعشي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محمّد زهري النجّار ، بيروت ، نشر دار المعرفة للطباعة والنشر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أبو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التعليقة على الكفاية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في شرح إشكالات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الشيخ أبو طالب محمّد </w:t>
      </w:r>
    </w:p>
    <w:p>
      <w:pPr>
        <w:pStyle w:val="BookText"/>
        <w:rPr/>
      </w:pPr>
      <w:r>
        <w:rPr>
          <w:rFonts w:ascii="Amiri" w:hAnsi="Amiri" w:eastAsia="Amiri" w:cs="Amiri"/>
          <w:color w:val="111111"/>
          <w:sz w:val="28"/>
          <w:sz w:val="28"/>
          <w:szCs w:val="28"/>
          <w:rtl w:val="true"/>
          <w:lang w:bidi="ar-SA"/>
        </w:rPr>
        <w:t xml:space="preserve">ابن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عدّة من العلماء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المطبعة العلمية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رشد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مجلّدان ، قم ، منشورات الشريف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الطالب في شرح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الجيلاني الإشكوري ، الطبعة الحجرية ، طهران ، دار الطباعة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المحقّق السيّد محمّد آل بحر العلوم ، تحقيق السيّد محمّد تقيّ آل بحرالعلوم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مكتبة الصادق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الحائري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الطبعة الاُولى ، قم ، مؤسّسة إسماعيليان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التمدن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جرجي زيدان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الدكتور حسين مؤنس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القاهرة ، دار الهلال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أبو الفضل إبراهيم ، الطبعة السادسة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المعارف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أحمد حبيب قصير العاملي ، بيروت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دار إحياء التراث العربي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الشرعية علي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ابن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إبراهيم البهادري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الإمام الصادق عليه السلام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الحسن بن يوسف بن المطهّر ،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لإحياء التراث ، الطبعة الاُولى ، صدر منه حتّى الآن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آل البيت لإحياء التراث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والترجيح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عبداللّه بن عمر بن محمّد الشيرازي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مجلّدان ، بيروت ، دار الكتب العلمية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إحياء التراث العربي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السيّد طيّب الموسوي الجزائري ، الطبعة الثالثة ، مجلّ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 ، قم ، مؤسّسة دار الكتاب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w:t>
      </w:r>
    </w:p>
    <w:p>
      <w:pPr>
        <w:pStyle w:val="BookText"/>
        <w:rPr/>
      </w:pPr>
      <w:r>
        <w:rPr>
          <w:rFonts w:ascii="Amiri" w:hAnsi="Amiri" w:eastAsia="Amiri" w:cs="Amiri"/>
          <w:color w:val="111111"/>
          <w:sz w:val="28"/>
          <w:sz w:val="28"/>
          <w:szCs w:val="28"/>
          <w:rtl w:val="true"/>
          <w:lang w:bidi="ar-SA"/>
        </w:rPr>
        <w:t xml:space="preserve">الثالثة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مكتب الإعلام الإسلامي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كاظم ، طهران ، مؤسّسة الطبع والنشر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لمختصر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السيوري الحلّي المعروف بالفاضل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 اللطيف الكوهكمري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آية اللّه المرعشي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بالاُفست عن طبعة النجف الأشرف ، المطبعة المرتضوية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قم ، مؤسّسة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أبو القاسم بن الحسن الجيلاني المحقّق القمّي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مرتضى رضوى ، چاپ اول ، تا الآن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چاپ رسيده ، طهران ، انتشارات كيهان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المدارك في شرح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مكتبة الصدوق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علي بن الحسين بن عبدالعالي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لإحياء التراث ، الطبعة الاُولى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آل البيت لإحياء التراث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يحيى بن أحمد بن سعيد الحلّي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جمع من الفضلاء ، قم ، مؤسّسة سيّد الشهداء عليه السلام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أو الأشعثيات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محمّد بن محمّد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مكتبة نينوى الحديثة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مهديّ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طهران ، وزارة الثقافة الإسلامية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علي الإيرواني الغروي ، تحقيق باقر الفخّار الأصفهاني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ذوي القربى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الغروي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عبّاس محمّد آل سباع القطيفي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ذوي القربى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عبّاس محمّد آل سباع القطيفي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المصطفى لإحياء التراث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جزءان في مجلّد واحد ، قم ، انتشارات الشريف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الإيرواني ، الطبعة الاُولى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جزءان في مجلّد واحد، 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جماعة من المحقّقين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 الكريم الحائري اليزدي ، تعليق آية اللّه الشيخ محمّد علي الأراكي والمؤلّف ، تحقيق الشيخ محمّد المؤمن القمّي ، الطبعة الخامسة ،</w:t>
      </w:r>
    </w:p>
    <w:p>
      <w:pPr>
        <w:pStyle w:val="BookText"/>
        <w:rPr/>
      </w:pPr>
      <w:r>
        <w:rPr>
          <w:rFonts w:ascii="Amiri" w:hAnsi="Amiri" w:eastAsia="Amiri" w:cs="Amiri"/>
          <w:color w:val="111111"/>
          <w:sz w:val="28"/>
          <w:sz w:val="28"/>
          <w:szCs w:val="28"/>
          <w:rtl w:val="true"/>
          <w:lang w:bidi="ar-SA"/>
        </w:rPr>
        <w:t xml:space="preserve">جزءان في مجلّد واحد ، قم ، مؤسّسة النشر الإسلامي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الأحسائي ، مخطوط في المكتبة المرعشيّة ، تحت رقم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القاضي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بن علي أصغر فيضي ، مجلّدان ، القاهرة ،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السبزواري محمّد باقر بن محمّد 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 قم ، مؤسّسة آل البيت لإحياء التراث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الأصفهاني ، الطبعة الاُولى ،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 الطبعة الاُولى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صالح المدرّسي ، الطبعة الاُولى ، قم ، مرصاد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المحكم والمتشابه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المرتضى علم الهدى أبوالقاسم علي ابن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دار الشبستري للمطبوعات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مجمع الفكر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في شرح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المولى محمّد تقيّ المجلسي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السيّد حسين الموسوي الكرماني والشيخ علي پناه الاشتهاردي ، الطبعة الاُولى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بنياد فرهنگ إسلامي ، حاج محمّد حسين كوشانپور ،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بيان أحكام الشرع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فؤاد عبد الباقي ، مجلّدان ، بيروت ، 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كمال يوسف الحوت ، الطبعة الاُولى ، مجلّدان ، بيروت ، دار الجنان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 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الدكتور يوسف عبد الرحمان المرعشلي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الفهرس ، بيروت ، دار المعرفة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ابن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الحسين محمّد علي بقّال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قم ، مؤسّسة إسماعيليان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عمر بن عبداللّه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الرحمان عميرة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منشورات شريف الرضيّ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و تحقيق حسن حسن‌زاده الآملي و 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دار إحياء التراث العربي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الشيخ خضر الجناجي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حسين الرضوي الكشميري ، الطبعة الاُولى ، مجلّدان ، قم ، سعيد بن جبير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شوارق الإلهام في شرح تجريد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عبد الرزّاق بن علي بن الحسين اللاهيجي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أكبر أسد عليزاده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الإمام الصادق عليه السلام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 الغفور 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العلم للملايين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مهديّ نجف ، الطبعة الاُولى ، مشهد ، المؤتمر العالمي للإمام الرضا عليه السلام ، مؤسّسة طبع ونشر الآستانة الرضوية المقدّسة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النبي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المستغفري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قم ، منشورات الرضي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فهد الحلّي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المعارف الإسلامية ، الطبعة الاُولى ، قم ، مؤسّسة المعارف الإسلامية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رضا الأنصاري القمّي ، الطبعة الاُولى ، مجلّدان ، قم ، مطبعة ستارة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تعليقات عدّة من الفقهاء العظام ، إعداد أحمد المحسني السبزواري ، الطبعة الثانية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عوائد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بن محمّد مهديّ بن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قم ، مكتب الإعلام الإسلامي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 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مهديّ الحسيني اللاجوردي ، الطبعة الثانية ، منشورات جهان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الآمال في 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نهاية المقال في تكملة غاية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المامقانى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أمين المامقاني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مطبعة ثامن</w:t>
      </w:r>
    </w:p>
    <w:p>
      <w:pPr>
        <w:pStyle w:val="BookText"/>
        <w:rPr/>
      </w:pPr>
      <w:r>
        <w:rPr>
          <w:rFonts w:ascii="IRNazanin" w:hAnsi="IRNazanin" w:eastAsia="IRNazanin"/>
          <w:color w:val="111111"/>
          <w:sz w:val="28"/>
          <w:sz w:val="28"/>
          <w:szCs w:val="28"/>
          <w:rtl w:val="true"/>
          <w:lang w:bidi="fa-IR"/>
        </w:rPr>
        <w:t xml:space="preserve">الحجج،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التميمي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مهديّ الرجائي ، قم ، دار الكتاب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الاُصول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المكارم السيّد حمزة بن علي بن زهرة </w:t>
      </w:r>
    </w:p>
    <w:p>
      <w:pPr>
        <w:pStyle w:val="BookText"/>
        <w:rPr/>
      </w:pPr>
      <w:r>
        <w:rPr>
          <w:rFonts w:ascii="Amiri" w:hAnsi="Amiri" w:eastAsia="Amiri" w:cs="Amiri"/>
          <w:color w:val="111111"/>
          <w:sz w:val="28"/>
          <w:sz w:val="28"/>
          <w:szCs w:val="28"/>
          <w:rtl w:val="true"/>
          <w:lang w:bidi="ar-SA"/>
        </w:rPr>
        <w:t xml:space="preserve">الحلبي المعروف بابن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إبراهيم البهادري ، الطبعة</w:t>
      </w:r>
    </w:p>
    <w:p>
      <w:pPr>
        <w:pStyle w:val="BookText"/>
        <w:rPr/>
      </w:pPr>
      <w:r>
        <w:rPr>
          <w:rFonts w:ascii="Amiri" w:hAnsi="Amiri" w:eastAsia="Amiri" w:cs="Amiri"/>
          <w:color w:val="111111"/>
          <w:sz w:val="28"/>
          <w:sz w:val="28"/>
          <w:szCs w:val="28"/>
          <w:rtl w:val="true"/>
          <w:lang w:bidi="ar-SA"/>
        </w:rPr>
        <w:t xml:space="preserve">الاُولى ، مجلّدان ، قم ، مؤسّسة الإمام الصادق عليه السلام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الغروية في الاُصول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عبدالرحيم الطهراني الأصفهاني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دار إحياء العلوم الإسلامية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بالاُفست عن الطبعة الحجرية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علي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الجزيري ، الطبعة السابعة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قاطعة اللجاج في تحقيق حلّ الخراج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الثاني الشيخ علي ابن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قم ، مؤسّسة النشر الإسلامي ، </w:t>
      </w:r>
      <w:r>
        <w:rPr>
          <w:rFonts w:eastAsia="Amiri" w:cs="Amiri" w:ascii="Amiri" w:hAnsi="Amiri"/>
          <w:color w:val="111111"/>
          <w:sz w:val="28"/>
          <w:szCs w:val="28"/>
          <w:lang w:bidi="ar-SA"/>
        </w:rPr>
        <w:t>1413</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والقابوس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الجيل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عبداللّه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لإحياء التراث ، الطبعة الاُولى ، قم ، مؤسّسة آل البيت لإحياء التراث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والفوائد في الفقه والاُصول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مكّي العاملي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الهادي الحكيم ، الطبعة الثانية ، مجلّدان ، قم ، مكتبة المفيد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بن نجم أبو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رضا الاُستادي ، أصفهان ، مكتبة الإمام أمير المؤمنين عليه السلام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الكرم محمّد بن محمّد بن عبد الكريم بن عبد الواحد الشيباني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 بيروت ، دار صادر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محمود بن عمر الزمخشري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مصطفى حسين أحمد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الكتاب العربي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الرموز في شرح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أبو علي الحسن بن أبي طالب بن أبي المجد اليوسفي المعروف بالفاضل والمحقّق الآبي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علي پناه </w:t>
      </w:r>
    </w:p>
    <w:p>
      <w:pPr>
        <w:pStyle w:val="BookText"/>
        <w:rPr/>
      </w:pPr>
      <w:r>
        <w:rPr>
          <w:rFonts w:ascii="Amiri" w:hAnsi="Amiri" w:eastAsia="Amiri" w:cs="Amiri"/>
          <w:color w:val="111111"/>
          <w:sz w:val="28"/>
          <w:sz w:val="28"/>
          <w:szCs w:val="28"/>
          <w:rtl w:val="true"/>
          <w:lang w:bidi="ar-SA"/>
        </w:rPr>
        <w:t xml:space="preserve">الاشتهاردي وحسين اليزدي ، الطبعة الاُولى ، مجلّدان ، قم ، مؤسّسة النشر الإسلامي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 تحقيق الشيخ حسن حسن زاده الآملي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قم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الفقه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مؤمن الشريف الخراساني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مرتضى الواعظي الأراكي ، الطبعة الاُولى ، مجلّدان ، قم ، مؤسّسة النشر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طهران ، مكتبة الصدوق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مكّي بن العاملي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بيروت ، مؤسّسة فقه الشيعة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تقيّ الكشفي ، الطبعة الثانية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المكتبة المرتضوية لإحياء الآثار الجعفرية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ومكتبة الهلال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للطباعة والنشر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في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مجتبى العراقي وعلي پناه الاشتهاردي وحسين اليزدي ، الطبعة الاُولى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النشر الإسلامي ،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 الدين الحسيني الاُرموي ، الطبعة الثانية ، قم ، 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بالآثار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الدكتور عبدالغفّار سليمان البنداري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قم ، منشورات مؤسّسة المطبوعات الديني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قم ، مكتب الإعلام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لإحياء التراث ، 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آل البيت لإحياء التراث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في فقه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الملقّب بسلاّر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محمود البستاني ، قم ، منشورات حرمين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المعارف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المعارف الإسلامية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الميرزا حسين المحدّث النوري الطبرسي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آل البيت لإحياء التراث ، الطبعة</w:t>
      </w:r>
    </w:p>
    <w:p>
      <w:pPr>
        <w:pStyle w:val="BookText"/>
        <w:rPr/>
      </w:pPr>
      <w:r>
        <w:rPr>
          <w:rFonts w:ascii="Amiri" w:hAnsi="Amiri" w:eastAsia="Amiri" w:cs="Amiri"/>
          <w:color w:val="111111"/>
          <w:sz w:val="28"/>
          <w:sz w:val="28"/>
          <w:szCs w:val="28"/>
          <w:rtl w:val="true"/>
          <w:lang w:bidi="ar-SA"/>
        </w:rPr>
        <w:t xml:space="preserve">الاُولى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آل البيت لإحياء التراث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دار التفسير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لإحياء التراث ، الطبعة الاُولى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آل البيت لإحياء التراث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آية اللّه الخوئي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التوحيدي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انتشارات وجداني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 الصلاة ، الزكاة ، الخمس ، الصوم ، الرهن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آقا رضا بن محمّد هادي الهمداني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الطهارة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المؤسّسة الجعفرية لإحياء التراث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 مؤسّسة 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الزكاة والخمس والصوم والرهن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 ترتيب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جزءان في مجلّد واحد ، قم ، دار الهجرة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الاُصول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جمال الدين الحسن بن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التحقيق ، الطبعة الحادي عشر ، 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قم ، مؤسّسة النشر الإسلامي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الأفاضل ، الطبعة الاُولى ، مجلّدان ، قم ، مؤسّسة سيّد الشهداء عليه السلام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السلام محمّد هارون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 الإعلام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ويليه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أحمد بن محمّد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الفرج عبدالرحمان بن أبي عمر محمّد بن أحمد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الكتب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مطبعة الخيّام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الخالصي ، 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مقابس الأنوار ونفائس الأسرار في أحكام النبي المختار وعترته الأطهار، الشيخ أسداللّه بن إسماعيل التستري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آل البيت</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التحقيق التابعة لمؤسّسة الإمام الهادي عليه السلام ، قم ، مؤسّسة الإمام الهادي عليه السلام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الفقهية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والبيع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الميرزا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الآملي ، الطبعة الاُولى ، مجلّدان ، قم ، مؤسّسة النشر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ملاذ الأخيار في فهم تهذيب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 تحقيق السيّد مهديّ الرجائي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مكتبة آية اللّه المرعشي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الوصول إلى علم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الإرب في لغة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بن عبدالكريم الصفيپور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في مجلّدين ، طهران ، كتابخانه سنائي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ابن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الفقه في مجمع البحوث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مشهد ، مجمع البحوث الإسلامية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في 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إسماعيل الحائري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لإحياء التراث ، الطبعة الاُولى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آل البيت لإحياء التراث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وعدّة من الأساتذة ، الطبعة الثالثة والثلاثون ، بيروت ، دار المشرق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عبدالعزيز بن نحرير بن عبدالعزيز القاضي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سيّد الشهداء ، الطبعة الاُولى ، مجلّدان ، قم ، 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في شرح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العبّاس أحمد بن محمّد 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نضد القواعد الفقهيّة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المقداد بن عبداللّه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عبداللطيف الكوهكمري ، الطبعة الاُولى ، قم ، مكتبة آية اللّه العظمى المرعشى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بن محمّد بن عيسى الأشعري القمّي ، تحقيق 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قم ، 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الطبعة الثانية ، مجلّدان ، قم ، مؤسّسة إسماعيليان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حسينعلي المنتظري ، الطبعة الاُولى ، قم ، نشر تفكّر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آغا ضياء الدين العراقي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الدراية في شرح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لإحياء التراث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آل البيت لإحياء التراث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السعادات المبارك بن محمّد بن محمّد الجزري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طاهر أحمد التراوي ومحمود محمّد الطناحي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إسماعيليان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قدس محمّدي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من كلام مولانا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الشريف الرضي ،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الدكتور صبحي صالح ، انتشارات الهجرة ، قم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 تحقيق جواد القيّومي الأصفهاني ، الطبعة الاُولى ، قم ، دار الفقه للطباعة والنشر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ضياء الدين الحسيني ، 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أصفهان ، مكتبة الإمام أمير المؤمنين عليه السلام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لإحياء التراث ، الطبعة الاُولى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آل البيت لإحياء التراث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جعفر محمّد بن علي الطوسي 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 الطبعة الاُولى ، قم ، مكتبة آية اللّه المرعشي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الطالب إلى أسرار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فتّاح الشهيدي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الفقه للطباعة والنشر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المسترشدين في شرح اُصول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الرازي النجفي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2" w:name="pg15209_204336"/>
      <w:bookmarkStart w:id="793" w:name="pg15209_204336"/>
      <w:bookmarkEnd w:id="793"/>
    </w:p>
    <w:p>
      <w:pPr>
        <w:pStyle w:val="Heading3"/>
        <w:numPr>
          <w:ilvl w:val="2"/>
          <w:numId w:val="1"/>
        </w:numPr>
        <w:rPr/>
      </w:pPr>
      <w:bookmarkStart w:id="794" w:name="pg15209_204336"/>
      <w:bookmarkStart w:id="795" w:name="__RefHeading___Toc2974849_2142443653"/>
      <w:bookmarkStart w:id="796" w:name="_Toc280"/>
      <w:bookmarkEnd w:id="794"/>
      <w:bookmarkEnd w:id="795"/>
      <w:r>
        <w:rPr/>
        <w:t>7</w:t>
      </w:r>
      <w:r>
        <w:rPr>
          <w:rtl w:val="true"/>
        </w:rPr>
        <w:t xml:space="preserve"> - </w:t>
      </w:r>
      <w:r>
        <w:rPr>
          <w:rtl w:val="true"/>
        </w:rPr>
        <w:t>فهرس الموضوعات</w:t>
      </w:r>
      <w:bookmarkEnd w:id="796"/>
    </w:p>
    <w:p>
      <w:pPr>
        <w:pStyle w:val="BookText"/>
        <w:rPr/>
      </w:pPr>
      <w:r>
        <w:rPr>
          <w:rFonts w:ascii="Amiri" w:hAnsi="Amiri" w:eastAsia="Amiri" w:cs="Amiri"/>
          <w:color w:val="111111"/>
          <w:sz w:val="28"/>
          <w:sz w:val="28"/>
          <w:szCs w:val="28"/>
          <w:rtl w:val="true"/>
          <w:lang w:bidi="ar-SA"/>
        </w:rPr>
        <w:t>القول في شرائط العوضين</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والملكية في العوضين</w:t>
      </w:r>
    </w:p>
    <w:p>
      <w:pPr>
        <w:pStyle w:val="BookText"/>
        <w:rPr/>
      </w:pPr>
      <w:r>
        <w:rPr>
          <w:rFonts w:ascii="Amiri" w:hAnsi="Amiri" w:eastAsia="Amiri" w:cs="Amiri"/>
          <w:color w:val="111111"/>
          <w:sz w:val="28"/>
          <w:sz w:val="28"/>
          <w:szCs w:val="28"/>
          <w:rtl w:val="true"/>
          <w:lang w:bidi="ar-SA"/>
        </w:rPr>
        <w:t xml:space="preserve">اعتبار المالية والملكية في العوضين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حول اشتراط المالية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حكم الشكّ في مالية أحد العوضين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كفاية المالية العرفية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النسبة بين المال والملك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حول اشتراط الملكية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عدم اعتبار السلطنة في صدق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حكم بيع المباحات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وجوب تحصيل المبيع إذا باع ما ليس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حكم بيع الأراضي المفتوحة عنوة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 الأخبار الدالّة على أنّ الأرض كلّها للإمام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التحقيق في مفاد آية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أقسام الأرضين </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الموات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إذن الأئمّة في التصرّف لمطلق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استعراض الأدلّة على الإذن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حصول الملكية بالإحياء لكلّ محيٍ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العامرة بالأصالة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تملّك الأراضي التي لا ربّ لها بالحيازة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الموات بالعرض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مقتضى الأصل في الأقسام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حكم الشكّ في موتان الأرض بالأصالة أو لعارض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حكم الشكّ في عمران الأرض بالأصالة أو لعارض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حكم الشكّ في الأرض المملوكة التي عرضها الخراب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عرضتها الحياة بعد كونها ميتة بالأصالة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بيان حكم الأراضي المفتوحة عنوة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مؤيّدات لعدم ملكية الأرض المفتوحة عنوة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بحث في صحّة بيع الأراضي المفتوحة عنوة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التحقيق في الروايات الواردة في الأراضي الخراجية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الروايات الظاهرة في شراء أرض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اعتبار إذن الإمام عليه السلام في صيرورة الأرض المفتوحة عنوة خراجية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البحث عن مفاد آية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الأخبار الدالّة على وجوب الخمس في الأراضي المغنومة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الأخبار الدالّة على عدم التخميس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كيفية الجمع بين الأخبار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أدلّة اعتبار إذن الإمام في ملكية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 اعتبار كون الأرض محياة حال الفتح لصيرورتها خراجية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الشكّ في كون الفتح عنوة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الشكّ في إذن الإمام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الأمارات المثبتة لتحقّق الإذن والعنوة والحياة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حكم أرض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السواد</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حكم التصرّف في أرض العراق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العوضين ملكاً طلقاً</w:t>
      </w:r>
    </w:p>
    <w:p>
      <w:pPr>
        <w:pStyle w:val="BookText"/>
        <w:rPr/>
      </w:pPr>
      <w:r>
        <w:rPr>
          <w:rFonts w:ascii="Amiri" w:hAnsi="Amiri" w:eastAsia="Amiri" w:cs="Amiri"/>
          <w:color w:val="111111"/>
          <w:sz w:val="28"/>
          <w:sz w:val="28"/>
          <w:szCs w:val="28"/>
          <w:rtl w:val="true"/>
          <w:lang w:bidi="ar-SA"/>
        </w:rPr>
        <w:t xml:space="preserve">اعتبار كون العوضين ملكاً 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بيان المراد من الطِلقية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بيع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ماهية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المختار في تعريف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أدلّة عدم جواز بيع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الاستدلال بعدم كون الوقف ملكاً للواقف ولا للموقوف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وجه عدم كون الواقف مالكاً للوقف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ما قيل لدخول الوقف في ملك الموقوف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حول كلام صاحب الجواهر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تقريب لملكية الموقوف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استدلال الشيخ الأعظم بمكاتبة الصفّار على عدم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الاستدلال على عدم الجواز بالروايات الحاكية لوقف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الاستدلال على عدم جواز بيع الوقف برواية أبي علي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التشبّث لبطلان بيع الوقف بالحقوق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البطلان لأجل حقّ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تقريب بطلان البيع لأجل حقّ الواقف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تقريب بطلان البيع لأجل حقّ البطون اللاحقة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بحث في بطلان الوقف بمجرّد جواز بيعه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هل يبطل الوقف ببيعه مطلقاً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أقسام الوقف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مقتضى الأصل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بيع الأوقاف العامّة من شؤون ولاية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كلام كاشف الغطاء في عدم صحّة بيع الوقف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مسوّغات بيع الوقف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وفيها صور نتعرّض لمهمّاتها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خرب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تقرير مقتضي بيع الوقف على مبنى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تقريب المقتضي على المسلك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بيان أنحاء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استدلال الشيخ الأعظم على جواز البيع عند طروّ الخراب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تأييد الشيخ الأعظم لجواز البيع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وجوب تبديل الوقف إلى ما يقبل البقاء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عدم اختصاص البدل بالطبقة الموجودة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عدم صيرورة بدل الموقوفة وقفاً بالتبديل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التفصيل في وجوب شراء المماثل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بيع الأوقاف بيد الحاكم لا المتولّي المنصوب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المتصدّي لبيع الأوقاف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الواقف للبدل هو الحاكم لا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عروض الخراب على بعض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الصور الباقية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البيع أنفع وأعود للموقوف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الاستدلال بمكاتبة الحميري على جواز البيع عند الأنفعية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الاستدلال بصحيحة ابن مهزيار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الواقف بيعه لجهة من الجهات حسب ما يشترط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عدم مخالفة الاشتراط لماهية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دلالة صحيحة ابن الحجّاج على صحّة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يؤدّي بقاؤه إلى خرابه علماً أو ظنّاً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حكم الخلاف بين أرباب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صحّة الوقف المنقطع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الاستدلال بصحيحة ابن مهزيار على صحّة الوقف المنقطع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جواز بيع الوقف المنقطع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مختار الشيخ الأعظم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التمسّك بالعمومات لصحّة بيع الرهن موقوفاً على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كلام المحقّق التستري وما 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جريان نزاع الكشف والنقل في بيع الراهن بعد فكّ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فكّ الرهن مصحّح للمعاملة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هل الفكّ ناقل أو كاشف؟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التسليم في العوضين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القدرة على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بحديث الغرر على اعتبار القدرة على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المعاني المذكورة للغرر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الروايتان الناهيتان عن بيع الغرر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الاستدلال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اعتبار القدرة على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بحث في أنّ المستفاد من الحديثين بطلان العقد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هل القدرة على التسليم شرط أو العجز مانع؟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حول كلام الشيخ الأعظم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استظهار القدرة على التسليم من حين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اعتبار العلم بالقدرة على التسلّم لو كان المستند حديث الغرر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جواب الإشكال عن اعتبار القدرة على التسليم في الفضولي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هل تعتبر القدرة على التسليم في الصرف والسلم؟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بطلان كون الشرط هو القدرة المعلومة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حكم بيع الآبق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محتملات موثّقة سَماعة وبيان الحقّ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صحيحة النخّاس ومحتملاتها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صحّة بيع الآبق مع الضميمة إن كانت السلعة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النسبة بين روايتي النخّاس وسماعة وبين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مبيع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اعتبار القدرة في جميع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بقدر الثمن والمثمن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بقدر 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هنا مسألتين قد وقع الخلط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العلم بالثمن قدراً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يذكر الثمن في عقد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تأويلات صحيحة النخّاس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بقدر المثمن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الكلام في ذيل صحيحة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الاستدلال بروايات اُخرى على اعتبار العلم بقدر المثمن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لزوم الأخذ بعنواني الغرر والمجازفة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المراد من بيع المجازفة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جواز بيع المكيل بالوزن وبالعكس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جواز التبديل بشرط التعارف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اختلاف المقاييس باختلاف الأمتعة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هل المناط في المكيلية والموزونية بعصر النبي صلي الله عليه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موضوعية المكيل والموزون إثباتاً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حكم الشكّ في المكيلية والموزونية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الاعتماد على إخبار البائع بمقدار المبيع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هل أنّ إخبار البائع بالكيل يوجب صحّة المعاملة؟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بحث في روايات الباب ثبوتاً وإثباتاً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حكم مخالفة قول البائع للواقع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ثبوت خيار التبعّض عند كذب البائع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المشاهدة في مختلف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الوجوه المتصوّرة في بيع بعضٍ من جملةٍ متساوية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ذلك على نحو الكسر المشاع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حول بناء المحقّق النائيني المسألة على الجزء الذي لا يتجزّأ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التحقيق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الثاني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المنتشر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النصوص الموهمة لتعلّق الحكم بالفرد المنتشر والمردّد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تخيّل كون العلم الإجمالي من قبيل المتعلّق بالفرد المنتشر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الثالث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في المعيّن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صاع من الصبرة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في أنّ المراد من الصاع هو الكلّي في المعيّن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آثار القول بكون المبيع كلّياً في المعيّن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التخيير في تعيين المبيع للبائع لا المشتري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حقّ المشتري بالباقي بعد 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النماءات بالبائع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الباقي بالمشتري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حكم قبض المشتري لجميع الصبرة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حكم ما لو باع ثمرة بستان واستثنى منها أرطالاً معلومة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في الفرق بين بيع صاع من الصبرة والمستثنى في بيع الثمرة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صور بيع مقدار لم يعلم اشتمال الصبرة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فيما لو تعلّق البيع بالصبرة 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فيما لو كان المبيع كلّياً في المعيّن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فيما لو باع جميع الصبرة كلّ صاع بكذا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العين المشاهدة قبل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في الصور التي ذكرها الشيخ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ثبوت خيار تخلّف الشرط للمشتري مع انكشاف التغيّر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حكم بعض الصور التي لم يذكرها الشيخ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اختلف البائع والمشتري في التغيّر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تشخيص المدّعي والمنكر موكولان إلى العرف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العبرة في تشخيص المدّعي والمنكر بمصبّ الدعوى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للقاضي إلاّ استماع الدعوى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صور الاختلاف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وجوه تقديم قول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الشهيد والشيخ وابن إدريس والعلاّمة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كلام الشيخ وابن إدريس في وجه تقديم قول المشتري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كلام العلاّمة في وجه تقديم قول المشتري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العلاّمة بأصالة عدم علم المشتري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المحقّق الثاني بأصالة عدم وصول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في ابتناء الشيخ الأعظم المسألة على بناء المتعاملين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فيما ذكره الشيخ الأعظم من فساد التمسّك بأصالة اللزوم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ما ذكره الشيخ الأعظم من فساد التمسّك بالعمومات لإثبات لزوم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حكم صورة دعوى البائع للتغيّر الموجب لخياره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الاختلاف في تقدّم التغيّر على البيع وتأخّره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حكم الاختلاف في تقدّم التغيّر على القبض وتأخّره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حكم الاختلاف في تقدّم التلف على البيع وتأخّره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اختبار أوصاف المبيع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الروايات المؤيّدة لبطلان المعاملة مع جهالة الأوصاف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الروايات الظاهرة في صحّة المعاملة مع جهالة الأوصاف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موارد الشكّ في الصحّة والعيب وكيفية رفع الغرر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قيام السيرة العقلائية على المبايعة مع احتمال 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بيع ما يفسده الاختبار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حكم ما لو تبيّن فساد المبيع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حكم البراءة من عيب ما لا قيمة لمكسوره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بيع المسك في فأرته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بيع المجهول مع الضميمة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مقتضى القواعد في بيع المجهول مع الضميمة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النصوص الواردة في بيع الألبان في الضروع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صحّة بيع الحمل مع ضمّ الأصواف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جواز شراء الآجام مع ضميمة القصب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حول التفصيل المتراءى من ظاهر كلام العلاّمة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فيما يتصوّر في بيع المظروف مع الجهل بمقداره ومقتضى القاعدة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بيان معقد إجماع فخرالدين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الروايات الدالّة على جواز الإندار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احتمالات موثّقة حنان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في كفاية تعارف الإندار بعد البيع في صحّة بيع المجهول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اعتبار رضا المتعاملين بالإندار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عدم جواز الإندار بما يزيد ولا ينقص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عدم جواز الإندار بما يحتمل الزيادة لا النقيصة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في أنّ احتمال الزيادة والنقيصة موضوع لحكم جواز الإندار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حكم التمسّك بالأصل العملي عند الإندار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بيع المظروف مع ظرفه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فيها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تعلّم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كراهة تلقّي الركبان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التجارة عن تلقٍّ لا نفس الاستقبال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ارتفاع الكراهة بالوصول إلى أربعة فراسخ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صحّة المعاملة مع التلقّي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الاحتكار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مناقشة التحديد الوارد في موثّقة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بيان الأطعمة التي يحرم احتكارها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تحريم احتكار الطعام وإن لم يملكه بالاشتراء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إجبار المحتكر على البيع عند الامتناع والتسعير عند الإجحاف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أسماء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الَّذِى خَلَقَ لَكُم مَا فِى الْأَرْضِ جَمِيعاً ثُمَّ اسْتَوَى إِلَى السَّمَاءِ فَسَوَّيهُنَّ سَبْعَ سَموَاتٍ وَهُوَ بِكُلِّ شَىْ‌ءٍ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وَإِلَى ثَمُودَ أَخَاهُمْ صَالِحاً قَالَ يَا قَوْمِ اعْبُدُواْ اللّه‌َ مَا لَكُمْ مِنْ إِلَهٍ غَيْرُهُ هُوَ أَنْشَأَكُمْ مِنَ الْأَرْضِ وَاسْتَعْمَرَكُمْ فِيهَا فَاسْتَغْفِرُوهُ ثُمَّ تُوبُوا إِلَيْهِ إِنَّ رَبِّى قَرِيبٌ مُجِيبٌ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وَالْأَرْضَ وَضَعَهَا لِلْأَ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عمر بن يزيد الصيقل ولم يوثّق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عمر بن محمّد بن يزيد بيّاع السابري الثقة الجليل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ضعيف جدّاً ، لا يلتفت إلى ما رواه ، كلّ كتبه تخليط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الياء</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جدّاً ، لا يعوّل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رجاله مهملاً وذكر الكشّي عن حمدويه بن نصير عن رجل من أهل الكوفة أ نّه ليس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الجيم</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عن علي بن محمّد ، عن علي بن العبّاس ، عن الحسن بن عبد الرحمان ، عن عاصم بن حميد ، عن أبي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ضعيفة بعلي بن العبّاس فإنّه ضعّفه النجاشي ، وبالحسن بن عبد الرحمان فإنّه مهمل في كتب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الواو</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وإن اشتهر في ألسنة الفقهاء وكتبهم الاستدلالية بعنوان الحديث ، لكنّه لم يوجد بلفظه في الجوامع الروائية ، والظاهر أ نّها قاعدة متصيّدة من الروايات الواردة في الأبواب المختلفة ، كإحياء الموات والتحجير والصيد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مستمسك العروة الوثقى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التوصيف بالموثّقة لأجل كون السكوني عامّياً ثقةً معتمداً عند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المحكم والمتشابه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النعماني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أحكام</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علي بن إبراهيم في تفسيره ، عن أبيه ، عن فضالة بن أيّوب ، عن أبان بن عثمان ، عن إسحاق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الرواية موثّقة بأبان بن عثمان لأجل كلام في مذهبه ، أ مّا إسحاق بن عمّار فإنّه وإن نسبه الشيخ الطوسي بالفطحية ، لكن يظهر من المصنّف قدس‌سره أنّ هذه النسبة غير تامّة حيث عبّر في غير موضع من سائر كتبه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الإمام الخميني قدس‌سره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البيع ، الإمام الخميني قدس‌سره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تقدّم تخريجه في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 أبواب القصاص في النفس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بالإرسال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الصلاة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المزارعة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الإجارة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غاية الآمال ، المحقّق المامقاني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دعوى الإجماع على ذلك ، لكن حكاه عنه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ما يجب فيه الخمس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الأنفال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الخمس ، ضمن تراث الشيخ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ما يجب فيه الخمس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ما يجب فيه الخمس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الخمس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ما يجب فيه الخمس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ما يجب فيه الخمس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المحكم والمتشابه تفسير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ما يجب فيه الخمس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ما يجب فيه الخمس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قسمة الخمس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التعادل والترجيح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كتب العلاّمة على موافقته للشافعي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بلغة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اللجاج في تحقيق حلّ 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بلغة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ما يجب فيه الخمس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قسمة الخمس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اللجاج في تحقيق حلّ 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بلغة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الخمس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الخمس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 القسم الثاني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التعادل والترجيح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قسمة الخمس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سيأتي في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أيضاً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اللجاج في تحقيق حلّ 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التمدّن الإسلامي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العشرون</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بلغة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بلغة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شرح المحقّق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شوارق الإلهام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 كاشف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الطالب ، المحقّق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 باب عدم جواز بيع الوقف ، 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والموجود في النسخ الاُخرى من الوسائل ، أحمد بن عديس وهو الصحيح ظاهراً ؛ لأنّ أحمد بن إدريس الثقة لا يمكنه أن يروي عن أبان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عديس مجهول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الحديث هنا موافق للتهذيب والوسائل في كتاب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اختلفت كتب الحديث في ألفاظه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جنب ضيعتي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ملكك</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إلى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لم أجد في شيء من الكتب 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وفّرت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عمّرتها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الموجود في تجارة الشيخ الأعظم قدس‌سره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اشتباه ، منشؤه الاتّكال على الحافظة حال التحرير ، فإنّ الاشتباه من النسّاخ في مثل ذلك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 المحشّين قدس‌سره اتّكل على نقل الشيخ الأعظم قدس‌سره ولم يراجع كتب الحديث، فاستشكل في الانصراف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مورد الرواية هو تعمير الخراب، وأجاب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العلماء الأعلام والمحصّلين عدم الاتّكال على الحافظة في نقل الأحاديث ، ولا على كتب الاستدلال ، ولا سيّما مثل كتاب الجواهر وما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الأسف الشديد ، فاتتنا قراءة كتب الأحاديث على المشايخ وقراءتهم علينا بعد توسعة الفقه واُصوله بهذه التوسعة ، ولذلك وقعنا في اشتباهات كثيرة ، منشؤها اختلاف النسخ ، واختلاف قراءة كلمة واحدة تختلف معها الأحكام ، كما هو ظاهر للمراجع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 عن محمّ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بن جعفر الرزّاز ، عن محمّد بن عيسى ، عن أبي علي ابن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جعفر لم يوثّق صريحاً ، لكن هو من مشايخ الكليني وقد أكثر الرواية عنه ، وعدّه أبوغالب الزراري من مشايخ الشيعة ، واستظهر بعض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عيسى بن عبيد فيه كلام ، وثّقه النجاشي وقال في شأنه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جليل في أصحابنا ، ثقة ، عين ، كثير الرواية ، حسن التصانيف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عن ابن الوليد أ 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تفرّد به محمّد بن عيسى من كتب يونس وحديثه لا يعتمد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المصنّف قدس‌سره في كتاب طهارته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ثقة على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علي بن راشد هو الحسن بن راشد مولى لآل المهلب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الصدوق ، عن محمّد بن عيسى ، عن أبي علي بن راشد ، وقال في مشيخته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فيه عن محمّد بن عيسى فقد رويته عن أبي رضى‌الله‌عنه ، عن سعد بن عبداللّه ، عن محمّد بن عيسى بن عبيد اليقطيني ، ورويته عن محمّد بن الحسن رضى‌الله‌عنه ، عن محمّد بن الحسن الصفّار ، عن محمّد بن عيسى بن عبيد اليقطيني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الآمال ، المحقّق المامقاني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الصدقة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 كاشف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تقريرات المحقّق النائيني 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 كاشف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الطالب ، المحقّق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الطالب ، المحقّق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العلاّمة الميرزا محمّد تقيّ الشيرازي على المكاسب ، قسم البيع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 كاشف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الطالب ، المحقّق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سيأتي في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أيضاً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الطالب ، المحقّق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الوقوف</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الرهن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الرهن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نكاح العبيد والإماء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منه في 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بعد أسطر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بالإرسال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أسانيد الصدوق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الشاه المروزي ، عن محمّد بن عبداللّه النيسابوري ، عن عبيداللّه بن أحمد بن عامر الطائي ، عن أبيه ، عن الرضا عليه‌السلام ، وعن أحمد بن إبراهيم بن بكر الخوزي ، عن إبراهيم بن هارون بن محمّد الخوزي ، عن جعفر بن محمّد بن زياد الفقيه ، عن أحمد بن عبداللّه الهروي ، عن الرضا عليه‌السلام ، وعن الحسين بن محمّد العدل ، عن علي بن محمّد بن مهرويه القزويني ، عن داود بن سليمان الفرّاء ، عن الرضا ، عن آبائه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نضد القواعد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شرح المحقّق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شوارق الإلهام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المحقّق السبزواري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والبيع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بإسناده ، عن الحسين بن سعيد ، عن الحسن ، عن زرعة ، عن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موثّقة بزرعة ، فإنّه ثقة واقفي كما قاله النجاشي والشيخ ؛ وبسماعة فهو أيضاً واقفي على ما قاله الشيخ في رجاله ، وقال النجاشي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 نّه عبّر المصنّف قدس‌سره في موردين من كتاب طهارته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موثّقة سماعة أو صحيحته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الإمام الخميني قدس‌سره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القواعد ، كاشف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إسماعيليان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محمّد بن أحمد بن يحيى ، عن بنان بن محمّد ، عن ابن المغيرة ، عن السكوني ، عن جعفر ، عن أبيه ، عن علي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في الوسائل عن الشيخ بإسناده ، عن محمّد بن أحمد بن يحيى ، عن بنان بن محمّد ، عن أبيه ، عن ابن المغيرة ، عن السكوني ، عن جعفر ، عن أبيه ، عن علي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الحسين بن سعيد ، عن فضالة ، عن أبان ، عن محمّد ابن 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موثّقة بأبان لأجل كلام في مذهبه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آفتاب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الصدوق بإسناد صحيح ، عن يعقوب بن شعيب بن ميثم الأسدي ، ورواها الشيخ الطوسي بإسناده ، عن الحسين بن سعيد ، عن صفوان وعلي بن النعمان ، عن يعقوب بن 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صحيح كما عبّر المصنّف قدس‌سره في الجزء الرابع من كتاب البيع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صحيحة يعقوب بن شعيب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البيع ، الإمام الخميني قدس‌سره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حميد بن زياد ، عن الحسن بن محمّد بن سماعة ، عمّن ذكره ، عن أبان بن عثمان ، عن عبد الرحمان بن أبي عبداللّه ، ورواها الشيخ الطوسي بإسناده ، عن الحسين بن سعيد ، عن القاسم بن محمّد ، عن أبان ، عن عبد الرحمان بن أبي عبداللّه ، وكلا السندين ضعيفان ؛ أ مّا الأوّل فبالإرسال ، وأمّا الثاني فلوقوع القاسم بن محمّد الجوهري الواقفي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زكاة الفطرة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زكاة الغلاّت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الحسن بن محمّد بن سماعة ، عن ابن رباط ، عن ابن مسكان ، عن منصور بن حازم ، عن أبي عبداللّه عليه‌السلام ، والرواية موثّقة بمحمّد بن سماعة ، فإنّه من شيوخ الواقفة ، كثير الحديث ، فقيه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أبا العطارد مهمل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الكنى</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المحلّى بالآثار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 ضعفها في الصفحة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الطالب ، المحقّق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 كاشف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شرح المحقّق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شرح المحقّق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ما يحرم باستيفاء العدد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ما يحرم باستيفاء العدد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ما يحرم بالمصاهرة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ما يحرم باستيفاء العدد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الروضة البهيّ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بغية الطالب ، 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بغية الطالب ، 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ما تقدّم في الصفحة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موجودة في الأصل، وإنّما زيد في الطبعة الاُولى</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 أبواب القصاص في النفس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ما تقدّم في الصفحة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السلف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السلف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السلف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السلف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السلف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السلف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المحاسن عن أبي سلمان الحذّاء عن محمّد بن 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محمّد بن أحمد بن يحيى ، عن أبي جعفر ، عن داود بن إسحاق الحذّاء ، عن محمّد بن العيص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ضعيف لجهالة داود بن إسحاق ومحمّد بن العيص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اطرح وخذ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بيع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اطرح وخذ ولا تقلبه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هذا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 كاشف الغطاء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بيع الثمار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بيع الثمار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بيع الثمار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بيع الثمار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بيع الثمار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ضعيف بالإرسال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الحسن بن محمّد بن سماعة ، عن محمّد بن زياد ، عن معاوية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موثّقة بالحسن بن محمّد بن سماعة، فإنّه من شيوخ الواقفة كثير الحديث فقيه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الإرب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آنفاً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محمّد بن يحيى ، عن عبداللّه بن محمّد ، عن علي بن الحكم وحميد بن زياد ، عن الحسن بن محمّد بن سماعة ، عن غير واحد جميعاً ، عن أبان بن عثمان ، عن إسماعيل بن الفضل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موثّقة بحميد بن زياد والحسن بن محمّد بن سماعة ؛ لأنّ كليهما واقفيان ثقتان وبأبان بن عثمان لأجل كلام في مذهبه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صاحب مفتاح الكرامة ، ولم يوجد في إيضاح الفوائد مع الفحص التامّ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تقدّم في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محمّد بن يحيى ، عن أحمد بن محمّد ، عن محمّد بن إسماعيل ، عن 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الجوالق الغليظ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قرب الإسناد ، عن عبداللّه بن الحسن العلوي ، عن جدّه علي بن جعفر ، عن أخيه موسى بن جعفر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ضعيف بعبداللّه بن الحسن ، فإنّه مهمل ولم يرد بشأنه شيء من الجرح أو التعديل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 ضعفها في الصفحة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 القطيفي ، غير موجود لدينا ولم يطبع ؛ 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الإمام الخميني قدس‌سره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ولم نعثر عليه في الهداية ؛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بيع الثمار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آداب التجارة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التوصيف بالموثّقة لأجل كون السكوني عامّياً ثقةً معتمداً عند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غياث ، عن أبي عبداللّه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الحكرة إلاّ في الحنطة والشعير والتمر والزبيب والسمن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السندي بن محمّد ، عن أبي البختري ، عن جعفر بن محمّد ، عن أبيه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علياً عليه‌السلام كان ينهى عن الحكرة في الأمصار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الحكرة إلاّ في الحنطة والشعير والتمر والزبيب والسمن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السكوني ، عن جعفر بن محمّد ، عن آبائه ، عن النبي صلى‌الله‌عليه‌و‌آله‌وسلم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الحكرة في ستّة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الحنطة والشعير والتمر والزيت والسمن والزبيب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عبيداللّه بن علي الحلبي قال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وسألته عن الزيت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عند غيرك فلا بأس بإمساكه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النافع ، الفاضل القطيفي ، غير موجود لدينا ولم يطبع ؛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مفتاح الكرامة عن إيضاح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image" Target="media/image2.jpeg"/><Relationship Id="rId710" Type="http://schemas.openxmlformats.org/officeDocument/2006/relationships/image" Target="media/image2.jpeg"/><Relationship Id="rId711" Type="http://schemas.openxmlformats.org/officeDocument/2006/relationships/footer" Target="footer704.xml"/><Relationship Id="rId712" Type="http://schemas.openxmlformats.org/officeDocument/2006/relationships/footnotes" Target="footnotes.xml"/><Relationship Id="rId713" Type="http://schemas.openxmlformats.org/officeDocument/2006/relationships/numbering" Target="numbering.xml"/><Relationship Id="rId714" Type="http://schemas.openxmlformats.org/officeDocument/2006/relationships/fontTable" Target="fontTable.xml"/><Relationship Id="rId715" Type="http://schemas.openxmlformats.org/officeDocument/2006/relationships/settings" Target="settings.xml"/><Relationship Id="rId7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718</Pages>
  <Words>77373</Words>
  <Characters>297344</Characters>
  <CharactersWithSpaces>371908</CharactersWithSpaces>
  <Paragraphs>3198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2026-08-24T21:46:29Z</dcterms:created>
  <dc:creator>ghaemiyeh.com</dc:creator>
  <dc:description/>
  <dc:language>en-US</dc:language>
  <cp:lastModifiedBy/>
  <dcterms:modified xsi:type="dcterms:W3CDTF">2026-08-25T01:17:25Z</dcterms:modified>
  <cp:revision>1</cp:revision>
  <dc:subject/>
  <dc:title>موسوعة الامام الخمینی قدس سرة الشریف المجلد 15 إلى 19 کتاب البیع جلد 3</dc:title>
</cp:coreProperties>
</file>

<file path=docProps/custom.xml><?xml version="1.0" encoding="utf-8"?>
<Properties xmlns="http://schemas.openxmlformats.org/officeDocument/2006/custom-properties" xmlns:vt="http://schemas.openxmlformats.org/officeDocument/2006/docPropsVTypes"/>
</file>