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15</w:t>
      </w:r>
      <w:r>
        <w:rPr>
          <w:rtl w:val="true"/>
        </w:rPr>
        <w:t xml:space="preserve"> </w:t>
      </w:r>
      <w:r>
        <w:rPr>
          <w:rtl w:val="true"/>
        </w:rPr>
        <w:t xml:space="preserve">إلى </w:t>
      </w:r>
      <w:r>
        <w:rPr/>
        <w:t>19</w:t>
      </w:r>
      <w:r>
        <w:rPr>
          <w:rtl w:val="true"/>
        </w:rPr>
        <w:t xml:space="preserve"> </w:t>
      </w:r>
      <w:r>
        <w:rPr>
          <w:rtl w:val="true"/>
        </w:rPr>
        <w:t xml:space="preserve">کتاب البیع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5171_2142443653">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495173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95175_2142443653">
            <w:r>
              <w:rPr>
                <w:webHidden/>
                <w:rStyle w:val="IndexLink"/>
                <w:rtl w:val="true"/>
              </w:rPr>
              <w:t>مقدّمة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2495177_2142443653">
            <w:r>
              <w:rPr>
                <w:webHidden/>
                <w:rStyle w:val="IndexLink"/>
                <w:rtl w:val="true"/>
              </w:rPr>
              <w:t>مختصر حول تأريخ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2495179_2142443653">
            <w:r>
              <w:rPr>
                <w:webHidden/>
                <w:rStyle w:val="IndexLink"/>
                <w:rtl w:val="true"/>
              </w:rPr>
              <w:t>منهجنا في التحقيق</w:t>
            </w:r>
            <w:r>
              <w:rPr>
                <w:rStyle w:val="IndexLink"/>
                <w:rtl w:val="true"/>
              </w:rPr>
              <w:tab/>
            </w:r>
            <w:r>
              <w:rPr>
                <w:rStyle w:val="IndexLink"/>
              </w:rPr>
              <w:t>21</w:t>
            </w:r>
          </w:hyperlink>
        </w:p>
        <w:p>
          <w:pPr>
            <w:pStyle w:val="Contents2"/>
            <w:tabs>
              <w:tab w:val="clear" w:pos="8743"/>
              <w:tab w:val="right" w:pos="9026" w:leader="dot"/>
            </w:tabs>
            <w:rPr/>
          </w:pPr>
          <w:hyperlink w:anchor="__RefHeading___Toc2495181_2142443653">
            <w:r>
              <w:rPr>
                <w:webHidden/>
                <w:rStyle w:val="IndexLink"/>
                <w:rtl w:val="true"/>
              </w:rPr>
              <w:t>كتاب البيع وانقسامه إلى مباحث</w:t>
            </w:r>
            <w:r>
              <w:rPr>
                <w:rStyle w:val="IndexLink"/>
                <w:rtl w:val="true"/>
              </w:rPr>
              <w:tab/>
            </w:r>
            <w:r>
              <w:rPr>
                <w:rStyle w:val="IndexLink"/>
              </w:rPr>
              <w:t>27</w:t>
            </w:r>
          </w:hyperlink>
        </w:p>
        <w:p>
          <w:pPr>
            <w:pStyle w:val="Contents2"/>
            <w:tabs>
              <w:tab w:val="clear" w:pos="8743"/>
              <w:tab w:val="right" w:pos="9026" w:leader="dot"/>
            </w:tabs>
            <w:rPr/>
          </w:pPr>
          <w:hyperlink w:anchor="__RefHeading___Toc2495183_2142443653">
            <w:r>
              <w:rPr>
                <w:webHidden/>
                <w:rStyle w:val="IndexLink"/>
                <w:rtl w:val="true"/>
              </w:rPr>
              <w:t>المبحث الأوّل</w:t>
            </w:r>
            <w:r>
              <w:rPr>
                <w:rStyle w:val="IndexLink"/>
                <w:rtl w:val="true"/>
              </w:rPr>
              <w:tab/>
            </w:r>
            <w:r>
              <w:rPr>
                <w:rStyle w:val="IndexLink"/>
              </w:rPr>
              <w:t>29</w:t>
            </w:r>
          </w:hyperlink>
        </w:p>
        <w:p>
          <w:pPr>
            <w:pStyle w:val="Contents3"/>
            <w:tabs>
              <w:tab w:val="clear" w:pos="8459"/>
              <w:tab w:val="right" w:pos="9026" w:leader="dot"/>
            </w:tabs>
            <w:rPr/>
          </w:pPr>
          <w:hyperlink w:anchor="__RefHeading___Toc2495185_2142443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495187_2142443653">
            <w:r>
              <w:rPr>
                <w:webHidden/>
                <w:rStyle w:val="IndexLink"/>
                <w:rtl w:val="true"/>
              </w:rPr>
              <w:t xml:space="preserve">ولا بدّ في تحصيل تعريفها من تقديم اُمور </w:t>
            </w:r>
            <w:r>
              <w:rPr>
                <w:rStyle w:val="IndexLink"/>
                <w:rtl w:val="true"/>
              </w:rPr>
              <w:t>:</w:t>
              <w:tab/>
            </w:r>
            <w:r>
              <w:rPr>
                <w:rStyle w:val="IndexLink"/>
              </w:rPr>
              <w:t>29</w:t>
            </w:r>
          </w:hyperlink>
        </w:p>
        <w:p>
          <w:pPr>
            <w:pStyle w:val="Contents4"/>
            <w:tabs>
              <w:tab w:val="clear" w:pos="8176"/>
              <w:tab w:val="right" w:pos="9026" w:leader="dot"/>
            </w:tabs>
            <w:rPr/>
          </w:pPr>
          <w:hyperlink w:anchor="__RefHeading___Toc2495189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495191_2142443653">
            <w:r>
              <w:rPr>
                <w:webHidden/>
                <w:rStyle w:val="IndexLink"/>
                <w:rtl w:val="true"/>
              </w:rPr>
              <w:t>الأمر الأوّل</w:t>
            </w:r>
            <w:r>
              <w:rPr>
                <w:rStyle w:val="IndexLink"/>
                <w:rtl w:val="true"/>
              </w:rPr>
              <w:tab/>
            </w:r>
            <w:r>
              <w:rPr>
                <w:rStyle w:val="IndexLink"/>
              </w:rPr>
              <w:t>31</w:t>
            </w:r>
          </w:hyperlink>
        </w:p>
        <w:p>
          <w:pPr>
            <w:pStyle w:val="Contents4"/>
            <w:tabs>
              <w:tab w:val="clear" w:pos="8176"/>
              <w:tab w:val="right" w:pos="9026" w:leader="dot"/>
            </w:tabs>
            <w:rPr/>
          </w:pPr>
          <w:hyperlink w:anchor="__RefHeading___Toc2495193_2142443653">
            <w:r>
              <w:rPr>
                <w:webHidden/>
                <w:rStyle w:val="IndexLink"/>
                <w:rtl w:val="true"/>
              </w:rPr>
              <w:t>إشكال ودفع</w:t>
            </w:r>
            <w:r>
              <w:rPr>
                <w:rStyle w:val="IndexLink"/>
                <w:rtl w:val="true"/>
              </w:rPr>
              <w:tab/>
            </w:r>
            <w:r>
              <w:rPr>
                <w:rStyle w:val="IndexLink"/>
              </w:rPr>
              <w:t>32</w:t>
            </w:r>
          </w:hyperlink>
        </w:p>
        <w:p>
          <w:pPr>
            <w:pStyle w:val="Contents4"/>
            <w:tabs>
              <w:tab w:val="clear" w:pos="8176"/>
              <w:tab w:val="right" w:pos="9026" w:leader="dot"/>
            </w:tabs>
            <w:rPr/>
          </w:pPr>
          <w:hyperlink w:anchor="__RefHeading___Toc2495195_2142443653">
            <w:r>
              <w:rPr>
                <w:webHidden/>
                <w:rStyle w:val="IndexLink"/>
                <w:rtl w:val="true"/>
              </w:rPr>
              <w:t>الأمر الثاني في أنّ البيع هو التبادل في الإضافة</w:t>
            </w:r>
            <w:r>
              <w:rPr>
                <w:rStyle w:val="IndexLink"/>
                <w:rtl w:val="true"/>
              </w:rPr>
              <w:tab/>
            </w:r>
            <w:r>
              <w:rPr>
                <w:rStyle w:val="IndexLink"/>
              </w:rPr>
              <w:t>37</w:t>
            </w:r>
          </w:hyperlink>
        </w:p>
        <w:p>
          <w:pPr>
            <w:pStyle w:val="Contents4"/>
            <w:tabs>
              <w:tab w:val="clear" w:pos="8176"/>
              <w:tab w:val="right" w:pos="9026" w:leader="dot"/>
            </w:tabs>
            <w:rPr/>
          </w:pPr>
          <w:hyperlink w:anchor="__RefHeading___Toc2495197_2142443653">
            <w:r>
              <w:rPr>
                <w:webHidden/>
                <w:rStyle w:val="IndexLink"/>
                <w:rtl w:val="true"/>
              </w:rPr>
              <w:t>حول كلام المحقّق النائيني في المقام</w:t>
            </w:r>
            <w:r>
              <w:rPr>
                <w:rStyle w:val="IndexLink"/>
                <w:rtl w:val="true"/>
              </w:rPr>
              <w:tab/>
            </w:r>
            <w:r>
              <w:rPr>
                <w:rStyle w:val="IndexLink"/>
              </w:rPr>
              <w:t>38</w:t>
            </w:r>
          </w:hyperlink>
        </w:p>
        <w:p>
          <w:pPr>
            <w:pStyle w:val="Contents4"/>
            <w:tabs>
              <w:tab w:val="clear" w:pos="8176"/>
              <w:tab w:val="right" w:pos="9026" w:leader="dot"/>
            </w:tabs>
            <w:rPr/>
          </w:pPr>
          <w:hyperlink w:anchor="__RefHeading___Toc2495199_2142443653">
            <w:r>
              <w:rPr>
                <w:webHidden/>
                <w:rStyle w:val="IndexLink"/>
                <w:rtl w:val="true"/>
              </w:rPr>
              <w:t>الأمر الثالث في المراد من تبادل الإضافات</w:t>
            </w:r>
            <w:r>
              <w:rPr>
                <w:rStyle w:val="IndexLink"/>
                <w:rtl w:val="true"/>
              </w:rPr>
              <w:tab/>
            </w:r>
            <w:r>
              <w:rPr>
                <w:rStyle w:val="IndexLink"/>
              </w:rPr>
              <w:t>42</w:t>
            </w:r>
          </w:hyperlink>
        </w:p>
        <w:p>
          <w:pPr>
            <w:pStyle w:val="Contents4"/>
            <w:tabs>
              <w:tab w:val="clear" w:pos="8176"/>
              <w:tab w:val="right" w:pos="9026" w:leader="dot"/>
            </w:tabs>
            <w:rPr/>
          </w:pPr>
          <w:hyperlink w:anchor="__RefHeading___Toc2495201_2142443653">
            <w:r>
              <w:rPr>
                <w:webHidden/>
                <w:rStyle w:val="IndexLink"/>
                <w:rtl w:val="true"/>
              </w:rPr>
              <w:t>الأمر الرابع في عدم تقوّم البيع بكون المبيع أصلاً والثمن بدلاً</w:t>
            </w:r>
            <w:r>
              <w:rPr>
                <w:rStyle w:val="IndexLink"/>
                <w:rtl w:val="true"/>
              </w:rPr>
              <w:tab/>
            </w:r>
            <w:r>
              <w:rPr>
                <w:rStyle w:val="IndexLink"/>
              </w:rPr>
              <w:t>44</w:t>
            </w:r>
          </w:hyperlink>
        </w:p>
        <w:p>
          <w:pPr>
            <w:pStyle w:val="Contents4"/>
            <w:tabs>
              <w:tab w:val="clear" w:pos="8176"/>
              <w:tab w:val="right" w:pos="9026" w:leader="dot"/>
            </w:tabs>
            <w:rPr/>
          </w:pPr>
          <w:hyperlink w:anchor="__RefHeading___Toc2495203_2142443653">
            <w:r>
              <w:rPr>
                <w:webHidden/>
                <w:rStyle w:val="IndexLink"/>
                <w:rtl w:val="true"/>
              </w:rPr>
              <w:t>الأمر الخامس فيما يعتبر في صدق البيع من خصوصيات العوضين</w:t>
            </w:r>
            <w:r>
              <w:rPr>
                <w:rStyle w:val="IndexLink"/>
                <w:rtl w:val="true"/>
              </w:rPr>
              <w:tab/>
            </w:r>
            <w:r>
              <w:rPr>
                <w:rStyle w:val="IndexLink"/>
              </w:rPr>
              <w:t>46</w:t>
            </w:r>
          </w:hyperlink>
        </w:p>
        <w:p>
          <w:pPr>
            <w:pStyle w:val="Contents4"/>
            <w:tabs>
              <w:tab w:val="clear" w:pos="8176"/>
              <w:tab w:val="right" w:pos="9026" w:leader="dot"/>
            </w:tabs>
            <w:rPr/>
          </w:pPr>
          <w:hyperlink w:anchor="__RefHeading___Toc2495205_2142443653">
            <w:r>
              <w:rPr>
                <w:webHidden/>
                <w:rStyle w:val="IndexLink"/>
                <w:rtl w:val="true"/>
              </w:rPr>
              <w:t>اعتبار كون المبيع عيناً في صدق البيع</w:t>
            </w:r>
            <w:r>
              <w:rPr>
                <w:rStyle w:val="IndexLink"/>
                <w:rtl w:val="true"/>
              </w:rPr>
              <w:tab/>
            </w:r>
            <w:r>
              <w:rPr>
                <w:rStyle w:val="IndexLink"/>
              </w:rPr>
              <w:t>46</w:t>
            </w:r>
          </w:hyperlink>
        </w:p>
        <w:p>
          <w:pPr>
            <w:pStyle w:val="Contents4"/>
            <w:tabs>
              <w:tab w:val="clear" w:pos="8176"/>
              <w:tab w:val="right" w:pos="9026" w:leader="dot"/>
            </w:tabs>
            <w:rPr/>
          </w:pPr>
          <w:hyperlink w:anchor="__RefHeading___Toc2495207_2142443653">
            <w:r>
              <w:rPr>
                <w:webHidden/>
                <w:rStyle w:val="IndexLink"/>
                <w:rtl w:val="true"/>
              </w:rPr>
              <w:t>الإشكال في بيع الكلّي في الذمّة والدين</w:t>
            </w:r>
            <w:r>
              <w:rPr>
                <w:rStyle w:val="IndexLink"/>
                <w:rtl w:val="true"/>
              </w:rPr>
              <w:tab/>
            </w:r>
            <w:r>
              <w:rPr>
                <w:rStyle w:val="IndexLink"/>
              </w:rPr>
              <w:t>48</w:t>
            </w:r>
          </w:hyperlink>
        </w:p>
        <w:p>
          <w:pPr>
            <w:pStyle w:val="Contents4"/>
            <w:tabs>
              <w:tab w:val="clear" w:pos="8176"/>
              <w:tab w:val="right" w:pos="9026" w:leader="dot"/>
            </w:tabs>
            <w:rPr/>
          </w:pPr>
          <w:hyperlink w:anchor="__RefHeading___Toc2495209_2142443653">
            <w:r>
              <w:rPr>
                <w:webHidden/>
                <w:rStyle w:val="IndexLink"/>
                <w:rtl w:val="true"/>
              </w:rPr>
              <w:t>حول صدق البيع مع كون العوض عمل الحرّ</w:t>
            </w:r>
            <w:r>
              <w:rPr>
                <w:rStyle w:val="IndexLink"/>
                <w:rtl w:val="true"/>
              </w:rPr>
              <w:tab/>
            </w:r>
            <w:r>
              <w:rPr>
                <w:rStyle w:val="IndexLink"/>
              </w:rPr>
              <w:t>51</w:t>
            </w:r>
          </w:hyperlink>
        </w:p>
        <w:p>
          <w:pPr>
            <w:pStyle w:val="Contents4"/>
            <w:tabs>
              <w:tab w:val="clear" w:pos="8176"/>
              <w:tab w:val="right" w:pos="9026" w:leader="dot"/>
            </w:tabs>
            <w:rPr/>
          </w:pPr>
          <w:hyperlink w:anchor="__RefHeading___Toc2495211_2142443653">
            <w:r>
              <w:rPr>
                <w:webHidden/>
                <w:rStyle w:val="IndexLink"/>
                <w:rtl w:val="true"/>
              </w:rPr>
              <w:t>ثبوت الضمان في حبس الحرّ الكسوب</w:t>
            </w:r>
            <w:r>
              <w:rPr>
                <w:rStyle w:val="IndexLink"/>
                <w:rtl w:val="true"/>
              </w:rPr>
              <w:tab/>
            </w:r>
            <w:r>
              <w:rPr>
                <w:rStyle w:val="IndexLink"/>
              </w:rPr>
              <w:t>53</w:t>
            </w:r>
          </w:hyperlink>
        </w:p>
        <w:p>
          <w:pPr>
            <w:pStyle w:val="Contents3"/>
            <w:tabs>
              <w:tab w:val="clear" w:pos="8459"/>
              <w:tab w:val="right" w:pos="9026" w:leader="dot"/>
            </w:tabs>
            <w:rPr/>
          </w:pPr>
          <w:hyperlink w:anchor="__RefHeading___Toc2495213_2142443653">
            <w:r>
              <w:rPr>
                <w:webHidden/>
                <w:rStyle w:val="IndexLink"/>
                <w:rtl w:val="true"/>
              </w:rPr>
              <w:t>نظرة في الحقوق</w:t>
            </w:r>
            <w:r>
              <w:rPr>
                <w:rStyle w:val="IndexLink"/>
                <w:rtl w:val="true"/>
              </w:rPr>
              <w:tab/>
            </w:r>
            <w:r>
              <w:rPr>
                <w:rStyle w:val="IndexLink"/>
              </w:rPr>
              <w:t>54</w:t>
            </w:r>
          </w:hyperlink>
        </w:p>
        <w:p>
          <w:pPr>
            <w:pStyle w:val="Contents4"/>
            <w:tabs>
              <w:tab w:val="clear" w:pos="8176"/>
              <w:tab w:val="right" w:pos="9026" w:leader="dot"/>
            </w:tabs>
            <w:rPr/>
          </w:pPr>
          <w:hyperlink w:anchor="__RefHeading___Toc2495215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495217_2142443653">
            <w:r>
              <w:rPr>
                <w:webHidden/>
                <w:rStyle w:val="IndexLink"/>
                <w:rtl w:val="true"/>
              </w:rPr>
              <w:t xml:space="preserve">الجهة الاُولى </w:t>
            </w:r>
            <w:r>
              <w:rPr>
                <w:rStyle w:val="IndexLink"/>
                <w:rtl w:val="true"/>
              </w:rPr>
              <w:t xml:space="preserve">: </w:t>
            </w:r>
            <w:r>
              <w:rPr>
                <w:rStyle w:val="IndexLink"/>
                <w:rtl w:val="true"/>
              </w:rPr>
              <w:t>ماهية الحقوق وأقسامها</w:t>
            </w:r>
            <w:r>
              <w:rPr>
                <w:rStyle w:val="IndexLink"/>
                <w:rtl w:val="true"/>
              </w:rPr>
              <w:tab/>
            </w:r>
            <w:r>
              <w:rPr>
                <w:rStyle w:val="IndexLink"/>
              </w:rPr>
              <w:t>54</w:t>
            </w:r>
          </w:hyperlink>
        </w:p>
        <w:p>
          <w:pPr>
            <w:pStyle w:val="Contents4"/>
            <w:tabs>
              <w:tab w:val="clear" w:pos="8176"/>
              <w:tab w:val="right" w:pos="9026" w:leader="dot"/>
            </w:tabs>
            <w:rPr/>
          </w:pPr>
          <w:hyperlink w:anchor="__RefHeading___Toc2495219_2142443653">
            <w:r>
              <w:rPr>
                <w:webHidden/>
                <w:rStyle w:val="IndexLink"/>
                <w:rtl w:val="true"/>
              </w:rPr>
              <w:t>مقتضى الأصل عند الشكّ في الحقّ</w:t>
            </w:r>
            <w:r>
              <w:rPr>
                <w:rStyle w:val="IndexLink"/>
                <w:rtl w:val="true"/>
              </w:rPr>
              <w:tab/>
            </w:r>
            <w:r>
              <w:rPr>
                <w:rStyle w:val="IndexLink"/>
              </w:rPr>
              <w:t>65</w:t>
            </w:r>
          </w:hyperlink>
        </w:p>
        <w:p>
          <w:pPr>
            <w:pStyle w:val="Contents4"/>
            <w:tabs>
              <w:tab w:val="clear" w:pos="8176"/>
              <w:tab w:val="right" w:pos="9026" w:leader="dot"/>
            </w:tabs>
            <w:rPr/>
          </w:pPr>
          <w:hyperlink w:anchor="__RefHeading___Toc2495221_2142443653">
            <w:r>
              <w:rPr>
                <w:webHidden/>
                <w:rStyle w:val="IndexLink"/>
                <w:rtl w:val="true"/>
              </w:rPr>
              <w:t>الجهة الثانية</w:t>
            </w:r>
            <w:r>
              <w:rPr>
                <w:rStyle w:val="IndexLink"/>
                <w:rtl w:val="true"/>
              </w:rPr>
              <w:t xml:space="preserve">: </w:t>
            </w:r>
            <w:r>
              <w:rPr>
                <w:rStyle w:val="IndexLink"/>
                <w:rtl w:val="true"/>
              </w:rPr>
              <w:t>صحّة جعل الحقّ عوضا أو معوّضا</w:t>
            </w:r>
            <w:r>
              <w:rPr>
                <w:rStyle w:val="IndexLink"/>
                <w:rtl w:val="true"/>
              </w:rPr>
              <w:tab/>
            </w:r>
            <w:r>
              <w:rPr>
                <w:rStyle w:val="IndexLink"/>
              </w:rPr>
              <w:t>69</w:t>
            </w:r>
          </w:hyperlink>
        </w:p>
        <w:p>
          <w:pPr>
            <w:pStyle w:val="Contents4"/>
            <w:tabs>
              <w:tab w:val="clear" w:pos="8176"/>
              <w:tab w:val="right" w:pos="9026" w:leader="dot"/>
            </w:tabs>
            <w:rPr/>
          </w:pPr>
          <w:hyperlink w:anchor="__RefHeading___Toc2495223_2142443653">
            <w:r>
              <w:rPr>
                <w:webHidden/>
                <w:rStyle w:val="IndexLink"/>
                <w:rtl w:val="true"/>
              </w:rPr>
              <w:t>تفصيل الشيخ الأعظم بين الحقوق في صحّة بيعها</w:t>
            </w:r>
            <w:r>
              <w:rPr>
                <w:rStyle w:val="IndexLink"/>
                <w:rtl w:val="true"/>
              </w:rPr>
              <w:tab/>
            </w:r>
            <w:r>
              <w:rPr>
                <w:rStyle w:val="IndexLink"/>
              </w:rPr>
              <w:t>70</w:t>
            </w:r>
          </w:hyperlink>
        </w:p>
        <w:p>
          <w:pPr>
            <w:pStyle w:val="Contents4"/>
            <w:tabs>
              <w:tab w:val="clear" w:pos="8176"/>
              <w:tab w:val="right" w:pos="9026" w:leader="dot"/>
            </w:tabs>
            <w:rPr/>
          </w:pPr>
          <w:hyperlink w:anchor="__RefHeading___Toc2495225_2142443653">
            <w:r>
              <w:rPr>
                <w:webHidden/>
                <w:rStyle w:val="IndexLink"/>
                <w:rtl w:val="true"/>
              </w:rPr>
              <w:t>توجيه الشيخ الأعظم بيع الدين على من هو عليه</w:t>
            </w:r>
            <w:r>
              <w:rPr>
                <w:rStyle w:val="IndexLink"/>
                <w:rtl w:val="true"/>
              </w:rPr>
              <w:tab/>
            </w:r>
            <w:r>
              <w:rPr>
                <w:rStyle w:val="IndexLink"/>
              </w:rPr>
              <w:t>72</w:t>
            </w:r>
          </w:hyperlink>
        </w:p>
        <w:p>
          <w:pPr>
            <w:pStyle w:val="Contents4"/>
            <w:tabs>
              <w:tab w:val="clear" w:pos="8176"/>
              <w:tab w:val="right" w:pos="9026" w:leader="dot"/>
            </w:tabs>
            <w:rPr/>
          </w:pPr>
          <w:hyperlink w:anchor="__RefHeading___Toc2495227_2142443653">
            <w:r>
              <w:rPr>
                <w:webHidden/>
                <w:rStyle w:val="IndexLink"/>
                <w:rtl w:val="true"/>
              </w:rPr>
              <w:t>توجيه المحقّق النائيني بيع الدين على من هو عليه</w:t>
            </w:r>
            <w:r>
              <w:rPr>
                <w:rStyle w:val="IndexLink"/>
                <w:rtl w:val="true"/>
              </w:rPr>
              <w:tab/>
            </w:r>
            <w:r>
              <w:rPr>
                <w:rStyle w:val="IndexLink"/>
              </w:rPr>
              <w:t>73</w:t>
            </w:r>
          </w:hyperlink>
        </w:p>
        <w:p>
          <w:pPr>
            <w:pStyle w:val="Contents4"/>
            <w:tabs>
              <w:tab w:val="clear" w:pos="8176"/>
              <w:tab w:val="right" w:pos="9026" w:leader="dot"/>
            </w:tabs>
            <w:rPr/>
          </w:pPr>
          <w:hyperlink w:anchor="__RefHeading___Toc2495229_2142443653">
            <w:r>
              <w:rPr>
                <w:webHidden/>
                <w:rStyle w:val="IndexLink"/>
                <w:rtl w:val="true"/>
              </w:rPr>
              <w:t>حول إنكار المحقّق النائيني قابلية الحقّ للعوضية</w:t>
            </w:r>
            <w:r>
              <w:rPr>
                <w:rStyle w:val="IndexLink"/>
                <w:rtl w:val="true"/>
              </w:rPr>
              <w:tab/>
            </w:r>
            <w:r>
              <w:rPr>
                <w:rStyle w:val="IndexLink"/>
              </w:rPr>
              <w:t>74</w:t>
            </w:r>
          </w:hyperlink>
        </w:p>
        <w:p>
          <w:pPr>
            <w:pStyle w:val="Contents4"/>
            <w:tabs>
              <w:tab w:val="clear" w:pos="8176"/>
              <w:tab w:val="right" w:pos="9026" w:leader="dot"/>
            </w:tabs>
            <w:rPr/>
          </w:pPr>
          <w:hyperlink w:anchor="__RefHeading___Toc2495231_2142443653">
            <w:r>
              <w:rPr>
                <w:webHidden/>
                <w:rStyle w:val="IndexLink"/>
                <w:rtl w:val="true"/>
              </w:rPr>
              <w:t>حكم الحقوق القابلة للإسقاط</w:t>
            </w:r>
            <w:r>
              <w:rPr>
                <w:rStyle w:val="IndexLink"/>
                <w:rtl w:val="true"/>
              </w:rPr>
              <w:tab/>
            </w:r>
            <w:r>
              <w:rPr>
                <w:rStyle w:val="IndexLink"/>
              </w:rPr>
              <w:t>76</w:t>
            </w:r>
          </w:hyperlink>
        </w:p>
        <w:p>
          <w:pPr>
            <w:pStyle w:val="Contents4"/>
            <w:tabs>
              <w:tab w:val="clear" w:pos="8176"/>
              <w:tab w:val="right" w:pos="9026" w:leader="dot"/>
            </w:tabs>
            <w:rPr/>
          </w:pPr>
          <w:hyperlink w:anchor="__RefHeading___Toc2495233_2142443653">
            <w:r>
              <w:rPr>
                <w:webHidden/>
                <w:rStyle w:val="IndexLink"/>
                <w:rtl w:val="true"/>
              </w:rPr>
              <w:t>كلام المحقّق النائيني في المقام ودفعه</w:t>
            </w:r>
            <w:r>
              <w:rPr>
                <w:rStyle w:val="IndexLink"/>
                <w:rtl w:val="true"/>
              </w:rPr>
              <w:tab/>
            </w:r>
            <w:r>
              <w:rPr>
                <w:rStyle w:val="IndexLink"/>
              </w:rPr>
              <w:t>77</w:t>
            </w:r>
          </w:hyperlink>
        </w:p>
        <w:p>
          <w:pPr>
            <w:pStyle w:val="Contents4"/>
            <w:tabs>
              <w:tab w:val="clear" w:pos="8176"/>
              <w:tab w:val="right" w:pos="9026" w:leader="dot"/>
            </w:tabs>
            <w:rPr/>
          </w:pPr>
          <w:hyperlink w:anchor="__RefHeading___Toc2495235_2142443653">
            <w:r>
              <w:rPr>
                <w:webHidden/>
                <w:rStyle w:val="IndexLink"/>
                <w:rtl w:val="true"/>
              </w:rPr>
              <w:t>اعتبار انتقال العوضين في صدق البيع</w:t>
            </w:r>
            <w:r>
              <w:rPr>
                <w:rStyle w:val="IndexLink"/>
                <w:rtl w:val="true"/>
              </w:rPr>
              <w:tab/>
            </w:r>
            <w:r>
              <w:rPr>
                <w:rStyle w:val="IndexLink"/>
              </w:rPr>
              <w:t>78</w:t>
            </w:r>
          </w:hyperlink>
        </w:p>
        <w:p>
          <w:pPr>
            <w:pStyle w:val="Contents3"/>
            <w:tabs>
              <w:tab w:val="clear" w:pos="8459"/>
              <w:tab w:val="right" w:pos="9026" w:leader="dot"/>
            </w:tabs>
            <w:rPr/>
          </w:pPr>
          <w:hyperlink w:anchor="__RefHeading___Toc2495237_2142443653">
            <w:r>
              <w:rPr>
                <w:webHidden/>
                <w:rStyle w:val="IndexLink"/>
                <w:rtl w:val="true"/>
              </w:rPr>
              <w:t>تعريف البيع</w:t>
            </w:r>
            <w:r>
              <w:rPr>
                <w:rStyle w:val="IndexLink"/>
                <w:rtl w:val="true"/>
              </w:rPr>
              <w:tab/>
            </w:r>
            <w:r>
              <w:rPr>
                <w:rStyle w:val="IndexLink"/>
              </w:rPr>
              <w:t>80</w:t>
            </w:r>
          </w:hyperlink>
        </w:p>
        <w:p>
          <w:pPr>
            <w:pStyle w:val="Contents4"/>
            <w:tabs>
              <w:tab w:val="clear" w:pos="8176"/>
              <w:tab w:val="right" w:pos="9026" w:leader="dot"/>
            </w:tabs>
            <w:rPr/>
          </w:pPr>
          <w:hyperlink w:anchor="__RefHeading___Toc2495239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495241_2142443653">
            <w:r>
              <w:rPr>
                <w:webHidden/>
                <w:rStyle w:val="IndexLink"/>
                <w:rtl w:val="true"/>
              </w:rPr>
              <w:t>تعريف الشيخ الأعظم وردّه</w:t>
            </w:r>
            <w:r>
              <w:rPr>
                <w:rStyle w:val="IndexLink"/>
                <w:rtl w:val="true"/>
              </w:rPr>
              <w:tab/>
            </w:r>
            <w:r>
              <w:rPr>
                <w:rStyle w:val="IndexLink"/>
              </w:rPr>
              <w:t>80</w:t>
            </w:r>
          </w:hyperlink>
        </w:p>
        <w:p>
          <w:pPr>
            <w:pStyle w:val="Contents4"/>
            <w:tabs>
              <w:tab w:val="clear" w:pos="8176"/>
              <w:tab w:val="right" w:pos="9026" w:leader="dot"/>
            </w:tabs>
            <w:rPr/>
          </w:pPr>
          <w:hyperlink w:anchor="__RefHeading___Toc2495243_2142443653">
            <w:r>
              <w:rPr>
                <w:webHidden/>
                <w:rStyle w:val="IndexLink"/>
                <w:rtl w:val="true"/>
              </w:rPr>
              <w:t>تعريف المحقّق النائيني وردّه</w:t>
            </w:r>
            <w:r>
              <w:rPr>
                <w:rStyle w:val="IndexLink"/>
                <w:rtl w:val="true"/>
              </w:rPr>
              <w:tab/>
            </w:r>
            <w:r>
              <w:rPr>
                <w:rStyle w:val="IndexLink"/>
              </w:rPr>
              <w:t>81</w:t>
            </w:r>
          </w:hyperlink>
        </w:p>
        <w:p>
          <w:pPr>
            <w:pStyle w:val="Contents4"/>
            <w:tabs>
              <w:tab w:val="clear" w:pos="8176"/>
              <w:tab w:val="right" w:pos="9026" w:leader="dot"/>
            </w:tabs>
            <w:rPr/>
          </w:pPr>
          <w:hyperlink w:anchor="__RefHeading___Toc2495245_2142443653">
            <w:r>
              <w:rPr>
                <w:webHidden/>
                <w:rStyle w:val="IndexLink"/>
                <w:rtl w:val="true"/>
              </w:rPr>
              <w:t>تعريف المحقّق الأصفهاني وردّه</w:t>
            </w:r>
            <w:r>
              <w:rPr>
                <w:rStyle w:val="IndexLink"/>
                <w:rtl w:val="true"/>
              </w:rPr>
              <w:tab/>
            </w:r>
            <w:r>
              <w:rPr>
                <w:rStyle w:val="IndexLink"/>
              </w:rPr>
              <w:t>81</w:t>
            </w:r>
          </w:hyperlink>
        </w:p>
        <w:p>
          <w:pPr>
            <w:pStyle w:val="Contents4"/>
            <w:tabs>
              <w:tab w:val="clear" w:pos="8176"/>
              <w:tab w:val="right" w:pos="9026" w:leader="dot"/>
            </w:tabs>
            <w:rPr/>
          </w:pPr>
          <w:hyperlink w:anchor="__RefHeading___Toc2495247_2142443653">
            <w:r>
              <w:rPr>
                <w:webHidden/>
                <w:rStyle w:val="IndexLink"/>
                <w:rtl w:val="true"/>
              </w:rPr>
              <w:t>أسدّ التعاريف تعريف المصباح</w:t>
            </w:r>
            <w:r>
              <w:rPr>
                <w:rStyle w:val="IndexLink"/>
                <w:rtl w:val="true"/>
              </w:rPr>
              <w:tab/>
            </w:r>
            <w:r>
              <w:rPr>
                <w:rStyle w:val="IndexLink"/>
              </w:rPr>
              <w:t>83</w:t>
            </w:r>
          </w:hyperlink>
        </w:p>
        <w:p>
          <w:pPr>
            <w:pStyle w:val="Contents4"/>
            <w:tabs>
              <w:tab w:val="clear" w:pos="8176"/>
              <w:tab w:val="right" w:pos="9026" w:leader="dot"/>
            </w:tabs>
            <w:rPr/>
          </w:pPr>
          <w:hyperlink w:anchor="__RefHeading___Toc2495249_2142443653">
            <w:r>
              <w:rPr>
                <w:webHidden/>
                <w:rStyle w:val="IndexLink"/>
                <w:rtl w:val="true"/>
              </w:rPr>
              <w:t>دفع ما يرد على تعريف المصباح</w:t>
            </w:r>
            <w:r>
              <w:rPr>
                <w:rStyle w:val="IndexLink"/>
                <w:rtl w:val="true"/>
              </w:rPr>
              <w:tab/>
            </w:r>
            <w:r>
              <w:rPr>
                <w:rStyle w:val="IndexLink"/>
              </w:rPr>
              <w:t>85</w:t>
            </w:r>
          </w:hyperlink>
        </w:p>
        <w:p>
          <w:pPr>
            <w:pStyle w:val="Contents4"/>
            <w:tabs>
              <w:tab w:val="clear" w:pos="8176"/>
              <w:tab w:val="right" w:pos="9026" w:leader="dot"/>
            </w:tabs>
            <w:rPr/>
          </w:pPr>
          <w:hyperlink w:anchor="__RefHeading___Toc2495251_2142443653">
            <w:r>
              <w:rPr>
                <w:webHidden/>
                <w:rStyle w:val="IndexLink"/>
                <w:rtl w:val="true"/>
              </w:rPr>
              <w:t>تغاير البيع الاصطلاحي واللغوي</w:t>
            </w:r>
            <w:r>
              <w:rPr>
                <w:rStyle w:val="IndexLink"/>
                <w:rtl w:val="true"/>
              </w:rPr>
              <w:tab/>
            </w:r>
            <w:r>
              <w:rPr>
                <w:rStyle w:val="IndexLink"/>
              </w:rPr>
              <w:t>87</w:t>
            </w:r>
          </w:hyperlink>
        </w:p>
        <w:p>
          <w:pPr>
            <w:pStyle w:val="Contents4"/>
            <w:tabs>
              <w:tab w:val="clear" w:pos="8176"/>
              <w:tab w:val="right" w:pos="9026" w:leader="dot"/>
            </w:tabs>
            <w:rPr/>
          </w:pPr>
          <w:hyperlink w:anchor="__RefHeading___Toc2495253_2142443653">
            <w:r>
              <w:rPr>
                <w:webHidden/>
                <w:rStyle w:val="IndexLink"/>
                <w:rtl w:val="true"/>
              </w:rPr>
              <w:t>في وضع ألفاظ المعاملات للصحيح أو الأعمّ</w:t>
            </w:r>
            <w:r>
              <w:rPr>
                <w:rStyle w:val="IndexLink"/>
                <w:rtl w:val="true"/>
              </w:rPr>
              <w:tab/>
            </w:r>
            <w:r>
              <w:rPr>
                <w:rStyle w:val="IndexLink"/>
              </w:rPr>
              <w:t>91</w:t>
            </w:r>
          </w:hyperlink>
        </w:p>
        <w:p>
          <w:pPr>
            <w:pStyle w:val="Contents4"/>
            <w:tabs>
              <w:tab w:val="clear" w:pos="8176"/>
              <w:tab w:val="right" w:pos="9026" w:leader="dot"/>
            </w:tabs>
            <w:rPr/>
          </w:pPr>
          <w:hyperlink w:anchor="__RefHeading___Toc2495255_2142443653">
            <w:r>
              <w:rPr>
                <w:webHidden/>
                <w:rStyle w:val="IndexLink"/>
                <w:rtl w:val="true"/>
              </w:rPr>
              <w:t>في التمسّك بالإطلاقات في المعاملات</w:t>
            </w:r>
            <w:r>
              <w:rPr>
                <w:rStyle w:val="IndexLink"/>
                <w:rtl w:val="true"/>
              </w:rPr>
              <w:tab/>
            </w:r>
            <w:r>
              <w:rPr>
                <w:rStyle w:val="IndexLink"/>
              </w:rPr>
              <w:t>92</w:t>
            </w:r>
          </w:hyperlink>
        </w:p>
        <w:p>
          <w:pPr>
            <w:pStyle w:val="Contents4"/>
            <w:tabs>
              <w:tab w:val="clear" w:pos="8176"/>
              <w:tab w:val="right" w:pos="9026" w:leader="dot"/>
            </w:tabs>
            <w:rPr/>
          </w:pPr>
          <w:hyperlink w:anchor="__RefHeading___Toc2495257_2142443653">
            <w:r>
              <w:rPr>
                <w:webHidden/>
                <w:rStyle w:val="IndexLink"/>
                <w:rtl w:val="true"/>
              </w:rPr>
              <w:t>وضع ألفاظ المعاملات للمسبّبات</w:t>
            </w:r>
            <w:r>
              <w:rPr>
                <w:rStyle w:val="IndexLink"/>
                <w:rtl w:val="true"/>
              </w:rPr>
              <w:tab/>
            </w:r>
            <w:r>
              <w:rPr>
                <w:rStyle w:val="IndexLink"/>
              </w:rPr>
              <w:t>100</w:t>
            </w:r>
          </w:hyperlink>
        </w:p>
        <w:p>
          <w:pPr>
            <w:pStyle w:val="Contents2"/>
            <w:tabs>
              <w:tab w:val="clear" w:pos="8743"/>
              <w:tab w:val="right" w:pos="9026" w:leader="dot"/>
            </w:tabs>
            <w:rPr/>
          </w:pPr>
          <w:hyperlink w:anchor="__RefHeading___Toc2495259_2142443653">
            <w:r>
              <w:rPr>
                <w:webHidden/>
                <w:rStyle w:val="IndexLink"/>
                <w:rtl w:val="true"/>
              </w:rPr>
              <w:t>المبحث الثاني</w:t>
            </w:r>
            <w:r>
              <w:rPr>
                <w:rStyle w:val="IndexLink"/>
                <w:rtl w:val="true"/>
              </w:rPr>
              <w:t xml:space="preserve">: </w:t>
            </w:r>
            <w:r>
              <w:rPr>
                <w:rStyle w:val="IndexLink"/>
                <w:rtl w:val="true"/>
              </w:rPr>
              <w:t>فی اقسام البیع بحسب الأسباب</w:t>
            </w:r>
            <w:r>
              <w:rPr>
                <w:rStyle w:val="IndexLink"/>
                <w:rtl w:val="true"/>
              </w:rPr>
              <w:tab/>
            </w:r>
            <w:r>
              <w:rPr>
                <w:rStyle w:val="IndexLink"/>
              </w:rPr>
              <w:t>103</w:t>
            </w:r>
          </w:hyperlink>
        </w:p>
        <w:p>
          <w:pPr>
            <w:pStyle w:val="Contents3"/>
            <w:tabs>
              <w:tab w:val="clear" w:pos="8459"/>
              <w:tab w:val="right" w:pos="9026" w:leader="dot"/>
            </w:tabs>
            <w:rPr/>
          </w:pPr>
          <w:hyperlink w:anchor="__RefHeading___Toc2495261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495263_2142443653">
            <w:r>
              <w:rPr>
                <w:webHidden/>
                <w:rStyle w:val="IndexLink"/>
                <w:rtl w:val="true"/>
              </w:rPr>
              <w:t>القسم الأوّل في المعاطاة</w:t>
            </w:r>
            <w:r>
              <w:rPr>
                <w:rStyle w:val="IndexLink"/>
                <w:rtl w:val="true"/>
              </w:rPr>
              <w:tab/>
            </w:r>
            <w:r>
              <w:rPr>
                <w:rStyle w:val="IndexLink"/>
              </w:rPr>
              <w:t>105</w:t>
            </w:r>
          </w:hyperlink>
        </w:p>
        <w:p>
          <w:pPr>
            <w:pStyle w:val="Contents3"/>
            <w:tabs>
              <w:tab w:val="clear" w:pos="8459"/>
              <w:tab w:val="right" w:pos="9026" w:leader="dot"/>
            </w:tabs>
            <w:rPr/>
          </w:pPr>
          <w:hyperlink w:anchor="__RefHeading___Toc2495265_2142443653">
            <w:r>
              <w:rPr>
                <w:webHidden/>
                <w:rStyle w:val="IndexLink"/>
                <w:rtl w:val="true"/>
              </w:rPr>
              <w:t>المراد من المعاطاة</w:t>
            </w:r>
            <w:r>
              <w:rPr>
                <w:rStyle w:val="IndexLink"/>
                <w:rtl w:val="true"/>
              </w:rPr>
              <w:tab/>
            </w:r>
            <w:r>
              <w:rPr>
                <w:rStyle w:val="IndexLink"/>
              </w:rPr>
              <w:t>107</w:t>
            </w:r>
          </w:hyperlink>
        </w:p>
        <w:p>
          <w:pPr>
            <w:pStyle w:val="Contents3"/>
            <w:tabs>
              <w:tab w:val="clear" w:pos="8459"/>
              <w:tab w:val="right" w:pos="9026" w:leader="dot"/>
            </w:tabs>
            <w:rPr/>
          </w:pPr>
          <w:hyperlink w:anchor="__RefHeading___Toc2495267_2142443653">
            <w:r>
              <w:rPr>
                <w:webHidden/>
                <w:rStyle w:val="IndexLink"/>
                <w:rtl w:val="true"/>
              </w:rPr>
              <w:t>أدلّة صحّة المعاطاة</w:t>
            </w:r>
            <w:r>
              <w:rPr>
                <w:rStyle w:val="IndexLink"/>
                <w:rtl w:val="true"/>
              </w:rPr>
              <w:tab/>
            </w:r>
            <w:r>
              <w:rPr>
                <w:rStyle w:val="IndexLink"/>
              </w:rPr>
              <w:t>108</w:t>
            </w:r>
          </w:hyperlink>
        </w:p>
        <w:p>
          <w:pPr>
            <w:pStyle w:val="Contents4"/>
            <w:tabs>
              <w:tab w:val="clear" w:pos="8176"/>
              <w:tab w:val="right" w:pos="9026" w:leader="dot"/>
            </w:tabs>
            <w:rPr/>
          </w:pPr>
          <w:hyperlink w:anchor="__RefHeading___Toc2495269_2142443653">
            <w:r>
              <w:rPr>
                <w:webHidden/>
                <w:rStyle w:val="IndexLink"/>
                <w:rtl w:val="true"/>
              </w:rPr>
              <w:t xml:space="preserve">الدليل الأوّل </w:t>
            </w:r>
            <w:r>
              <w:rPr>
                <w:rStyle w:val="IndexLink"/>
                <w:rtl w:val="true"/>
              </w:rPr>
              <w:t xml:space="preserve">: </w:t>
            </w:r>
            <w:r>
              <w:rPr>
                <w:rStyle w:val="IndexLink"/>
                <w:rtl w:val="true"/>
              </w:rPr>
              <w:t>السيرة العقلائية</w:t>
            </w:r>
            <w:r>
              <w:rPr>
                <w:rStyle w:val="IndexLink"/>
                <w:rtl w:val="true"/>
              </w:rPr>
              <w:tab/>
            </w:r>
            <w:r>
              <w:rPr>
                <w:rStyle w:val="IndexLink"/>
              </w:rPr>
              <w:t>108</w:t>
            </w:r>
          </w:hyperlink>
        </w:p>
        <w:p>
          <w:pPr>
            <w:pStyle w:val="Contents4"/>
            <w:tabs>
              <w:tab w:val="clear" w:pos="8176"/>
              <w:tab w:val="right" w:pos="9026" w:leader="dot"/>
            </w:tabs>
            <w:rPr/>
          </w:pPr>
          <w:hyperlink w:anchor="__RefHeading___Toc2495271_2142443653">
            <w:r>
              <w:rPr>
                <w:webHidden/>
                <w:rStyle w:val="IndexLink"/>
                <w:rtl w:val="true"/>
              </w:rPr>
              <w:t xml:space="preserve">الدليل الثاني </w:t>
            </w:r>
            <w:r>
              <w:rPr>
                <w:rStyle w:val="IndexLink"/>
                <w:rtl w:val="true"/>
              </w:rPr>
              <w:t xml:space="preserve">: </w:t>
            </w:r>
            <w:r>
              <w:rPr>
                <w:rStyle w:val="IndexLink"/>
                <w:rtl w:val="true"/>
              </w:rPr>
              <w:t>آية الحلّ</w:t>
            </w:r>
            <w:r>
              <w:rPr>
                <w:rStyle w:val="IndexLink"/>
                <w:rtl w:val="true"/>
              </w:rPr>
              <w:tab/>
            </w:r>
            <w:r>
              <w:rPr>
                <w:rStyle w:val="IndexLink"/>
              </w:rPr>
              <w:t>109</w:t>
            </w:r>
          </w:hyperlink>
        </w:p>
        <w:p>
          <w:pPr>
            <w:pStyle w:val="Contents4"/>
            <w:tabs>
              <w:tab w:val="clear" w:pos="8176"/>
              <w:tab w:val="right" w:pos="9026" w:leader="dot"/>
            </w:tabs>
            <w:rPr/>
          </w:pPr>
          <w:hyperlink w:anchor="__RefHeading___Toc2495273_2142443653">
            <w:r>
              <w:rPr>
                <w:webHidden/>
                <w:rStyle w:val="IndexLink"/>
                <w:rtl w:val="true"/>
              </w:rPr>
              <w:t>المراد بالحلّية والحرمة</w:t>
            </w:r>
            <w:r>
              <w:rPr>
                <w:rStyle w:val="IndexLink"/>
                <w:rtl w:val="true"/>
              </w:rPr>
              <w:tab/>
            </w:r>
            <w:r>
              <w:rPr>
                <w:rStyle w:val="IndexLink"/>
              </w:rPr>
              <w:t>112</w:t>
            </w:r>
          </w:hyperlink>
        </w:p>
        <w:p>
          <w:pPr>
            <w:pStyle w:val="Contents4"/>
            <w:tabs>
              <w:tab w:val="clear" w:pos="8176"/>
              <w:tab w:val="right" w:pos="9026" w:leader="dot"/>
            </w:tabs>
            <w:rPr/>
          </w:pPr>
          <w:hyperlink w:anchor="__RefHeading___Toc2495275_2142443653">
            <w:r>
              <w:rPr>
                <w:webHidden/>
                <w:rStyle w:val="IndexLink"/>
                <w:rtl w:val="true"/>
              </w:rPr>
              <w:t>الإشكال في إطلاق الآية والجواب عنه</w:t>
            </w:r>
            <w:r>
              <w:rPr>
                <w:rStyle w:val="IndexLink"/>
                <w:rtl w:val="true"/>
              </w:rPr>
              <w:tab/>
            </w:r>
            <w:r>
              <w:rPr>
                <w:rStyle w:val="IndexLink"/>
              </w:rPr>
              <w:t>114</w:t>
            </w:r>
          </w:hyperlink>
        </w:p>
        <w:p>
          <w:pPr>
            <w:pStyle w:val="Contents3"/>
            <w:tabs>
              <w:tab w:val="clear" w:pos="8459"/>
              <w:tab w:val="right" w:pos="9026" w:leader="dot"/>
            </w:tabs>
            <w:rPr/>
          </w:pPr>
          <w:hyperlink w:anchor="__RefHeading___Toc2495277_2142443653">
            <w:r>
              <w:rPr>
                <w:webHidden/>
                <w:rStyle w:val="IndexLink"/>
                <w:rtl w:val="true"/>
              </w:rPr>
              <w:t xml:space="preserve">الدليل الثالث </w:t>
            </w:r>
            <w:r>
              <w:rPr>
                <w:rStyle w:val="IndexLink"/>
                <w:rtl w:val="true"/>
              </w:rPr>
              <w:t xml:space="preserve">: </w:t>
            </w:r>
            <w:r>
              <w:rPr>
                <w:rStyle w:val="IndexLink"/>
                <w:rtl w:val="true"/>
              </w:rPr>
              <w:t>آية التجارة</w:t>
            </w:r>
            <w:r>
              <w:rPr>
                <w:rStyle w:val="IndexLink"/>
                <w:rtl w:val="true"/>
              </w:rPr>
              <w:tab/>
            </w:r>
            <w:r>
              <w:rPr>
                <w:rStyle w:val="IndexLink"/>
              </w:rPr>
              <w:t>118</w:t>
            </w:r>
          </w:hyperlink>
        </w:p>
        <w:p>
          <w:pPr>
            <w:pStyle w:val="Contents3"/>
            <w:tabs>
              <w:tab w:val="clear" w:pos="8459"/>
              <w:tab w:val="right" w:pos="9026" w:leader="dot"/>
            </w:tabs>
            <w:rPr/>
          </w:pPr>
          <w:hyperlink w:anchor="__RefHeading___Toc2495279_2142443653">
            <w:r>
              <w:rPr>
                <w:webHidden/>
                <w:rStyle w:val="IndexLink"/>
                <w:rtl w:val="true"/>
              </w:rPr>
              <w:t xml:space="preserve">الدليل الرابع </w:t>
            </w:r>
            <w:r>
              <w:rPr>
                <w:rStyle w:val="IndexLink"/>
                <w:rtl w:val="true"/>
              </w:rPr>
              <w:t xml:space="preserve">: </w:t>
            </w:r>
            <w:r>
              <w:rPr>
                <w:rStyle w:val="IndexLink"/>
                <w:rtl w:val="true"/>
              </w:rPr>
              <w:t>آية الوفاء</w:t>
            </w:r>
            <w:r>
              <w:rPr>
                <w:rStyle w:val="IndexLink"/>
                <w:rtl w:val="true"/>
              </w:rPr>
              <w:tab/>
            </w:r>
            <w:r>
              <w:rPr>
                <w:rStyle w:val="IndexLink"/>
              </w:rPr>
              <w:t>122</w:t>
            </w:r>
          </w:hyperlink>
        </w:p>
        <w:p>
          <w:pPr>
            <w:pStyle w:val="Contents4"/>
            <w:tabs>
              <w:tab w:val="clear" w:pos="8176"/>
              <w:tab w:val="right" w:pos="9026" w:leader="dot"/>
            </w:tabs>
            <w:rPr/>
          </w:pPr>
          <w:hyperlink w:anchor="__RefHeading___Toc2495281_214244365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495283_2142443653">
            <w:r>
              <w:rPr>
                <w:webHidden/>
                <w:rStyle w:val="IndexLink"/>
                <w:rtl w:val="true"/>
              </w:rPr>
              <w:t>شبهة عدم شمول الآية للمعاطاة ودفعها</w:t>
            </w:r>
            <w:r>
              <w:rPr>
                <w:rStyle w:val="IndexLink"/>
                <w:rtl w:val="true"/>
              </w:rPr>
              <w:tab/>
            </w:r>
            <w:r>
              <w:rPr>
                <w:rStyle w:val="IndexLink"/>
              </w:rPr>
              <w:t>125</w:t>
            </w:r>
          </w:hyperlink>
        </w:p>
        <w:p>
          <w:pPr>
            <w:pStyle w:val="Contents4"/>
            <w:tabs>
              <w:tab w:val="clear" w:pos="8176"/>
              <w:tab w:val="right" w:pos="9026" w:leader="dot"/>
            </w:tabs>
            <w:rPr/>
          </w:pPr>
          <w:hyperlink w:anchor="__RefHeading___Toc2495285_2142443653">
            <w:r>
              <w:rPr>
                <w:webHidden/>
                <w:rStyle w:val="IndexLink"/>
                <w:rtl w:val="true"/>
              </w:rPr>
              <w:t>تحديد المعنى الحقيقي للعقد وبيان المعنى المستعار منه</w:t>
            </w:r>
            <w:r>
              <w:rPr>
                <w:rStyle w:val="IndexLink"/>
                <w:rtl w:val="true"/>
              </w:rPr>
              <w:tab/>
            </w:r>
            <w:r>
              <w:rPr>
                <w:rStyle w:val="IndexLink"/>
              </w:rPr>
              <w:t>126</w:t>
            </w:r>
          </w:hyperlink>
        </w:p>
        <w:p>
          <w:pPr>
            <w:pStyle w:val="Contents4"/>
            <w:tabs>
              <w:tab w:val="clear" w:pos="8176"/>
              <w:tab w:val="right" w:pos="9026" w:leader="dot"/>
            </w:tabs>
            <w:rPr/>
          </w:pPr>
          <w:hyperlink w:anchor="__RefHeading___Toc2495287_2142443653">
            <w:r>
              <w:rPr>
                <w:webHidden/>
                <w:rStyle w:val="IndexLink"/>
                <w:rtl w:val="true"/>
              </w:rPr>
              <w:t>معنى الوفاء بالعهد والعقد</w:t>
            </w:r>
            <w:r>
              <w:rPr>
                <w:rStyle w:val="IndexLink"/>
                <w:rtl w:val="true"/>
              </w:rPr>
              <w:tab/>
            </w:r>
            <w:r>
              <w:rPr>
                <w:rStyle w:val="IndexLink"/>
              </w:rPr>
              <w:t>130</w:t>
            </w:r>
          </w:hyperlink>
        </w:p>
        <w:p>
          <w:pPr>
            <w:pStyle w:val="Contents4"/>
            <w:tabs>
              <w:tab w:val="clear" w:pos="8176"/>
              <w:tab w:val="right" w:pos="9026" w:leader="dot"/>
            </w:tabs>
            <w:rPr/>
          </w:pPr>
          <w:hyperlink w:anchor="__RefHeading___Toc2495289_2142443653">
            <w:r>
              <w:rPr>
                <w:webHidden/>
                <w:rStyle w:val="IndexLink"/>
                <w:rtl w:val="true"/>
              </w:rPr>
              <w:t>اعتراضات المحقّق النراقي والجواب عنها</w:t>
            </w:r>
            <w:r>
              <w:rPr>
                <w:rStyle w:val="IndexLink"/>
                <w:rtl w:val="true"/>
              </w:rPr>
              <w:tab/>
            </w:r>
            <w:r>
              <w:rPr>
                <w:rStyle w:val="IndexLink"/>
              </w:rPr>
              <w:t>132</w:t>
            </w:r>
          </w:hyperlink>
        </w:p>
        <w:p>
          <w:pPr>
            <w:pStyle w:val="Contents4"/>
            <w:tabs>
              <w:tab w:val="clear" w:pos="8176"/>
              <w:tab w:val="right" w:pos="9026" w:leader="dot"/>
            </w:tabs>
            <w:rPr/>
          </w:pPr>
          <w:hyperlink w:anchor="__RefHeading___Toc2495291_2142443653">
            <w:r>
              <w:rPr>
                <w:webHidden/>
                <w:rStyle w:val="IndexLink"/>
                <w:rtl w:val="true"/>
              </w:rPr>
              <w:t>إشكال تخصيص الأكثر وجوابه</w:t>
            </w:r>
            <w:r>
              <w:rPr>
                <w:rStyle w:val="IndexLink"/>
                <w:rtl w:val="true"/>
              </w:rPr>
              <w:tab/>
            </w:r>
            <w:r>
              <w:rPr>
                <w:rStyle w:val="IndexLink"/>
              </w:rPr>
              <w:t>139</w:t>
            </w:r>
          </w:hyperlink>
        </w:p>
        <w:p>
          <w:pPr>
            <w:pStyle w:val="Contents3"/>
            <w:tabs>
              <w:tab w:val="clear" w:pos="8459"/>
              <w:tab w:val="right" w:pos="9026" w:leader="dot"/>
            </w:tabs>
            <w:rPr/>
          </w:pPr>
          <w:hyperlink w:anchor="__RefHeading___Toc2495293_2142443653">
            <w:r>
              <w:rPr>
                <w:webHidden/>
                <w:rStyle w:val="IndexLink"/>
                <w:rtl w:val="true"/>
              </w:rPr>
              <w:t xml:space="preserve">الدليل الخامس </w:t>
            </w:r>
            <w:r>
              <w:rPr>
                <w:rStyle w:val="IndexLink"/>
                <w:rtl w:val="true"/>
              </w:rPr>
              <w:t xml:space="preserve">: </w:t>
            </w:r>
            <w:r>
              <w:rPr>
                <w:rStyle w:val="IndexLink"/>
                <w:rtl w:val="true"/>
              </w:rPr>
              <w:t>آية القنطار والإفضاء</w:t>
            </w:r>
            <w:r>
              <w:rPr>
                <w:rStyle w:val="IndexLink"/>
                <w:rtl w:val="true"/>
              </w:rPr>
              <w:tab/>
            </w:r>
            <w:r>
              <w:rPr>
                <w:rStyle w:val="IndexLink"/>
              </w:rPr>
              <w:t>141</w:t>
            </w:r>
          </w:hyperlink>
        </w:p>
        <w:p>
          <w:pPr>
            <w:pStyle w:val="Contents3"/>
            <w:tabs>
              <w:tab w:val="clear" w:pos="8459"/>
              <w:tab w:val="right" w:pos="9026" w:leader="dot"/>
            </w:tabs>
            <w:rPr/>
          </w:pPr>
          <w:hyperlink w:anchor="__RefHeading___Toc2495295_2142443653">
            <w:r>
              <w:rPr>
                <w:webHidden/>
                <w:rStyle w:val="IndexLink"/>
                <w:rtl w:val="true"/>
              </w:rPr>
              <w:t xml:space="preserve">الدليل السادس </w:t>
            </w:r>
            <w:r>
              <w:rPr>
                <w:rStyle w:val="IndexLink"/>
                <w:rtl w:val="true"/>
              </w:rPr>
              <w:t xml:space="preserve">: </w:t>
            </w:r>
            <w:r>
              <w:rPr>
                <w:rStyle w:val="IndexLink"/>
                <w:rtl w:val="true"/>
              </w:rPr>
              <w:t>حديث السلطنة</w:t>
            </w:r>
            <w:r>
              <w:rPr>
                <w:rStyle w:val="IndexLink"/>
                <w:rtl w:val="true"/>
              </w:rPr>
              <w:tab/>
            </w:r>
            <w:r>
              <w:rPr>
                <w:rStyle w:val="IndexLink"/>
              </w:rPr>
              <w:t>144</w:t>
            </w:r>
          </w:hyperlink>
        </w:p>
        <w:p>
          <w:pPr>
            <w:pStyle w:val="Contents4"/>
            <w:tabs>
              <w:tab w:val="clear" w:pos="8176"/>
              <w:tab w:val="right" w:pos="9026" w:leader="dot"/>
            </w:tabs>
            <w:rPr/>
          </w:pPr>
          <w:hyperlink w:anchor="__RefHeading___Toc2495297_2142443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495299_2142443653">
            <w:r>
              <w:rPr>
                <w:webHidden/>
                <w:rStyle w:val="IndexLink"/>
                <w:rtl w:val="true"/>
              </w:rPr>
              <w:t>تقريب المحقّق الأصفهاني وجوابه</w:t>
            </w:r>
            <w:r>
              <w:rPr>
                <w:rStyle w:val="IndexLink"/>
                <w:rtl w:val="true"/>
              </w:rPr>
              <w:tab/>
            </w:r>
            <w:r>
              <w:rPr>
                <w:rStyle w:val="IndexLink"/>
              </w:rPr>
              <w:t>145</w:t>
            </w:r>
          </w:hyperlink>
        </w:p>
        <w:p>
          <w:pPr>
            <w:pStyle w:val="Contents4"/>
            <w:tabs>
              <w:tab w:val="clear" w:pos="8176"/>
              <w:tab w:val="right" w:pos="9026" w:leader="dot"/>
            </w:tabs>
            <w:rPr/>
          </w:pPr>
          <w:hyperlink w:anchor="__RefHeading___Toc2495301_2142443653">
            <w:r>
              <w:rPr>
                <w:webHidden/>
                <w:rStyle w:val="IndexLink"/>
                <w:rtl w:val="true"/>
              </w:rPr>
              <w:t>اعتراض المحقّق الأصفهاني على اُستاذه والجواب عنه</w:t>
            </w:r>
            <w:r>
              <w:rPr>
                <w:rStyle w:val="IndexLink"/>
                <w:rtl w:val="true"/>
              </w:rPr>
              <w:tab/>
            </w:r>
            <w:r>
              <w:rPr>
                <w:rStyle w:val="IndexLink"/>
              </w:rPr>
              <w:t>147</w:t>
            </w:r>
          </w:hyperlink>
        </w:p>
        <w:p>
          <w:pPr>
            <w:pStyle w:val="Contents4"/>
            <w:tabs>
              <w:tab w:val="clear" w:pos="8176"/>
              <w:tab w:val="right" w:pos="9026" w:leader="dot"/>
            </w:tabs>
            <w:rPr/>
          </w:pPr>
          <w:hyperlink w:anchor="__RefHeading___Toc2495303_2142443653">
            <w:r>
              <w:rPr>
                <w:webHidden/>
                <w:rStyle w:val="IndexLink"/>
                <w:rtl w:val="true"/>
              </w:rPr>
              <w:t>الإشكالات العقلية التي ذكرها المحقّق الأصفهاني وجوابها</w:t>
            </w:r>
            <w:r>
              <w:rPr>
                <w:rStyle w:val="IndexLink"/>
                <w:rtl w:val="true"/>
              </w:rPr>
              <w:tab/>
            </w:r>
            <w:r>
              <w:rPr>
                <w:rStyle w:val="IndexLink"/>
              </w:rPr>
              <w:t>150</w:t>
            </w:r>
          </w:hyperlink>
        </w:p>
        <w:p>
          <w:pPr>
            <w:pStyle w:val="Contents3"/>
            <w:tabs>
              <w:tab w:val="clear" w:pos="8459"/>
              <w:tab w:val="right" w:pos="9026" w:leader="dot"/>
            </w:tabs>
            <w:rPr/>
          </w:pPr>
          <w:hyperlink w:anchor="__RefHeading___Toc2495305_2142443653">
            <w:r>
              <w:rPr>
                <w:webHidden/>
                <w:rStyle w:val="IndexLink"/>
                <w:rtl w:val="true"/>
              </w:rPr>
              <w:t xml:space="preserve">الدليل السابع </w:t>
            </w:r>
            <w:r>
              <w:rPr>
                <w:rStyle w:val="IndexLink"/>
                <w:rtl w:val="true"/>
              </w:rPr>
              <w:t xml:space="preserve">: </w:t>
            </w:r>
            <w:r>
              <w:rPr>
                <w:rStyle w:val="IndexLink"/>
                <w:rtl w:val="true"/>
              </w:rPr>
              <w:t>حديث الشرط</w:t>
            </w:r>
            <w:r>
              <w:rPr>
                <w:rStyle w:val="IndexLink"/>
                <w:rtl w:val="true"/>
              </w:rPr>
              <w:tab/>
            </w:r>
            <w:r>
              <w:rPr>
                <w:rStyle w:val="IndexLink"/>
              </w:rPr>
              <w:t>152</w:t>
            </w:r>
          </w:hyperlink>
        </w:p>
        <w:p>
          <w:pPr>
            <w:pStyle w:val="Contents4"/>
            <w:tabs>
              <w:tab w:val="clear" w:pos="8176"/>
              <w:tab w:val="right" w:pos="9026" w:leader="dot"/>
            </w:tabs>
            <w:rPr/>
          </w:pPr>
          <w:hyperlink w:anchor="__RefHeading___Toc2495307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495309_2142443653">
            <w:r>
              <w:rPr>
                <w:webHidden/>
                <w:rStyle w:val="IndexLink"/>
                <w:rtl w:val="true"/>
              </w:rPr>
              <w:t>بحث في معنى الشرط</w:t>
            </w:r>
            <w:r>
              <w:rPr>
                <w:rStyle w:val="IndexLink"/>
                <w:rtl w:val="true"/>
              </w:rPr>
              <w:tab/>
            </w:r>
            <w:r>
              <w:rPr>
                <w:rStyle w:val="IndexLink"/>
              </w:rPr>
              <w:t>152</w:t>
            </w:r>
          </w:hyperlink>
        </w:p>
        <w:p>
          <w:pPr>
            <w:pStyle w:val="Contents4"/>
            <w:tabs>
              <w:tab w:val="clear" w:pos="8176"/>
              <w:tab w:val="right" w:pos="9026" w:leader="dot"/>
            </w:tabs>
            <w:rPr/>
          </w:pPr>
          <w:hyperlink w:anchor="__RefHeading___Toc2495311_2142443653">
            <w:r>
              <w:rPr>
                <w:webHidden/>
                <w:rStyle w:val="IndexLink"/>
                <w:rtl w:val="true"/>
              </w:rPr>
              <w:t>في شمول الشرط بالمعنى الحدثي للالتزامات الابتدائية</w:t>
            </w:r>
            <w:r>
              <w:rPr>
                <w:rStyle w:val="IndexLink"/>
                <w:rtl w:val="true"/>
              </w:rPr>
              <w:tab/>
            </w:r>
            <w:r>
              <w:rPr>
                <w:rStyle w:val="IndexLink"/>
              </w:rPr>
              <w:t>159</w:t>
            </w:r>
          </w:hyperlink>
        </w:p>
        <w:p>
          <w:pPr>
            <w:pStyle w:val="Contents4"/>
            <w:tabs>
              <w:tab w:val="clear" w:pos="8176"/>
              <w:tab w:val="right" w:pos="9026" w:leader="dot"/>
            </w:tabs>
            <w:rPr/>
          </w:pPr>
          <w:hyperlink w:anchor="__RefHeading___Toc2495313_2142443653">
            <w:r>
              <w:rPr>
                <w:webHidden/>
                <w:rStyle w:val="IndexLink"/>
                <w:rtl w:val="true"/>
              </w:rPr>
              <w:t>عدم شمول الشروط الابتدائية للمعاملات</w:t>
            </w:r>
            <w:r>
              <w:rPr>
                <w:rStyle w:val="IndexLink"/>
                <w:rtl w:val="true"/>
              </w:rPr>
              <w:tab/>
            </w:r>
            <w:r>
              <w:rPr>
                <w:rStyle w:val="IndexLink"/>
              </w:rPr>
              <w:t>163</w:t>
            </w:r>
          </w:hyperlink>
        </w:p>
        <w:p>
          <w:pPr>
            <w:pStyle w:val="Contents4"/>
            <w:tabs>
              <w:tab w:val="clear" w:pos="8176"/>
              <w:tab w:val="right" w:pos="9026" w:leader="dot"/>
            </w:tabs>
            <w:rPr/>
          </w:pPr>
          <w:hyperlink w:anchor="__RefHeading___Toc2495315_2142443653">
            <w:r>
              <w:rPr>
                <w:webHidden/>
                <w:rStyle w:val="IndexLink"/>
                <w:rtl w:val="true"/>
              </w:rPr>
              <w:t>دلالة الحديث على نفوذ الشرط</w:t>
            </w:r>
            <w:r>
              <w:rPr>
                <w:rStyle w:val="IndexLink"/>
                <w:rtl w:val="true"/>
              </w:rPr>
              <w:tab/>
            </w:r>
            <w:r>
              <w:rPr>
                <w:rStyle w:val="IndexLink"/>
              </w:rPr>
              <w:t>164</w:t>
            </w:r>
          </w:hyperlink>
        </w:p>
        <w:p>
          <w:pPr>
            <w:pStyle w:val="Contents3"/>
            <w:tabs>
              <w:tab w:val="clear" w:pos="8459"/>
              <w:tab w:val="right" w:pos="9026" w:leader="dot"/>
            </w:tabs>
            <w:rPr/>
          </w:pPr>
          <w:hyperlink w:anchor="__RefHeading___Toc2495317_2142443653">
            <w:r>
              <w:rPr>
                <w:webHidden/>
                <w:rStyle w:val="IndexLink"/>
                <w:rtl w:val="true"/>
              </w:rPr>
              <w:t>أدلّة لزوم المعاطاة</w:t>
            </w:r>
            <w:r>
              <w:rPr>
                <w:rStyle w:val="IndexLink"/>
                <w:rtl w:val="true"/>
              </w:rPr>
              <w:tab/>
            </w:r>
            <w:r>
              <w:rPr>
                <w:rStyle w:val="IndexLink"/>
              </w:rPr>
              <w:t>166</w:t>
            </w:r>
          </w:hyperlink>
        </w:p>
        <w:p>
          <w:pPr>
            <w:pStyle w:val="Contents4"/>
            <w:tabs>
              <w:tab w:val="clear" w:pos="8176"/>
              <w:tab w:val="right" w:pos="9026" w:leader="dot"/>
            </w:tabs>
            <w:rPr/>
          </w:pPr>
          <w:hyperlink w:anchor="__RefHeading___Toc2495319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2495321_2142443653">
            <w:r>
              <w:rPr>
                <w:webHidden/>
                <w:rStyle w:val="IndexLink"/>
                <w:rtl w:val="true"/>
              </w:rPr>
              <w:t xml:space="preserve">الدليل الأوّل </w:t>
            </w:r>
            <w:r>
              <w:rPr>
                <w:rStyle w:val="IndexLink"/>
                <w:rtl w:val="true"/>
              </w:rPr>
              <w:t xml:space="preserve">: </w:t>
            </w:r>
            <w:r>
              <w:rPr>
                <w:rStyle w:val="IndexLink"/>
                <w:rtl w:val="true"/>
              </w:rPr>
              <w:t>الاستصحاب</w:t>
            </w:r>
            <w:r>
              <w:rPr>
                <w:rStyle w:val="IndexLink"/>
                <w:rtl w:val="true"/>
              </w:rPr>
              <w:tab/>
            </w:r>
            <w:r>
              <w:rPr>
                <w:rStyle w:val="IndexLink"/>
              </w:rPr>
              <w:t>166</w:t>
            </w:r>
          </w:hyperlink>
        </w:p>
        <w:p>
          <w:pPr>
            <w:pStyle w:val="Contents5"/>
            <w:tabs>
              <w:tab w:val="clear" w:pos="7892"/>
              <w:tab w:val="right" w:pos="9026" w:leader="dot"/>
            </w:tabs>
            <w:rPr/>
          </w:pPr>
          <w:hyperlink w:anchor="__RefHeading___Toc2495323_2142443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495325_2142443653">
            <w:r>
              <w:rPr>
                <w:webHidden/>
                <w:rStyle w:val="IndexLink"/>
                <w:rtl w:val="true"/>
              </w:rPr>
              <w:t>حول معارض استصحاب بقاء الملك</w:t>
            </w:r>
            <w:r>
              <w:rPr>
                <w:rStyle w:val="IndexLink"/>
                <w:rtl w:val="true"/>
              </w:rPr>
              <w:tab/>
            </w:r>
            <w:r>
              <w:rPr>
                <w:rStyle w:val="IndexLink"/>
              </w:rPr>
              <w:t>177</w:t>
            </w:r>
          </w:hyperlink>
        </w:p>
        <w:p>
          <w:pPr>
            <w:pStyle w:val="Contents5"/>
            <w:tabs>
              <w:tab w:val="clear" w:pos="7892"/>
              <w:tab w:val="right" w:pos="9026" w:leader="dot"/>
            </w:tabs>
            <w:rPr/>
          </w:pPr>
          <w:hyperlink w:anchor="__RefHeading___Toc2495327_2142443653">
            <w:r>
              <w:rPr>
                <w:webHidden/>
                <w:rStyle w:val="IndexLink"/>
                <w:rtl w:val="true"/>
              </w:rPr>
              <w:t>عدم جريان الاستصحاب عند الشكّ في منوّعية اللزوم والجواز للملك</w:t>
            </w:r>
            <w:r>
              <w:rPr>
                <w:rStyle w:val="IndexLink"/>
                <w:rtl w:val="true"/>
              </w:rPr>
              <w:tab/>
            </w:r>
            <w:r>
              <w:rPr>
                <w:rStyle w:val="IndexLink"/>
              </w:rPr>
              <w:t>180</w:t>
            </w:r>
          </w:hyperlink>
        </w:p>
        <w:p>
          <w:pPr>
            <w:pStyle w:val="Contents4"/>
            <w:tabs>
              <w:tab w:val="clear" w:pos="8176"/>
              <w:tab w:val="right" w:pos="9026" w:leader="dot"/>
            </w:tabs>
            <w:rPr/>
          </w:pPr>
          <w:hyperlink w:anchor="__RefHeading___Toc2495329_2142443653">
            <w:r>
              <w:rPr>
                <w:webHidden/>
                <w:rStyle w:val="IndexLink"/>
                <w:rtl w:val="true"/>
              </w:rPr>
              <w:t xml:space="preserve">الدليل الثاني </w:t>
            </w:r>
            <w:r>
              <w:rPr>
                <w:rStyle w:val="IndexLink"/>
                <w:rtl w:val="true"/>
              </w:rPr>
              <w:t xml:space="preserve">: </w:t>
            </w:r>
            <w:r>
              <w:rPr>
                <w:rStyle w:val="IndexLink"/>
                <w:rtl w:val="true"/>
              </w:rPr>
              <w:t>حديث السلطنة</w:t>
            </w:r>
            <w:r>
              <w:rPr>
                <w:rStyle w:val="IndexLink"/>
                <w:rtl w:val="true"/>
              </w:rPr>
              <w:tab/>
            </w:r>
            <w:r>
              <w:rPr>
                <w:rStyle w:val="IndexLink"/>
              </w:rPr>
              <w:t>182</w:t>
            </w:r>
          </w:hyperlink>
        </w:p>
        <w:p>
          <w:pPr>
            <w:pStyle w:val="Contents5"/>
            <w:tabs>
              <w:tab w:val="clear" w:pos="7892"/>
              <w:tab w:val="right" w:pos="9026" w:leader="dot"/>
            </w:tabs>
            <w:rPr/>
          </w:pPr>
          <w:hyperlink w:anchor="__RefHeading___Toc2495331_2142443653">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2495333_2142443653">
            <w:r>
              <w:rPr>
                <w:webHidden/>
                <w:rStyle w:val="IndexLink"/>
                <w:rtl w:val="true"/>
              </w:rPr>
              <w:t>مناقشة المحقّق الأصفهاني ودفعها</w:t>
            </w:r>
            <w:r>
              <w:rPr>
                <w:rStyle w:val="IndexLink"/>
                <w:rtl w:val="true"/>
              </w:rPr>
              <w:tab/>
            </w:r>
            <w:r>
              <w:rPr>
                <w:rStyle w:val="IndexLink"/>
              </w:rPr>
              <w:t>184</w:t>
            </w:r>
          </w:hyperlink>
        </w:p>
        <w:p>
          <w:pPr>
            <w:pStyle w:val="Contents4"/>
            <w:tabs>
              <w:tab w:val="clear" w:pos="8176"/>
              <w:tab w:val="right" w:pos="9026" w:leader="dot"/>
            </w:tabs>
            <w:rPr/>
          </w:pPr>
          <w:hyperlink w:anchor="__RefHeading___Toc2495335_2142443653">
            <w:r>
              <w:rPr>
                <w:webHidden/>
                <w:rStyle w:val="IndexLink"/>
                <w:rtl w:val="true"/>
              </w:rPr>
              <w:t xml:space="preserve">الدليل الثالث </w:t>
            </w:r>
            <w:r>
              <w:rPr>
                <w:rStyle w:val="IndexLink"/>
                <w:rtl w:val="true"/>
              </w:rPr>
              <w:t xml:space="preserve">: </w:t>
            </w:r>
            <w:r>
              <w:rPr>
                <w:rStyle w:val="IndexLink"/>
                <w:rtl w:val="true"/>
              </w:rPr>
              <w:t xml:space="preserve">حديث </w:t>
            </w:r>
            <w:r>
              <w:rPr>
                <w:rStyle w:val="IndexLink"/>
                <w:rtl w:val="true"/>
              </w:rPr>
              <w:t>«</w:t>
            </w:r>
            <w:r>
              <w:rPr>
                <w:rStyle w:val="IndexLink"/>
                <w:rtl w:val="true"/>
              </w:rPr>
              <w:t xml:space="preserve">لا يحلّ </w:t>
            </w:r>
            <w:r>
              <w:rPr>
                <w:rStyle w:val="IndexLink"/>
                <w:rtl w:val="true"/>
              </w:rPr>
              <w:t>. . .»</w:t>
              <w:tab/>
            </w:r>
            <w:r>
              <w:rPr>
                <w:rStyle w:val="IndexLink"/>
              </w:rPr>
              <w:t>189</w:t>
            </w:r>
          </w:hyperlink>
        </w:p>
        <w:p>
          <w:pPr>
            <w:pStyle w:val="Contents5"/>
            <w:tabs>
              <w:tab w:val="clear" w:pos="7892"/>
              <w:tab w:val="right" w:pos="9026" w:leader="dot"/>
            </w:tabs>
            <w:rPr/>
          </w:pPr>
          <w:hyperlink w:anchor="__RefHeading___Toc2495337_2142443653">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495339_2142443653">
            <w:r>
              <w:rPr>
                <w:webHidden/>
                <w:rStyle w:val="IndexLink"/>
                <w:rtl w:val="true"/>
              </w:rPr>
              <w:t>اعتراضات وأجوبة</w:t>
            </w:r>
            <w:r>
              <w:rPr>
                <w:rStyle w:val="IndexLink"/>
                <w:rtl w:val="true"/>
              </w:rPr>
              <w:tab/>
            </w:r>
            <w:r>
              <w:rPr>
                <w:rStyle w:val="IndexLink"/>
              </w:rPr>
              <w:t>193</w:t>
            </w:r>
          </w:hyperlink>
        </w:p>
        <w:p>
          <w:pPr>
            <w:pStyle w:val="Contents4"/>
            <w:tabs>
              <w:tab w:val="clear" w:pos="8176"/>
              <w:tab w:val="right" w:pos="9026" w:leader="dot"/>
            </w:tabs>
            <w:rPr/>
          </w:pPr>
          <w:hyperlink w:anchor="__RefHeading___Toc2495341_2142443653">
            <w:r>
              <w:rPr>
                <w:webHidden/>
                <w:rStyle w:val="IndexLink"/>
                <w:rtl w:val="true"/>
              </w:rPr>
              <w:t xml:space="preserve">الدليل الرابع </w:t>
            </w:r>
            <w:r>
              <w:rPr>
                <w:rStyle w:val="IndexLink"/>
                <w:rtl w:val="true"/>
              </w:rPr>
              <w:t xml:space="preserve">: </w:t>
            </w:r>
            <w:r>
              <w:rPr>
                <w:rStyle w:val="IndexLink"/>
                <w:rtl w:val="true"/>
              </w:rPr>
              <w:t>آية التجارة</w:t>
            </w:r>
            <w:r>
              <w:rPr>
                <w:rStyle w:val="IndexLink"/>
                <w:rtl w:val="true"/>
              </w:rPr>
              <w:tab/>
            </w:r>
            <w:r>
              <w:rPr>
                <w:rStyle w:val="IndexLink"/>
              </w:rPr>
              <w:t>195</w:t>
            </w:r>
          </w:hyperlink>
        </w:p>
        <w:p>
          <w:pPr>
            <w:pStyle w:val="Contents5"/>
            <w:tabs>
              <w:tab w:val="clear" w:pos="7892"/>
              <w:tab w:val="right" w:pos="9026" w:leader="dot"/>
            </w:tabs>
            <w:rPr/>
          </w:pPr>
          <w:hyperlink w:anchor="__RefHeading___Toc2495343_2142443653">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495345_2142443653">
            <w:r>
              <w:rPr>
                <w:webHidden/>
                <w:rStyle w:val="IndexLink"/>
                <w:rtl w:val="true"/>
              </w:rPr>
              <w:t>تقريب الاستدلال بالمستثنى منه</w:t>
            </w:r>
            <w:r>
              <w:rPr>
                <w:rStyle w:val="IndexLink"/>
                <w:rtl w:val="true"/>
              </w:rPr>
              <w:tab/>
            </w:r>
            <w:r>
              <w:rPr>
                <w:rStyle w:val="IndexLink"/>
              </w:rPr>
              <w:t>196</w:t>
            </w:r>
          </w:hyperlink>
        </w:p>
        <w:p>
          <w:pPr>
            <w:pStyle w:val="Contents5"/>
            <w:tabs>
              <w:tab w:val="clear" w:pos="7892"/>
              <w:tab w:val="right" w:pos="9026" w:leader="dot"/>
            </w:tabs>
            <w:rPr/>
          </w:pPr>
          <w:hyperlink w:anchor="__RefHeading___Toc2495347_2142443653">
            <w:r>
              <w:rPr>
                <w:webHidden/>
                <w:rStyle w:val="IndexLink"/>
                <w:rtl w:val="true"/>
              </w:rPr>
              <w:t>تقريب الاستدلال بالمستثنى</w:t>
            </w:r>
            <w:r>
              <w:rPr>
                <w:rStyle w:val="IndexLink"/>
                <w:rtl w:val="true"/>
              </w:rPr>
              <w:tab/>
            </w:r>
            <w:r>
              <w:rPr>
                <w:rStyle w:val="IndexLink"/>
              </w:rPr>
              <w:t>198</w:t>
            </w:r>
          </w:hyperlink>
        </w:p>
        <w:p>
          <w:pPr>
            <w:pStyle w:val="Contents5"/>
            <w:tabs>
              <w:tab w:val="clear" w:pos="7892"/>
              <w:tab w:val="right" w:pos="9026" w:leader="dot"/>
            </w:tabs>
            <w:rPr/>
          </w:pPr>
          <w:hyperlink w:anchor="__RefHeading___Toc2495349_2142443653">
            <w:r>
              <w:rPr>
                <w:webHidden/>
                <w:rStyle w:val="IndexLink"/>
                <w:rtl w:val="true"/>
              </w:rPr>
              <w:t>تقريب الاستدلال بالحصر المستفاد من مجموع الجملتين</w:t>
            </w:r>
            <w:r>
              <w:rPr>
                <w:rStyle w:val="IndexLink"/>
                <w:rtl w:val="true"/>
              </w:rPr>
              <w:tab/>
            </w:r>
            <w:r>
              <w:rPr>
                <w:rStyle w:val="IndexLink"/>
              </w:rPr>
              <w:t>201</w:t>
            </w:r>
          </w:hyperlink>
        </w:p>
        <w:p>
          <w:pPr>
            <w:pStyle w:val="Contents4"/>
            <w:tabs>
              <w:tab w:val="clear" w:pos="8176"/>
              <w:tab w:val="right" w:pos="9026" w:leader="dot"/>
            </w:tabs>
            <w:rPr/>
          </w:pPr>
          <w:hyperlink w:anchor="__RefHeading___Toc2495351_2142443653">
            <w:r>
              <w:rPr>
                <w:webHidden/>
                <w:rStyle w:val="IndexLink"/>
                <w:rtl w:val="true"/>
              </w:rPr>
              <w:t xml:space="preserve">الدليل الخامس </w:t>
            </w:r>
            <w:r>
              <w:rPr>
                <w:rStyle w:val="IndexLink"/>
                <w:rtl w:val="true"/>
              </w:rPr>
              <w:t xml:space="preserve">: </w:t>
            </w:r>
            <w:r>
              <w:rPr>
                <w:rStyle w:val="IndexLink"/>
                <w:rtl w:val="true"/>
              </w:rPr>
              <w:t>أخبار خيار المجلس</w:t>
            </w:r>
            <w:r>
              <w:rPr>
                <w:rStyle w:val="IndexLink"/>
                <w:rtl w:val="true"/>
              </w:rPr>
              <w:tab/>
            </w:r>
            <w:r>
              <w:rPr>
                <w:rStyle w:val="IndexLink"/>
              </w:rPr>
              <w:t>204</w:t>
            </w:r>
          </w:hyperlink>
        </w:p>
        <w:p>
          <w:pPr>
            <w:pStyle w:val="Contents5"/>
            <w:tabs>
              <w:tab w:val="clear" w:pos="7892"/>
              <w:tab w:val="right" w:pos="9026" w:leader="dot"/>
            </w:tabs>
            <w:rPr/>
          </w:pPr>
          <w:hyperlink w:anchor="__RefHeading___Toc2495353_2142443653">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495355_2142443653">
            <w:r>
              <w:rPr>
                <w:webHidden/>
                <w:rStyle w:val="IndexLink"/>
                <w:rtl w:val="true"/>
              </w:rPr>
              <w:t>نقل الأخبار الواردة في خيار المجلس</w:t>
            </w:r>
            <w:r>
              <w:rPr>
                <w:rStyle w:val="IndexLink"/>
                <w:rtl w:val="true"/>
              </w:rPr>
              <w:tab/>
            </w:r>
            <w:r>
              <w:rPr>
                <w:rStyle w:val="IndexLink"/>
              </w:rPr>
              <w:t>207</w:t>
            </w:r>
          </w:hyperlink>
        </w:p>
        <w:p>
          <w:pPr>
            <w:pStyle w:val="Contents5"/>
            <w:tabs>
              <w:tab w:val="clear" w:pos="7892"/>
              <w:tab w:val="right" w:pos="9026" w:leader="dot"/>
            </w:tabs>
            <w:rPr/>
          </w:pPr>
          <w:hyperlink w:anchor="__RefHeading___Toc2495357_2142443653">
            <w:r>
              <w:rPr>
                <w:webHidden/>
                <w:rStyle w:val="IndexLink"/>
                <w:rtl w:val="true"/>
              </w:rPr>
              <w:t>عدم دلالة الأخبار على اللزوم</w:t>
            </w:r>
            <w:r>
              <w:rPr>
                <w:rStyle w:val="IndexLink"/>
                <w:rtl w:val="true"/>
              </w:rPr>
              <w:tab/>
            </w:r>
            <w:r>
              <w:rPr>
                <w:rStyle w:val="IndexLink"/>
              </w:rPr>
              <w:t>209</w:t>
            </w:r>
          </w:hyperlink>
        </w:p>
        <w:p>
          <w:pPr>
            <w:pStyle w:val="Contents4"/>
            <w:tabs>
              <w:tab w:val="clear" w:pos="8176"/>
              <w:tab w:val="right" w:pos="9026" w:leader="dot"/>
            </w:tabs>
            <w:rPr/>
          </w:pPr>
          <w:hyperlink w:anchor="__RefHeading___Toc2495359_2142443653">
            <w:r>
              <w:rPr>
                <w:webHidden/>
                <w:rStyle w:val="IndexLink"/>
                <w:rtl w:val="true"/>
              </w:rPr>
              <w:t xml:space="preserve">الدليل السادس </w:t>
            </w:r>
            <w:r>
              <w:rPr>
                <w:rStyle w:val="IndexLink"/>
                <w:rtl w:val="true"/>
              </w:rPr>
              <w:t xml:space="preserve">: </w:t>
            </w:r>
            <w:r>
              <w:rPr>
                <w:rStyle w:val="IndexLink"/>
                <w:rtl w:val="true"/>
              </w:rPr>
              <w:t>آية الوفاء بالعقود</w:t>
            </w:r>
            <w:r>
              <w:rPr>
                <w:rStyle w:val="IndexLink"/>
                <w:rtl w:val="true"/>
              </w:rPr>
              <w:tab/>
            </w:r>
            <w:r>
              <w:rPr>
                <w:rStyle w:val="IndexLink"/>
              </w:rPr>
              <w:t>210</w:t>
            </w:r>
          </w:hyperlink>
        </w:p>
        <w:p>
          <w:pPr>
            <w:pStyle w:val="Contents5"/>
            <w:tabs>
              <w:tab w:val="clear" w:pos="7892"/>
              <w:tab w:val="right" w:pos="9026" w:leader="dot"/>
            </w:tabs>
            <w:rPr/>
          </w:pPr>
          <w:hyperlink w:anchor="__RefHeading___Toc2495361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2495363_2142443653">
            <w:r>
              <w:rPr>
                <w:webHidden/>
                <w:rStyle w:val="IndexLink"/>
                <w:rtl w:val="true"/>
              </w:rPr>
              <w:t>التقريبات الثلاثة لإثبات اللزوم</w:t>
            </w:r>
            <w:r>
              <w:rPr>
                <w:rStyle w:val="IndexLink"/>
                <w:rtl w:val="true"/>
              </w:rPr>
              <w:tab/>
            </w:r>
            <w:r>
              <w:rPr>
                <w:rStyle w:val="IndexLink"/>
              </w:rPr>
              <w:t>211</w:t>
            </w:r>
          </w:hyperlink>
        </w:p>
        <w:p>
          <w:pPr>
            <w:pStyle w:val="Contents5"/>
            <w:tabs>
              <w:tab w:val="clear" w:pos="7892"/>
              <w:tab w:val="right" w:pos="9026" w:leader="dot"/>
            </w:tabs>
            <w:rPr/>
          </w:pPr>
          <w:hyperlink w:anchor="__RefHeading___Toc2495365_2142443653">
            <w:r>
              <w:rPr>
                <w:webHidden/>
                <w:rStyle w:val="IndexLink"/>
                <w:rtl w:val="true"/>
              </w:rPr>
              <w:t>تقرير اللزوم بناءً على كون مقتضى الوفاء بالعقود إبقاؤها</w:t>
            </w:r>
            <w:r>
              <w:rPr>
                <w:rStyle w:val="IndexLink"/>
                <w:rtl w:val="true"/>
              </w:rPr>
              <w:tab/>
            </w:r>
            <w:r>
              <w:rPr>
                <w:rStyle w:val="IndexLink"/>
              </w:rPr>
              <w:t>215</w:t>
            </w:r>
          </w:hyperlink>
        </w:p>
        <w:p>
          <w:pPr>
            <w:pStyle w:val="Contents5"/>
            <w:tabs>
              <w:tab w:val="clear" w:pos="7892"/>
              <w:tab w:val="right" w:pos="9026" w:leader="dot"/>
            </w:tabs>
            <w:rPr/>
          </w:pPr>
          <w:hyperlink w:anchor="__RefHeading___Toc2495367_2142443653">
            <w:r>
              <w:rPr>
                <w:webHidden/>
                <w:rStyle w:val="IndexLink"/>
                <w:rtl w:val="true"/>
              </w:rPr>
              <w:t>تقرير دلالة الآية على اللزوم بوجهين آخرين</w:t>
            </w:r>
            <w:r>
              <w:rPr>
                <w:rStyle w:val="IndexLink"/>
                <w:rtl w:val="true"/>
              </w:rPr>
              <w:tab/>
            </w:r>
            <w:r>
              <w:rPr>
                <w:rStyle w:val="IndexLink"/>
              </w:rPr>
              <w:t>217</w:t>
            </w:r>
          </w:hyperlink>
        </w:p>
        <w:p>
          <w:pPr>
            <w:pStyle w:val="Contents5"/>
            <w:tabs>
              <w:tab w:val="clear" w:pos="7892"/>
              <w:tab w:val="right" w:pos="9026" w:leader="dot"/>
            </w:tabs>
            <w:rPr/>
          </w:pPr>
          <w:hyperlink w:anchor="__RefHeading___Toc2495369_2142443653">
            <w:r>
              <w:rPr>
                <w:webHidden/>
                <w:rStyle w:val="IndexLink"/>
                <w:rtl w:val="true"/>
              </w:rPr>
              <w:t>تقرير استدلال الشيخ الأعظم</w:t>
            </w:r>
            <w:r>
              <w:rPr>
                <w:rStyle w:val="IndexLink"/>
                <w:rtl w:val="true"/>
              </w:rPr>
              <w:tab/>
            </w:r>
            <w:r>
              <w:rPr>
                <w:rStyle w:val="IndexLink"/>
              </w:rPr>
              <w:t>219</w:t>
            </w:r>
          </w:hyperlink>
        </w:p>
        <w:p>
          <w:pPr>
            <w:pStyle w:val="Contents5"/>
            <w:tabs>
              <w:tab w:val="clear" w:pos="7892"/>
              <w:tab w:val="right" w:pos="9026" w:leader="dot"/>
            </w:tabs>
            <w:rPr/>
          </w:pPr>
          <w:hyperlink w:anchor="__RefHeading___Toc2495371_2142443653">
            <w:r>
              <w:rPr>
                <w:webHidden/>
                <w:rStyle w:val="IndexLink"/>
                <w:rtl w:val="true"/>
              </w:rPr>
              <w:t>أجوبة المحقّقين عن إشكال الشبهة المصداقية في المقام</w:t>
            </w:r>
            <w:r>
              <w:rPr>
                <w:rStyle w:val="IndexLink"/>
                <w:rtl w:val="true"/>
              </w:rPr>
              <w:tab/>
            </w:r>
            <w:r>
              <w:rPr>
                <w:rStyle w:val="IndexLink"/>
              </w:rPr>
              <w:t>221</w:t>
            </w:r>
          </w:hyperlink>
        </w:p>
        <w:p>
          <w:pPr>
            <w:pStyle w:val="Contents5"/>
            <w:tabs>
              <w:tab w:val="clear" w:pos="7892"/>
              <w:tab w:val="right" w:pos="9026" w:leader="dot"/>
            </w:tabs>
            <w:rPr/>
          </w:pPr>
          <w:hyperlink w:anchor="__RefHeading___Toc2495373_2142443653">
            <w:r>
              <w:rPr>
                <w:webHidden/>
                <w:rStyle w:val="IndexLink"/>
                <w:rtl w:val="true"/>
              </w:rPr>
              <w:t>جواب المحقّق النائيني</w:t>
            </w:r>
            <w:r>
              <w:rPr>
                <w:rStyle w:val="IndexLink"/>
                <w:rtl w:val="true"/>
              </w:rPr>
              <w:tab/>
            </w:r>
            <w:r>
              <w:rPr>
                <w:rStyle w:val="IndexLink"/>
              </w:rPr>
              <w:t>221</w:t>
            </w:r>
          </w:hyperlink>
        </w:p>
        <w:p>
          <w:pPr>
            <w:pStyle w:val="Contents5"/>
            <w:tabs>
              <w:tab w:val="clear" w:pos="7892"/>
              <w:tab w:val="right" w:pos="9026" w:leader="dot"/>
            </w:tabs>
            <w:rPr/>
          </w:pPr>
          <w:hyperlink w:anchor="__RefHeading___Toc2495375_2142443653">
            <w:r>
              <w:rPr>
                <w:webHidden/>
                <w:rStyle w:val="IndexLink"/>
                <w:rtl w:val="true"/>
              </w:rPr>
              <w:t>الأجوبة الأربعة للمحقّق الشيرازي قدّس سرّه</w:t>
            </w:r>
            <w:r>
              <w:rPr>
                <w:rStyle w:val="IndexLink"/>
                <w:rtl w:val="true"/>
              </w:rPr>
              <w:tab/>
            </w:r>
            <w:r>
              <w:rPr>
                <w:rStyle w:val="IndexLink"/>
              </w:rPr>
              <w:t>223</w:t>
            </w:r>
          </w:hyperlink>
        </w:p>
        <w:p>
          <w:pPr>
            <w:pStyle w:val="Contents5"/>
            <w:tabs>
              <w:tab w:val="clear" w:pos="7892"/>
              <w:tab w:val="right" w:pos="9026" w:leader="dot"/>
            </w:tabs>
            <w:rPr/>
          </w:pPr>
          <w:hyperlink w:anchor="__RefHeading___Toc2495377_2142443653">
            <w:r>
              <w:rPr>
                <w:webHidden/>
                <w:rStyle w:val="IndexLink"/>
                <w:rtl w:val="true"/>
              </w:rPr>
              <w:t>جواب المحقّق الأصفهاني عن الشبهة</w:t>
            </w:r>
            <w:r>
              <w:rPr>
                <w:rStyle w:val="IndexLink"/>
                <w:rtl w:val="true"/>
              </w:rPr>
              <w:tab/>
            </w:r>
            <w:r>
              <w:rPr>
                <w:rStyle w:val="IndexLink"/>
              </w:rPr>
              <w:t>229</w:t>
            </w:r>
          </w:hyperlink>
        </w:p>
        <w:p>
          <w:pPr>
            <w:pStyle w:val="Contents5"/>
            <w:tabs>
              <w:tab w:val="clear" w:pos="7892"/>
              <w:tab w:val="right" w:pos="9026" w:leader="dot"/>
            </w:tabs>
            <w:rPr/>
          </w:pPr>
          <w:hyperlink w:anchor="__RefHeading___Toc2495379_2142443653">
            <w:r>
              <w:rPr>
                <w:webHidden/>
                <w:rStyle w:val="IndexLink"/>
                <w:rtl w:val="true"/>
              </w:rPr>
              <w:t>الوجه الأخير في جواب الشبهة</w:t>
            </w:r>
            <w:r>
              <w:rPr>
                <w:rStyle w:val="IndexLink"/>
                <w:rtl w:val="true"/>
              </w:rPr>
              <w:tab/>
            </w:r>
            <w:r>
              <w:rPr>
                <w:rStyle w:val="IndexLink"/>
              </w:rPr>
              <w:t>233</w:t>
            </w:r>
          </w:hyperlink>
        </w:p>
        <w:p>
          <w:pPr>
            <w:pStyle w:val="Contents4"/>
            <w:tabs>
              <w:tab w:val="clear" w:pos="8176"/>
              <w:tab w:val="right" w:pos="9026" w:leader="dot"/>
            </w:tabs>
            <w:rPr/>
          </w:pPr>
          <w:hyperlink w:anchor="__RefHeading___Toc2495381_2142443653">
            <w:r>
              <w:rPr>
                <w:webHidden/>
                <w:rStyle w:val="IndexLink"/>
                <w:rtl w:val="true"/>
              </w:rPr>
              <w:t xml:space="preserve">الدليل السابع </w:t>
            </w:r>
            <w:r>
              <w:rPr>
                <w:rStyle w:val="IndexLink"/>
                <w:rtl w:val="true"/>
              </w:rPr>
              <w:t xml:space="preserve">: </w:t>
            </w:r>
            <w:r>
              <w:rPr>
                <w:rStyle w:val="IndexLink"/>
                <w:rtl w:val="true"/>
              </w:rPr>
              <w:t>حديث الشرط</w:t>
            </w:r>
            <w:r>
              <w:rPr>
                <w:rStyle w:val="IndexLink"/>
                <w:rtl w:val="true"/>
              </w:rPr>
              <w:tab/>
            </w:r>
            <w:r>
              <w:rPr>
                <w:rStyle w:val="IndexLink"/>
              </w:rPr>
              <w:t>235</w:t>
            </w:r>
          </w:hyperlink>
        </w:p>
        <w:p>
          <w:pPr>
            <w:pStyle w:val="Contents4"/>
            <w:tabs>
              <w:tab w:val="clear" w:pos="8176"/>
              <w:tab w:val="right" w:pos="9026" w:leader="dot"/>
            </w:tabs>
            <w:rPr/>
          </w:pPr>
          <w:hyperlink w:anchor="__RefHeading___Toc2495383_2142443653">
            <w:r>
              <w:rPr>
                <w:webHidden/>
                <w:rStyle w:val="IndexLink"/>
                <w:rtl w:val="true"/>
              </w:rPr>
              <w:t xml:space="preserve">الدليل الثامن </w:t>
            </w:r>
            <w:r>
              <w:rPr>
                <w:rStyle w:val="IndexLink"/>
                <w:rtl w:val="true"/>
              </w:rPr>
              <w:t xml:space="preserve">: </w:t>
            </w:r>
            <w:r>
              <w:rPr>
                <w:rStyle w:val="IndexLink"/>
                <w:rtl w:val="true"/>
              </w:rPr>
              <w:t>آية حلّ البيع</w:t>
            </w:r>
            <w:r>
              <w:rPr>
                <w:rStyle w:val="IndexLink"/>
                <w:rtl w:val="true"/>
              </w:rPr>
              <w:tab/>
            </w:r>
            <w:r>
              <w:rPr>
                <w:rStyle w:val="IndexLink"/>
              </w:rPr>
              <w:t>237</w:t>
            </w:r>
          </w:hyperlink>
        </w:p>
        <w:p>
          <w:pPr>
            <w:pStyle w:val="Contents3"/>
            <w:tabs>
              <w:tab w:val="clear" w:pos="8459"/>
              <w:tab w:val="right" w:pos="9026" w:leader="dot"/>
            </w:tabs>
            <w:rPr/>
          </w:pPr>
          <w:hyperlink w:anchor="__RefHeading___Toc2495385_2142443653">
            <w:r>
              <w:rPr>
                <w:webHidden/>
                <w:rStyle w:val="IndexLink"/>
                <w:rtl w:val="true"/>
              </w:rPr>
              <w:t>فيما يتمسّك به على بطلان المعاطاة أو عدم لزومها</w:t>
            </w:r>
            <w:r>
              <w:rPr>
                <w:rStyle w:val="IndexLink"/>
                <w:rtl w:val="true"/>
              </w:rPr>
              <w:tab/>
            </w:r>
            <w:r>
              <w:rPr>
                <w:rStyle w:val="IndexLink"/>
              </w:rPr>
              <w:t>239</w:t>
            </w:r>
          </w:hyperlink>
        </w:p>
        <w:p>
          <w:pPr>
            <w:pStyle w:val="Contents4"/>
            <w:tabs>
              <w:tab w:val="clear" w:pos="8176"/>
              <w:tab w:val="right" w:pos="9026" w:leader="dot"/>
            </w:tabs>
            <w:rPr/>
          </w:pPr>
          <w:hyperlink w:anchor="__RefHeading___Toc2495387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495389_2142443653">
            <w:r>
              <w:rPr>
                <w:webHidden/>
                <w:rStyle w:val="IndexLink"/>
                <w:rtl w:val="true"/>
              </w:rPr>
              <w:t>التمسّك بالأصل</w:t>
            </w:r>
            <w:r>
              <w:rPr>
                <w:rStyle w:val="IndexLink"/>
                <w:rtl w:val="true"/>
              </w:rPr>
              <w:tab/>
            </w:r>
            <w:r>
              <w:rPr>
                <w:rStyle w:val="IndexLink"/>
              </w:rPr>
              <w:t>239</w:t>
            </w:r>
          </w:hyperlink>
        </w:p>
        <w:p>
          <w:pPr>
            <w:pStyle w:val="Contents4"/>
            <w:tabs>
              <w:tab w:val="clear" w:pos="8176"/>
              <w:tab w:val="right" w:pos="9026" w:leader="dot"/>
            </w:tabs>
            <w:rPr/>
          </w:pPr>
          <w:hyperlink w:anchor="__RefHeading___Toc2495391_2142443653">
            <w:r>
              <w:rPr>
                <w:webHidden/>
                <w:rStyle w:val="IndexLink"/>
                <w:rtl w:val="true"/>
              </w:rPr>
              <w:t xml:space="preserve">التمسّك بحديث </w:t>
            </w:r>
            <w:r>
              <w:rPr>
                <w:rStyle w:val="IndexLink"/>
                <w:rtl w:val="true"/>
              </w:rPr>
              <w:t>«</w:t>
            </w:r>
            <w:r>
              <w:rPr>
                <w:rStyle w:val="IndexLink"/>
                <w:rtl w:val="true"/>
              </w:rPr>
              <w:t xml:space="preserve">إنّما يحلّل الكلام </w:t>
            </w:r>
            <w:r>
              <w:rPr>
                <w:rStyle w:val="IndexLink"/>
                <w:rtl w:val="true"/>
              </w:rPr>
              <w:t>. . .»</w:t>
              <w:tab/>
            </w:r>
            <w:r>
              <w:rPr>
                <w:rStyle w:val="IndexLink"/>
              </w:rPr>
              <w:t>239</w:t>
            </w:r>
          </w:hyperlink>
        </w:p>
        <w:p>
          <w:pPr>
            <w:pStyle w:val="Contents4"/>
            <w:tabs>
              <w:tab w:val="clear" w:pos="8176"/>
              <w:tab w:val="right" w:pos="9026" w:leader="dot"/>
            </w:tabs>
            <w:rPr/>
          </w:pPr>
          <w:hyperlink w:anchor="__RefHeading___Toc2495393_2142443653">
            <w:r>
              <w:rPr>
                <w:webHidden/>
                <w:rStyle w:val="IndexLink"/>
                <w:rtl w:val="true"/>
              </w:rPr>
              <w:t>التمسّك بروايات اُخر لاعتبار اللفظ</w:t>
            </w:r>
            <w:r>
              <w:rPr>
                <w:rStyle w:val="IndexLink"/>
                <w:rtl w:val="true"/>
              </w:rPr>
              <w:tab/>
            </w:r>
            <w:r>
              <w:rPr>
                <w:rStyle w:val="IndexLink"/>
              </w:rPr>
              <w:t>246</w:t>
            </w:r>
          </w:hyperlink>
        </w:p>
        <w:p>
          <w:pPr>
            <w:pStyle w:val="Contents4"/>
            <w:tabs>
              <w:tab w:val="clear" w:pos="8176"/>
              <w:tab w:val="right" w:pos="9026" w:leader="dot"/>
            </w:tabs>
            <w:rPr/>
          </w:pPr>
          <w:hyperlink w:anchor="__RefHeading___Toc2495395_2142443653">
            <w:r>
              <w:rPr>
                <w:webHidden/>
                <w:rStyle w:val="IndexLink"/>
                <w:rtl w:val="true"/>
              </w:rPr>
              <w:t>حول دعاوى الإجماع أو الشهرة في المقام</w:t>
            </w:r>
            <w:r>
              <w:rPr>
                <w:rStyle w:val="IndexLink"/>
                <w:rtl w:val="true"/>
              </w:rPr>
              <w:tab/>
            </w:r>
            <w:r>
              <w:rPr>
                <w:rStyle w:val="IndexLink"/>
              </w:rPr>
              <w:t>250</w:t>
            </w:r>
          </w:hyperlink>
        </w:p>
        <w:p>
          <w:pPr>
            <w:pStyle w:val="Contents3"/>
            <w:tabs>
              <w:tab w:val="clear" w:pos="8459"/>
              <w:tab w:val="right" w:pos="9026" w:leader="dot"/>
            </w:tabs>
            <w:rPr/>
          </w:pPr>
          <w:hyperlink w:anchor="__RefHeading___Toc2495397_2142443653">
            <w:r>
              <w:rPr>
                <w:webHidden/>
                <w:rStyle w:val="IndexLink"/>
                <w:rtl w:val="true"/>
              </w:rPr>
              <w:t xml:space="preserve">تنبيهات </w:t>
            </w:r>
            <w:r>
              <w:rPr>
                <w:rStyle w:val="IndexLink"/>
                <w:rtl w:val="true"/>
              </w:rPr>
              <w:t>:</w:t>
              <w:tab/>
            </w:r>
            <w:r>
              <w:rPr>
                <w:rStyle w:val="IndexLink"/>
              </w:rPr>
              <w:t>254</w:t>
            </w:r>
          </w:hyperlink>
        </w:p>
        <w:p>
          <w:pPr>
            <w:pStyle w:val="Contents4"/>
            <w:tabs>
              <w:tab w:val="clear" w:pos="8176"/>
              <w:tab w:val="right" w:pos="9026" w:leader="dot"/>
            </w:tabs>
            <w:rPr/>
          </w:pPr>
          <w:hyperlink w:anchor="__RefHeading___Toc2495399_2142443653">
            <w:r>
              <w:rPr>
                <w:webHidden/>
                <w:rStyle w:val="IndexLink"/>
                <w:rtl w:val="true"/>
              </w:rPr>
              <w:t xml:space="preserve">التنبيه الأوّل </w:t>
            </w:r>
            <w:r>
              <w:rPr>
                <w:rStyle w:val="IndexLink"/>
                <w:rtl w:val="true"/>
              </w:rPr>
              <w:t xml:space="preserve">: </w:t>
            </w:r>
            <w:r>
              <w:rPr>
                <w:rStyle w:val="IndexLink"/>
                <w:rtl w:val="true"/>
              </w:rPr>
              <w:t>في اعتبار شروط البيع بالصيغة في المعاطاة</w:t>
            </w:r>
            <w:r>
              <w:rPr>
                <w:rStyle w:val="IndexLink"/>
                <w:rtl w:val="true"/>
              </w:rPr>
              <w:tab/>
            </w:r>
            <w:r>
              <w:rPr>
                <w:rStyle w:val="IndexLink"/>
              </w:rPr>
              <w:t>254</w:t>
            </w:r>
          </w:hyperlink>
        </w:p>
        <w:p>
          <w:pPr>
            <w:pStyle w:val="Contents5"/>
            <w:tabs>
              <w:tab w:val="clear" w:pos="7892"/>
              <w:tab w:val="right" w:pos="9026" w:leader="dot"/>
            </w:tabs>
            <w:rPr/>
          </w:pPr>
          <w:hyperlink w:anchor="__RefHeading___Toc2495401_2142443653">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2495403_2142443653">
            <w:r>
              <w:rPr>
                <w:webHidden/>
                <w:rStyle w:val="IndexLink"/>
                <w:rtl w:val="true"/>
              </w:rPr>
              <w:t>الكلام في المعاطاة التي اُريد منها الإباحة</w:t>
            </w:r>
            <w:r>
              <w:rPr>
                <w:rStyle w:val="IndexLink"/>
                <w:rtl w:val="true"/>
              </w:rPr>
              <w:tab/>
            </w:r>
            <w:r>
              <w:rPr>
                <w:rStyle w:val="IndexLink"/>
              </w:rPr>
              <w:t>254</w:t>
            </w:r>
          </w:hyperlink>
        </w:p>
        <w:p>
          <w:pPr>
            <w:pStyle w:val="Contents5"/>
            <w:tabs>
              <w:tab w:val="clear" w:pos="7892"/>
              <w:tab w:val="right" w:pos="9026" w:leader="dot"/>
            </w:tabs>
            <w:rPr/>
          </w:pPr>
          <w:hyperlink w:anchor="__RefHeading___Toc2495405_2142443653">
            <w:r>
              <w:rPr>
                <w:webHidden/>
                <w:rStyle w:val="IndexLink"/>
                <w:rtl w:val="true"/>
              </w:rPr>
              <w:t>الكلام في المعاطاة التي اُريد بها التمليك</w:t>
            </w:r>
            <w:r>
              <w:rPr>
                <w:rStyle w:val="IndexLink"/>
                <w:rtl w:val="true"/>
              </w:rPr>
              <w:tab/>
            </w:r>
            <w:r>
              <w:rPr>
                <w:rStyle w:val="IndexLink"/>
              </w:rPr>
              <w:t>258</w:t>
            </w:r>
          </w:hyperlink>
        </w:p>
        <w:p>
          <w:pPr>
            <w:pStyle w:val="Contents4"/>
            <w:tabs>
              <w:tab w:val="clear" w:pos="8176"/>
              <w:tab w:val="right" w:pos="9026" w:leader="dot"/>
            </w:tabs>
            <w:rPr/>
          </w:pPr>
          <w:hyperlink w:anchor="__RefHeading___Toc2495407_2142443653">
            <w:r>
              <w:rPr>
                <w:webHidden/>
                <w:rStyle w:val="IndexLink"/>
                <w:rtl w:val="true"/>
              </w:rPr>
              <w:t xml:space="preserve">التنبيه الثاني </w:t>
            </w:r>
            <w:r>
              <w:rPr>
                <w:rStyle w:val="IndexLink"/>
                <w:rtl w:val="true"/>
              </w:rPr>
              <w:t xml:space="preserve">: </w:t>
            </w:r>
            <w:r>
              <w:rPr>
                <w:rStyle w:val="IndexLink"/>
                <w:rtl w:val="true"/>
              </w:rPr>
              <w:t>في تحقّق المعاطاة بإعطاء طرف واحد</w:t>
            </w:r>
            <w:r>
              <w:rPr>
                <w:rStyle w:val="IndexLink"/>
                <w:rtl w:val="true"/>
              </w:rPr>
              <w:tab/>
            </w:r>
            <w:r>
              <w:rPr>
                <w:rStyle w:val="IndexLink"/>
              </w:rPr>
              <w:t>260</w:t>
            </w:r>
          </w:hyperlink>
        </w:p>
        <w:p>
          <w:pPr>
            <w:pStyle w:val="Contents5"/>
            <w:tabs>
              <w:tab w:val="clear" w:pos="7892"/>
              <w:tab w:val="right" w:pos="9026" w:leader="dot"/>
            </w:tabs>
            <w:rPr/>
          </w:pPr>
          <w:hyperlink w:anchor="__RefHeading___Toc2495409_2142443653">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2495411_2142443653">
            <w:r>
              <w:rPr>
                <w:webHidden/>
                <w:rStyle w:val="IndexLink"/>
                <w:rtl w:val="true"/>
              </w:rPr>
              <w:t>إيرادات على الإعطاء من طرف واحد وأجوبتها</w:t>
            </w:r>
            <w:r>
              <w:rPr>
                <w:rStyle w:val="IndexLink"/>
                <w:rtl w:val="true"/>
              </w:rPr>
              <w:tab/>
            </w:r>
            <w:r>
              <w:rPr>
                <w:rStyle w:val="IndexLink"/>
              </w:rPr>
              <w:t>263</w:t>
            </w:r>
          </w:hyperlink>
        </w:p>
        <w:p>
          <w:pPr>
            <w:pStyle w:val="Contents5"/>
            <w:tabs>
              <w:tab w:val="clear" w:pos="7892"/>
              <w:tab w:val="right" w:pos="9026" w:leader="dot"/>
            </w:tabs>
            <w:rPr/>
          </w:pPr>
          <w:hyperlink w:anchor="__RefHeading___Toc2495413_2142443653">
            <w:r>
              <w:rPr>
                <w:webHidden/>
                <w:rStyle w:val="IndexLink"/>
                <w:rtl w:val="true"/>
              </w:rPr>
              <w:t>عدم تحقّق المعاطاة بلا إعطاء وأخذ</w:t>
            </w:r>
            <w:r>
              <w:rPr>
                <w:rStyle w:val="IndexLink"/>
                <w:rtl w:val="true"/>
              </w:rPr>
              <w:tab/>
            </w:r>
            <w:r>
              <w:rPr>
                <w:rStyle w:val="IndexLink"/>
              </w:rPr>
              <w:t>265</w:t>
            </w:r>
          </w:hyperlink>
        </w:p>
        <w:p>
          <w:pPr>
            <w:pStyle w:val="Contents4"/>
            <w:tabs>
              <w:tab w:val="clear" w:pos="8176"/>
              <w:tab w:val="right" w:pos="9026" w:leader="dot"/>
            </w:tabs>
            <w:rPr/>
          </w:pPr>
          <w:hyperlink w:anchor="__RefHeading___Toc2495415_2142443653">
            <w:r>
              <w:rPr>
                <w:webHidden/>
                <w:rStyle w:val="IndexLink"/>
                <w:rtl w:val="true"/>
              </w:rPr>
              <w:t xml:space="preserve">التنبيه الثالث </w:t>
            </w:r>
            <w:r>
              <w:rPr>
                <w:rStyle w:val="IndexLink"/>
                <w:rtl w:val="true"/>
              </w:rPr>
              <w:t xml:space="preserve">: </w:t>
            </w:r>
            <w:r>
              <w:rPr>
                <w:rStyle w:val="IndexLink"/>
                <w:rtl w:val="true"/>
              </w:rPr>
              <w:t>في تمييز البائع من المشتري في المعاطاة</w:t>
            </w:r>
            <w:r>
              <w:rPr>
                <w:rStyle w:val="IndexLink"/>
                <w:rtl w:val="true"/>
              </w:rPr>
              <w:tab/>
            </w:r>
            <w:r>
              <w:rPr>
                <w:rStyle w:val="IndexLink"/>
              </w:rPr>
              <w:t>266</w:t>
            </w:r>
          </w:hyperlink>
        </w:p>
        <w:p>
          <w:pPr>
            <w:pStyle w:val="Contents4"/>
            <w:tabs>
              <w:tab w:val="clear" w:pos="8176"/>
              <w:tab w:val="right" w:pos="9026" w:leader="dot"/>
            </w:tabs>
            <w:rPr/>
          </w:pPr>
          <w:hyperlink w:anchor="__RefHeading___Toc2495417_2142443653">
            <w:r>
              <w:rPr>
                <w:webHidden/>
                <w:rStyle w:val="IndexLink"/>
                <w:rtl w:val="true"/>
              </w:rPr>
              <w:t xml:space="preserve">التنبيه الرابع </w:t>
            </w:r>
            <w:r>
              <w:rPr>
                <w:rStyle w:val="IndexLink"/>
                <w:rtl w:val="true"/>
              </w:rPr>
              <w:t xml:space="preserve">: </w:t>
            </w:r>
            <w:r>
              <w:rPr>
                <w:rStyle w:val="IndexLink"/>
                <w:rtl w:val="true"/>
              </w:rPr>
              <w:t>في أقسام المعاطاة بحسب قصد المتعاملين</w:t>
            </w:r>
            <w:r>
              <w:rPr>
                <w:rStyle w:val="IndexLink"/>
                <w:rtl w:val="true"/>
              </w:rPr>
              <w:tab/>
            </w:r>
            <w:r>
              <w:rPr>
                <w:rStyle w:val="IndexLink"/>
              </w:rPr>
              <w:t>271</w:t>
            </w:r>
          </w:hyperlink>
        </w:p>
        <w:p>
          <w:pPr>
            <w:pStyle w:val="Contents5"/>
            <w:tabs>
              <w:tab w:val="clear" w:pos="7892"/>
              <w:tab w:val="right" w:pos="9026" w:leader="dot"/>
            </w:tabs>
            <w:rPr/>
          </w:pPr>
          <w:hyperlink w:anchor="__RefHeading___Toc2495419_2142443653">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2495421_2142443653">
            <w:r>
              <w:rPr>
                <w:webHidden/>
                <w:rStyle w:val="IndexLink"/>
              </w:rPr>
              <w:t>1</w:t>
            </w:r>
            <w:r>
              <w:rPr>
                <w:rStyle w:val="IndexLink"/>
                <w:rtl w:val="true"/>
              </w:rPr>
              <w:t xml:space="preserve"> - </w:t>
            </w:r>
            <w:r>
              <w:rPr>
                <w:rStyle w:val="IndexLink"/>
                <w:rtl w:val="true"/>
              </w:rPr>
              <w:t>تمليك المال بإزاء المال</w:t>
            </w:r>
            <w:r>
              <w:rPr>
                <w:rStyle w:val="IndexLink"/>
                <w:rtl w:val="true"/>
              </w:rPr>
              <w:tab/>
            </w:r>
            <w:r>
              <w:rPr>
                <w:rStyle w:val="IndexLink"/>
              </w:rPr>
              <w:t>271</w:t>
            </w:r>
          </w:hyperlink>
        </w:p>
        <w:p>
          <w:pPr>
            <w:pStyle w:val="Contents5"/>
            <w:tabs>
              <w:tab w:val="clear" w:pos="7892"/>
              <w:tab w:val="right" w:pos="9026" w:leader="dot"/>
            </w:tabs>
            <w:rPr/>
          </w:pPr>
          <w:hyperlink w:anchor="__RefHeading___Toc2495423_2142443653">
            <w:r>
              <w:rPr>
                <w:webHidden/>
                <w:rStyle w:val="IndexLink"/>
              </w:rPr>
              <w:t>2</w:t>
            </w:r>
            <w:r>
              <w:rPr>
                <w:rStyle w:val="IndexLink"/>
                <w:rtl w:val="true"/>
              </w:rPr>
              <w:t xml:space="preserve"> - </w:t>
            </w:r>
            <w:r>
              <w:rPr>
                <w:rStyle w:val="IndexLink"/>
                <w:rtl w:val="true"/>
              </w:rPr>
              <w:t>تمليك المال بإزاء التمليك</w:t>
            </w:r>
            <w:r>
              <w:rPr>
                <w:rStyle w:val="IndexLink"/>
                <w:rtl w:val="true"/>
              </w:rPr>
              <w:tab/>
            </w:r>
            <w:r>
              <w:rPr>
                <w:rStyle w:val="IndexLink"/>
              </w:rPr>
              <w:t>272</w:t>
            </w:r>
          </w:hyperlink>
        </w:p>
        <w:p>
          <w:pPr>
            <w:pStyle w:val="Contents5"/>
            <w:tabs>
              <w:tab w:val="clear" w:pos="7892"/>
              <w:tab w:val="right" w:pos="9026" w:leader="dot"/>
            </w:tabs>
            <w:rPr/>
          </w:pPr>
          <w:hyperlink w:anchor="__RefHeading___Toc2495425_2142443653">
            <w:r>
              <w:rPr>
                <w:webHidden/>
                <w:rStyle w:val="IndexLink"/>
                <w:rtl w:val="true"/>
              </w:rPr>
              <w:t>إشكالات على القسم الثاني</w:t>
            </w:r>
            <w:r>
              <w:rPr>
                <w:rStyle w:val="IndexLink"/>
                <w:rtl w:val="true"/>
              </w:rPr>
              <w:tab/>
            </w:r>
            <w:r>
              <w:rPr>
                <w:rStyle w:val="IndexLink"/>
              </w:rPr>
              <w:t>272</w:t>
            </w:r>
          </w:hyperlink>
        </w:p>
        <w:p>
          <w:pPr>
            <w:pStyle w:val="Contents5"/>
            <w:tabs>
              <w:tab w:val="clear" w:pos="7892"/>
              <w:tab w:val="right" w:pos="9026" w:leader="dot"/>
            </w:tabs>
            <w:rPr/>
          </w:pPr>
          <w:hyperlink w:anchor="__RefHeading___Toc2495427_2142443653">
            <w:r>
              <w:rPr>
                <w:webHidden/>
                <w:rStyle w:val="IndexLink"/>
                <w:rtl w:val="true"/>
              </w:rPr>
              <w:t>حول صدق البيع على القسم الثاني</w:t>
            </w:r>
            <w:r>
              <w:rPr>
                <w:rStyle w:val="IndexLink"/>
                <w:rtl w:val="true"/>
              </w:rPr>
              <w:tab/>
            </w:r>
            <w:r>
              <w:rPr>
                <w:rStyle w:val="IndexLink"/>
              </w:rPr>
              <w:t>276</w:t>
            </w:r>
          </w:hyperlink>
        </w:p>
        <w:p>
          <w:pPr>
            <w:pStyle w:val="Contents5"/>
            <w:tabs>
              <w:tab w:val="clear" w:pos="7892"/>
              <w:tab w:val="right" w:pos="9026" w:leader="dot"/>
            </w:tabs>
            <w:rPr/>
          </w:pPr>
          <w:hyperlink w:anchor="__RefHeading___Toc2495429_2142443653">
            <w:r>
              <w:rPr>
                <w:webHidden/>
                <w:rStyle w:val="IndexLink"/>
              </w:rPr>
              <w:t>3</w:t>
            </w:r>
            <w:r>
              <w:rPr>
                <w:rStyle w:val="IndexLink"/>
                <w:rtl w:val="true"/>
              </w:rPr>
              <w:t xml:space="preserve"> - </w:t>
            </w:r>
            <w:r>
              <w:rPr>
                <w:rStyle w:val="IndexLink"/>
                <w:rtl w:val="true"/>
              </w:rPr>
              <w:t>إباحة المال بإزاء العوض</w:t>
            </w:r>
            <w:r>
              <w:rPr>
                <w:rStyle w:val="IndexLink"/>
                <w:rtl w:val="true"/>
              </w:rPr>
              <w:tab/>
            </w:r>
            <w:r>
              <w:rPr>
                <w:rStyle w:val="IndexLink"/>
              </w:rPr>
              <w:t>277</w:t>
            </w:r>
          </w:hyperlink>
        </w:p>
        <w:p>
          <w:pPr>
            <w:pStyle w:val="Contents5"/>
            <w:tabs>
              <w:tab w:val="clear" w:pos="7892"/>
              <w:tab w:val="right" w:pos="9026" w:leader="dot"/>
            </w:tabs>
            <w:rPr/>
          </w:pPr>
          <w:hyperlink w:anchor="__RefHeading___Toc2495431_2142443653">
            <w:r>
              <w:rPr>
                <w:webHidden/>
                <w:rStyle w:val="IndexLink"/>
              </w:rPr>
              <w:t>4</w:t>
            </w:r>
            <w:r>
              <w:rPr>
                <w:rStyle w:val="IndexLink"/>
                <w:rtl w:val="true"/>
              </w:rPr>
              <w:t xml:space="preserve"> - </w:t>
            </w:r>
            <w:r>
              <w:rPr>
                <w:rStyle w:val="IndexLink"/>
                <w:rtl w:val="true"/>
              </w:rPr>
              <w:t>إباحة المال بإزاء الإباحة</w:t>
            </w:r>
            <w:r>
              <w:rPr>
                <w:rStyle w:val="IndexLink"/>
                <w:rtl w:val="true"/>
              </w:rPr>
              <w:tab/>
            </w:r>
            <w:r>
              <w:rPr>
                <w:rStyle w:val="IndexLink"/>
              </w:rPr>
              <w:t>277</w:t>
            </w:r>
          </w:hyperlink>
        </w:p>
        <w:p>
          <w:pPr>
            <w:pStyle w:val="Contents4"/>
            <w:tabs>
              <w:tab w:val="clear" w:pos="8176"/>
              <w:tab w:val="right" w:pos="9026" w:leader="dot"/>
            </w:tabs>
            <w:rPr/>
          </w:pPr>
          <w:hyperlink w:anchor="__RefHeading___Toc2495433_2142443653">
            <w:r>
              <w:rPr>
                <w:webHidden/>
                <w:rStyle w:val="IndexLink"/>
                <w:rtl w:val="true"/>
              </w:rPr>
              <w:t>حول إشكالي الشيخ الأعظم على القسم الثالث والرابع</w:t>
            </w:r>
            <w:r>
              <w:rPr>
                <w:rStyle w:val="IndexLink"/>
                <w:rtl w:val="true"/>
              </w:rPr>
              <w:tab/>
            </w:r>
            <w:r>
              <w:rPr>
                <w:rStyle w:val="IndexLink"/>
              </w:rPr>
              <w:t>278</w:t>
            </w:r>
          </w:hyperlink>
        </w:p>
        <w:p>
          <w:pPr>
            <w:pStyle w:val="Contents4"/>
            <w:tabs>
              <w:tab w:val="clear" w:pos="8176"/>
              <w:tab w:val="right" w:pos="9026" w:leader="dot"/>
            </w:tabs>
            <w:rPr/>
          </w:pPr>
          <w:hyperlink w:anchor="__RefHeading___Toc2495435_2142443653">
            <w:r>
              <w:rPr>
                <w:webHidden/>
                <w:rStyle w:val="IndexLink"/>
                <w:rtl w:val="true"/>
              </w:rPr>
              <w:t xml:space="preserve">التنبيه الخامس </w:t>
            </w:r>
            <w:r>
              <w:rPr>
                <w:rStyle w:val="IndexLink"/>
                <w:rtl w:val="true"/>
              </w:rPr>
              <w:t xml:space="preserve">: </w:t>
            </w:r>
            <w:r>
              <w:rPr>
                <w:rStyle w:val="IndexLink"/>
                <w:rtl w:val="true"/>
              </w:rPr>
              <w:t>في جريان المعاطاة في غير البيع</w:t>
            </w:r>
            <w:r>
              <w:rPr>
                <w:rStyle w:val="IndexLink"/>
                <w:rtl w:val="true"/>
              </w:rPr>
              <w:tab/>
            </w:r>
            <w:r>
              <w:rPr>
                <w:rStyle w:val="IndexLink"/>
              </w:rPr>
              <w:t>289</w:t>
            </w:r>
          </w:hyperlink>
        </w:p>
        <w:p>
          <w:pPr>
            <w:pStyle w:val="Contents4"/>
            <w:tabs>
              <w:tab w:val="clear" w:pos="8176"/>
              <w:tab w:val="right" w:pos="9026" w:leader="dot"/>
            </w:tabs>
            <w:rPr/>
          </w:pPr>
          <w:hyperlink w:anchor="__RefHeading___Toc2495437_2142443653">
            <w:r>
              <w:rPr>
                <w:webHidden/>
                <w:rStyle w:val="IndexLink"/>
                <w:rtl w:val="true"/>
              </w:rPr>
              <w:t>الإشكال في ما تشترط صحّته بالقبض وجوابه</w:t>
            </w:r>
            <w:r>
              <w:rPr>
                <w:rStyle w:val="IndexLink"/>
                <w:rtl w:val="true"/>
              </w:rPr>
              <w:tab/>
            </w:r>
            <w:r>
              <w:rPr>
                <w:rStyle w:val="IndexLink"/>
              </w:rPr>
              <w:t>291</w:t>
            </w:r>
          </w:hyperlink>
        </w:p>
        <w:p>
          <w:pPr>
            <w:pStyle w:val="Contents4"/>
            <w:tabs>
              <w:tab w:val="clear" w:pos="8176"/>
              <w:tab w:val="right" w:pos="9026" w:leader="dot"/>
            </w:tabs>
            <w:rPr/>
          </w:pPr>
          <w:hyperlink w:anchor="__RefHeading___Toc2495439_2142443653">
            <w:r>
              <w:rPr>
                <w:webHidden/>
                <w:rStyle w:val="IndexLink"/>
                <w:rtl w:val="true"/>
              </w:rPr>
              <w:t xml:space="preserve">التنبيه السادس </w:t>
            </w:r>
            <w:r>
              <w:rPr>
                <w:rStyle w:val="IndexLink"/>
                <w:rtl w:val="true"/>
              </w:rPr>
              <w:t xml:space="preserve">: </w:t>
            </w:r>
            <w:r>
              <w:rPr>
                <w:rStyle w:val="IndexLink"/>
                <w:rtl w:val="true"/>
              </w:rPr>
              <w:t>في ملزمات المعاطاة</w:t>
            </w:r>
            <w:r>
              <w:rPr>
                <w:rStyle w:val="IndexLink"/>
                <w:rtl w:val="true"/>
              </w:rPr>
              <w:tab/>
            </w:r>
            <w:r>
              <w:rPr>
                <w:rStyle w:val="IndexLink"/>
              </w:rPr>
              <w:t>294</w:t>
            </w:r>
          </w:hyperlink>
        </w:p>
        <w:p>
          <w:pPr>
            <w:pStyle w:val="Contents4"/>
            <w:tabs>
              <w:tab w:val="clear" w:pos="8176"/>
              <w:tab w:val="right" w:pos="9026" w:leader="dot"/>
            </w:tabs>
            <w:rPr/>
          </w:pPr>
          <w:hyperlink w:anchor="__RefHeading___Toc2495441_2142443653">
            <w:r>
              <w:rPr>
                <w:webHidden/>
                <w:rStyle w:val="IndexLink"/>
                <w:rtl w:val="true"/>
              </w:rPr>
              <w:t>تأسيس الأصل على القول بالملك</w:t>
            </w:r>
            <w:r>
              <w:rPr>
                <w:rStyle w:val="IndexLink"/>
                <w:rtl w:val="true"/>
              </w:rPr>
              <w:tab/>
            </w:r>
            <w:r>
              <w:rPr>
                <w:rStyle w:val="IndexLink"/>
              </w:rPr>
              <w:t>294</w:t>
            </w:r>
          </w:hyperlink>
        </w:p>
        <w:p>
          <w:pPr>
            <w:pStyle w:val="Contents4"/>
            <w:tabs>
              <w:tab w:val="clear" w:pos="8176"/>
              <w:tab w:val="right" w:pos="9026" w:leader="dot"/>
            </w:tabs>
            <w:rPr/>
          </w:pPr>
          <w:hyperlink w:anchor="__RefHeading___Toc2495443_2142443653">
            <w:r>
              <w:rPr>
                <w:webHidden/>
                <w:rStyle w:val="IndexLink"/>
                <w:rtl w:val="true"/>
              </w:rPr>
              <w:t>حكم تلف العينين أو إحداهما على القول بالملك</w:t>
            </w:r>
            <w:r>
              <w:rPr>
                <w:rStyle w:val="IndexLink"/>
                <w:rtl w:val="true"/>
              </w:rPr>
              <w:tab/>
            </w:r>
            <w:r>
              <w:rPr>
                <w:rStyle w:val="IndexLink"/>
              </w:rPr>
              <w:t>295</w:t>
            </w:r>
          </w:hyperlink>
        </w:p>
        <w:p>
          <w:pPr>
            <w:pStyle w:val="Contents4"/>
            <w:tabs>
              <w:tab w:val="clear" w:pos="8176"/>
              <w:tab w:val="right" w:pos="9026" w:leader="dot"/>
            </w:tabs>
            <w:rPr/>
          </w:pPr>
          <w:hyperlink w:anchor="__RefHeading___Toc2495445_2142443653">
            <w:r>
              <w:rPr>
                <w:webHidden/>
                <w:rStyle w:val="IndexLink"/>
                <w:rtl w:val="true"/>
              </w:rPr>
              <w:t>تأسيس الأصل على القول بالإباحة</w:t>
            </w:r>
            <w:r>
              <w:rPr>
                <w:rStyle w:val="IndexLink"/>
                <w:rtl w:val="true"/>
              </w:rPr>
              <w:tab/>
            </w:r>
            <w:r>
              <w:rPr>
                <w:rStyle w:val="IndexLink"/>
              </w:rPr>
              <w:t>298</w:t>
            </w:r>
          </w:hyperlink>
        </w:p>
        <w:p>
          <w:pPr>
            <w:pStyle w:val="Contents4"/>
            <w:tabs>
              <w:tab w:val="clear" w:pos="8176"/>
              <w:tab w:val="right" w:pos="9026" w:leader="dot"/>
            </w:tabs>
            <w:rPr/>
          </w:pPr>
          <w:hyperlink w:anchor="__RefHeading___Toc2495447_2142443653">
            <w:r>
              <w:rPr>
                <w:webHidden/>
                <w:rStyle w:val="IndexLink"/>
                <w:rtl w:val="true"/>
              </w:rPr>
              <w:t>حكم تلف العينين على القول بالإباحة</w:t>
            </w:r>
            <w:r>
              <w:rPr>
                <w:rStyle w:val="IndexLink"/>
                <w:rtl w:val="true"/>
              </w:rPr>
              <w:tab/>
            </w:r>
            <w:r>
              <w:rPr>
                <w:rStyle w:val="IndexLink"/>
              </w:rPr>
              <w:t>303</w:t>
            </w:r>
          </w:hyperlink>
        </w:p>
        <w:p>
          <w:pPr>
            <w:pStyle w:val="Contents4"/>
            <w:tabs>
              <w:tab w:val="clear" w:pos="8176"/>
              <w:tab w:val="right" w:pos="9026" w:leader="dot"/>
            </w:tabs>
            <w:rPr/>
          </w:pPr>
          <w:hyperlink w:anchor="__RefHeading___Toc2495449_2142443653">
            <w:r>
              <w:rPr>
                <w:webHidden/>
                <w:rStyle w:val="IndexLink"/>
                <w:rtl w:val="true"/>
              </w:rPr>
              <w:t>حكم تلف إحدى العينين على القول بالإباحة</w:t>
            </w:r>
            <w:r>
              <w:rPr>
                <w:rStyle w:val="IndexLink"/>
                <w:rtl w:val="true"/>
              </w:rPr>
              <w:tab/>
            </w:r>
            <w:r>
              <w:rPr>
                <w:rStyle w:val="IndexLink"/>
              </w:rPr>
              <w:t>305</w:t>
            </w:r>
          </w:hyperlink>
        </w:p>
        <w:p>
          <w:pPr>
            <w:pStyle w:val="Contents4"/>
            <w:tabs>
              <w:tab w:val="clear" w:pos="8176"/>
              <w:tab w:val="right" w:pos="9026" w:leader="dot"/>
            </w:tabs>
            <w:rPr/>
          </w:pPr>
          <w:hyperlink w:anchor="__RefHeading___Toc2495451_2142443653">
            <w:r>
              <w:rPr>
                <w:webHidden/>
                <w:rStyle w:val="IndexLink"/>
                <w:rtl w:val="true"/>
              </w:rPr>
              <w:t>حكم كون أحد العوضين ديناً على القول بالملك</w:t>
            </w:r>
            <w:r>
              <w:rPr>
                <w:rStyle w:val="IndexLink"/>
                <w:rtl w:val="true"/>
              </w:rPr>
              <w:tab/>
            </w:r>
            <w:r>
              <w:rPr>
                <w:rStyle w:val="IndexLink"/>
              </w:rPr>
              <w:t>307</w:t>
            </w:r>
          </w:hyperlink>
        </w:p>
        <w:p>
          <w:pPr>
            <w:pStyle w:val="Contents4"/>
            <w:tabs>
              <w:tab w:val="clear" w:pos="8176"/>
              <w:tab w:val="right" w:pos="9026" w:leader="dot"/>
            </w:tabs>
            <w:rPr/>
          </w:pPr>
          <w:hyperlink w:anchor="__RefHeading___Toc2495453_2142443653">
            <w:r>
              <w:rPr>
                <w:webHidden/>
                <w:rStyle w:val="IndexLink"/>
                <w:rtl w:val="true"/>
              </w:rPr>
              <w:t>حكم كون أحد العوضين دينا على القول بالإباحة</w:t>
            </w:r>
            <w:r>
              <w:rPr>
                <w:rStyle w:val="IndexLink"/>
                <w:rtl w:val="true"/>
              </w:rPr>
              <w:tab/>
            </w:r>
            <w:r>
              <w:rPr>
                <w:rStyle w:val="IndexLink"/>
              </w:rPr>
              <w:t>311</w:t>
            </w:r>
          </w:hyperlink>
        </w:p>
        <w:p>
          <w:pPr>
            <w:pStyle w:val="Contents4"/>
            <w:tabs>
              <w:tab w:val="clear" w:pos="8176"/>
              <w:tab w:val="right" w:pos="9026" w:leader="dot"/>
            </w:tabs>
            <w:rPr/>
          </w:pPr>
          <w:hyperlink w:anchor="__RefHeading___Toc2495455_2142443653">
            <w:r>
              <w:rPr>
                <w:webHidden/>
                <w:rStyle w:val="IndexLink"/>
                <w:rtl w:val="true"/>
              </w:rPr>
              <w:t>حكم انتقال العوضين على القول بالملك</w:t>
            </w:r>
            <w:r>
              <w:rPr>
                <w:rStyle w:val="IndexLink"/>
                <w:rtl w:val="true"/>
              </w:rPr>
              <w:tab/>
            </w:r>
            <w:r>
              <w:rPr>
                <w:rStyle w:val="IndexLink"/>
              </w:rPr>
              <w:t>313</w:t>
            </w:r>
          </w:hyperlink>
        </w:p>
        <w:p>
          <w:pPr>
            <w:pStyle w:val="Contents4"/>
            <w:tabs>
              <w:tab w:val="clear" w:pos="8176"/>
              <w:tab w:val="right" w:pos="9026" w:leader="dot"/>
            </w:tabs>
            <w:rPr/>
          </w:pPr>
          <w:hyperlink w:anchor="__RefHeading___Toc2495457_2142443653">
            <w:r>
              <w:rPr>
                <w:webHidden/>
                <w:rStyle w:val="IndexLink"/>
                <w:rtl w:val="true"/>
              </w:rPr>
              <w:t>حكم انتقال العوضين على القول بالإباحة</w:t>
            </w:r>
            <w:r>
              <w:rPr>
                <w:rStyle w:val="IndexLink"/>
                <w:rtl w:val="true"/>
              </w:rPr>
              <w:tab/>
            </w:r>
            <w:r>
              <w:rPr>
                <w:rStyle w:val="IndexLink"/>
              </w:rPr>
              <w:t>316</w:t>
            </w:r>
          </w:hyperlink>
        </w:p>
        <w:p>
          <w:pPr>
            <w:pStyle w:val="Contents3"/>
            <w:tabs>
              <w:tab w:val="clear" w:pos="8459"/>
              <w:tab w:val="right" w:pos="9026" w:leader="dot"/>
            </w:tabs>
            <w:rPr/>
          </w:pPr>
          <w:hyperlink w:anchor="__RefHeading___Toc2495459_2142443653">
            <w:r>
              <w:rPr>
                <w:webHidden/>
                <w:rStyle w:val="IndexLink"/>
                <w:rtl w:val="true"/>
              </w:rPr>
              <w:t>القسم الثاني</w:t>
            </w:r>
            <w:r>
              <w:rPr>
                <w:rStyle w:val="IndexLink"/>
                <w:rtl w:val="true"/>
              </w:rPr>
              <w:tab/>
            </w:r>
            <w:r>
              <w:rPr>
                <w:rStyle w:val="IndexLink"/>
              </w:rPr>
              <w:t>321</w:t>
            </w:r>
          </w:hyperlink>
        </w:p>
        <w:p>
          <w:pPr>
            <w:pStyle w:val="Contents4"/>
            <w:tabs>
              <w:tab w:val="clear" w:pos="8176"/>
              <w:tab w:val="right" w:pos="9026" w:leader="dot"/>
            </w:tabs>
            <w:rPr/>
          </w:pPr>
          <w:hyperlink w:anchor="__RefHeading___Toc2495461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2495463_2142443653">
            <w:r>
              <w:rPr>
                <w:webHidden/>
                <w:rStyle w:val="IndexLink"/>
                <w:rtl w:val="true"/>
              </w:rPr>
              <w:t>فصل في ألفاظ عقد البيع</w:t>
            </w:r>
            <w:r>
              <w:rPr>
                <w:rStyle w:val="IndexLink"/>
                <w:rtl w:val="true"/>
              </w:rPr>
              <w:tab/>
            </w:r>
            <w:r>
              <w:rPr>
                <w:rStyle w:val="IndexLink"/>
              </w:rPr>
              <w:t>323</w:t>
            </w:r>
          </w:hyperlink>
        </w:p>
        <w:p>
          <w:pPr>
            <w:pStyle w:val="Contents5"/>
            <w:tabs>
              <w:tab w:val="clear" w:pos="7892"/>
              <w:tab w:val="right" w:pos="9026" w:leader="dot"/>
            </w:tabs>
            <w:rPr/>
          </w:pPr>
          <w:hyperlink w:anchor="__RefHeading___Toc2495465_2142443653">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2495467_2142443653">
            <w:r>
              <w:rPr>
                <w:webHidden/>
                <w:rStyle w:val="IndexLink"/>
                <w:rtl w:val="true"/>
              </w:rPr>
              <w:t>تحقّق البيع بالإشارة والكتابة وغيرهما</w:t>
            </w:r>
            <w:r>
              <w:rPr>
                <w:rStyle w:val="IndexLink"/>
                <w:rtl w:val="true"/>
              </w:rPr>
              <w:tab/>
            </w:r>
            <w:r>
              <w:rPr>
                <w:rStyle w:val="IndexLink"/>
              </w:rPr>
              <w:t>324</w:t>
            </w:r>
          </w:hyperlink>
        </w:p>
        <w:p>
          <w:pPr>
            <w:pStyle w:val="Contents5"/>
            <w:tabs>
              <w:tab w:val="clear" w:pos="7892"/>
              <w:tab w:val="right" w:pos="9026" w:leader="dot"/>
            </w:tabs>
            <w:rPr/>
          </w:pPr>
          <w:hyperlink w:anchor="__RefHeading___Toc2495469_2142443653">
            <w:r>
              <w:rPr>
                <w:webHidden/>
                <w:rStyle w:val="IndexLink"/>
                <w:rtl w:val="true"/>
              </w:rPr>
              <w:t>تفصيل المحقّق الأصفهاني بالنسبة إلى الأخرس</w:t>
            </w:r>
            <w:r>
              <w:rPr>
                <w:rStyle w:val="IndexLink"/>
                <w:rtl w:val="true"/>
              </w:rPr>
              <w:tab/>
            </w:r>
            <w:r>
              <w:rPr>
                <w:rStyle w:val="IndexLink"/>
              </w:rPr>
              <w:t>327</w:t>
            </w:r>
          </w:hyperlink>
        </w:p>
        <w:p>
          <w:pPr>
            <w:pStyle w:val="Contents5"/>
            <w:tabs>
              <w:tab w:val="clear" w:pos="7892"/>
              <w:tab w:val="right" w:pos="9026" w:leader="dot"/>
            </w:tabs>
            <w:rPr/>
          </w:pPr>
          <w:hyperlink w:anchor="__RefHeading___Toc2495471_2142443653">
            <w:r>
              <w:rPr>
                <w:webHidden/>
                <w:rStyle w:val="IndexLink"/>
                <w:rtl w:val="true"/>
              </w:rPr>
              <w:t>تقسيم إشارة الأخرس</w:t>
            </w:r>
            <w:r>
              <w:rPr>
                <w:rStyle w:val="IndexLink"/>
                <w:rtl w:val="true"/>
              </w:rPr>
              <w:tab/>
            </w:r>
            <w:r>
              <w:rPr>
                <w:rStyle w:val="IndexLink"/>
              </w:rPr>
              <w:t>328</w:t>
            </w:r>
          </w:hyperlink>
        </w:p>
        <w:p>
          <w:pPr>
            <w:pStyle w:val="Contents5"/>
            <w:tabs>
              <w:tab w:val="clear" w:pos="7892"/>
              <w:tab w:val="right" w:pos="9026" w:leader="dot"/>
            </w:tabs>
            <w:rPr/>
          </w:pPr>
          <w:hyperlink w:anchor="__RefHeading___Toc2495473_2142443653">
            <w:r>
              <w:rPr>
                <w:webHidden/>
                <w:rStyle w:val="IndexLink"/>
                <w:rtl w:val="true"/>
              </w:rPr>
              <w:t>عدم توقّف بيع الأخرس على تحريك لسانه</w:t>
            </w:r>
            <w:r>
              <w:rPr>
                <w:rStyle w:val="IndexLink"/>
                <w:rtl w:val="true"/>
              </w:rPr>
              <w:tab/>
            </w:r>
            <w:r>
              <w:rPr>
                <w:rStyle w:val="IndexLink"/>
              </w:rPr>
              <w:t>329</w:t>
            </w:r>
          </w:hyperlink>
        </w:p>
        <w:p>
          <w:pPr>
            <w:pStyle w:val="Contents5"/>
            <w:tabs>
              <w:tab w:val="clear" w:pos="7892"/>
              <w:tab w:val="right" w:pos="9026" w:leader="dot"/>
            </w:tabs>
            <w:rPr/>
          </w:pPr>
          <w:hyperlink w:anchor="__RefHeading___Toc2495475_2142443653">
            <w:r>
              <w:rPr>
                <w:webHidden/>
                <w:rStyle w:val="IndexLink"/>
                <w:rtl w:val="true"/>
              </w:rPr>
              <w:t>حكم الشكّ في صحّة المعاملة بالإشارة</w:t>
            </w:r>
            <w:r>
              <w:rPr>
                <w:rStyle w:val="IndexLink"/>
                <w:rtl w:val="true"/>
              </w:rPr>
              <w:tab/>
            </w:r>
            <w:r>
              <w:rPr>
                <w:rStyle w:val="IndexLink"/>
              </w:rPr>
              <w:t>330</w:t>
            </w:r>
          </w:hyperlink>
        </w:p>
        <w:p>
          <w:pPr>
            <w:pStyle w:val="Contents5"/>
            <w:tabs>
              <w:tab w:val="clear" w:pos="7892"/>
              <w:tab w:val="right" w:pos="9026" w:leader="dot"/>
            </w:tabs>
            <w:rPr/>
          </w:pPr>
          <w:hyperlink w:anchor="__RefHeading___Toc2495477_2142443653">
            <w:r>
              <w:rPr>
                <w:webHidden/>
                <w:rStyle w:val="IndexLink"/>
                <w:rtl w:val="true"/>
              </w:rPr>
              <w:t>تمسّك الشيخ بفحوى روايات طلاق الأخرس لقيام الإشارة مقام اللفظ</w:t>
            </w:r>
            <w:r>
              <w:rPr>
                <w:rStyle w:val="IndexLink"/>
                <w:rtl w:val="true"/>
              </w:rPr>
              <w:tab/>
            </w:r>
            <w:r>
              <w:rPr>
                <w:rStyle w:val="IndexLink"/>
              </w:rPr>
              <w:t>331</w:t>
            </w:r>
          </w:hyperlink>
        </w:p>
        <w:p>
          <w:pPr>
            <w:pStyle w:val="Contents5"/>
            <w:tabs>
              <w:tab w:val="clear" w:pos="7892"/>
              <w:tab w:val="right" w:pos="9026" w:leader="dot"/>
            </w:tabs>
            <w:rPr/>
          </w:pPr>
          <w:hyperlink w:anchor="__RefHeading___Toc2495479_2142443653">
            <w:r>
              <w:rPr>
                <w:webHidden/>
                <w:rStyle w:val="IndexLink"/>
                <w:rtl w:val="true"/>
              </w:rPr>
              <w:t>الكلام حول تقدّم الكتابة على إشارة الأخرس</w:t>
            </w:r>
            <w:r>
              <w:rPr>
                <w:rStyle w:val="IndexLink"/>
                <w:rtl w:val="true"/>
              </w:rPr>
              <w:tab/>
            </w:r>
            <w:r>
              <w:rPr>
                <w:rStyle w:val="IndexLink"/>
              </w:rPr>
              <w:t>333</w:t>
            </w:r>
          </w:hyperlink>
        </w:p>
        <w:p>
          <w:pPr>
            <w:pStyle w:val="Contents5"/>
            <w:tabs>
              <w:tab w:val="clear" w:pos="7892"/>
              <w:tab w:val="right" w:pos="9026" w:leader="dot"/>
            </w:tabs>
            <w:rPr/>
          </w:pPr>
          <w:hyperlink w:anchor="__RefHeading___Toc2495481_2142443653">
            <w:r>
              <w:rPr>
                <w:webHidden/>
                <w:rStyle w:val="IndexLink"/>
                <w:rtl w:val="true"/>
              </w:rPr>
              <w:t xml:space="preserve">بحث </w:t>
            </w:r>
            <w:r>
              <w:rPr>
                <w:rStyle w:val="IndexLink"/>
                <w:rtl w:val="true"/>
              </w:rPr>
              <w:t xml:space="preserve">: </w:t>
            </w:r>
            <w:r>
              <w:rPr>
                <w:rStyle w:val="IndexLink"/>
                <w:rtl w:val="true"/>
              </w:rPr>
              <w:t>في مادّة الصيغة وهيئتها</w:t>
            </w:r>
            <w:r>
              <w:rPr>
                <w:rStyle w:val="IndexLink"/>
                <w:rtl w:val="true"/>
              </w:rPr>
              <w:tab/>
            </w:r>
            <w:r>
              <w:rPr>
                <w:rStyle w:val="IndexLink"/>
              </w:rPr>
              <w:t>334</w:t>
            </w:r>
          </w:hyperlink>
        </w:p>
        <w:p>
          <w:pPr>
            <w:pStyle w:val="Contents6"/>
            <w:tabs>
              <w:tab w:val="clear" w:pos="7609"/>
              <w:tab w:val="right" w:pos="9026" w:leader="dot"/>
            </w:tabs>
            <w:rPr/>
          </w:pPr>
          <w:hyperlink w:anchor="__RefHeading___Toc2495483_2142443653">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495485_2142443653">
            <w:r>
              <w:rPr>
                <w:webHidden/>
                <w:rStyle w:val="IndexLink"/>
                <w:rtl w:val="true"/>
              </w:rPr>
              <w:t>صحّة الإنشاء بالألفاظ الكنائية والمجازية</w:t>
            </w:r>
            <w:r>
              <w:rPr>
                <w:rStyle w:val="IndexLink"/>
                <w:rtl w:val="true"/>
              </w:rPr>
              <w:tab/>
            </w:r>
            <w:r>
              <w:rPr>
                <w:rStyle w:val="IndexLink"/>
              </w:rPr>
              <w:t>337</w:t>
            </w:r>
          </w:hyperlink>
        </w:p>
        <w:p>
          <w:pPr>
            <w:pStyle w:val="Contents6"/>
            <w:tabs>
              <w:tab w:val="clear" w:pos="7609"/>
              <w:tab w:val="right" w:pos="9026" w:leader="dot"/>
            </w:tabs>
            <w:rPr/>
          </w:pPr>
          <w:hyperlink w:anchor="__RefHeading___Toc2495487_2142443653">
            <w:r>
              <w:rPr>
                <w:webHidden/>
                <w:rStyle w:val="IndexLink"/>
                <w:rtl w:val="true"/>
              </w:rPr>
              <w:t>إشكال المحقّق النائيني في الإنشاء بالكنايات</w:t>
            </w:r>
            <w:r>
              <w:rPr>
                <w:rStyle w:val="IndexLink"/>
                <w:rtl w:val="true"/>
              </w:rPr>
              <w:tab/>
            </w:r>
            <w:r>
              <w:rPr>
                <w:rStyle w:val="IndexLink"/>
              </w:rPr>
              <w:t>337</w:t>
            </w:r>
          </w:hyperlink>
        </w:p>
        <w:p>
          <w:pPr>
            <w:pStyle w:val="Contents6"/>
            <w:tabs>
              <w:tab w:val="clear" w:pos="7609"/>
              <w:tab w:val="right" w:pos="9026" w:leader="dot"/>
            </w:tabs>
            <w:rPr/>
          </w:pPr>
          <w:hyperlink w:anchor="__RefHeading___Toc2495489_2142443653">
            <w:r>
              <w:rPr>
                <w:webHidden/>
                <w:rStyle w:val="IndexLink"/>
                <w:rtl w:val="true"/>
              </w:rPr>
              <w:t>إشكال المحقّق النائيني في الإنشاء ببعض المجازات والمشتركات</w:t>
            </w:r>
            <w:r>
              <w:rPr>
                <w:rStyle w:val="IndexLink"/>
                <w:rtl w:val="true"/>
              </w:rPr>
              <w:tab/>
            </w:r>
            <w:r>
              <w:rPr>
                <w:rStyle w:val="IndexLink"/>
              </w:rPr>
              <w:t>342</w:t>
            </w:r>
          </w:hyperlink>
        </w:p>
        <w:p>
          <w:pPr>
            <w:pStyle w:val="Contents5"/>
            <w:tabs>
              <w:tab w:val="clear" w:pos="7892"/>
              <w:tab w:val="right" w:pos="9026" w:leader="dot"/>
            </w:tabs>
            <w:rPr/>
          </w:pPr>
          <w:hyperlink w:anchor="__RefHeading___Toc2495491_2142443653">
            <w:r>
              <w:rPr>
                <w:webHidden/>
                <w:rStyle w:val="IndexLink"/>
                <w:rtl w:val="true"/>
              </w:rPr>
              <w:t>عدم اعتبار العربية في الصيغة</w:t>
            </w:r>
            <w:r>
              <w:rPr>
                <w:rStyle w:val="IndexLink"/>
                <w:rtl w:val="true"/>
              </w:rPr>
              <w:tab/>
            </w:r>
            <w:r>
              <w:rPr>
                <w:rStyle w:val="IndexLink"/>
              </w:rPr>
              <w:t>346</w:t>
            </w:r>
          </w:hyperlink>
        </w:p>
        <w:p>
          <w:pPr>
            <w:pStyle w:val="Contents5"/>
            <w:tabs>
              <w:tab w:val="clear" w:pos="7892"/>
              <w:tab w:val="right" w:pos="9026" w:leader="dot"/>
            </w:tabs>
            <w:rPr/>
          </w:pPr>
          <w:hyperlink w:anchor="__RefHeading___Toc2495493_2142443653">
            <w:r>
              <w:rPr>
                <w:webHidden/>
                <w:rStyle w:val="IndexLink"/>
                <w:rtl w:val="true"/>
              </w:rPr>
              <w:t xml:space="preserve">مسألة </w:t>
            </w:r>
            <w:r>
              <w:rPr>
                <w:rStyle w:val="IndexLink"/>
                <w:rtl w:val="true"/>
              </w:rPr>
              <w:t xml:space="preserve">: </w:t>
            </w:r>
            <w:r>
              <w:rPr>
                <w:rStyle w:val="IndexLink"/>
                <w:rtl w:val="true"/>
              </w:rPr>
              <w:t>في كفاية الإيجاب وحده في صحّة العقود</w:t>
            </w:r>
            <w:r>
              <w:rPr>
                <w:rStyle w:val="IndexLink"/>
                <w:rtl w:val="true"/>
              </w:rPr>
              <w:tab/>
            </w:r>
            <w:r>
              <w:rPr>
                <w:rStyle w:val="IndexLink"/>
              </w:rPr>
              <w:t>347</w:t>
            </w:r>
          </w:hyperlink>
        </w:p>
        <w:p>
          <w:pPr>
            <w:pStyle w:val="Contents5"/>
            <w:tabs>
              <w:tab w:val="clear" w:pos="7892"/>
              <w:tab w:val="right" w:pos="9026" w:leader="dot"/>
            </w:tabs>
            <w:rPr/>
          </w:pPr>
          <w:hyperlink w:anchor="__RefHeading___Toc2495495_2142443653">
            <w:r>
              <w:rPr>
                <w:webHidden/>
                <w:rStyle w:val="IndexLink"/>
                <w:rtl w:val="true"/>
              </w:rPr>
              <w:t xml:space="preserve">مسألة </w:t>
            </w:r>
            <w:r>
              <w:rPr>
                <w:rStyle w:val="IndexLink"/>
                <w:rtl w:val="true"/>
              </w:rPr>
              <w:t xml:space="preserve">: </w:t>
            </w:r>
            <w:r>
              <w:rPr>
                <w:rStyle w:val="IndexLink"/>
                <w:rtl w:val="true"/>
              </w:rPr>
              <w:t>في عدم اعتبار الماضوية في الصيغة</w:t>
            </w:r>
            <w:r>
              <w:rPr>
                <w:rStyle w:val="IndexLink"/>
                <w:rtl w:val="true"/>
              </w:rPr>
              <w:tab/>
            </w:r>
            <w:r>
              <w:rPr>
                <w:rStyle w:val="IndexLink"/>
              </w:rPr>
              <w:t>350</w:t>
            </w:r>
          </w:hyperlink>
        </w:p>
        <w:p>
          <w:pPr>
            <w:pStyle w:val="Contents5"/>
            <w:tabs>
              <w:tab w:val="clear" w:pos="7892"/>
              <w:tab w:val="right" w:pos="9026" w:leader="dot"/>
            </w:tabs>
            <w:rPr/>
          </w:pPr>
          <w:hyperlink w:anchor="__RefHeading___Toc2495497_2142443653">
            <w:r>
              <w:rPr>
                <w:webHidden/>
                <w:rStyle w:val="IndexLink"/>
                <w:rtl w:val="true"/>
              </w:rPr>
              <w:t xml:space="preserve">مسألة </w:t>
            </w:r>
            <w:r>
              <w:rPr>
                <w:rStyle w:val="IndexLink"/>
                <w:rtl w:val="true"/>
              </w:rPr>
              <w:t xml:space="preserve">: </w:t>
            </w:r>
            <w:r>
              <w:rPr>
                <w:rStyle w:val="IndexLink"/>
                <w:rtl w:val="true"/>
              </w:rPr>
              <w:t>في تقديم الإيجاب على القبول</w:t>
            </w:r>
            <w:r>
              <w:rPr>
                <w:rStyle w:val="IndexLink"/>
                <w:rtl w:val="true"/>
              </w:rPr>
              <w:tab/>
            </w:r>
            <w:r>
              <w:rPr>
                <w:rStyle w:val="IndexLink"/>
              </w:rPr>
              <w:t>353</w:t>
            </w:r>
          </w:hyperlink>
        </w:p>
        <w:p>
          <w:pPr>
            <w:pStyle w:val="Contents6"/>
            <w:tabs>
              <w:tab w:val="clear" w:pos="7609"/>
              <w:tab w:val="right" w:pos="9026" w:leader="dot"/>
            </w:tabs>
            <w:rPr/>
          </w:pPr>
          <w:hyperlink w:anchor="__RefHeading___Toc2495499_2142443653">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2495501_2142443653">
            <w:r>
              <w:rPr>
                <w:webHidden/>
                <w:rStyle w:val="IndexLink"/>
                <w:rtl w:val="true"/>
              </w:rPr>
              <w:t>تفصيل الشيخ الأعظم بين ألفاظ القبول</w:t>
            </w:r>
            <w:r>
              <w:rPr>
                <w:rStyle w:val="IndexLink"/>
                <w:rtl w:val="true"/>
              </w:rPr>
              <w:tab/>
            </w:r>
            <w:r>
              <w:rPr>
                <w:rStyle w:val="IndexLink"/>
              </w:rPr>
              <w:t>353</w:t>
            </w:r>
          </w:hyperlink>
        </w:p>
        <w:p>
          <w:pPr>
            <w:pStyle w:val="Contents6"/>
            <w:tabs>
              <w:tab w:val="clear" w:pos="7609"/>
              <w:tab w:val="right" w:pos="9026" w:leader="dot"/>
            </w:tabs>
            <w:rPr/>
          </w:pPr>
          <w:hyperlink w:anchor="__RefHeading___Toc2495503_2142443653">
            <w:r>
              <w:rPr>
                <w:webHidden/>
                <w:rStyle w:val="IndexLink"/>
                <w:rtl w:val="true"/>
              </w:rPr>
              <w:t>التحقيق في حقيقة القبول</w:t>
            </w:r>
            <w:r>
              <w:rPr>
                <w:rStyle w:val="IndexLink"/>
                <w:rtl w:val="true"/>
              </w:rPr>
              <w:tab/>
            </w:r>
            <w:r>
              <w:rPr>
                <w:rStyle w:val="IndexLink"/>
              </w:rPr>
              <w:t>354</w:t>
            </w:r>
          </w:hyperlink>
        </w:p>
        <w:p>
          <w:pPr>
            <w:pStyle w:val="Contents6"/>
            <w:tabs>
              <w:tab w:val="clear" w:pos="7609"/>
              <w:tab w:val="right" w:pos="9026" w:leader="dot"/>
            </w:tabs>
            <w:rPr/>
          </w:pPr>
          <w:hyperlink w:anchor="__RefHeading___Toc2495505_2142443653">
            <w:r>
              <w:rPr>
                <w:webHidden/>
                <w:rStyle w:val="IndexLink"/>
                <w:rtl w:val="true"/>
              </w:rPr>
              <w:t>جواز تقديم القبول على الإيجاب</w:t>
            </w:r>
            <w:r>
              <w:rPr>
                <w:rStyle w:val="IndexLink"/>
                <w:rtl w:val="true"/>
              </w:rPr>
              <w:tab/>
            </w:r>
            <w:r>
              <w:rPr>
                <w:rStyle w:val="IndexLink"/>
              </w:rPr>
              <w:t>357</w:t>
            </w:r>
          </w:hyperlink>
        </w:p>
        <w:p>
          <w:pPr>
            <w:pStyle w:val="Contents6"/>
            <w:tabs>
              <w:tab w:val="clear" w:pos="7609"/>
              <w:tab w:val="right" w:pos="9026" w:leader="dot"/>
            </w:tabs>
            <w:rPr/>
          </w:pPr>
          <w:hyperlink w:anchor="__RefHeading___Toc2495507_2142443653">
            <w:r>
              <w:rPr>
                <w:webHidden/>
                <w:rStyle w:val="IndexLink"/>
                <w:rtl w:val="true"/>
              </w:rPr>
              <w:t>إشكال الشيخ في تقدّم القبول</w:t>
            </w:r>
            <w:r>
              <w:rPr>
                <w:rStyle w:val="IndexLink"/>
                <w:rtl w:val="true"/>
              </w:rPr>
              <w:tab/>
            </w:r>
            <w:r>
              <w:rPr>
                <w:rStyle w:val="IndexLink"/>
              </w:rPr>
              <w:t>358</w:t>
            </w:r>
          </w:hyperlink>
        </w:p>
        <w:p>
          <w:pPr>
            <w:pStyle w:val="Contents6"/>
            <w:tabs>
              <w:tab w:val="clear" w:pos="7609"/>
              <w:tab w:val="right" w:pos="9026" w:leader="dot"/>
            </w:tabs>
            <w:rPr/>
          </w:pPr>
          <w:hyperlink w:anchor="__RefHeading___Toc2495509_2142443653">
            <w:r>
              <w:rPr>
                <w:webHidden/>
                <w:rStyle w:val="IndexLink"/>
                <w:rtl w:val="true"/>
              </w:rPr>
              <w:t>تفصيل المحقّق النائيني بين العقود الإذنية وغيرها</w:t>
            </w:r>
            <w:r>
              <w:rPr>
                <w:rStyle w:val="IndexLink"/>
                <w:rtl w:val="true"/>
              </w:rPr>
              <w:tab/>
            </w:r>
            <w:r>
              <w:rPr>
                <w:rStyle w:val="IndexLink"/>
              </w:rPr>
              <w:t>359</w:t>
            </w:r>
          </w:hyperlink>
        </w:p>
        <w:p>
          <w:pPr>
            <w:pStyle w:val="Contents5"/>
            <w:tabs>
              <w:tab w:val="clear" w:pos="7892"/>
              <w:tab w:val="right" w:pos="9026" w:leader="dot"/>
            </w:tabs>
            <w:rPr/>
          </w:pPr>
          <w:hyperlink w:anchor="__RefHeading___Toc2495511_2142443653">
            <w:r>
              <w:rPr>
                <w:webHidden/>
                <w:rStyle w:val="IndexLink"/>
                <w:rtl w:val="true"/>
              </w:rPr>
              <w:t xml:space="preserve">مسألة </w:t>
            </w:r>
            <w:r>
              <w:rPr>
                <w:rStyle w:val="IndexLink"/>
                <w:rtl w:val="true"/>
              </w:rPr>
              <w:t xml:space="preserve">: </w:t>
            </w:r>
            <w:r>
              <w:rPr>
                <w:rStyle w:val="IndexLink"/>
                <w:rtl w:val="true"/>
              </w:rPr>
              <w:t>في عدم اعتبار الموالاة</w:t>
            </w:r>
            <w:r>
              <w:rPr>
                <w:rStyle w:val="IndexLink"/>
                <w:rtl w:val="true"/>
              </w:rPr>
              <w:tab/>
            </w:r>
            <w:r>
              <w:rPr>
                <w:rStyle w:val="IndexLink"/>
              </w:rPr>
              <w:t>360</w:t>
            </w:r>
          </w:hyperlink>
        </w:p>
        <w:p>
          <w:pPr>
            <w:pStyle w:val="Contents6"/>
            <w:tabs>
              <w:tab w:val="clear" w:pos="7609"/>
              <w:tab w:val="right" w:pos="9026" w:leader="dot"/>
            </w:tabs>
            <w:rPr/>
          </w:pPr>
          <w:hyperlink w:anchor="__RefHeading___Toc2495513_2142443653">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2495515_2142443653">
            <w:r>
              <w:rPr>
                <w:webHidden/>
                <w:rStyle w:val="IndexLink"/>
                <w:rtl w:val="true"/>
              </w:rPr>
              <w:t>استدلال المحقّق النائيني على الموالاة</w:t>
            </w:r>
            <w:r>
              <w:rPr>
                <w:rStyle w:val="IndexLink"/>
                <w:rtl w:val="true"/>
              </w:rPr>
              <w:tab/>
            </w:r>
            <w:r>
              <w:rPr>
                <w:rStyle w:val="IndexLink"/>
              </w:rPr>
              <w:t>360</w:t>
            </w:r>
          </w:hyperlink>
        </w:p>
        <w:p>
          <w:pPr>
            <w:pStyle w:val="Contents6"/>
            <w:tabs>
              <w:tab w:val="clear" w:pos="7609"/>
              <w:tab w:val="right" w:pos="9026" w:leader="dot"/>
            </w:tabs>
            <w:rPr/>
          </w:pPr>
          <w:hyperlink w:anchor="__RefHeading___Toc2495517_2142443653">
            <w:r>
              <w:rPr>
                <w:webHidden/>
                <w:rStyle w:val="IndexLink"/>
                <w:rtl w:val="true"/>
              </w:rPr>
              <w:t>استدلال المحقّق الإيرواني على الموالاة</w:t>
            </w:r>
            <w:r>
              <w:rPr>
                <w:rStyle w:val="IndexLink"/>
                <w:rtl w:val="true"/>
              </w:rPr>
              <w:tab/>
            </w:r>
            <w:r>
              <w:rPr>
                <w:rStyle w:val="IndexLink"/>
              </w:rPr>
              <w:t>362</w:t>
            </w:r>
          </w:hyperlink>
        </w:p>
        <w:p>
          <w:pPr>
            <w:pStyle w:val="Contents5"/>
            <w:tabs>
              <w:tab w:val="clear" w:pos="7892"/>
              <w:tab w:val="right" w:pos="9026" w:leader="dot"/>
            </w:tabs>
            <w:rPr/>
          </w:pPr>
          <w:hyperlink w:anchor="__RefHeading___Toc2495519_2142443653">
            <w:r>
              <w:rPr>
                <w:webHidden/>
                <w:rStyle w:val="IndexLink"/>
                <w:rtl w:val="true"/>
              </w:rPr>
              <w:t xml:space="preserve">مسألة </w:t>
            </w:r>
            <w:r>
              <w:rPr>
                <w:rStyle w:val="IndexLink"/>
                <w:rtl w:val="true"/>
              </w:rPr>
              <w:t xml:space="preserve">: </w:t>
            </w:r>
            <w:r>
              <w:rPr>
                <w:rStyle w:val="IndexLink"/>
                <w:rtl w:val="true"/>
              </w:rPr>
              <w:t>في اعتبار التنجيز في العقود</w:t>
            </w:r>
            <w:r>
              <w:rPr>
                <w:rStyle w:val="IndexLink"/>
                <w:rtl w:val="true"/>
              </w:rPr>
              <w:tab/>
            </w:r>
            <w:r>
              <w:rPr>
                <w:rStyle w:val="IndexLink"/>
              </w:rPr>
              <w:t>366</w:t>
            </w:r>
          </w:hyperlink>
        </w:p>
        <w:p>
          <w:pPr>
            <w:pStyle w:val="Contents6"/>
            <w:tabs>
              <w:tab w:val="clear" w:pos="7609"/>
              <w:tab w:val="right" w:pos="9026" w:leader="dot"/>
            </w:tabs>
            <w:rPr/>
          </w:pPr>
          <w:hyperlink w:anchor="__RefHeading___Toc2495521_2142443653">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2495523_2142443653">
            <w:r>
              <w:rPr>
                <w:webHidden/>
                <w:rStyle w:val="IndexLink"/>
                <w:rtl w:val="true"/>
              </w:rPr>
              <w:t>إشكال منافاة التعليق مع الجزم المعتبر</w:t>
            </w:r>
            <w:r>
              <w:rPr>
                <w:rStyle w:val="IndexLink"/>
                <w:rtl w:val="true"/>
              </w:rPr>
              <w:tab/>
            </w:r>
            <w:r>
              <w:rPr>
                <w:rStyle w:val="IndexLink"/>
              </w:rPr>
              <w:t>370</w:t>
            </w:r>
          </w:hyperlink>
        </w:p>
        <w:p>
          <w:pPr>
            <w:pStyle w:val="Contents5"/>
            <w:tabs>
              <w:tab w:val="clear" w:pos="7892"/>
              <w:tab w:val="right" w:pos="9026" w:leader="dot"/>
            </w:tabs>
            <w:rPr/>
          </w:pPr>
          <w:hyperlink w:anchor="__RefHeading___Toc2495525_2142443653">
            <w:r>
              <w:rPr>
                <w:webHidden/>
                <w:rStyle w:val="IndexLink"/>
                <w:rtl w:val="true"/>
              </w:rPr>
              <w:t xml:space="preserve">مسألة </w:t>
            </w:r>
            <w:r>
              <w:rPr>
                <w:rStyle w:val="IndexLink"/>
                <w:rtl w:val="true"/>
              </w:rPr>
              <w:t xml:space="preserve">: </w:t>
            </w:r>
            <w:r>
              <w:rPr>
                <w:rStyle w:val="IndexLink"/>
                <w:rtl w:val="true"/>
              </w:rPr>
              <w:t>في اعتبار التطابق بين الإيجاب والقبول</w:t>
            </w:r>
            <w:r>
              <w:rPr>
                <w:rStyle w:val="IndexLink"/>
                <w:rtl w:val="true"/>
              </w:rPr>
              <w:tab/>
            </w:r>
            <w:r>
              <w:rPr>
                <w:rStyle w:val="IndexLink"/>
              </w:rPr>
              <w:t>372</w:t>
            </w:r>
          </w:hyperlink>
        </w:p>
        <w:p>
          <w:pPr>
            <w:pStyle w:val="Contents5"/>
            <w:tabs>
              <w:tab w:val="clear" w:pos="7892"/>
              <w:tab w:val="right" w:pos="9026" w:leader="dot"/>
            </w:tabs>
            <w:rPr/>
          </w:pPr>
          <w:hyperlink w:anchor="__RefHeading___Toc2495527_2142443653">
            <w:r>
              <w:rPr>
                <w:webHidden/>
                <w:rStyle w:val="IndexLink"/>
                <w:rtl w:val="true"/>
              </w:rPr>
              <w:t xml:space="preserve">مسألة </w:t>
            </w:r>
            <w:r>
              <w:rPr>
                <w:rStyle w:val="IndexLink"/>
                <w:rtl w:val="true"/>
              </w:rPr>
              <w:t>:</w:t>
            </w:r>
            <w:r>
              <w:rPr>
                <w:rStyle w:val="IndexLink"/>
                <w:rtl w:val="true"/>
              </w:rPr>
              <w:t>في اعتبار الأهلية في المتعاقدين</w:t>
            </w:r>
            <w:r>
              <w:rPr>
                <w:rStyle w:val="IndexLink"/>
                <w:rtl w:val="true"/>
              </w:rPr>
              <w:tab/>
            </w:r>
            <w:r>
              <w:rPr>
                <w:rStyle w:val="IndexLink"/>
              </w:rPr>
              <w:t>374</w:t>
            </w:r>
          </w:hyperlink>
        </w:p>
        <w:p>
          <w:pPr>
            <w:pStyle w:val="Contents6"/>
            <w:tabs>
              <w:tab w:val="clear" w:pos="7609"/>
              <w:tab w:val="right" w:pos="9026" w:leader="dot"/>
            </w:tabs>
            <w:rPr/>
          </w:pPr>
          <w:hyperlink w:anchor="__RefHeading___Toc2495529_2142443653">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495531_2142443653">
            <w:r>
              <w:rPr>
                <w:webHidden/>
                <w:rStyle w:val="IndexLink"/>
                <w:rtl w:val="true"/>
              </w:rPr>
              <w:t>جواب الشيخ الأعظم عن النقض بالوصيّة ودفعه</w:t>
            </w:r>
            <w:r>
              <w:rPr>
                <w:rStyle w:val="IndexLink"/>
                <w:rtl w:val="true"/>
              </w:rPr>
              <w:tab/>
            </w:r>
            <w:r>
              <w:rPr>
                <w:rStyle w:val="IndexLink"/>
              </w:rPr>
              <w:t>376</w:t>
            </w:r>
          </w:hyperlink>
        </w:p>
        <w:p>
          <w:pPr>
            <w:pStyle w:val="Contents5"/>
            <w:tabs>
              <w:tab w:val="clear" w:pos="7892"/>
              <w:tab w:val="right" w:pos="9026" w:leader="dot"/>
            </w:tabs>
            <w:rPr/>
          </w:pPr>
          <w:hyperlink w:anchor="__RefHeading___Toc2495533_2142443653">
            <w:r>
              <w:rPr>
                <w:webHidden/>
                <w:rStyle w:val="IndexLink"/>
                <w:rtl w:val="true"/>
              </w:rPr>
              <w:t xml:space="preserve">فرع </w:t>
            </w:r>
            <w:r>
              <w:rPr>
                <w:rStyle w:val="IndexLink"/>
                <w:rtl w:val="true"/>
              </w:rPr>
              <w:t xml:space="preserve">: </w:t>
            </w:r>
            <w:r>
              <w:rPr>
                <w:rStyle w:val="IndexLink"/>
                <w:rtl w:val="true"/>
              </w:rPr>
              <w:t>في اختلاف المتعاقدين في شروط الصيغة</w:t>
            </w:r>
            <w:r>
              <w:rPr>
                <w:rStyle w:val="IndexLink"/>
                <w:rtl w:val="true"/>
              </w:rPr>
              <w:tab/>
            </w:r>
            <w:r>
              <w:rPr>
                <w:rStyle w:val="IndexLink"/>
              </w:rPr>
              <w:t>378</w:t>
            </w:r>
          </w:hyperlink>
        </w:p>
        <w:p>
          <w:pPr>
            <w:pStyle w:val="Contents6"/>
            <w:tabs>
              <w:tab w:val="clear" w:pos="7609"/>
              <w:tab w:val="right" w:pos="9026" w:leader="dot"/>
            </w:tabs>
            <w:rPr/>
          </w:pPr>
          <w:hyperlink w:anchor="__RefHeading___Toc2495535_2142443653">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2495537_2142443653">
            <w:r>
              <w:rPr>
                <w:webHidden/>
                <w:rStyle w:val="IndexLink"/>
                <w:rtl w:val="true"/>
              </w:rPr>
              <w:t>تفصيل السيّد اليزدي في باب الإجزاء</w:t>
            </w:r>
            <w:r>
              <w:rPr>
                <w:rStyle w:val="IndexLink"/>
                <w:rtl w:val="true"/>
              </w:rPr>
              <w:tab/>
            </w:r>
            <w:r>
              <w:rPr>
                <w:rStyle w:val="IndexLink"/>
              </w:rPr>
              <w:t>379</w:t>
            </w:r>
          </w:hyperlink>
        </w:p>
        <w:p>
          <w:pPr>
            <w:pStyle w:val="Contents6"/>
            <w:tabs>
              <w:tab w:val="clear" w:pos="7609"/>
              <w:tab w:val="right" w:pos="9026" w:leader="dot"/>
            </w:tabs>
            <w:rPr/>
          </w:pPr>
          <w:hyperlink w:anchor="__RefHeading___Toc2495539_2142443653">
            <w:r>
              <w:rPr>
                <w:webHidden/>
                <w:rStyle w:val="IndexLink"/>
                <w:rtl w:val="true"/>
              </w:rPr>
              <w:t>تفصيل آخر في الإجزاء</w:t>
            </w:r>
            <w:r>
              <w:rPr>
                <w:rStyle w:val="IndexLink"/>
                <w:rtl w:val="true"/>
              </w:rPr>
              <w:tab/>
            </w:r>
            <w:r>
              <w:rPr>
                <w:rStyle w:val="IndexLink"/>
              </w:rPr>
              <w:t>380</w:t>
            </w:r>
          </w:hyperlink>
        </w:p>
        <w:p>
          <w:pPr>
            <w:pStyle w:val="Contents6"/>
            <w:tabs>
              <w:tab w:val="clear" w:pos="7609"/>
              <w:tab w:val="right" w:pos="9026" w:leader="dot"/>
            </w:tabs>
            <w:rPr/>
          </w:pPr>
          <w:hyperlink w:anchor="__RefHeading___Toc2495541_2142443653">
            <w:r>
              <w:rPr>
                <w:webHidden/>
                <w:rStyle w:val="IndexLink"/>
                <w:rtl w:val="true"/>
              </w:rPr>
              <w:t>بيان لكلام الشيخ في المقام</w:t>
            </w:r>
            <w:r>
              <w:rPr>
                <w:rStyle w:val="IndexLink"/>
                <w:rtl w:val="true"/>
              </w:rPr>
              <w:tab/>
            </w:r>
            <w:r>
              <w:rPr>
                <w:rStyle w:val="IndexLink"/>
              </w:rPr>
              <w:t>383</w:t>
            </w:r>
          </w:hyperlink>
        </w:p>
        <w:p>
          <w:pPr>
            <w:pStyle w:val="Contents6"/>
            <w:tabs>
              <w:tab w:val="clear" w:pos="7609"/>
              <w:tab w:val="right" w:pos="9026" w:leader="dot"/>
            </w:tabs>
            <w:rPr/>
          </w:pPr>
          <w:hyperlink w:anchor="__RefHeading___Toc2495543_2142443653">
            <w:r>
              <w:rPr>
                <w:webHidden/>
                <w:rStyle w:val="IndexLink"/>
                <w:rtl w:val="true"/>
              </w:rPr>
              <w:t>تفصيل الشيخ الأعظم بين الشروط وما يرد عليه</w:t>
            </w:r>
            <w:r>
              <w:rPr>
                <w:rStyle w:val="IndexLink"/>
                <w:rtl w:val="true"/>
              </w:rPr>
              <w:tab/>
            </w:r>
            <w:r>
              <w:rPr>
                <w:rStyle w:val="IndexLink"/>
              </w:rPr>
              <w:t>385</w:t>
            </w:r>
          </w:hyperlink>
        </w:p>
        <w:p>
          <w:pPr>
            <w:pStyle w:val="Contents6"/>
            <w:tabs>
              <w:tab w:val="clear" w:pos="7609"/>
              <w:tab w:val="right" w:pos="9026" w:leader="dot"/>
            </w:tabs>
            <w:rPr/>
          </w:pPr>
          <w:hyperlink w:anchor="__RefHeading___Toc2495545_2142443653">
            <w:r>
              <w:rPr>
                <w:webHidden/>
                <w:rStyle w:val="IndexLink"/>
                <w:rtl w:val="true"/>
              </w:rPr>
              <w:t>حكم اختلاف المتعاقدين في تحقّق عنوان العقد</w:t>
            </w:r>
            <w:r>
              <w:rPr>
                <w:rStyle w:val="IndexLink"/>
                <w:rtl w:val="true"/>
              </w:rPr>
              <w:tab/>
            </w:r>
            <w:r>
              <w:rPr>
                <w:rStyle w:val="IndexLink"/>
              </w:rPr>
              <w:t>387</w:t>
            </w:r>
          </w:hyperlink>
        </w:p>
        <w:p>
          <w:pPr>
            <w:pStyle w:val="Contents2"/>
            <w:tabs>
              <w:tab w:val="clear" w:pos="8743"/>
              <w:tab w:val="right" w:pos="9026" w:leader="dot"/>
            </w:tabs>
            <w:rPr/>
          </w:pPr>
          <w:hyperlink w:anchor="__RefHeading___Toc2495547_2142443653">
            <w:r>
              <w:rPr>
                <w:webHidden/>
                <w:rStyle w:val="IndexLink"/>
                <w:rtl w:val="true"/>
              </w:rPr>
              <w:t>المقبوض بالعقد الفاسد والاُمور المتفرّعة عليه</w:t>
            </w:r>
            <w:r>
              <w:rPr>
                <w:rStyle w:val="IndexLink"/>
                <w:rtl w:val="true"/>
              </w:rPr>
              <w:tab/>
            </w:r>
            <w:r>
              <w:rPr>
                <w:rStyle w:val="IndexLink"/>
              </w:rPr>
              <w:t>389</w:t>
            </w:r>
          </w:hyperlink>
        </w:p>
        <w:p>
          <w:pPr>
            <w:pStyle w:val="Contents3"/>
            <w:tabs>
              <w:tab w:val="clear" w:pos="8459"/>
              <w:tab w:val="right" w:pos="9026" w:leader="dot"/>
            </w:tabs>
            <w:rPr/>
          </w:pPr>
          <w:hyperlink w:anchor="__RefHeading___Toc2495549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2495551_2142443653">
            <w:r>
              <w:rPr>
                <w:webHidden/>
                <w:rStyle w:val="IndexLink"/>
                <w:rtl w:val="true"/>
              </w:rPr>
              <w:t xml:space="preserve">الأمر الأوّل </w:t>
            </w:r>
            <w:r>
              <w:rPr>
                <w:rStyle w:val="IndexLink"/>
                <w:rtl w:val="true"/>
              </w:rPr>
              <w:t xml:space="preserve">: </w:t>
            </w:r>
            <w:r>
              <w:rPr>
                <w:rStyle w:val="IndexLink"/>
                <w:rtl w:val="true"/>
              </w:rPr>
              <w:t>في الضمان</w:t>
            </w:r>
            <w:r>
              <w:rPr>
                <w:rStyle w:val="IndexLink"/>
                <w:rtl w:val="true"/>
              </w:rPr>
              <w:tab/>
            </w:r>
            <w:r>
              <w:rPr>
                <w:rStyle w:val="IndexLink"/>
              </w:rPr>
              <w:t>391</w:t>
            </w:r>
          </w:hyperlink>
        </w:p>
        <w:p>
          <w:pPr>
            <w:pStyle w:val="Contents4"/>
            <w:tabs>
              <w:tab w:val="clear" w:pos="8176"/>
              <w:tab w:val="right" w:pos="9026" w:leader="dot"/>
            </w:tabs>
            <w:rPr/>
          </w:pPr>
          <w:hyperlink w:anchor="__RefHeading___Toc2495553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2495555_2142443653">
            <w:r>
              <w:rPr>
                <w:webHidden/>
                <w:rStyle w:val="IndexLink"/>
                <w:rtl w:val="true"/>
              </w:rPr>
              <w:t xml:space="preserve">الدليل الأوّل على الضمان </w:t>
            </w:r>
            <w:r>
              <w:rPr>
                <w:rStyle w:val="IndexLink"/>
                <w:rtl w:val="true"/>
              </w:rPr>
              <w:t xml:space="preserve">: </w:t>
            </w:r>
            <w:r>
              <w:rPr>
                <w:rStyle w:val="IndexLink"/>
                <w:rtl w:val="true"/>
              </w:rPr>
              <w:t>حديث على اليد</w:t>
            </w:r>
            <w:r>
              <w:rPr>
                <w:rStyle w:val="IndexLink"/>
                <w:rtl w:val="true"/>
              </w:rPr>
              <w:tab/>
            </w:r>
            <w:r>
              <w:rPr>
                <w:rStyle w:val="IndexLink"/>
              </w:rPr>
              <w:t>392</w:t>
            </w:r>
          </w:hyperlink>
        </w:p>
        <w:p>
          <w:pPr>
            <w:pStyle w:val="Contents5"/>
            <w:tabs>
              <w:tab w:val="clear" w:pos="7892"/>
              <w:tab w:val="right" w:pos="9026" w:leader="dot"/>
            </w:tabs>
            <w:rPr/>
          </w:pPr>
          <w:hyperlink w:anchor="__RefHeading___Toc2495557_2142443653">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2495559_2142443653">
            <w:r>
              <w:rPr>
                <w:webHidden/>
                <w:rStyle w:val="IndexLink"/>
                <w:rtl w:val="true"/>
              </w:rPr>
              <w:t>في انجبار سند الحديث</w:t>
            </w:r>
            <w:r>
              <w:rPr>
                <w:rStyle w:val="IndexLink"/>
                <w:rtl w:val="true"/>
              </w:rPr>
              <w:tab/>
            </w:r>
            <w:r>
              <w:rPr>
                <w:rStyle w:val="IndexLink"/>
              </w:rPr>
              <w:t>392</w:t>
            </w:r>
          </w:hyperlink>
        </w:p>
        <w:p>
          <w:pPr>
            <w:pStyle w:val="Contents5"/>
            <w:tabs>
              <w:tab w:val="clear" w:pos="7892"/>
              <w:tab w:val="right" w:pos="9026" w:leader="dot"/>
            </w:tabs>
            <w:rPr/>
          </w:pPr>
          <w:hyperlink w:anchor="__RefHeading___Toc2495561_2142443653">
            <w:r>
              <w:rPr>
                <w:webHidden/>
                <w:rStyle w:val="IndexLink"/>
                <w:rtl w:val="true"/>
              </w:rPr>
              <w:t>في دلالة الحديث على الحكم التكليفي أو الوضعي</w:t>
            </w:r>
            <w:r>
              <w:rPr>
                <w:rStyle w:val="IndexLink"/>
                <w:rtl w:val="true"/>
              </w:rPr>
              <w:tab/>
            </w:r>
            <w:r>
              <w:rPr>
                <w:rStyle w:val="IndexLink"/>
              </w:rPr>
              <w:t>397</w:t>
            </w:r>
          </w:hyperlink>
        </w:p>
        <w:p>
          <w:pPr>
            <w:pStyle w:val="Contents5"/>
            <w:tabs>
              <w:tab w:val="clear" w:pos="7892"/>
              <w:tab w:val="right" w:pos="9026" w:leader="dot"/>
            </w:tabs>
            <w:rPr/>
          </w:pPr>
          <w:hyperlink w:anchor="__RefHeading___Toc2495563_2142443653">
            <w:r>
              <w:rPr>
                <w:webHidden/>
                <w:rStyle w:val="IndexLink"/>
                <w:rtl w:val="true"/>
              </w:rPr>
              <w:t>استقرار العين الخارجية على العهدة وما فيه</w:t>
            </w:r>
            <w:r>
              <w:rPr>
                <w:rStyle w:val="IndexLink"/>
                <w:rtl w:val="true"/>
              </w:rPr>
              <w:tab/>
            </w:r>
            <w:r>
              <w:rPr>
                <w:rStyle w:val="IndexLink"/>
              </w:rPr>
              <w:t>399</w:t>
            </w:r>
          </w:hyperlink>
        </w:p>
        <w:p>
          <w:pPr>
            <w:pStyle w:val="Contents5"/>
            <w:tabs>
              <w:tab w:val="clear" w:pos="7892"/>
              <w:tab w:val="right" w:pos="9026" w:leader="dot"/>
            </w:tabs>
            <w:rPr/>
          </w:pPr>
          <w:hyperlink w:anchor="__RefHeading___Toc2495565_2142443653">
            <w:r>
              <w:rPr>
                <w:webHidden/>
                <w:rStyle w:val="IndexLink"/>
                <w:rtl w:val="true"/>
              </w:rPr>
              <w:t>حول شمول حديث اليد لضمان الصغير والمجنون</w:t>
            </w:r>
            <w:r>
              <w:rPr>
                <w:rStyle w:val="IndexLink"/>
                <w:rtl w:val="true"/>
              </w:rPr>
              <w:tab/>
            </w:r>
            <w:r>
              <w:rPr>
                <w:rStyle w:val="IndexLink"/>
              </w:rPr>
              <w:t>402</w:t>
            </w:r>
          </w:hyperlink>
        </w:p>
        <w:p>
          <w:pPr>
            <w:pStyle w:val="Contents4"/>
            <w:tabs>
              <w:tab w:val="clear" w:pos="8176"/>
              <w:tab w:val="right" w:pos="9026" w:leader="dot"/>
            </w:tabs>
            <w:rPr/>
          </w:pPr>
          <w:hyperlink w:anchor="__RefHeading___Toc2495567_2142443653">
            <w:r>
              <w:rPr>
                <w:webHidden/>
                <w:rStyle w:val="IndexLink"/>
                <w:rtl w:val="true"/>
              </w:rPr>
              <w:t xml:space="preserve">الدليل الثاني على الضمان </w:t>
            </w:r>
            <w:r>
              <w:rPr>
                <w:rStyle w:val="IndexLink"/>
                <w:rtl w:val="true"/>
              </w:rPr>
              <w:t xml:space="preserve">: </w:t>
            </w:r>
            <w:r>
              <w:rPr>
                <w:rStyle w:val="IndexLink"/>
                <w:rtl w:val="true"/>
              </w:rPr>
              <w:t>روايات الأمة المسروقة</w:t>
            </w:r>
            <w:r>
              <w:rPr>
                <w:rStyle w:val="IndexLink"/>
                <w:rtl w:val="true"/>
              </w:rPr>
              <w:tab/>
            </w:r>
            <w:r>
              <w:rPr>
                <w:rStyle w:val="IndexLink"/>
              </w:rPr>
              <w:t>405</w:t>
            </w:r>
          </w:hyperlink>
        </w:p>
        <w:p>
          <w:pPr>
            <w:pStyle w:val="Contents5"/>
            <w:tabs>
              <w:tab w:val="clear" w:pos="7892"/>
              <w:tab w:val="right" w:pos="9026" w:leader="dot"/>
            </w:tabs>
            <w:rPr/>
          </w:pPr>
          <w:hyperlink w:anchor="__RefHeading___Toc2495569_2142443653">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2495571_2142443653">
            <w:r>
              <w:rPr>
                <w:webHidden/>
                <w:rStyle w:val="IndexLink"/>
                <w:rtl w:val="true"/>
              </w:rPr>
              <w:t>إشكال المحقّق الأصفهاني في المقام ودفعه</w:t>
            </w:r>
            <w:r>
              <w:rPr>
                <w:rStyle w:val="IndexLink"/>
                <w:rtl w:val="true"/>
              </w:rPr>
              <w:tab/>
            </w:r>
            <w:r>
              <w:rPr>
                <w:rStyle w:val="IndexLink"/>
              </w:rPr>
              <w:t>406</w:t>
            </w:r>
          </w:hyperlink>
        </w:p>
        <w:p>
          <w:pPr>
            <w:pStyle w:val="Contents5"/>
            <w:tabs>
              <w:tab w:val="clear" w:pos="7892"/>
              <w:tab w:val="right" w:pos="9026" w:leader="dot"/>
            </w:tabs>
            <w:rPr/>
          </w:pPr>
          <w:hyperlink w:anchor="__RefHeading___Toc2495573_2142443653">
            <w:r>
              <w:rPr>
                <w:webHidden/>
                <w:rStyle w:val="IndexLink"/>
                <w:rtl w:val="true"/>
              </w:rPr>
              <w:t>إشكال المحقّق الإيرواني ودفعه</w:t>
            </w:r>
            <w:r>
              <w:rPr>
                <w:rStyle w:val="IndexLink"/>
                <w:rtl w:val="true"/>
              </w:rPr>
              <w:tab/>
            </w:r>
            <w:r>
              <w:rPr>
                <w:rStyle w:val="IndexLink"/>
              </w:rPr>
              <w:t>408</w:t>
            </w:r>
          </w:hyperlink>
        </w:p>
        <w:p>
          <w:pPr>
            <w:pStyle w:val="Contents4"/>
            <w:tabs>
              <w:tab w:val="clear" w:pos="8176"/>
              <w:tab w:val="right" w:pos="9026" w:leader="dot"/>
            </w:tabs>
            <w:rPr/>
          </w:pPr>
          <w:hyperlink w:anchor="__RefHeading___Toc2495575_2142443653">
            <w:r>
              <w:rPr>
                <w:webHidden/>
                <w:rStyle w:val="IndexLink"/>
                <w:rtl w:val="true"/>
              </w:rPr>
              <w:t xml:space="preserve">الدليل الثالث على الضمان </w:t>
            </w:r>
            <w:r>
              <w:rPr>
                <w:rStyle w:val="IndexLink"/>
                <w:rtl w:val="true"/>
              </w:rPr>
              <w:t xml:space="preserve">: </w:t>
            </w:r>
            <w:r>
              <w:rPr>
                <w:rStyle w:val="IndexLink"/>
                <w:rtl w:val="true"/>
              </w:rPr>
              <w:t>قاعدة ما يضمن</w:t>
            </w:r>
            <w:r>
              <w:rPr>
                <w:rStyle w:val="IndexLink"/>
                <w:rtl w:val="true"/>
              </w:rPr>
              <w:tab/>
            </w:r>
            <w:r>
              <w:rPr>
                <w:rStyle w:val="IndexLink"/>
              </w:rPr>
              <w:t>410</w:t>
            </w:r>
          </w:hyperlink>
        </w:p>
        <w:p>
          <w:pPr>
            <w:pStyle w:val="Contents3"/>
            <w:tabs>
              <w:tab w:val="clear" w:pos="8459"/>
              <w:tab w:val="right" w:pos="9026" w:leader="dot"/>
            </w:tabs>
            <w:rPr/>
          </w:pPr>
          <w:hyperlink w:anchor="__RefHeading___Toc2495577_2142443653">
            <w:r>
              <w:rPr>
                <w:webHidden/>
                <w:rStyle w:val="IndexLink"/>
                <w:rtl w:val="true"/>
              </w:rPr>
              <w:t>المراد بالضمان في القاعدة</w:t>
            </w:r>
            <w:r>
              <w:rPr>
                <w:rStyle w:val="IndexLink"/>
                <w:rtl w:val="true"/>
              </w:rPr>
              <w:tab/>
            </w:r>
            <w:r>
              <w:rPr>
                <w:rStyle w:val="IndexLink"/>
              </w:rPr>
              <w:t>411</w:t>
            </w:r>
          </w:hyperlink>
        </w:p>
        <w:p>
          <w:pPr>
            <w:pStyle w:val="Contents4"/>
            <w:tabs>
              <w:tab w:val="clear" w:pos="8176"/>
              <w:tab w:val="right" w:pos="9026" w:leader="dot"/>
            </w:tabs>
            <w:rPr/>
          </w:pPr>
          <w:hyperlink w:anchor="__RefHeading___Toc2495579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2495581_2142443653">
            <w:r>
              <w:rPr>
                <w:webHidden/>
                <w:rStyle w:val="IndexLink"/>
                <w:rtl w:val="true"/>
              </w:rPr>
              <w:t>تضعيف ما ذكره المحقّق النائيني في الضمان</w:t>
            </w:r>
            <w:r>
              <w:rPr>
                <w:rStyle w:val="IndexLink"/>
                <w:rtl w:val="true"/>
              </w:rPr>
              <w:tab/>
            </w:r>
            <w:r>
              <w:rPr>
                <w:rStyle w:val="IndexLink"/>
              </w:rPr>
              <w:t>412</w:t>
            </w:r>
          </w:hyperlink>
        </w:p>
        <w:p>
          <w:pPr>
            <w:pStyle w:val="Contents4"/>
            <w:tabs>
              <w:tab w:val="clear" w:pos="8176"/>
              <w:tab w:val="right" w:pos="9026" w:leader="dot"/>
            </w:tabs>
            <w:rPr/>
          </w:pPr>
          <w:hyperlink w:anchor="__RefHeading___Toc2495583_2142443653">
            <w:r>
              <w:rPr>
                <w:webHidden/>
                <w:rStyle w:val="IndexLink"/>
                <w:rtl w:val="true"/>
              </w:rPr>
              <w:t>حول معنى الضمان عند المحقّق الأصفهاني</w:t>
            </w:r>
            <w:r>
              <w:rPr>
                <w:rStyle w:val="IndexLink"/>
                <w:rtl w:val="true"/>
              </w:rPr>
              <w:tab/>
            </w:r>
            <w:r>
              <w:rPr>
                <w:rStyle w:val="IndexLink"/>
              </w:rPr>
              <w:t>413</w:t>
            </w:r>
          </w:hyperlink>
        </w:p>
        <w:p>
          <w:pPr>
            <w:pStyle w:val="Contents4"/>
            <w:tabs>
              <w:tab w:val="clear" w:pos="8176"/>
              <w:tab w:val="right" w:pos="9026" w:leader="dot"/>
            </w:tabs>
            <w:rPr/>
          </w:pPr>
          <w:hyperlink w:anchor="__RefHeading___Toc2495585_2142443653">
            <w:r>
              <w:rPr>
                <w:webHidden/>
                <w:rStyle w:val="IndexLink"/>
                <w:rtl w:val="true"/>
              </w:rPr>
              <w:t>أقرب الاحتمالات في معنى الضمان في القاعدة</w:t>
            </w:r>
            <w:r>
              <w:rPr>
                <w:rStyle w:val="IndexLink"/>
                <w:rtl w:val="true"/>
              </w:rPr>
              <w:tab/>
            </w:r>
            <w:r>
              <w:rPr>
                <w:rStyle w:val="IndexLink"/>
              </w:rPr>
              <w:t>414</w:t>
            </w:r>
          </w:hyperlink>
        </w:p>
        <w:p>
          <w:pPr>
            <w:pStyle w:val="Contents4"/>
            <w:tabs>
              <w:tab w:val="clear" w:pos="8176"/>
              <w:tab w:val="right" w:pos="9026" w:leader="dot"/>
            </w:tabs>
            <w:rPr/>
          </w:pPr>
          <w:hyperlink w:anchor="__RefHeading___Toc2495587_2142443653">
            <w:r>
              <w:rPr>
                <w:webHidden/>
                <w:rStyle w:val="IndexLink"/>
                <w:rtl w:val="true"/>
              </w:rPr>
              <w:t>تحقيق في محتملات كلام الشيخ الأعظم</w:t>
            </w:r>
            <w:r>
              <w:rPr>
                <w:rStyle w:val="IndexLink"/>
                <w:rtl w:val="true"/>
              </w:rPr>
              <w:tab/>
            </w:r>
            <w:r>
              <w:rPr>
                <w:rStyle w:val="IndexLink"/>
              </w:rPr>
              <w:t>416</w:t>
            </w:r>
          </w:hyperlink>
        </w:p>
        <w:p>
          <w:pPr>
            <w:pStyle w:val="Contents4"/>
            <w:tabs>
              <w:tab w:val="clear" w:pos="8176"/>
              <w:tab w:val="right" w:pos="9026" w:leader="dot"/>
            </w:tabs>
            <w:rPr/>
          </w:pPr>
          <w:hyperlink w:anchor="__RefHeading___Toc2495589_2142443653">
            <w:r>
              <w:rPr>
                <w:webHidden/>
                <w:rStyle w:val="IndexLink"/>
                <w:rtl w:val="true"/>
              </w:rPr>
              <w:t>استفادة الضمان بالمثل أو القيمة من القاعدة</w:t>
            </w:r>
            <w:r>
              <w:rPr>
                <w:rStyle w:val="IndexLink"/>
                <w:rtl w:val="true"/>
              </w:rPr>
              <w:tab/>
            </w:r>
            <w:r>
              <w:rPr>
                <w:rStyle w:val="IndexLink"/>
              </w:rPr>
              <w:t>418</w:t>
            </w:r>
          </w:hyperlink>
        </w:p>
        <w:p>
          <w:pPr>
            <w:pStyle w:val="Contents4"/>
            <w:tabs>
              <w:tab w:val="clear" w:pos="8176"/>
              <w:tab w:val="right" w:pos="9026" w:leader="dot"/>
            </w:tabs>
            <w:rPr/>
          </w:pPr>
          <w:hyperlink w:anchor="__RefHeading___Toc2495591_2142443653">
            <w:r>
              <w:rPr>
                <w:webHidden/>
                <w:rStyle w:val="IndexLink"/>
                <w:rtl w:val="true"/>
              </w:rPr>
              <w:t>مقدار شمول قاعدة ما يضمن</w:t>
            </w:r>
            <w:r>
              <w:rPr>
                <w:rStyle w:val="IndexLink"/>
                <w:rtl w:val="true"/>
              </w:rPr>
              <w:tab/>
            </w:r>
            <w:r>
              <w:rPr>
                <w:rStyle w:val="IndexLink"/>
              </w:rPr>
              <w:t>419</w:t>
            </w:r>
          </w:hyperlink>
        </w:p>
        <w:p>
          <w:pPr>
            <w:pStyle w:val="Contents4"/>
            <w:tabs>
              <w:tab w:val="clear" w:pos="8176"/>
              <w:tab w:val="right" w:pos="9026" w:leader="dot"/>
            </w:tabs>
            <w:rPr/>
          </w:pPr>
          <w:hyperlink w:anchor="__RefHeading___Toc2495593_2142443653">
            <w:r>
              <w:rPr>
                <w:webHidden/>
                <w:rStyle w:val="IndexLink"/>
                <w:rtl w:val="true"/>
              </w:rPr>
              <w:t>هل العموم باعتبار الأنواع أو الأصناف أو الأفراد؟</w:t>
            </w:r>
            <w:r>
              <w:rPr>
                <w:rStyle w:val="IndexLink"/>
                <w:rtl w:val="true"/>
              </w:rPr>
              <w:tab/>
            </w:r>
            <w:r>
              <w:rPr>
                <w:rStyle w:val="IndexLink"/>
              </w:rPr>
              <w:t>419</w:t>
            </w:r>
          </w:hyperlink>
        </w:p>
        <w:p>
          <w:pPr>
            <w:pStyle w:val="Contents4"/>
            <w:tabs>
              <w:tab w:val="clear" w:pos="8176"/>
              <w:tab w:val="right" w:pos="9026" w:leader="dot"/>
            </w:tabs>
            <w:rPr/>
          </w:pPr>
          <w:hyperlink w:anchor="__RefHeading___Toc2495595_2142443653">
            <w:r>
              <w:rPr>
                <w:webHidden/>
                <w:rStyle w:val="IndexLink"/>
                <w:rtl w:val="true"/>
              </w:rPr>
              <w:t xml:space="preserve">معنى </w:t>
            </w:r>
            <w:r>
              <w:rPr>
                <w:rStyle w:val="IndexLink"/>
                <w:rtl w:val="true"/>
              </w:rPr>
              <w:t>«</w:t>
            </w:r>
            <w:r>
              <w:rPr>
                <w:rStyle w:val="IndexLink"/>
                <w:rtl w:val="true"/>
              </w:rPr>
              <w:t>الباء</w:t>
            </w:r>
            <w:r>
              <w:rPr>
                <w:rStyle w:val="IndexLink"/>
                <w:rtl w:val="true"/>
              </w:rPr>
              <w:t xml:space="preserve">» </w:t>
            </w:r>
            <w:r>
              <w:rPr>
                <w:rStyle w:val="IndexLink"/>
                <w:rtl w:val="true"/>
              </w:rPr>
              <w:t xml:space="preserve">في </w:t>
            </w:r>
            <w:r>
              <w:rPr>
                <w:rStyle w:val="IndexLink"/>
                <w:rtl w:val="true"/>
              </w:rPr>
              <w:t>«</w:t>
            </w:r>
            <w:r>
              <w:rPr>
                <w:rStyle w:val="IndexLink"/>
                <w:rtl w:val="true"/>
              </w:rPr>
              <w:t>بصحيحه</w:t>
            </w:r>
            <w:r>
              <w:rPr>
                <w:rStyle w:val="IndexLink"/>
                <w:rtl w:val="true"/>
              </w:rPr>
              <w:t xml:space="preserve">» </w:t>
            </w:r>
            <w:r>
              <w:rPr>
                <w:rStyle w:val="IndexLink"/>
                <w:rtl w:val="true"/>
              </w:rPr>
              <w:t>و</w:t>
            </w:r>
            <w:r>
              <w:rPr>
                <w:rStyle w:val="IndexLink"/>
                <w:rtl w:val="true"/>
              </w:rPr>
              <w:t>«</w:t>
            </w:r>
            <w:r>
              <w:rPr>
                <w:rStyle w:val="IndexLink"/>
                <w:rtl w:val="true"/>
              </w:rPr>
              <w:t>بفاسده</w:t>
            </w:r>
            <w:r>
              <w:rPr>
                <w:rStyle w:val="IndexLink"/>
                <w:rtl w:val="true"/>
              </w:rPr>
              <w:t>»</w:t>
              <w:tab/>
            </w:r>
            <w:r>
              <w:rPr>
                <w:rStyle w:val="IndexLink"/>
              </w:rPr>
              <w:t>424</w:t>
            </w:r>
          </w:hyperlink>
        </w:p>
        <w:p>
          <w:pPr>
            <w:pStyle w:val="Contents3"/>
            <w:tabs>
              <w:tab w:val="clear" w:pos="8459"/>
              <w:tab w:val="right" w:pos="9026" w:leader="dot"/>
            </w:tabs>
            <w:rPr/>
          </w:pPr>
          <w:hyperlink w:anchor="__RefHeading___Toc2495597_2142443653">
            <w:r>
              <w:rPr>
                <w:webHidden/>
                <w:rStyle w:val="IndexLink"/>
                <w:rtl w:val="true"/>
              </w:rPr>
              <w:t>مدرك قاعدة ما يضمن</w:t>
            </w:r>
            <w:r>
              <w:rPr>
                <w:rStyle w:val="IndexLink"/>
                <w:rtl w:val="true"/>
              </w:rPr>
              <w:tab/>
            </w:r>
            <w:r>
              <w:rPr>
                <w:rStyle w:val="IndexLink"/>
              </w:rPr>
              <w:t>425</w:t>
            </w:r>
          </w:hyperlink>
        </w:p>
        <w:p>
          <w:pPr>
            <w:pStyle w:val="Contents4"/>
            <w:tabs>
              <w:tab w:val="clear" w:pos="8176"/>
              <w:tab w:val="right" w:pos="9026" w:leader="dot"/>
            </w:tabs>
            <w:rPr/>
          </w:pPr>
          <w:hyperlink w:anchor="__RefHeading___Toc2495599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2495601_2142443653">
            <w:r>
              <w:rPr>
                <w:webHidden/>
                <w:rStyle w:val="IndexLink"/>
                <w:rtl w:val="true"/>
              </w:rPr>
              <w:t>الاستدلال بقاعدة الإقدام</w:t>
            </w:r>
            <w:r>
              <w:rPr>
                <w:rStyle w:val="IndexLink"/>
                <w:rtl w:val="true"/>
              </w:rPr>
              <w:tab/>
            </w:r>
            <w:r>
              <w:rPr>
                <w:rStyle w:val="IndexLink"/>
              </w:rPr>
              <w:t>425</w:t>
            </w:r>
          </w:hyperlink>
        </w:p>
        <w:p>
          <w:pPr>
            <w:pStyle w:val="Contents4"/>
            <w:tabs>
              <w:tab w:val="clear" w:pos="8176"/>
              <w:tab w:val="right" w:pos="9026" w:leader="dot"/>
            </w:tabs>
            <w:rPr/>
          </w:pPr>
          <w:hyperlink w:anchor="__RefHeading___Toc2495603_2142443653">
            <w:r>
              <w:rPr>
                <w:webHidden/>
                <w:rStyle w:val="IndexLink"/>
                <w:rtl w:val="true"/>
              </w:rPr>
              <w:t>إشكال الشيخ في قاعدة الإقدام طرداً وعكساً ودفعه</w:t>
            </w:r>
            <w:r>
              <w:rPr>
                <w:rStyle w:val="IndexLink"/>
                <w:rtl w:val="true"/>
              </w:rPr>
              <w:tab/>
            </w:r>
            <w:r>
              <w:rPr>
                <w:rStyle w:val="IndexLink"/>
              </w:rPr>
              <w:t>427</w:t>
            </w:r>
          </w:hyperlink>
        </w:p>
        <w:p>
          <w:pPr>
            <w:pStyle w:val="Contents4"/>
            <w:tabs>
              <w:tab w:val="clear" w:pos="8176"/>
              <w:tab w:val="right" w:pos="9026" w:leader="dot"/>
            </w:tabs>
            <w:rPr/>
          </w:pPr>
          <w:hyperlink w:anchor="__RefHeading___Toc2495605_2142443653">
            <w:r>
              <w:rPr>
                <w:webHidden/>
                <w:rStyle w:val="IndexLink"/>
                <w:rtl w:val="true"/>
              </w:rPr>
              <w:t xml:space="preserve">الاستدلال بخبر </w:t>
            </w:r>
            <w:r>
              <w:rPr>
                <w:rStyle w:val="IndexLink"/>
                <w:rtl w:val="true"/>
              </w:rPr>
              <w:t>«</w:t>
            </w:r>
            <w:r>
              <w:rPr>
                <w:rStyle w:val="IndexLink"/>
                <w:rtl w:val="true"/>
              </w:rPr>
              <w:t>على اليد</w:t>
            </w:r>
            <w:r>
              <w:rPr>
                <w:rStyle w:val="IndexLink"/>
                <w:rtl w:val="true"/>
              </w:rPr>
              <w:t xml:space="preserve">. . .» </w:t>
            </w:r>
            <w:r>
              <w:rPr>
                <w:rStyle w:val="IndexLink"/>
                <w:rtl w:val="true"/>
              </w:rPr>
              <w:t>على قاعدة ما يضمن</w:t>
            </w:r>
            <w:r>
              <w:rPr>
                <w:rStyle w:val="IndexLink"/>
                <w:rtl w:val="true"/>
              </w:rPr>
              <w:tab/>
            </w:r>
            <w:r>
              <w:rPr>
                <w:rStyle w:val="IndexLink"/>
              </w:rPr>
              <w:t>428</w:t>
            </w:r>
          </w:hyperlink>
        </w:p>
        <w:p>
          <w:pPr>
            <w:pStyle w:val="Contents4"/>
            <w:tabs>
              <w:tab w:val="clear" w:pos="8176"/>
              <w:tab w:val="right" w:pos="9026" w:leader="dot"/>
            </w:tabs>
            <w:rPr/>
          </w:pPr>
          <w:hyperlink w:anchor="__RefHeading___Toc2495607_2142443653">
            <w:r>
              <w:rPr>
                <w:webHidden/>
                <w:rStyle w:val="IndexLink"/>
                <w:rtl w:val="true"/>
              </w:rPr>
              <w:t>وجوه عدم شمول دليل اليد للمنافع</w:t>
            </w:r>
            <w:r>
              <w:rPr>
                <w:rStyle w:val="IndexLink"/>
                <w:rtl w:val="true"/>
              </w:rPr>
              <w:tab/>
            </w:r>
            <w:r>
              <w:rPr>
                <w:rStyle w:val="IndexLink"/>
              </w:rPr>
              <w:t>429</w:t>
            </w:r>
          </w:hyperlink>
        </w:p>
        <w:p>
          <w:pPr>
            <w:pStyle w:val="Contents4"/>
            <w:tabs>
              <w:tab w:val="clear" w:pos="8176"/>
              <w:tab w:val="right" w:pos="9026" w:leader="dot"/>
            </w:tabs>
            <w:rPr/>
          </w:pPr>
          <w:hyperlink w:anchor="__RefHeading___Toc2495609_2142443653">
            <w:r>
              <w:rPr>
                <w:webHidden/>
                <w:rStyle w:val="IndexLink"/>
                <w:rtl w:val="true"/>
              </w:rPr>
              <w:t>استدلال الشيخ الأعظم على المطلوب بروايات</w:t>
            </w:r>
            <w:r>
              <w:rPr>
                <w:rStyle w:val="IndexLink"/>
                <w:rtl w:val="true"/>
              </w:rPr>
              <w:tab/>
            </w:r>
            <w:r>
              <w:rPr>
                <w:rStyle w:val="IndexLink"/>
              </w:rPr>
              <w:t>439</w:t>
            </w:r>
          </w:hyperlink>
        </w:p>
        <w:p>
          <w:pPr>
            <w:pStyle w:val="Contents4"/>
            <w:tabs>
              <w:tab w:val="clear" w:pos="8176"/>
              <w:tab w:val="right" w:pos="9026" w:leader="dot"/>
            </w:tabs>
            <w:rPr/>
          </w:pPr>
          <w:hyperlink w:anchor="__RefHeading___Toc2495611_2142443653">
            <w:r>
              <w:rPr>
                <w:webHidden/>
                <w:rStyle w:val="IndexLink"/>
                <w:rtl w:val="true"/>
              </w:rPr>
              <w:t>عدم الفرق في الضمان بين صورتي العلم والجهل</w:t>
            </w:r>
            <w:r>
              <w:rPr>
                <w:rStyle w:val="IndexLink"/>
                <w:rtl w:val="true"/>
              </w:rPr>
              <w:tab/>
            </w:r>
            <w:r>
              <w:rPr>
                <w:rStyle w:val="IndexLink"/>
              </w:rPr>
              <w:t>446</w:t>
            </w:r>
          </w:hyperlink>
        </w:p>
        <w:p>
          <w:pPr>
            <w:pStyle w:val="Contents4"/>
            <w:tabs>
              <w:tab w:val="clear" w:pos="8176"/>
              <w:tab w:val="right" w:pos="9026" w:leader="dot"/>
            </w:tabs>
            <w:rPr/>
          </w:pPr>
          <w:hyperlink w:anchor="__RefHeading___Toc2495613_2142443653">
            <w:r>
              <w:rPr>
                <w:webHidden/>
                <w:rStyle w:val="IndexLink"/>
                <w:rtl w:val="true"/>
              </w:rPr>
              <w:t>تفريق المحقّق الأصفهاني بين المقام والمعاطاة من جهة الضمان</w:t>
            </w:r>
            <w:r>
              <w:rPr>
                <w:rStyle w:val="IndexLink"/>
                <w:rtl w:val="true"/>
              </w:rPr>
              <w:tab/>
            </w:r>
            <w:r>
              <w:rPr>
                <w:rStyle w:val="IndexLink"/>
              </w:rPr>
              <w:t>448</w:t>
            </w:r>
          </w:hyperlink>
        </w:p>
        <w:p>
          <w:pPr>
            <w:pStyle w:val="Contents4"/>
            <w:tabs>
              <w:tab w:val="clear" w:pos="8176"/>
              <w:tab w:val="right" w:pos="9026" w:leader="dot"/>
            </w:tabs>
            <w:rPr/>
          </w:pPr>
          <w:hyperlink w:anchor="__RefHeading___Toc2495615_2142443653">
            <w:r>
              <w:rPr>
                <w:webHidden/>
                <w:rStyle w:val="IndexLink"/>
                <w:rtl w:val="true"/>
              </w:rPr>
              <w:t>تفريق المحقّق الأصفهاني بين المقام والغصب</w:t>
            </w:r>
            <w:r>
              <w:rPr>
                <w:rStyle w:val="IndexLink"/>
                <w:rtl w:val="true"/>
              </w:rPr>
              <w:tab/>
            </w:r>
            <w:r>
              <w:rPr>
                <w:rStyle w:val="IndexLink"/>
              </w:rPr>
              <w:t>448</w:t>
            </w:r>
          </w:hyperlink>
        </w:p>
        <w:p>
          <w:pPr>
            <w:pStyle w:val="Contents3"/>
            <w:tabs>
              <w:tab w:val="clear" w:pos="8459"/>
              <w:tab w:val="right" w:pos="9026" w:leader="dot"/>
            </w:tabs>
            <w:rPr/>
          </w:pPr>
          <w:hyperlink w:anchor="__RefHeading___Toc2495617_2142443653">
            <w:r>
              <w:rPr>
                <w:webHidden/>
                <w:rStyle w:val="IndexLink"/>
                <w:rtl w:val="true"/>
              </w:rPr>
              <w:t>الكلام حول عكس قاعدة ما يضمن</w:t>
            </w:r>
            <w:r>
              <w:rPr>
                <w:rStyle w:val="IndexLink"/>
                <w:rtl w:val="true"/>
              </w:rPr>
              <w:tab/>
            </w:r>
            <w:r>
              <w:rPr>
                <w:rStyle w:val="IndexLink"/>
              </w:rPr>
              <w:t>451</w:t>
            </w:r>
          </w:hyperlink>
        </w:p>
        <w:p>
          <w:pPr>
            <w:pStyle w:val="Contents4"/>
            <w:tabs>
              <w:tab w:val="clear" w:pos="8176"/>
              <w:tab w:val="right" w:pos="9026" w:leader="dot"/>
            </w:tabs>
            <w:rPr/>
          </w:pPr>
          <w:hyperlink w:anchor="__RefHeading___Toc2495619_214244365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2495621_2142443653">
            <w:r>
              <w:rPr>
                <w:webHidden/>
                <w:rStyle w:val="IndexLink"/>
                <w:rtl w:val="true"/>
              </w:rPr>
              <w:t>مدرك عكس القاعدة استدلال شيخ الطائفة بالأولوية</w:t>
            </w:r>
            <w:r>
              <w:rPr>
                <w:rStyle w:val="IndexLink"/>
                <w:rtl w:val="true"/>
              </w:rPr>
              <w:tab/>
            </w:r>
            <w:r>
              <w:rPr>
                <w:rStyle w:val="IndexLink"/>
              </w:rPr>
              <w:t>452</w:t>
            </w:r>
          </w:hyperlink>
        </w:p>
        <w:p>
          <w:pPr>
            <w:pStyle w:val="Contents4"/>
            <w:tabs>
              <w:tab w:val="clear" w:pos="8176"/>
              <w:tab w:val="right" w:pos="9026" w:leader="dot"/>
            </w:tabs>
            <w:rPr/>
          </w:pPr>
          <w:hyperlink w:anchor="__RefHeading___Toc2495623_2142443653">
            <w:r>
              <w:rPr>
                <w:webHidden/>
                <w:rStyle w:val="IndexLink"/>
                <w:rtl w:val="true"/>
              </w:rPr>
              <w:t>استدلال الشيخ الأعظم بأدلّة الاستئمان</w:t>
            </w:r>
            <w:r>
              <w:rPr>
                <w:rStyle w:val="IndexLink"/>
                <w:rtl w:val="true"/>
              </w:rPr>
              <w:tab/>
            </w:r>
            <w:r>
              <w:rPr>
                <w:rStyle w:val="IndexLink"/>
              </w:rPr>
              <w:t>453</w:t>
            </w:r>
          </w:hyperlink>
        </w:p>
        <w:p>
          <w:pPr>
            <w:pStyle w:val="Contents4"/>
            <w:tabs>
              <w:tab w:val="clear" w:pos="8176"/>
              <w:tab w:val="right" w:pos="9026" w:leader="dot"/>
            </w:tabs>
            <w:rPr/>
          </w:pPr>
          <w:hyperlink w:anchor="__RefHeading___Toc2495625_2142443653">
            <w:r>
              <w:rPr>
                <w:webHidden/>
                <w:rStyle w:val="IndexLink"/>
                <w:rtl w:val="true"/>
              </w:rPr>
              <w:t>الاستدلال بموثّقة إسحاق بن عمّار على عكس القاعدة</w:t>
            </w:r>
            <w:r>
              <w:rPr>
                <w:rStyle w:val="IndexLink"/>
                <w:rtl w:val="true"/>
              </w:rPr>
              <w:tab/>
            </w:r>
            <w:r>
              <w:rPr>
                <w:rStyle w:val="IndexLink"/>
              </w:rPr>
              <w:t>459</w:t>
            </w:r>
          </w:hyperlink>
        </w:p>
        <w:p>
          <w:pPr>
            <w:pStyle w:val="Contents4"/>
            <w:tabs>
              <w:tab w:val="clear" w:pos="8176"/>
              <w:tab w:val="right" w:pos="9026" w:leader="dot"/>
            </w:tabs>
            <w:rPr/>
          </w:pPr>
          <w:hyperlink w:anchor="__RefHeading___Toc2495627_2142443653">
            <w:r>
              <w:rPr>
                <w:webHidden/>
                <w:rStyle w:val="IndexLink"/>
                <w:rtl w:val="true"/>
              </w:rPr>
              <w:t>جواز شرط الضمان فيما لا ضمان وبالعكس</w:t>
            </w:r>
            <w:r>
              <w:rPr>
                <w:rStyle w:val="IndexLink"/>
                <w:rtl w:val="true"/>
              </w:rPr>
              <w:tab/>
            </w:r>
            <w:r>
              <w:rPr>
                <w:rStyle w:val="IndexLink"/>
              </w:rPr>
              <w:t>460</w:t>
            </w:r>
          </w:hyperlink>
        </w:p>
        <w:p>
          <w:pPr>
            <w:pStyle w:val="Contents4"/>
            <w:tabs>
              <w:tab w:val="clear" w:pos="8176"/>
              <w:tab w:val="right" w:pos="9026" w:leader="dot"/>
            </w:tabs>
            <w:rPr/>
          </w:pPr>
          <w:hyperlink w:anchor="__RefHeading___Toc2495629_2142443653">
            <w:r>
              <w:rPr>
                <w:webHidden/>
                <w:rStyle w:val="IndexLink"/>
                <w:rtl w:val="true"/>
              </w:rPr>
              <w:t>استدلال المحقّق النائيني لعكس القاعدة</w:t>
            </w:r>
            <w:r>
              <w:rPr>
                <w:rStyle w:val="IndexLink"/>
                <w:rtl w:val="true"/>
              </w:rPr>
              <w:tab/>
            </w:r>
            <w:r>
              <w:rPr>
                <w:rStyle w:val="IndexLink"/>
              </w:rPr>
              <w:t>462</w:t>
            </w:r>
          </w:hyperlink>
        </w:p>
        <w:p>
          <w:pPr>
            <w:pStyle w:val="Contents3"/>
            <w:tabs>
              <w:tab w:val="clear" w:pos="8459"/>
              <w:tab w:val="right" w:pos="9026" w:leader="dot"/>
            </w:tabs>
            <w:rPr/>
          </w:pPr>
          <w:hyperlink w:anchor="__RefHeading___Toc2495631_2142443653">
            <w:r>
              <w:rPr>
                <w:webHidden/>
                <w:rStyle w:val="IndexLink"/>
                <w:rtl w:val="true"/>
              </w:rPr>
              <w:t>النقض على عكس القاعدة بالإجارة</w:t>
            </w:r>
            <w:r>
              <w:rPr>
                <w:rStyle w:val="IndexLink"/>
                <w:rtl w:val="true"/>
              </w:rPr>
              <w:tab/>
            </w:r>
            <w:r>
              <w:rPr>
                <w:rStyle w:val="IndexLink"/>
              </w:rPr>
              <w:t>463</w:t>
            </w:r>
          </w:hyperlink>
        </w:p>
        <w:p>
          <w:pPr>
            <w:pStyle w:val="Contents4"/>
            <w:tabs>
              <w:tab w:val="clear" w:pos="8176"/>
              <w:tab w:val="right" w:pos="9026" w:leader="dot"/>
            </w:tabs>
            <w:rPr/>
          </w:pPr>
          <w:hyperlink w:anchor="__RefHeading___Toc2495633_2142443653">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2495635_2142443653">
            <w:r>
              <w:rPr>
                <w:webHidden/>
                <w:rStyle w:val="IndexLink"/>
                <w:rtl w:val="true"/>
              </w:rPr>
              <w:t xml:space="preserve">ولا بدّ في المقام من تقديم اُمور حتّى يتّضح المقصود </w:t>
            </w:r>
            <w:r>
              <w:rPr>
                <w:rStyle w:val="IndexLink"/>
                <w:rtl w:val="true"/>
              </w:rPr>
              <w:t>:</w:t>
              <w:tab/>
            </w:r>
            <w:r>
              <w:rPr>
                <w:rStyle w:val="IndexLink"/>
              </w:rPr>
              <w:t>463</w:t>
            </w:r>
          </w:hyperlink>
        </w:p>
        <w:p>
          <w:pPr>
            <w:pStyle w:val="Contents4"/>
            <w:tabs>
              <w:tab w:val="clear" w:pos="8176"/>
              <w:tab w:val="right" w:pos="9026" w:leader="dot"/>
            </w:tabs>
            <w:rPr/>
          </w:pPr>
          <w:hyperlink w:anchor="__RefHeading___Toc2495637_2142443653">
            <w:r>
              <w:rPr>
                <w:webHidden/>
                <w:rStyle w:val="IndexLink"/>
                <w:rtl w:val="true"/>
              </w:rPr>
              <w:t xml:space="preserve">الأوّل </w:t>
            </w:r>
            <w:r>
              <w:rPr>
                <w:rStyle w:val="IndexLink"/>
                <w:rtl w:val="true"/>
              </w:rPr>
              <w:t xml:space="preserve">: </w:t>
            </w:r>
            <w:r>
              <w:rPr>
                <w:rStyle w:val="IndexLink"/>
                <w:rtl w:val="true"/>
              </w:rPr>
              <w:t>بيان ماهية الإجارة</w:t>
            </w:r>
            <w:r>
              <w:rPr>
                <w:rStyle w:val="IndexLink"/>
                <w:rtl w:val="true"/>
              </w:rPr>
              <w:tab/>
            </w:r>
            <w:r>
              <w:rPr>
                <w:rStyle w:val="IndexLink"/>
              </w:rPr>
              <w:t>463</w:t>
            </w:r>
          </w:hyperlink>
        </w:p>
        <w:p>
          <w:pPr>
            <w:pStyle w:val="Contents4"/>
            <w:tabs>
              <w:tab w:val="clear" w:pos="8176"/>
              <w:tab w:val="right" w:pos="9026" w:leader="dot"/>
            </w:tabs>
            <w:rPr/>
          </w:pPr>
          <w:hyperlink w:anchor="__RefHeading___Toc2495639_2142443653">
            <w:r>
              <w:rPr>
                <w:webHidden/>
                <w:rStyle w:val="IndexLink"/>
                <w:rtl w:val="true"/>
              </w:rPr>
              <w:t xml:space="preserve">الثاني </w:t>
            </w:r>
            <w:r>
              <w:rPr>
                <w:rStyle w:val="IndexLink"/>
                <w:rtl w:val="true"/>
              </w:rPr>
              <w:t xml:space="preserve">: </w:t>
            </w:r>
            <w:r>
              <w:rPr>
                <w:rStyle w:val="IndexLink"/>
                <w:rtl w:val="true"/>
              </w:rPr>
              <w:t>عدم اقتضاء الإجارة استيلاء المستأجر على العين</w:t>
            </w:r>
            <w:r>
              <w:rPr>
                <w:rStyle w:val="IndexLink"/>
                <w:rtl w:val="true"/>
              </w:rPr>
              <w:tab/>
            </w:r>
            <w:r>
              <w:rPr>
                <w:rStyle w:val="IndexLink"/>
              </w:rPr>
              <w:t>465</w:t>
            </w:r>
          </w:hyperlink>
        </w:p>
        <w:p>
          <w:pPr>
            <w:pStyle w:val="Contents4"/>
            <w:tabs>
              <w:tab w:val="clear" w:pos="8176"/>
              <w:tab w:val="right" w:pos="9026" w:leader="dot"/>
            </w:tabs>
            <w:rPr/>
          </w:pPr>
          <w:hyperlink w:anchor="__RefHeading___Toc2495641_2142443653">
            <w:r>
              <w:rPr>
                <w:webHidden/>
                <w:rStyle w:val="IndexLink"/>
                <w:rtl w:val="true"/>
              </w:rPr>
              <w:t>بطلان تفصيل المحقّق النائيني في موارد الإجارة</w:t>
            </w:r>
            <w:r>
              <w:rPr>
                <w:rStyle w:val="IndexLink"/>
                <w:rtl w:val="true"/>
              </w:rPr>
              <w:tab/>
            </w:r>
            <w:r>
              <w:rPr>
                <w:rStyle w:val="IndexLink"/>
              </w:rPr>
              <w:t>466</w:t>
            </w:r>
          </w:hyperlink>
        </w:p>
        <w:p>
          <w:pPr>
            <w:pStyle w:val="Contents4"/>
            <w:tabs>
              <w:tab w:val="clear" w:pos="8176"/>
              <w:tab w:val="right" w:pos="9026" w:leader="dot"/>
            </w:tabs>
            <w:rPr/>
          </w:pPr>
          <w:hyperlink w:anchor="__RefHeading___Toc2495643_2142443653">
            <w:r>
              <w:rPr>
                <w:webHidden/>
                <w:rStyle w:val="IndexLink"/>
                <w:rtl w:val="true"/>
              </w:rPr>
              <w:t xml:space="preserve">الثالث </w:t>
            </w:r>
            <w:r>
              <w:rPr>
                <w:rStyle w:val="IndexLink"/>
                <w:rtl w:val="true"/>
              </w:rPr>
              <w:t xml:space="preserve">: </w:t>
            </w:r>
            <w:r>
              <w:rPr>
                <w:rStyle w:val="IndexLink"/>
                <w:rtl w:val="true"/>
              </w:rPr>
              <w:t>عدم ضمان المستأجر</w:t>
            </w:r>
            <w:r>
              <w:rPr>
                <w:rStyle w:val="IndexLink"/>
                <w:rtl w:val="true"/>
              </w:rPr>
              <w:tab/>
            </w:r>
            <w:r>
              <w:rPr>
                <w:rStyle w:val="IndexLink"/>
              </w:rPr>
              <w:t>467</w:t>
            </w:r>
          </w:hyperlink>
        </w:p>
        <w:p>
          <w:pPr>
            <w:pStyle w:val="Contents4"/>
            <w:tabs>
              <w:tab w:val="clear" w:pos="8176"/>
              <w:tab w:val="right" w:pos="9026" w:leader="dot"/>
            </w:tabs>
            <w:rPr/>
          </w:pPr>
          <w:hyperlink w:anchor="__RefHeading___Toc2495645_2142443653">
            <w:r>
              <w:rPr>
                <w:webHidden/>
                <w:rStyle w:val="IndexLink"/>
                <w:rtl w:val="true"/>
              </w:rPr>
              <w:t xml:space="preserve">الرابع </w:t>
            </w:r>
            <w:r>
              <w:rPr>
                <w:rStyle w:val="IndexLink"/>
                <w:rtl w:val="true"/>
              </w:rPr>
              <w:t xml:space="preserve">: </w:t>
            </w:r>
            <w:r>
              <w:rPr>
                <w:rStyle w:val="IndexLink"/>
                <w:rtl w:val="true"/>
              </w:rPr>
              <w:t>النقض بالإجارة يختلف باختلاف المباني</w:t>
            </w:r>
            <w:r>
              <w:rPr>
                <w:rStyle w:val="IndexLink"/>
                <w:rtl w:val="true"/>
              </w:rPr>
              <w:tab/>
            </w:r>
            <w:r>
              <w:rPr>
                <w:rStyle w:val="IndexLink"/>
              </w:rPr>
              <w:t>468</w:t>
            </w:r>
          </w:hyperlink>
        </w:p>
        <w:p>
          <w:pPr>
            <w:pStyle w:val="Contents3"/>
            <w:tabs>
              <w:tab w:val="clear" w:pos="8459"/>
              <w:tab w:val="right" w:pos="9026" w:leader="dot"/>
            </w:tabs>
            <w:rPr/>
          </w:pPr>
          <w:hyperlink w:anchor="__RefHeading___Toc2495647_2142443653">
            <w:r>
              <w:rPr>
                <w:webHidden/>
                <w:rStyle w:val="IndexLink"/>
                <w:rtl w:val="true"/>
              </w:rPr>
              <w:t>النقض على عكس القاعدة بضمان الصيد على المحرم</w:t>
            </w:r>
            <w:r>
              <w:rPr>
                <w:rStyle w:val="IndexLink"/>
                <w:rtl w:val="true"/>
              </w:rPr>
              <w:tab/>
            </w:r>
            <w:r>
              <w:rPr>
                <w:rStyle w:val="IndexLink"/>
              </w:rPr>
              <w:t>470</w:t>
            </w:r>
          </w:hyperlink>
        </w:p>
        <w:p>
          <w:pPr>
            <w:pStyle w:val="Contents3"/>
            <w:tabs>
              <w:tab w:val="clear" w:pos="8459"/>
              <w:tab w:val="right" w:pos="9026" w:leader="dot"/>
            </w:tabs>
            <w:rPr/>
          </w:pPr>
          <w:hyperlink w:anchor="__RefHeading___Toc2495649_2142443653">
            <w:r>
              <w:rPr>
                <w:webHidden/>
                <w:rStyle w:val="IndexLink"/>
                <w:rtl w:val="true"/>
              </w:rPr>
              <w:t xml:space="preserve">الأمر الثاني </w:t>
            </w:r>
            <w:r>
              <w:rPr>
                <w:rStyle w:val="IndexLink"/>
                <w:rtl w:val="true"/>
              </w:rPr>
              <w:t xml:space="preserve">: </w:t>
            </w:r>
            <w:r>
              <w:rPr>
                <w:rStyle w:val="IndexLink"/>
                <w:rtl w:val="true"/>
              </w:rPr>
              <w:t>في وجوب الردّ فوراً</w:t>
            </w:r>
            <w:r>
              <w:rPr>
                <w:rStyle w:val="IndexLink"/>
                <w:rtl w:val="true"/>
              </w:rPr>
              <w:tab/>
            </w:r>
            <w:r>
              <w:rPr>
                <w:rStyle w:val="IndexLink"/>
              </w:rPr>
              <w:t>478</w:t>
            </w:r>
          </w:hyperlink>
        </w:p>
        <w:p>
          <w:pPr>
            <w:pStyle w:val="Contents4"/>
            <w:tabs>
              <w:tab w:val="clear" w:pos="8176"/>
              <w:tab w:val="right" w:pos="9026" w:leader="dot"/>
            </w:tabs>
            <w:rPr/>
          </w:pPr>
          <w:hyperlink w:anchor="__RefHeading___Toc2495651_2142443653">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2495653_2142443653">
            <w:r>
              <w:rPr>
                <w:webHidden/>
                <w:rStyle w:val="IndexLink"/>
                <w:rtl w:val="true"/>
              </w:rPr>
              <w:t>استدلال الشيخ الأعظم على وجوب الردّ بحرمة الإمساك</w:t>
            </w:r>
            <w:r>
              <w:rPr>
                <w:rStyle w:val="IndexLink"/>
                <w:rtl w:val="true"/>
              </w:rPr>
              <w:tab/>
            </w:r>
            <w:r>
              <w:rPr>
                <w:rStyle w:val="IndexLink"/>
              </w:rPr>
              <w:t>478</w:t>
            </w:r>
          </w:hyperlink>
        </w:p>
        <w:p>
          <w:pPr>
            <w:pStyle w:val="Contents4"/>
            <w:tabs>
              <w:tab w:val="clear" w:pos="8176"/>
              <w:tab w:val="right" w:pos="9026" w:leader="dot"/>
            </w:tabs>
            <w:rPr/>
          </w:pPr>
          <w:hyperlink w:anchor="__RefHeading___Toc2495655_2142443653">
            <w:r>
              <w:rPr>
                <w:webHidden/>
                <w:rStyle w:val="IndexLink"/>
                <w:rtl w:val="true"/>
              </w:rPr>
              <w:t>بيان وجوه الخلل في كلام المحقّق الأصفهاني</w:t>
            </w:r>
            <w:r>
              <w:rPr>
                <w:rStyle w:val="IndexLink"/>
                <w:rtl w:val="true"/>
              </w:rPr>
              <w:tab/>
            </w:r>
            <w:r>
              <w:rPr>
                <w:rStyle w:val="IndexLink"/>
              </w:rPr>
              <w:t>480</w:t>
            </w:r>
          </w:hyperlink>
        </w:p>
        <w:p>
          <w:pPr>
            <w:pStyle w:val="Contents4"/>
            <w:tabs>
              <w:tab w:val="clear" w:pos="8176"/>
              <w:tab w:val="right" w:pos="9026" w:leader="dot"/>
            </w:tabs>
            <w:rPr/>
          </w:pPr>
          <w:hyperlink w:anchor="__RefHeading___Toc2495657_2142443653">
            <w:r>
              <w:rPr>
                <w:webHidden/>
                <w:rStyle w:val="IndexLink"/>
                <w:rtl w:val="true"/>
              </w:rPr>
              <w:t xml:space="preserve">الاستدلال بحديث </w:t>
            </w:r>
            <w:r>
              <w:rPr>
                <w:rStyle w:val="IndexLink"/>
                <w:rtl w:val="true"/>
              </w:rPr>
              <w:t>«</w:t>
            </w:r>
            <w:r>
              <w:rPr>
                <w:rStyle w:val="IndexLink"/>
                <w:rtl w:val="true"/>
              </w:rPr>
              <w:t>على اليد</w:t>
            </w:r>
            <w:r>
              <w:rPr>
                <w:rStyle w:val="IndexLink"/>
                <w:rtl w:val="true"/>
              </w:rPr>
              <w:t xml:space="preserve">» </w:t>
            </w:r>
            <w:r>
              <w:rPr>
                <w:rStyle w:val="IndexLink"/>
                <w:rtl w:val="true"/>
              </w:rPr>
              <w:t>على وجوب الردّ</w:t>
            </w:r>
            <w:r>
              <w:rPr>
                <w:rStyle w:val="IndexLink"/>
                <w:rtl w:val="true"/>
              </w:rPr>
              <w:tab/>
            </w:r>
            <w:r>
              <w:rPr>
                <w:rStyle w:val="IndexLink"/>
              </w:rPr>
              <w:t>482</w:t>
            </w:r>
          </w:hyperlink>
        </w:p>
        <w:p>
          <w:pPr>
            <w:pStyle w:val="Contents4"/>
            <w:tabs>
              <w:tab w:val="clear" w:pos="8176"/>
              <w:tab w:val="right" w:pos="9026" w:leader="dot"/>
            </w:tabs>
            <w:rPr/>
          </w:pPr>
          <w:hyperlink w:anchor="__RefHeading___Toc2495659_2142443653">
            <w:r>
              <w:rPr>
                <w:webHidden/>
                <w:rStyle w:val="IndexLink"/>
                <w:rtl w:val="true"/>
              </w:rPr>
              <w:t>تفصيل السيّد الطباطبائي بين علم الدافع وجهله في جواز التصرّف</w:t>
            </w:r>
            <w:r>
              <w:rPr>
                <w:rStyle w:val="IndexLink"/>
                <w:rtl w:val="true"/>
              </w:rPr>
              <w:tab/>
            </w:r>
            <w:r>
              <w:rPr>
                <w:rStyle w:val="IndexLink"/>
              </w:rPr>
              <w:t>483</w:t>
            </w:r>
          </w:hyperlink>
        </w:p>
        <w:p>
          <w:pPr>
            <w:pStyle w:val="Contents4"/>
            <w:tabs>
              <w:tab w:val="clear" w:pos="8176"/>
              <w:tab w:val="right" w:pos="9026" w:leader="dot"/>
            </w:tabs>
            <w:rPr/>
          </w:pPr>
          <w:hyperlink w:anchor="__RefHeading___Toc2495661_2142443653">
            <w:r>
              <w:rPr>
                <w:webHidden/>
                <w:rStyle w:val="IndexLink"/>
                <w:rtl w:val="true"/>
              </w:rPr>
              <w:t>نقد كلام المحقّق الأصفهاني</w:t>
            </w:r>
            <w:r>
              <w:rPr>
                <w:rStyle w:val="IndexLink"/>
                <w:rtl w:val="true"/>
              </w:rPr>
              <w:tab/>
            </w:r>
            <w:r>
              <w:rPr>
                <w:rStyle w:val="IndexLink"/>
              </w:rPr>
              <w:t>484</w:t>
            </w:r>
          </w:hyperlink>
        </w:p>
        <w:p>
          <w:pPr>
            <w:pStyle w:val="Contents4"/>
            <w:tabs>
              <w:tab w:val="clear" w:pos="8176"/>
              <w:tab w:val="right" w:pos="9026" w:leader="dot"/>
            </w:tabs>
            <w:rPr/>
          </w:pPr>
          <w:hyperlink w:anchor="__RefHeading___Toc2495663_2142443653">
            <w:r>
              <w:rPr>
                <w:webHidden/>
                <w:rStyle w:val="IndexLink"/>
                <w:rtl w:val="true"/>
              </w:rPr>
              <w:t>حكم العقود الإذنية</w:t>
            </w:r>
            <w:r>
              <w:rPr>
                <w:rStyle w:val="IndexLink"/>
                <w:rtl w:val="true"/>
              </w:rPr>
              <w:tab/>
            </w:r>
            <w:r>
              <w:rPr>
                <w:rStyle w:val="IndexLink"/>
              </w:rPr>
              <w:t>485</w:t>
            </w:r>
          </w:hyperlink>
        </w:p>
        <w:p>
          <w:pPr>
            <w:pStyle w:val="Contents4"/>
            <w:tabs>
              <w:tab w:val="clear" w:pos="8176"/>
              <w:tab w:val="right" w:pos="9026" w:leader="dot"/>
            </w:tabs>
            <w:rPr/>
          </w:pPr>
          <w:hyperlink w:anchor="__RefHeading___Toc2495665_2142443653">
            <w:r>
              <w:rPr>
                <w:webHidden/>
                <w:rStyle w:val="IndexLink"/>
                <w:rtl w:val="true"/>
              </w:rPr>
              <w:t>مؤونة الردّ على من تكون؟</w:t>
            </w:r>
            <w:r>
              <w:rPr>
                <w:rStyle w:val="IndexLink"/>
                <w:rtl w:val="true"/>
              </w:rPr>
              <w:tab/>
            </w:r>
            <w:r>
              <w:rPr>
                <w:rStyle w:val="IndexLink"/>
              </w:rPr>
              <w:t>486</w:t>
            </w:r>
          </w:hyperlink>
        </w:p>
        <w:p>
          <w:pPr>
            <w:pStyle w:val="Contents3"/>
            <w:tabs>
              <w:tab w:val="clear" w:pos="8459"/>
              <w:tab w:val="right" w:pos="9026" w:leader="dot"/>
            </w:tabs>
            <w:rPr/>
          </w:pPr>
          <w:hyperlink w:anchor="__RefHeading___Toc2495667_2142443653">
            <w:r>
              <w:rPr>
                <w:webHidden/>
                <w:rStyle w:val="IndexLink"/>
                <w:rtl w:val="true"/>
              </w:rPr>
              <w:t xml:space="preserve">الأمر الثالث </w:t>
            </w:r>
            <w:r>
              <w:rPr>
                <w:rStyle w:val="IndexLink"/>
                <w:rtl w:val="true"/>
              </w:rPr>
              <w:t xml:space="preserve">: </w:t>
            </w:r>
            <w:r>
              <w:rPr>
                <w:rStyle w:val="IndexLink"/>
                <w:rtl w:val="true"/>
              </w:rPr>
              <w:t>في ضمان المنافع</w:t>
            </w:r>
            <w:r>
              <w:rPr>
                <w:rStyle w:val="IndexLink"/>
                <w:rtl w:val="true"/>
              </w:rPr>
              <w:tab/>
            </w:r>
            <w:r>
              <w:rPr>
                <w:rStyle w:val="IndexLink"/>
              </w:rPr>
              <w:t>490</w:t>
            </w:r>
          </w:hyperlink>
        </w:p>
        <w:p>
          <w:pPr>
            <w:pStyle w:val="Contents4"/>
            <w:tabs>
              <w:tab w:val="clear" w:pos="8176"/>
              <w:tab w:val="right" w:pos="9026" w:leader="dot"/>
            </w:tabs>
            <w:rPr/>
          </w:pPr>
          <w:hyperlink w:anchor="__RefHeading___Toc2495669_2142443653">
            <w:r>
              <w:rPr>
                <w:webHidden/>
                <w:rStyle w:val="IndexLink"/>
                <w:rtl w:val="true"/>
              </w:rPr>
              <w:t>ما يدلّ على الضمان في المنافع المستوفاة</w:t>
            </w:r>
            <w:r>
              <w:rPr>
                <w:rStyle w:val="IndexLink"/>
                <w:rtl w:val="true"/>
              </w:rPr>
              <w:tab/>
            </w:r>
            <w:r>
              <w:rPr>
                <w:rStyle w:val="IndexLink"/>
              </w:rPr>
              <w:t>490</w:t>
            </w:r>
          </w:hyperlink>
        </w:p>
        <w:p>
          <w:pPr>
            <w:pStyle w:val="Contents4"/>
            <w:tabs>
              <w:tab w:val="clear" w:pos="8176"/>
              <w:tab w:val="right" w:pos="9026" w:leader="dot"/>
            </w:tabs>
            <w:rPr/>
          </w:pPr>
          <w:hyperlink w:anchor="__RefHeading___Toc2495671_2142443653">
            <w:r>
              <w:rPr>
                <w:webHidden/>
                <w:rStyle w:val="IndexLink"/>
                <w:rtl w:val="true"/>
              </w:rPr>
              <w:t>الكلام حول قاعدة الخراج بالضمان</w:t>
            </w:r>
            <w:r>
              <w:rPr>
                <w:rStyle w:val="IndexLink"/>
                <w:rtl w:val="true"/>
              </w:rPr>
              <w:tab/>
            </w:r>
            <w:r>
              <w:rPr>
                <w:rStyle w:val="IndexLink"/>
              </w:rPr>
              <w:t>492</w:t>
            </w:r>
          </w:hyperlink>
        </w:p>
        <w:p>
          <w:pPr>
            <w:pStyle w:val="Contents4"/>
            <w:tabs>
              <w:tab w:val="clear" w:pos="8176"/>
              <w:tab w:val="right" w:pos="9026" w:leader="dot"/>
            </w:tabs>
            <w:rPr/>
          </w:pPr>
          <w:hyperlink w:anchor="__RefHeading___Toc2495673_2142443653">
            <w:r>
              <w:rPr>
                <w:webHidden/>
                <w:rStyle w:val="IndexLink"/>
                <w:rtl w:val="true"/>
              </w:rPr>
              <w:t>بحث في مفاد الخراج بالضمان</w:t>
            </w:r>
            <w:r>
              <w:rPr>
                <w:rStyle w:val="IndexLink"/>
                <w:rtl w:val="true"/>
              </w:rPr>
              <w:tab/>
            </w:r>
            <w:r>
              <w:rPr>
                <w:rStyle w:val="IndexLink"/>
              </w:rPr>
              <w:t>493</w:t>
            </w:r>
          </w:hyperlink>
        </w:p>
        <w:p>
          <w:pPr>
            <w:pStyle w:val="Contents4"/>
            <w:tabs>
              <w:tab w:val="clear" w:pos="8176"/>
              <w:tab w:val="right" w:pos="9026" w:leader="dot"/>
            </w:tabs>
            <w:rPr/>
          </w:pPr>
          <w:hyperlink w:anchor="__RefHeading___Toc2495675_2142443653">
            <w:r>
              <w:rPr>
                <w:webHidden/>
                <w:rStyle w:val="IndexLink"/>
                <w:rtl w:val="true"/>
              </w:rPr>
              <w:t>استظهار المحقّق النائيني من قاعدة الخراج بالضمان</w:t>
            </w:r>
            <w:r>
              <w:rPr>
                <w:rStyle w:val="IndexLink"/>
                <w:rtl w:val="true"/>
              </w:rPr>
              <w:tab/>
            </w:r>
            <w:r>
              <w:rPr>
                <w:rStyle w:val="IndexLink"/>
              </w:rPr>
              <w:t>498</w:t>
            </w:r>
          </w:hyperlink>
        </w:p>
        <w:p>
          <w:pPr>
            <w:pStyle w:val="Contents4"/>
            <w:tabs>
              <w:tab w:val="clear" w:pos="8176"/>
              <w:tab w:val="right" w:pos="9026" w:leader="dot"/>
            </w:tabs>
            <w:rPr/>
          </w:pPr>
          <w:hyperlink w:anchor="__RefHeading___Toc2495677_2142443653">
            <w:r>
              <w:rPr>
                <w:webHidden/>
                <w:rStyle w:val="IndexLink"/>
                <w:rtl w:val="true"/>
              </w:rPr>
              <w:t>ثبوت الضمان في المنافع غير المستوفاة</w:t>
            </w:r>
            <w:r>
              <w:rPr>
                <w:rStyle w:val="IndexLink"/>
                <w:rtl w:val="true"/>
              </w:rPr>
              <w:tab/>
            </w:r>
            <w:r>
              <w:rPr>
                <w:rStyle w:val="IndexLink"/>
              </w:rPr>
              <w:t>500</w:t>
            </w:r>
          </w:hyperlink>
        </w:p>
        <w:p>
          <w:pPr>
            <w:pStyle w:val="Contents4"/>
            <w:tabs>
              <w:tab w:val="clear" w:pos="8176"/>
              <w:tab w:val="right" w:pos="9026" w:leader="dot"/>
            </w:tabs>
            <w:rPr/>
          </w:pPr>
          <w:hyperlink w:anchor="__RefHeading___Toc2495679_2142443653">
            <w:r>
              <w:rPr>
                <w:webHidden/>
                <w:rStyle w:val="IndexLink"/>
                <w:rtl w:val="true"/>
              </w:rPr>
              <w:t>نقد كلام الشيخ في المقام</w:t>
            </w:r>
            <w:r>
              <w:rPr>
                <w:rStyle w:val="IndexLink"/>
                <w:rtl w:val="true"/>
              </w:rPr>
              <w:tab/>
            </w:r>
            <w:r>
              <w:rPr>
                <w:rStyle w:val="IndexLink"/>
              </w:rPr>
              <w:t>501</w:t>
            </w:r>
          </w:hyperlink>
        </w:p>
        <w:p>
          <w:pPr>
            <w:pStyle w:val="Contents3"/>
            <w:tabs>
              <w:tab w:val="clear" w:pos="8459"/>
              <w:tab w:val="right" w:pos="9026" w:leader="dot"/>
            </w:tabs>
            <w:rPr/>
          </w:pPr>
          <w:hyperlink w:anchor="__RefHeading___Toc2495681_2142443653">
            <w:r>
              <w:rPr>
                <w:webHidden/>
                <w:rStyle w:val="IndexLink"/>
                <w:rtl w:val="true"/>
              </w:rPr>
              <w:t xml:space="preserve">الأمر الرابع </w:t>
            </w:r>
            <w:r>
              <w:rPr>
                <w:rStyle w:val="IndexLink"/>
                <w:rtl w:val="true"/>
              </w:rPr>
              <w:t xml:space="preserve">: </w:t>
            </w:r>
            <w:r>
              <w:rPr>
                <w:rStyle w:val="IndexLink"/>
                <w:rtl w:val="true"/>
              </w:rPr>
              <w:t>في ضمان المثل في المثلي</w:t>
            </w:r>
            <w:r>
              <w:rPr>
                <w:rStyle w:val="IndexLink"/>
                <w:rtl w:val="true"/>
              </w:rPr>
              <w:tab/>
            </w:r>
            <w:r>
              <w:rPr>
                <w:rStyle w:val="IndexLink"/>
              </w:rPr>
              <w:t>504</w:t>
            </w:r>
          </w:hyperlink>
        </w:p>
        <w:p>
          <w:pPr>
            <w:pStyle w:val="Contents4"/>
            <w:tabs>
              <w:tab w:val="clear" w:pos="8176"/>
              <w:tab w:val="right" w:pos="9026" w:leader="dot"/>
            </w:tabs>
            <w:rPr/>
          </w:pPr>
          <w:hyperlink w:anchor="__RefHeading___Toc2495683_2142443653">
            <w:r>
              <w:rPr>
                <w:webHidden/>
                <w:rStyle w:val="IndexLink"/>
                <w:rtl w:val="true"/>
              </w:rPr>
              <w:t>الاستدلال بآية الاعتداء على الضمان</w:t>
            </w:r>
            <w:r>
              <w:rPr>
                <w:rStyle w:val="IndexLink"/>
                <w:rtl w:val="true"/>
              </w:rPr>
              <w:tab/>
            </w:r>
            <w:r>
              <w:rPr>
                <w:rStyle w:val="IndexLink"/>
              </w:rPr>
              <w:t>504</w:t>
            </w:r>
          </w:hyperlink>
        </w:p>
        <w:p>
          <w:pPr>
            <w:pStyle w:val="Contents4"/>
            <w:tabs>
              <w:tab w:val="clear" w:pos="8176"/>
              <w:tab w:val="right" w:pos="9026" w:leader="dot"/>
            </w:tabs>
            <w:rPr/>
          </w:pPr>
          <w:hyperlink w:anchor="__RefHeading___Toc2495685_2142443653">
            <w:r>
              <w:rPr>
                <w:webHidden/>
                <w:rStyle w:val="IndexLink"/>
                <w:rtl w:val="true"/>
              </w:rPr>
              <w:t>الاستدلال بدليل اليد على ضمان المثل في المثلي وتقريبه</w:t>
            </w:r>
            <w:r>
              <w:rPr>
                <w:rStyle w:val="IndexLink"/>
                <w:rtl w:val="true"/>
              </w:rPr>
              <w:tab/>
            </w:r>
            <w:r>
              <w:rPr>
                <w:rStyle w:val="IndexLink"/>
              </w:rPr>
              <w:t>507</w:t>
            </w:r>
          </w:hyperlink>
        </w:p>
        <w:p>
          <w:pPr>
            <w:pStyle w:val="Contents4"/>
            <w:tabs>
              <w:tab w:val="clear" w:pos="8176"/>
              <w:tab w:val="right" w:pos="9026" w:leader="dot"/>
            </w:tabs>
            <w:rPr/>
          </w:pPr>
          <w:hyperlink w:anchor="__RefHeading___Toc2495687_2142443653">
            <w:r>
              <w:rPr>
                <w:webHidden/>
                <w:rStyle w:val="IndexLink"/>
                <w:rtl w:val="true"/>
              </w:rPr>
              <w:t>بناء العقلاء هو الوجه في ضمان المثلي والقيمي</w:t>
            </w:r>
            <w:r>
              <w:rPr>
                <w:rStyle w:val="IndexLink"/>
                <w:rtl w:val="true"/>
              </w:rPr>
              <w:tab/>
            </w:r>
            <w:r>
              <w:rPr>
                <w:rStyle w:val="IndexLink"/>
              </w:rPr>
              <w:t>511</w:t>
            </w:r>
          </w:hyperlink>
        </w:p>
        <w:p>
          <w:pPr>
            <w:pStyle w:val="Contents4"/>
            <w:tabs>
              <w:tab w:val="clear" w:pos="8176"/>
              <w:tab w:val="right" w:pos="9026" w:leader="dot"/>
            </w:tabs>
            <w:rPr/>
          </w:pPr>
          <w:hyperlink w:anchor="__RefHeading___Toc2495689_2142443653">
            <w:r>
              <w:rPr>
                <w:webHidden/>
                <w:rStyle w:val="IndexLink"/>
                <w:rtl w:val="true"/>
              </w:rPr>
              <w:t>نكتة حكم العقلائي في المثلي والقيمي</w:t>
            </w:r>
            <w:r>
              <w:rPr>
                <w:rStyle w:val="IndexLink"/>
                <w:rtl w:val="true"/>
              </w:rPr>
              <w:tab/>
            </w:r>
            <w:r>
              <w:rPr>
                <w:rStyle w:val="IndexLink"/>
              </w:rPr>
              <w:t>512</w:t>
            </w:r>
          </w:hyperlink>
        </w:p>
        <w:p>
          <w:pPr>
            <w:pStyle w:val="Contents4"/>
            <w:tabs>
              <w:tab w:val="clear" w:pos="8176"/>
              <w:tab w:val="right" w:pos="9026" w:leader="dot"/>
            </w:tabs>
            <w:rPr/>
          </w:pPr>
          <w:hyperlink w:anchor="__RefHeading___Toc2495691_2142443653">
            <w:r>
              <w:rPr>
                <w:webHidden/>
                <w:rStyle w:val="IndexLink"/>
                <w:rtl w:val="true"/>
              </w:rPr>
              <w:t>مرجع تشخيص المثلي والقيمي</w:t>
            </w:r>
            <w:r>
              <w:rPr>
                <w:rStyle w:val="IndexLink"/>
                <w:rtl w:val="true"/>
              </w:rPr>
              <w:tab/>
            </w:r>
            <w:r>
              <w:rPr>
                <w:rStyle w:val="IndexLink"/>
              </w:rPr>
              <w:t>514</w:t>
            </w:r>
          </w:hyperlink>
        </w:p>
        <w:p>
          <w:pPr>
            <w:pStyle w:val="Contents4"/>
            <w:tabs>
              <w:tab w:val="clear" w:pos="8176"/>
              <w:tab w:val="right" w:pos="9026" w:leader="dot"/>
            </w:tabs>
            <w:rPr/>
          </w:pPr>
          <w:hyperlink w:anchor="__RefHeading___Toc2495693_2142443653">
            <w:r>
              <w:rPr>
                <w:webHidden/>
                <w:rStyle w:val="IndexLink"/>
                <w:rtl w:val="true"/>
              </w:rPr>
              <w:t>مقتضى الأصل عند الشكّ في كون شيء مثلياً أو قيمياً</w:t>
            </w:r>
            <w:r>
              <w:rPr>
                <w:rStyle w:val="IndexLink"/>
                <w:rtl w:val="true"/>
              </w:rPr>
              <w:tab/>
            </w:r>
            <w:r>
              <w:rPr>
                <w:rStyle w:val="IndexLink"/>
              </w:rPr>
              <w:t>515</w:t>
            </w:r>
          </w:hyperlink>
        </w:p>
        <w:p>
          <w:pPr>
            <w:pStyle w:val="Contents4"/>
            <w:tabs>
              <w:tab w:val="clear" w:pos="8176"/>
              <w:tab w:val="right" w:pos="9026" w:leader="dot"/>
            </w:tabs>
            <w:rPr/>
          </w:pPr>
          <w:hyperlink w:anchor="__RefHeading___Toc2495695_2142443653">
            <w:r>
              <w:rPr>
                <w:webHidden/>
                <w:rStyle w:val="IndexLink"/>
                <w:rtl w:val="true"/>
              </w:rPr>
              <w:t xml:space="preserve">مقدّمة </w:t>
            </w:r>
            <w:r>
              <w:rPr>
                <w:rStyle w:val="IndexLink"/>
                <w:rtl w:val="true"/>
              </w:rPr>
              <w:t xml:space="preserve">: </w:t>
            </w:r>
            <w:r>
              <w:rPr>
                <w:rStyle w:val="IndexLink"/>
                <w:rtl w:val="true"/>
              </w:rPr>
              <w:t>في بيان ما يشتغل به الذمّة في باب الضمانات</w:t>
            </w:r>
            <w:r>
              <w:rPr>
                <w:rStyle w:val="IndexLink"/>
                <w:rtl w:val="true"/>
              </w:rPr>
              <w:tab/>
            </w:r>
            <w:r>
              <w:rPr>
                <w:rStyle w:val="IndexLink"/>
              </w:rPr>
              <w:t>515</w:t>
            </w:r>
          </w:hyperlink>
        </w:p>
        <w:p>
          <w:pPr>
            <w:pStyle w:val="Contents4"/>
            <w:tabs>
              <w:tab w:val="clear" w:pos="8176"/>
              <w:tab w:val="right" w:pos="9026" w:leader="dot"/>
            </w:tabs>
            <w:rPr/>
          </w:pPr>
          <w:hyperlink w:anchor="__RefHeading___Toc2495697_2142443653">
            <w:r>
              <w:rPr>
                <w:webHidden/>
                <w:rStyle w:val="IndexLink"/>
                <w:rtl w:val="true"/>
              </w:rPr>
              <w:t>القول باشتغال الذمّة بالمالية ودفعه</w:t>
            </w:r>
            <w:r>
              <w:rPr>
                <w:rStyle w:val="IndexLink"/>
                <w:rtl w:val="true"/>
              </w:rPr>
              <w:tab/>
            </w:r>
            <w:r>
              <w:rPr>
                <w:rStyle w:val="IndexLink"/>
              </w:rPr>
              <w:t>516</w:t>
            </w:r>
          </w:hyperlink>
        </w:p>
        <w:p>
          <w:pPr>
            <w:pStyle w:val="Contents4"/>
            <w:tabs>
              <w:tab w:val="clear" w:pos="8176"/>
              <w:tab w:val="right" w:pos="9026" w:leader="dot"/>
            </w:tabs>
            <w:rPr/>
          </w:pPr>
          <w:hyperlink w:anchor="__RefHeading___Toc2495699_2142443653">
            <w:r>
              <w:rPr>
                <w:webHidden/>
                <w:rStyle w:val="IndexLink"/>
                <w:rtl w:val="true"/>
              </w:rPr>
              <w:t>الروايات الظاهرة في كون نفس العين على العهدة</w:t>
            </w:r>
            <w:r>
              <w:rPr>
                <w:rStyle w:val="IndexLink"/>
                <w:rtl w:val="true"/>
              </w:rPr>
              <w:tab/>
            </w:r>
            <w:r>
              <w:rPr>
                <w:rStyle w:val="IndexLink"/>
              </w:rPr>
              <w:t>518</w:t>
            </w:r>
          </w:hyperlink>
        </w:p>
        <w:p>
          <w:pPr>
            <w:pStyle w:val="Contents4"/>
            <w:tabs>
              <w:tab w:val="clear" w:pos="8176"/>
              <w:tab w:val="right" w:pos="9026" w:leader="dot"/>
            </w:tabs>
            <w:rPr/>
          </w:pPr>
          <w:hyperlink w:anchor="__RefHeading___Toc2495701_2142443653">
            <w:r>
              <w:rPr>
                <w:webHidden/>
                <w:rStyle w:val="IndexLink"/>
                <w:rtl w:val="true"/>
              </w:rPr>
              <w:t>الحقّ ثبوت عهدة الغرامة والخسارة دون نفس العين</w:t>
            </w:r>
            <w:r>
              <w:rPr>
                <w:rStyle w:val="IndexLink"/>
                <w:rtl w:val="true"/>
              </w:rPr>
              <w:tab/>
            </w:r>
            <w:r>
              <w:rPr>
                <w:rStyle w:val="IndexLink"/>
              </w:rPr>
              <w:t>532</w:t>
            </w:r>
          </w:hyperlink>
        </w:p>
        <w:p>
          <w:pPr>
            <w:pStyle w:val="Contents4"/>
            <w:tabs>
              <w:tab w:val="clear" w:pos="8176"/>
              <w:tab w:val="right" w:pos="9026" w:leader="dot"/>
            </w:tabs>
            <w:rPr/>
          </w:pPr>
          <w:hyperlink w:anchor="__RefHeading___Toc2495703_2142443653">
            <w:r>
              <w:rPr>
                <w:webHidden/>
                <w:rStyle w:val="IndexLink"/>
                <w:rtl w:val="true"/>
              </w:rPr>
              <w:t>رجع إلى مقتضى الأصل عند الشكّ في مثلية الشيء أو قيميته</w:t>
            </w:r>
            <w:r>
              <w:rPr>
                <w:rStyle w:val="IndexLink"/>
                <w:rtl w:val="true"/>
              </w:rPr>
              <w:tab/>
            </w:r>
            <w:r>
              <w:rPr>
                <w:rStyle w:val="IndexLink"/>
              </w:rPr>
              <w:t>535</w:t>
            </w:r>
          </w:hyperlink>
        </w:p>
        <w:p>
          <w:pPr>
            <w:pStyle w:val="Contents4"/>
            <w:tabs>
              <w:tab w:val="clear" w:pos="8176"/>
              <w:tab w:val="right" w:pos="9026" w:leader="dot"/>
            </w:tabs>
            <w:rPr/>
          </w:pPr>
          <w:hyperlink w:anchor="__RefHeading___Toc2495705_2142443653">
            <w:r>
              <w:rPr>
                <w:webHidden/>
                <w:rStyle w:val="IndexLink"/>
                <w:rtl w:val="true"/>
              </w:rPr>
              <w:t>كلام المحقّق الأصفهاني وردّه</w:t>
            </w:r>
            <w:r>
              <w:rPr>
                <w:rStyle w:val="IndexLink"/>
                <w:rtl w:val="true"/>
              </w:rPr>
              <w:tab/>
            </w:r>
            <w:r>
              <w:rPr>
                <w:rStyle w:val="IndexLink"/>
              </w:rPr>
              <w:t>539</w:t>
            </w:r>
          </w:hyperlink>
        </w:p>
        <w:p>
          <w:pPr>
            <w:pStyle w:val="Contents4"/>
            <w:tabs>
              <w:tab w:val="clear" w:pos="8176"/>
              <w:tab w:val="right" w:pos="9026" w:leader="dot"/>
            </w:tabs>
            <w:rPr/>
          </w:pPr>
          <w:hyperlink w:anchor="__RefHeading___Toc2495707_2142443653">
            <w:r>
              <w:rPr>
                <w:webHidden/>
                <w:rStyle w:val="IndexLink"/>
                <w:rtl w:val="true"/>
              </w:rPr>
              <w:t>كلام المحقّق النائيني في المقام وجوابه</w:t>
            </w:r>
            <w:r>
              <w:rPr>
                <w:rStyle w:val="IndexLink"/>
                <w:rtl w:val="true"/>
              </w:rPr>
              <w:tab/>
            </w:r>
            <w:r>
              <w:rPr>
                <w:rStyle w:val="IndexLink"/>
              </w:rPr>
              <w:t>541</w:t>
            </w:r>
          </w:hyperlink>
        </w:p>
        <w:p>
          <w:pPr>
            <w:pStyle w:val="Contents4"/>
            <w:tabs>
              <w:tab w:val="clear" w:pos="8176"/>
              <w:tab w:val="right" w:pos="9026" w:leader="dot"/>
            </w:tabs>
            <w:rPr/>
          </w:pPr>
          <w:hyperlink w:anchor="__RefHeading___Toc2495709_2142443653">
            <w:r>
              <w:rPr>
                <w:webHidden/>
                <w:rStyle w:val="IndexLink"/>
                <w:rtl w:val="true"/>
              </w:rPr>
              <w:t>مقتضى الأصل عند إجمال أدلّة الضمان</w:t>
            </w:r>
            <w:r>
              <w:rPr>
                <w:rStyle w:val="IndexLink"/>
                <w:rtl w:val="true"/>
              </w:rPr>
              <w:tab/>
            </w:r>
            <w:r>
              <w:rPr>
                <w:rStyle w:val="IndexLink"/>
              </w:rPr>
              <w:t>542</w:t>
            </w:r>
          </w:hyperlink>
        </w:p>
        <w:p>
          <w:pPr>
            <w:pStyle w:val="Contents4"/>
            <w:tabs>
              <w:tab w:val="clear" w:pos="8176"/>
              <w:tab w:val="right" w:pos="9026" w:leader="dot"/>
            </w:tabs>
            <w:rPr/>
          </w:pPr>
          <w:hyperlink w:anchor="__RefHeading___Toc2495711_2142443653">
            <w:r>
              <w:rPr>
                <w:webHidden/>
                <w:rStyle w:val="IndexLink"/>
                <w:rtl w:val="true"/>
              </w:rPr>
              <w:t>مختار المحقّق النائيني في هذه الصورة ونقده</w:t>
            </w:r>
            <w:r>
              <w:rPr>
                <w:rStyle w:val="IndexLink"/>
                <w:rtl w:val="true"/>
              </w:rPr>
              <w:tab/>
            </w:r>
            <w:r>
              <w:rPr>
                <w:rStyle w:val="IndexLink"/>
              </w:rPr>
              <w:t>543</w:t>
            </w:r>
          </w:hyperlink>
        </w:p>
        <w:p>
          <w:pPr>
            <w:pStyle w:val="Contents3"/>
            <w:tabs>
              <w:tab w:val="clear" w:pos="8459"/>
              <w:tab w:val="right" w:pos="9026" w:leader="dot"/>
            </w:tabs>
            <w:rPr/>
          </w:pPr>
          <w:hyperlink w:anchor="__RefHeading___Toc2495713_2142443653">
            <w:r>
              <w:rPr>
                <w:webHidden/>
                <w:rStyle w:val="IndexLink"/>
                <w:rtl w:val="true"/>
              </w:rPr>
              <w:t xml:space="preserve">الأمر الخامس </w:t>
            </w:r>
            <w:r>
              <w:rPr>
                <w:rStyle w:val="IndexLink"/>
                <w:rtl w:val="true"/>
              </w:rPr>
              <w:t xml:space="preserve">: </w:t>
            </w:r>
            <w:r>
              <w:rPr>
                <w:rStyle w:val="IndexLink"/>
                <w:rtl w:val="true"/>
              </w:rPr>
              <w:t>في حكم ما إذا لم يوجد المثل إلاّ بأكثر من ثمن المثل</w:t>
            </w:r>
            <w:r>
              <w:rPr>
                <w:rStyle w:val="IndexLink"/>
                <w:rtl w:val="true"/>
              </w:rPr>
              <w:tab/>
            </w:r>
            <w:r>
              <w:rPr>
                <w:rStyle w:val="IndexLink"/>
              </w:rPr>
              <w:t>547</w:t>
            </w:r>
          </w:hyperlink>
        </w:p>
        <w:p>
          <w:pPr>
            <w:pStyle w:val="Contents4"/>
            <w:tabs>
              <w:tab w:val="clear" w:pos="8176"/>
              <w:tab w:val="right" w:pos="9026" w:leader="dot"/>
            </w:tabs>
            <w:rPr/>
          </w:pPr>
          <w:hyperlink w:anchor="__RefHeading___Toc2495715_2142443653">
            <w:r>
              <w:rPr>
                <w:webHidden/>
                <w:rStyle w:val="IndexLink"/>
                <w:rtl w:val="true"/>
              </w:rPr>
              <w:t>صور زيادة قيمة المثل</w:t>
            </w:r>
            <w:r>
              <w:rPr>
                <w:rStyle w:val="IndexLink"/>
                <w:rtl w:val="true"/>
              </w:rPr>
              <w:tab/>
            </w:r>
            <w:r>
              <w:rPr>
                <w:rStyle w:val="IndexLink"/>
              </w:rPr>
              <w:t>547</w:t>
            </w:r>
          </w:hyperlink>
        </w:p>
        <w:p>
          <w:pPr>
            <w:pStyle w:val="Contents4"/>
            <w:tabs>
              <w:tab w:val="clear" w:pos="8176"/>
              <w:tab w:val="right" w:pos="9026" w:leader="dot"/>
            </w:tabs>
            <w:rPr/>
          </w:pPr>
          <w:hyperlink w:anchor="__RefHeading___Toc2495717_2142443653">
            <w:r>
              <w:rPr>
                <w:webHidden/>
                <w:rStyle w:val="IndexLink"/>
                <w:rtl w:val="true"/>
              </w:rPr>
              <w:t xml:space="preserve">تنبيه </w:t>
            </w:r>
            <w:r>
              <w:rPr>
                <w:rStyle w:val="IndexLink"/>
                <w:rtl w:val="true"/>
              </w:rPr>
              <w:t xml:space="preserve">: </w:t>
            </w:r>
            <w:r>
              <w:rPr>
                <w:rStyle w:val="IndexLink"/>
                <w:rtl w:val="true"/>
              </w:rPr>
              <w:t>في تعارض دليل نفي الضرر مع نفي الحرج</w:t>
            </w:r>
            <w:r>
              <w:rPr>
                <w:rStyle w:val="IndexLink"/>
                <w:rtl w:val="true"/>
              </w:rPr>
              <w:tab/>
            </w:r>
            <w:r>
              <w:rPr>
                <w:rStyle w:val="IndexLink"/>
              </w:rPr>
              <w:t>548</w:t>
            </w:r>
          </w:hyperlink>
        </w:p>
        <w:p>
          <w:pPr>
            <w:pStyle w:val="Contents4"/>
            <w:tabs>
              <w:tab w:val="clear" w:pos="8176"/>
              <w:tab w:val="right" w:pos="9026" w:leader="dot"/>
            </w:tabs>
            <w:rPr/>
          </w:pPr>
          <w:hyperlink w:anchor="__RefHeading___Toc2495719_2142443653">
            <w:r>
              <w:rPr>
                <w:webHidden/>
                <w:rStyle w:val="IndexLink"/>
                <w:rtl w:val="true"/>
              </w:rPr>
              <w:t>وجوب شراء المثل وإن زادت قيمته السوقية</w:t>
            </w:r>
            <w:r>
              <w:rPr>
                <w:rStyle w:val="IndexLink"/>
                <w:rtl w:val="true"/>
              </w:rPr>
              <w:tab/>
            </w:r>
            <w:r>
              <w:rPr>
                <w:rStyle w:val="IndexLink"/>
              </w:rPr>
              <w:t>551</w:t>
            </w:r>
          </w:hyperlink>
        </w:p>
        <w:p>
          <w:pPr>
            <w:pStyle w:val="Contents4"/>
            <w:tabs>
              <w:tab w:val="clear" w:pos="8176"/>
              <w:tab w:val="right" w:pos="9026" w:leader="dot"/>
            </w:tabs>
            <w:rPr/>
          </w:pPr>
          <w:hyperlink w:anchor="__RefHeading___Toc2495721_2142443653">
            <w:r>
              <w:rPr>
                <w:webHidden/>
                <w:rStyle w:val="IndexLink"/>
                <w:rtl w:val="true"/>
              </w:rPr>
              <w:t>عدم لزوم شراء المثل بأكثر من ثمنه عند الإعواز</w:t>
            </w:r>
            <w:r>
              <w:rPr>
                <w:rStyle w:val="IndexLink"/>
                <w:rtl w:val="true"/>
              </w:rPr>
              <w:tab/>
            </w:r>
            <w:r>
              <w:rPr>
                <w:rStyle w:val="IndexLink"/>
              </w:rPr>
              <w:t>554</w:t>
            </w:r>
          </w:hyperlink>
        </w:p>
        <w:p>
          <w:pPr>
            <w:pStyle w:val="Contents4"/>
            <w:tabs>
              <w:tab w:val="clear" w:pos="8176"/>
              <w:tab w:val="right" w:pos="9026" w:leader="dot"/>
            </w:tabs>
            <w:rPr/>
          </w:pPr>
          <w:hyperlink w:anchor="__RefHeading___Toc2495723_2142443653">
            <w:r>
              <w:rPr>
                <w:webHidden/>
                <w:rStyle w:val="IndexLink"/>
                <w:rtl w:val="true"/>
              </w:rPr>
              <w:t xml:space="preserve">تذنيب فيه مسألتان </w:t>
            </w:r>
            <w:r>
              <w:rPr>
                <w:rStyle w:val="IndexLink"/>
                <w:rtl w:val="true"/>
              </w:rPr>
              <w:t>:</w:t>
              <w:tab/>
            </w:r>
            <w:r>
              <w:rPr>
                <w:rStyle w:val="IndexLink"/>
              </w:rPr>
              <w:t>558</w:t>
            </w:r>
          </w:hyperlink>
        </w:p>
        <w:p>
          <w:pPr>
            <w:pStyle w:val="Contents5"/>
            <w:tabs>
              <w:tab w:val="clear" w:pos="7892"/>
              <w:tab w:val="right" w:pos="9026" w:leader="dot"/>
            </w:tabs>
            <w:rPr/>
          </w:pPr>
          <w:hyperlink w:anchor="__RefHeading___Toc2495725_2142443653">
            <w:r>
              <w:rPr>
                <w:webHidden/>
                <w:rStyle w:val="IndexLink"/>
                <w:rtl w:val="true"/>
              </w:rPr>
              <w:t xml:space="preserve">الاُولى </w:t>
            </w:r>
            <w:r>
              <w:rPr>
                <w:rStyle w:val="IndexLink"/>
                <w:rtl w:val="true"/>
              </w:rPr>
              <w:t xml:space="preserve">: </w:t>
            </w:r>
            <w:r>
              <w:rPr>
                <w:rStyle w:val="IndexLink"/>
                <w:rtl w:val="true"/>
              </w:rPr>
              <w:t>جواز المطالبة بالمثل في أيّ مكان مع الإمكان</w:t>
            </w:r>
            <w:r>
              <w:rPr>
                <w:rStyle w:val="IndexLink"/>
                <w:rtl w:val="true"/>
              </w:rPr>
              <w:tab/>
            </w:r>
            <w:r>
              <w:rPr>
                <w:rStyle w:val="IndexLink"/>
              </w:rPr>
              <w:t>558</w:t>
            </w:r>
          </w:hyperlink>
        </w:p>
        <w:p>
          <w:pPr>
            <w:pStyle w:val="Contents5"/>
            <w:tabs>
              <w:tab w:val="clear" w:pos="7892"/>
              <w:tab w:val="right" w:pos="9026" w:leader="dot"/>
            </w:tabs>
            <w:rPr/>
          </w:pPr>
          <w:hyperlink w:anchor="__RefHeading___Toc2495727_2142443653">
            <w:r>
              <w:rPr>
                <w:webHidden/>
                <w:rStyle w:val="IndexLink"/>
                <w:rtl w:val="true"/>
              </w:rPr>
              <w:t xml:space="preserve">الثانية </w:t>
            </w:r>
            <w:r>
              <w:rPr>
                <w:rStyle w:val="IndexLink"/>
                <w:rtl w:val="true"/>
              </w:rPr>
              <w:t xml:space="preserve">: </w:t>
            </w:r>
            <w:r>
              <w:rPr>
                <w:rStyle w:val="IndexLink"/>
                <w:rtl w:val="true"/>
              </w:rPr>
              <w:t>مدار مكان مطالبة المثل</w:t>
            </w:r>
            <w:r>
              <w:rPr>
                <w:rStyle w:val="IndexLink"/>
                <w:rtl w:val="true"/>
              </w:rPr>
              <w:tab/>
            </w:r>
            <w:r>
              <w:rPr>
                <w:rStyle w:val="IndexLink"/>
              </w:rPr>
              <w:t>561</w:t>
            </w:r>
          </w:hyperlink>
        </w:p>
        <w:p>
          <w:pPr>
            <w:pStyle w:val="Contents3"/>
            <w:tabs>
              <w:tab w:val="clear" w:pos="8459"/>
              <w:tab w:val="right" w:pos="9026" w:leader="dot"/>
            </w:tabs>
            <w:rPr/>
          </w:pPr>
          <w:hyperlink w:anchor="__RefHeading___Toc2495729_2142443653">
            <w:r>
              <w:rPr>
                <w:webHidden/>
                <w:rStyle w:val="IndexLink"/>
                <w:rtl w:val="true"/>
              </w:rPr>
              <w:t xml:space="preserve">الأمر السادس </w:t>
            </w:r>
            <w:r>
              <w:rPr>
                <w:rStyle w:val="IndexLink"/>
                <w:rtl w:val="true"/>
              </w:rPr>
              <w:t xml:space="preserve">: </w:t>
            </w:r>
            <w:r>
              <w:rPr>
                <w:rStyle w:val="IndexLink"/>
                <w:rtl w:val="true"/>
              </w:rPr>
              <w:t>في حكم تعذّر المثل في المثلي</w:t>
            </w:r>
            <w:r>
              <w:rPr>
                <w:rStyle w:val="IndexLink"/>
                <w:rtl w:val="true"/>
              </w:rPr>
              <w:tab/>
            </w:r>
            <w:r>
              <w:rPr>
                <w:rStyle w:val="IndexLink"/>
              </w:rPr>
              <w:t>567</w:t>
            </w:r>
          </w:hyperlink>
        </w:p>
        <w:p>
          <w:pPr>
            <w:pStyle w:val="Contents4"/>
            <w:tabs>
              <w:tab w:val="clear" w:pos="8176"/>
              <w:tab w:val="right" w:pos="9026" w:leader="dot"/>
            </w:tabs>
            <w:rPr/>
          </w:pPr>
          <w:hyperlink w:anchor="__RefHeading___Toc2495731_2142443653">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2495733_2142443653">
            <w:r>
              <w:rPr>
                <w:webHidden/>
                <w:rStyle w:val="IndexLink"/>
                <w:rtl w:val="true"/>
              </w:rPr>
              <w:t>ما استدلّ على جواز مطالبة القيمة</w:t>
            </w:r>
            <w:r>
              <w:rPr>
                <w:rStyle w:val="IndexLink"/>
                <w:rtl w:val="true"/>
              </w:rPr>
              <w:tab/>
            </w:r>
            <w:r>
              <w:rPr>
                <w:rStyle w:val="IndexLink"/>
              </w:rPr>
              <w:t>567</w:t>
            </w:r>
          </w:hyperlink>
        </w:p>
        <w:p>
          <w:pPr>
            <w:pStyle w:val="Contents4"/>
            <w:tabs>
              <w:tab w:val="clear" w:pos="8176"/>
              <w:tab w:val="right" w:pos="9026" w:leader="dot"/>
            </w:tabs>
            <w:rPr/>
          </w:pPr>
          <w:hyperlink w:anchor="__RefHeading___Toc2495735_2142443653">
            <w:r>
              <w:rPr>
                <w:webHidden/>
                <w:rStyle w:val="IndexLink"/>
                <w:rtl w:val="true"/>
              </w:rPr>
              <w:t>بيان زمان اعتبار القيمة</w:t>
            </w:r>
            <w:r>
              <w:rPr>
                <w:rStyle w:val="IndexLink"/>
                <w:rtl w:val="true"/>
              </w:rPr>
              <w:tab/>
            </w:r>
            <w:r>
              <w:rPr>
                <w:rStyle w:val="IndexLink"/>
              </w:rPr>
              <w:t>574</w:t>
            </w:r>
          </w:hyperlink>
        </w:p>
        <w:p>
          <w:pPr>
            <w:pStyle w:val="Contents4"/>
            <w:tabs>
              <w:tab w:val="clear" w:pos="8176"/>
              <w:tab w:val="right" w:pos="9026" w:leader="dot"/>
            </w:tabs>
            <w:rPr/>
          </w:pPr>
          <w:hyperlink w:anchor="__RefHeading___Toc2495737_2142443653">
            <w:r>
              <w:rPr>
                <w:webHidden/>
                <w:rStyle w:val="IndexLink"/>
                <w:rtl w:val="true"/>
              </w:rPr>
              <w:t xml:space="preserve">ثمّ إنّ في زمان اعتبار القيمة احتمالات ووجوهاً كثيرة ، لا بدّ في تحقيق ما هو الحقّ من ذكر اُمور </w:t>
            </w:r>
            <w:r>
              <w:rPr>
                <w:rStyle w:val="IndexLink"/>
                <w:rtl w:val="true"/>
              </w:rPr>
              <w:t>:</w:t>
              <w:tab/>
            </w:r>
            <w:r>
              <w:rPr>
                <w:rStyle w:val="IndexLink"/>
              </w:rPr>
              <w:t>574</w:t>
            </w:r>
          </w:hyperlink>
        </w:p>
        <w:p>
          <w:pPr>
            <w:pStyle w:val="Contents5"/>
            <w:tabs>
              <w:tab w:val="clear" w:pos="7892"/>
              <w:tab w:val="right" w:pos="9026" w:leader="dot"/>
            </w:tabs>
            <w:rPr/>
          </w:pPr>
          <w:hyperlink w:anchor="__RefHeading___Toc2495739_2142443653">
            <w:r>
              <w:rPr>
                <w:webHidden/>
                <w:rStyle w:val="IndexLink"/>
                <w:rtl w:val="true"/>
              </w:rPr>
              <w:t xml:space="preserve">الأوّل </w:t>
            </w:r>
            <w:r>
              <w:rPr>
                <w:rStyle w:val="IndexLink"/>
                <w:rtl w:val="true"/>
              </w:rPr>
              <w:t xml:space="preserve">: </w:t>
            </w:r>
            <w:r>
              <w:rPr>
                <w:rStyle w:val="IndexLink"/>
                <w:rtl w:val="true"/>
              </w:rPr>
              <w:t>حول انقلاب المثل عند إعوازه إلى القيمة</w:t>
            </w:r>
            <w:r>
              <w:rPr>
                <w:rStyle w:val="IndexLink"/>
                <w:rtl w:val="true"/>
              </w:rPr>
              <w:tab/>
            </w:r>
            <w:r>
              <w:rPr>
                <w:rStyle w:val="IndexLink"/>
              </w:rPr>
              <w:t>574</w:t>
            </w:r>
          </w:hyperlink>
        </w:p>
        <w:p>
          <w:pPr>
            <w:pStyle w:val="Contents5"/>
            <w:tabs>
              <w:tab w:val="clear" w:pos="7892"/>
              <w:tab w:val="right" w:pos="9026" w:leader="dot"/>
            </w:tabs>
            <w:rPr/>
          </w:pPr>
          <w:hyperlink w:anchor="__RefHeading___Toc2495741_2142443653">
            <w:r>
              <w:rPr>
                <w:webHidden/>
                <w:rStyle w:val="IndexLink"/>
                <w:rtl w:val="true"/>
              </w:rPr>
              <w:t xml:space="preserve">الثاني </w:t>
            </w:r>
            <w:r>
              <w:rPr>
                <w:rStyle w:val="IndexLink"/>
                <w:rtl w:val="true"/>
              </w:rPr>
              <w:t xml:space="preserve">: </w:t>
            </w:r>
            <w:r>
              <w:rPr>
                <w:rStyle w:val="IndexLink"/>
                <w:rtl w:val="true"/>
              </w:rPr>
              <w:t>ضمان الصفات الدخيلة في الرغبات والقيم</w:t>
            </w:r>
            <w:r>
              <w:rPr>
                <w:rStyle w:val="IndexLink"/>
                <w:rtl w:val="true"/>
              </w:rPr>
              <w:tab/>
            </w:r>
            <w:r>
              <w:rPr>
                <w:rStyle w:val="IndexLink"/>
              </w:rPr>
              <w:t>576</w:t>
            </w:r>
          </w:hyperlink>
        </w:p>
        <w:p>
          <w:pPr>
            <w:pStyle w:val="Contents5"/>
            <w:tabs>
              <w:tab w:val="clear" w:pos="7892"/>
              <w:tab w:val="right" w:pos="9026" w:leader="dot"/>
            </w:tabs>
            <w:rPr/>
          </w:pPr>
          <w:hyperlink w:anchor="__RefHeading___Toc2495743_2142443653">
            <w:r>
              <w:rPr>
                <w:webHidden/>
                <w:rStyle w:val="IndexLink"/>
                <w:rtl w:val="true"/>
              </w:rPr>
              <w:t xml:space="preserve">الثالث </w:t>
            </w:r>
            <w:r>
              <w:rPr>
                <w:rStyle w:val="IndexLink"/>
                <w:rtl w:val="true"/>
              </w:rPr>
              <w:t xml:space="preserve">: </w:t>
            </w:r>
            <w:r>
              <w:rPr>
                <w:rStyle w:val="IndexLink"/>
                <w:rtl w:val="true"/>
              </w:rPr>
              <w:t>بيان محتملات زمان اعتبار القيمة</w:t>
            </w:r>
            <w:r>
              <w:rPr>
                <w:rStyle w:val="IndexLink"/>
                <w:rtl w:val="true"/>
              </w:rPr>
              <w:tab/>
            </w:r>
            <w:r>
              <w:rPr>
                <w:rStyle w:val="IndexLink"/>
              </w:rPr>
              <w:t>577</w:t>
            </w:r>
          </w:hyperlink>
        </w:p>
        <w:p>
          <w:pPr>
            <w:pStyle w:val="Contents4"/>
            <w:tabs>
              <w:tab w:val="clear" w:pos="8176"/>
              <w:tab w:val="right" w:pos="9026" w:leader="dot"/>
            </w:tabs>
            <w:rPr/>
          </w:pPr>
          <w:hyperlink w:anchor="__RefHeading___Toc2495745_2142443653">
            <w:r>
              <w:rPr>
                <w:webHidden/>
                <w:rStyle w:val="IndexLink"/>
                <w:rtl w:val="true"/>
              </w:rPr>
              <w:t>كلام المحقّق الأصفهاني في المقام والجواب عنه</w:t>
            </w:r>
            <w:r>
              <w:rPr>
                <w:rStyle w:val="IndexLink"/>
                <w:rtl w:val="true"/>
              </w:rPr>
              <w:tab/>
            </w:r>
            <w:r>
              <w:rPr>
                <w:rStyle w:val="IndexLink"/>
              </w:rPr>
              <w:t>579</w:t>
            </w:r>
          </w:hyperlink>
        </w:p>
        <w:p>
          <w:pPr>
            <w:pStyle w:val="Contents4"/>
            <w:tabs>
              <w:tab w:val="clear" w:pos="8176"/>
              <w:tab w:val="right" w:pos="9026" w:leader="dot"/>
            </w:tabs>
            <w:rPr/>
          </w:pPr>
          <w:hyperlink w:anchor="__RefHeading___Toc2495747_2142443653">
            <w:r>
              <w:rPr>
                <w:webHidden/>
                <w:rStyle w:val="IndexLink"/>
                <w:rtl w:val="true"/>
              </w:rPr>
              <w:t>بيان النسبة بين آية الاعتداء ودليل اليد</w:t>
            </w:r>
            <w:r>
              <w:rPr>
                <w:rStyle w:val="IndexLink"/>
                <w:rtl w:val="true"/>
              </w:rPr>
              <w:tab/>
            </w:r>
            <w:r>
              <w:rPr>
                <w:rStyle w:val="IndexLink"/>
              </w:rPr>
              <w:t>581</w:t>
            </w:r>
          </w:hyperlink>
        </w:p>
        <w:p>
          <w:pPr>
            <w:pStyle w:val="Contents4"/>
            <w:tabs>
              <w:tab w:val="clear" w:pos="8176"/>
              <w:tab w:val="right" w:pos="9026" w:leader="dot"/>
            </w:tabs>
            <w:rPr/>
          </w:pPr>
          <w:hyperlink w:anchor="__RefHeading___Toc2495749_2142443653">
            <w:r>
              <w:rPr>
                <w:webHidden/>
                <w:rStyle w:val="IndexLink"/>
                <w:rtl w:val="true"/>
              </w:rPr>
              <w:t>مقتضى القول بالانقلاب إلى القيمة عند التعذّر</w:t>
            </w:r>
            <w:r>
              <w:rPr>
                <w:rStyle w:val="IndexLink"/>
                <w:rtl w:val="true"/>
              </w:rPr>
              <w:tab/>
            </w:r>
            <w:r>
              <w:rPr>
                <w:rStyle w:val="IndexLink"/>
              </w:rPr>
              <w:t>582</w:t>
            </w:r>
          </w:hyperlink>
        </w:p>
        <w:p>
          <w:pPr>
            <w:pStyle w:val="Contents4"/>
            <w:tabs>
              <w:tab w:val="clear" w:pos="8176"/>
              <w:tab w:val="right" w:pos="9026" w:leader="dot"/>
            </w:tabs>
            <w:rPr/>
          </w:pPr>
          <w:hyperlink w:anchor="__RefHeading___Toc2495751_2142443653">
            <w:r>
              <w:rPr>
                <w:webHidden/>
                <w:rStyle w:val="IndexLink"/>
                <w:rtl w:val="true"/>
              </w:rPr>
              <w:t>وجه اعتبار أعلى القيم من حين الأخذ إلى حين التلف</w:t>
            </w:r>
            <w:r>
              <w:rPr>
                <w:rStyle w:val="IndexLink"/>
                <w:rtl w:val="true"/>
              </w:rPr>
              <w:tab/>
            </w:r>
            <w:r>
              <w:rPr>
                <w:rStyle w:val="IndexLink"/>
              </w:rPr>
              <w:t>583</w:t>
            </w:r>
          </w:hyperlink>
        </w:p>
        <w:p>
          <w:pPr>
            <w:pStyle w:val="Contents4"/>
            <w:tabs>
              <w:tab w:val="clear" w:pos="8176"/>
              <w:tab w:val="right" w:pos="9026" w:leader="dot"/>
            </w:tabs>
            <w:rPr/>
          </w:pPr>
          <w:hyperlink w:anchor="__RefHeading___Toc2495753_2142443653">
            <w:r>
              <w:rPr>
                <w:webHidden/>
                <w:rStyle w:val="IndexLink"/>
                <w:rtl w:val="true"/>
              </w:rPr>
              <w:t>توجيه المحقّق النائيني انقلاب القدر المشترك إلى القيمة</w:t>
            </w:r>
            <w:r>
              <w:rPr>
                <w:rStyle w:val="IndexLink"/>
                <w:rtl w:val="true"/>
              </w:rPr>
              <w:tab/>
            </w:r>
            <w:r>
              <w:rPr>
                <w:rStyle w:val="IndexLink"/>
              </w:rPr>
              <w:t>584</w:t>
            </w:r>
          </w:hyperlink>
        </w:p>
        <w:p>
          <w:pPr>
            <w:pStyle w:val="Contents4"/>
            <w:tabs>
              <w:tab w:val="clear" w:pos="8176"/>
              <w:tab w:val="right" w:pos="9026" w:leader="dot"/>
            </w:tabs>
            <w:rPr/>
          </w:pPr>
          <w:hyperlink w:anchor="__RefHeading___Toc2495755_2142443653">
            <w:r>
              <w:rPr>
                <w:webHidden/>
                <w:rStyle w:val="IndexLink"/>
                <w:rtl w:val="true"/>
              </w:rPr>
              <w:t xml:space="preserve">وينبغي التنبيه على جهات </w:t>
            </w:r>
            <w:r>
              <w:rPr>
                <w:rStyle w:val="IndexLink"/>
                <w:rtl w:val="true"/>
              </w:rPr>
              <w:t>:</w:t>
              <w:tab/>
            </w:r>
            <w:r>
              <w:rPr>
                <w:rStyle w:val="IndexLink"/>
              </w:rPr>
              <w:t>585</w:t>
            </w:r>
          </w:hyperlink>
        </w:p>
        <w:p>
          <w:pPr>
            <w:pStyle w:val="Contents5"/>
            <w:tabs>
              <w:tab w:val="clear" w:pos="7892"/>
              <w:tab w:val="right" w:pos="9026" w:leader="dot"/>
            </w:tabs>
            <w:rPr/>
          </w:pPr>
          <w:hyperlink w:anchor="__RefHeading___Toc2495757_2142443653">
            <w:r>
              <w:rPr>
                <w:webHidden/>
                <w:rStyle w:val="IndexLink"/>
                <w:rtl w:val="true"/>
              </w:rPr>
              <w:t xml:space="preserve">الاُولى </w:t>
            </w:r>
            <w:r>
              <w:rPr>
                <w:rStyle w:val="IndexLink"/>
                <w:rtl w:val="true"/>
              </w:rPr>
              <w:t xml:space="preserve">: </w:t>
            </w:r>
            <w:r>
              <w:rPr>
                <w:rStyle w:val="IndexLink"/>
                <w:rtl w:val="true"/>
              </w:rPr>
              <w:t>المراد من إعواز المثل</w:t>
            </w:r>
            <w:r>
              <w:rPr>
                <w:rStyle w:val="IndexLink"/>
                <w:rtl w:val="true"/>
              </w:rPr>
              <w:tab/>
            </w:r>
            <w:r>
              <w:rPr>
                <w:rStyle w:val="IndexLink"/>
              </w:rPr>
              <w:t>585</w:t>
            </w:r>
          </w:hyperlink>
        </w:p>
        <w:p>
          <w:pPr>
            <w:pStyle w:val="Contents5"/>
            <w:tabs>
              <w:tab w:val="clear" w:pos="7892"/>
              <w:tab w:val="right" w:pos="9026" w:leader="dot"/>
            </w:tabs>
            <w:rPr/>
          </w:pPr>
          <w:hyperlink w:anchor="__RefHeading___Toc2495759_2142443653">
            <w:r>
              <w:rPr>
                <w:webHidden/>
                <w:rStyle w:val="IndexLink"/>
                <w:rtl w:val="true"/>
              </w:rPr>
              <w:t>مختار السيّد وجوابه</w:t>
            </w:r>
            <w:r>
              <w:rPr>
                <w:rStyle w:val="IndexLink"/>
                <w:rtl w:val="true"/>
              </w:rPr>
              <w:tab/>
            </w:r>
            <w:r>
              <w:rPr>
                <w:rStyle w:val="IndexLink"/>
              </w:rPr>
              <w:t>587</w:t>
            </w:r>
          </w:hyperlink>
        </w:p>
        <w:p>
          <w:pPr>
            <w:pStyle w:val="Contents5"/>
            <w:tabs>
              <w:tab w:val="clear" w:pos="7892"/>
              <w:tab w:val="right" w:pos="9026" w:leader="dot"/>
            </w:tabs>
            <w:rPr/>
          </w:pPr>
          <w:hyperlink w:anchor="__RefHeading___Toc2495761_2142443653">
            <w:r>
              <w:rPr>
                <w:webHidden/>
                <w:rStyle w:val="IndexLink"/>
                <w:rtl w:val="true"/>
              </w:rPr>
              <w:t>بيان كلام الشيخ في المقام</w:t>
            </w:r>
            <w:r>
              <w:rPr>
                <w:rStyle w:val="IndexLink"/>
                <w:rtl w:val="true"/>
              </w:rPr>
              <w:tab/>
            </w:r>
            <w:r>
              <w:rPr>
                <w:rStyle w:val="IndexLink"/>
              </w:rPr>
              <w:t>588</w:t>
            </w:r>
          </w:hyperlink>
        </w:p>
        <w:p>
          <w:pPr>
            <w:pStyle w:val="Contents5"/>
            <w:tabs>
              <w:tab w:val="clear" w:pos="7892"/>
              <w:tab w:val="right" w:pos="9026" w:leader="dot"/>
            </w:tabs>
            <w:rPr/>
          </w:pPr>
          <w:hyperlink w:anchor="__RefHeading___Toc2495763_2142443653">
            <w:r>
              <w:rPr>
                <w:webHidden/>
                <w:rStyle w:val="IndexLink"/>
                <w:rtl w:val="true"/>
              </w:rPr>
              <w:t>بناء العقلاء مقيّد لدليل السلطنة</w:t>
            </w:r>
            <w:r>
              <w:rPr>
                <w:rStyle w:val="IndexLink"/>
                <w:rtl w:val="true"/>
              </w:rPr>
              <w:tab/>
            </w:r>
            <w:r>
              <w:rPr>
                <w:rStyle w:val="IndexLink"/>
              </w:rPr>
              <w:t>589</w:t>
            </w:r>
          </w:hyperlink>
        </w:p>
        <w:p>
          <w:pPr>
            <w:pStyle w:val="Contents5"/>
            <w:tabs>
              <w:tab w:val="clear" w:pos="7892"/>
              <w:tab w:val="right" w:pos="9026" w:leader="dot"/>
            </w:tabs>
            <w:rPr/>
          </w:pPr>
          <w:hyperlink w:anchor="__RefHeading___Toc2495765_2142443653">
            <w:r>
              <w:rPr>
                <w:webHidden/>
                <w:rStyle w:val="IndexLink"/>
                <w:rtl w:val="true"/>
              </w:rPr>
              <w:t>عدم جواز المطالبة بقيمة المثل المتعذّر</w:t>
            </w:r>
            <w:r>
              <w:rPr>
                <w:rStyle w:val="IndexLink"/>
                <w:rtl w:val="true"/>
              </w:rPr>
              <w:tab/>
            </w:r>
            <w:r>
              <w:rPr>
                <w:rStyle w:val="IndexLink"/>
              </w:rPr>
              <w:t>590</w:t>
            </w:r>
          </w:hyperlink>
        </w:p>
        <w:p>
          <w:pPr>
            <w:pStyle w:val="Contents5"/>
            <w:tabs>
              <w:tab w:val="clear" w:pos="7892"/>
              <w:tab w:val="right" w:pos="9026" w:leader="dot"/>
            </w:tabs>
            <w:rPr/>
          </w:pPr>
          <w:hyperlink w:anchor="__RefHeading___Toc2495767_2142443653">
            <w:r>
              <w:rPr>
                <w:webHidden/>
                <w:rStyle w:val="IndexLink"/>
                <w:rtl w:val="true"/>
              </w:rPr>
              <w:t>بحث حول بعض أخبار السلم</w:t>
            </w:r>
            <w:r>
              <w:rPr>
                <w:rStyle w:val="IndexLink"/>
                <w:rtl w:val="true"/>
              </w:rPr>
              <w:tab/>
            </w:r>
            <w:r>
              <w:rPr>
                <w:rStyle w:val="IndexLink"/>
              </w:rPr>
              <w:t>591</w:t>
            </w:r>
          </w:hyperlink>
        </w:p>
        <w:p>
          <w:pPr>
            <w:pStyle w:val="Contents5"/>
            <w:tabs>
              <w:tab w:val="clear" w:pos="7892"/>
              <w:tab w:val="right" w:pos="9026" w:leader="dot"/>
            </w:tabs>
            <w:rPr/>
          </w:pPr>
          <w:hyperlink w:anchor="__RefHeading___Toc2495769_2142443653">
            <w:r>
              <w:rPr>
                <w:webHidden/>
                <w:rStyle w:val="IndexLink"/>
                <w:rtl w:val="true"/>
              </w:rPr>
              <w:t xml:space="preserve">الثانية </w:t>
            </w:r>
            <w:r>
              <w:rPr>
                <w:rStyle w:val="IndexLink"/>
                <w:rtl w:val="true"/>
              </w:rPr>
              <w:t xml:space="preserve">: </w:t>
            </w:r>
            <w:r>
              <w:rPr>
                <w:rStyle w:val="IndexLink"/>
                <w:rtl w:val="true"/>
              </w:rPr>
              <w:t>اختلاف القيمة باختلاف المباني</w:t>
            </w:r>
            <w:r>
              <w:rPr>
                <w:rStyle w:val="IndexLink"/>
                <w:rtl w:val="true"/>
              </w:rPr>
              <w:tab/>
            </w:r>
            <w:r>
              <w:rPr>
                <w:rStyle w:val="IndexLink"/>
              </w:rPr>
              <w:t>593</w:t>
            </w:r>
          </w:hyperlink>
        </w:p>
        <w:p>
          <w:pPr>
            <w:pStyle w:val="Contents5"/>
            <w:tabs>
              <w:tab w:val="clear" w:pos="7892"/>
              <w:tab w:val="right" w:pos="9026" w:leader="dot"/>
            </w:tabs>
            <w:rPr/>
          </w:pPr>
          <w:hyperlink w:anchor="__RefHeading___Toc2495771_2142443653">
            <w:r>
              <w:rPr>
                <w:webHidden/>
                <w:rStyle w:val="IndexLink"/>
                <w:rtl w:val="true"/>
              </w:rPr>
              <w:t xml:space="preserve">الثالثة </w:t>
            </w:r>
            <w:r>
              <w:rPr>
                <w:rStyle w:val="IndexLink"/>
                <w:rtl w:val="true"/>
              </w:rPr>
              <w:t xml:space="preserve">: </w:t>
            </w:r>
            <w:r>
              <w:rPr>
                <w:rStyle w:val="IndexLink"/>
                <w:rtl w:val="true"/>
              </w:rPr>
              <w:t>في ضمان العين التي سقطت ماليتها</w:t>
            </w:r>
            <w:r>
              <w:rPr>
                <w:rStyle w:val="IndexLink"/>
                <w:rtl w:val="true"/>
              </w:rPr>
              <w:tab/>
            </w:r>
            <w:r>
              <w:rPr>
                <w:rStyle w:val="IndexLink"/>
              </w:rPr>
              <w:t>596</w:t>
            </w:r>
          </w:hyperlink>
        </w:p>
        <w:p>
          <w:pPr>
            <w:pStyle w:val="Contents5"/>
            <w:tabs>
              <w:tab w:val="clear" w:pos="7892"/>
              <w:tab w:val="right" w:pos="9026" w:leader="dot"/>
            </w:tabs>
            <w:rPr/>
          </w:pPr>
          <w:hyperlink w:anchor="__RefHeading___Toc2495773_2142443653">
            <w:r>
              <w:rPr>
                <w:webHidden/>
                <w:rStyle w:val="IndexLink"/>
                <w:rtl w:val="true"/>
              </w:rPr>
              <w:t>بحث في أخبار الدراهم التي أسقط السلطان اعتبارها</w:t>
            </w:r>
            <w:r>
              <w:rPr>
                <w:rStyle w:val="IndexLink"/>
                <w:rtl w:val="true"/>
              </w:rPr>
              <w:tab/>
            </w:r>
            <w:r>
              <w:rPr>
                <w:rStyle w:val="IndexLink"/>
              </w:rPr>
              <w:t>598</w:t>
            </w:r>
          </w:hyperlink>
        </w:p>
        <w:p>
          <w:pPr>
            <w:pStyle w:val="Contents5"/>
            <w:tabs>
              <w:tab w:val="clear" w:pos="7892"/>
              <w:tab w:val="right" w:pos="9026" w:leader="dot"/>
            </w:tabs>
            <w:rPr/>
          </w:pPr>
          <w:hyperlink w:anchor="__RefHeading___Toc2495775_2142443653">
            <w:r>
              <w:rPr>
                <w:webHidden/>
                <w:rStyle w:val="IndexLink"/>
                <w:rtl w:val="true"/>
              </w:rPr>
              <w:t xml:space="preserve">الرابعة </w:t>
            </w:r>
            <w:r>
              <w:rPr>
                <w:rStyle w:val="IndexLink"/>
                <w:rtl w:val="true"/>
              </w:rPr>
              <w:t xml:space="preserve">: </w:t>
            </w:r>
            <w:r>
              <w:rPr>
                <w:rStyle w:val="IndexLink"/>
                <w:rtl w:val="true"/>
              </w:rPr>
              <w:t>حكم الشكّ في فراغ الذمّة بدفع ما سقط عن المالية</w:t>
            </w:r>
            <w:r>
              <w:rPr>
                <w:rStyle w:val="IndexLink"/>
                <w:rtl w:val="true"/>
              </w:rPr>
              <w:tab/>
            </w:r>
            <w:r>
              <w:rPr>
                <w:rStyle w:val="IndexLink"/>
              </w:rPr>
              <w:t>600</w:t>
            </w:r>
          </w:hyperlink>
        </w:p>
        <w:p>
          <w:pPr>
            <w:pStyle w:val="Contents5"/>
            <w:tabs>
              <w:tab w:val="clear" w:pos="7892"/>
              <w:tab w:val="right" w:pos="9026" w:leader="dot"/>
            </w:tabs>
            <w:rPr/>
          </w:pPr>
          <w:hyperlink w:anchor="__RefHeading___Toc2495777_2142443653">
            <w:r>
              <w:rPr>
                <w:webHidden/>
                <w:rStyle w:val="IndexLink"/>
                <w:rtl w:val="true"/>
              </w:rPr>
              <w:t>رأي المحقّق الأصفهاني وما فيه</w:t>
            </w:r>
            <w:r>
              <w:rPr>
                <w:rStyle w:val="IndexLink"/>
                <w:rtl w:val="true"/>
              </w:rPr>
              <w:tab/>
            </w:r>
            <w:r>
              <w:rPr>
                <w:rStyle w:val="IndexLink"/>
              </w:rPr>
              <w:t>601</w:t>
            </w:r>
          </w:hyperlink>
        </w:p>
        <w:p>
          <w:pPr>
            <w:pStyle w:val="Contents5"/>
            <w:tabs>
              <w:tab w:val="clear" w:pos="7892"/>
              <w:tab w:val="right" w:pos="9026" w:leader="dot"/>
            </w:tabs>
            <w:rPr/>
          </w:pPr>
          <w:hyperlink w:anchor="__RefHeading___Toc2495779_2142443653">
            <w:r>
              <w:rPr>
                <w:webHidden/>
                <w:rStyle w:val="IndexLink"/>
                <w:rtl w:val="true"/>
              </w:rPr>
              <w:t xml:space="preserve">الخامسة </w:t>
            </w:r>
            <w:r>
              <w:rPr>
                <w:rStyle w:val="IndexLink"/>
                <w:rtl w:val="true"/>
              </w:rPr>
              <w:t xml:space="preserve">: </w:t>
            </w:r>
            <w:r>
              <w:rPr>
                <w:rStyle w:val="IndexLink"/>
                <w:rtl w:val="true"/>
              </w:rPr>
              <w:t>حكم التمكّن من المثل بعد دفع القيمة</w:t>
            </w:r>
            <w:r>
              <w:rPr>
                <w:rStyle w:val="IndexLink"/>
                <w:rtl w:val="true"/>
              </w:rPr>
              <w:tab/>
            </w:r>
            <w:r>
              <w:rPr>
                <w:rStyle w:val="IndexLink"/>
              </w:rPr>
              <w:t>606</w:t>
            </w:r>
          </w:hyperlink>
        </w:p>
        <w:p>
          <w:pPr>
            <w:pStyle w:val="Contents3"/>
            <w:tabs>
              <w:tab w:val="clear" w:pos="8459"/>
              <w:tab w:val="right" w:pos="9026" w:leader="dot"/>
            </w:tabs>
            <w:rPr/>
          </w:pPr>
          <w:hyperlink w:anchor="__RefHeading___Toc2495781_2142443653">
            <w:r>
              <w:rPr>
                <w:webHidden/>
                <w:rStyle w:val="IndexLink"/>
                <w:rtl w:val="true"/>
              </w:rPr>
              <w:t xml:space="preserve">الأمر السابع </w:t>
            </w:r>
            <w:r>
              <w:rPr>
                <w:rStyle w:val="IndexLink"/>
                <w:rtl w:val="true"/>
              </w:rPr>
              <w:t xml:space="preserve">: </w:t>
            </w:r>
            <w:r>
              <w:rPr>
                <w:rStyle w:val="IndexLink"/>
                <w:rtl w:val="true"/>
              </w:rPr>
              <w:t>في ضمان القيمة لو كان المأخوذ بالبيع الفاسد قيمياً</w:t>
            </w:r>
            <w:r>
              <w:rPr>
                <w:rStyle w:val="IndexLink"/>
                <w:rtl w:val="true"/>
              </w:rPr>
              <w:tab/>
            </w:r>
            <w:r>
              <w:rPr>
                <w:rStyle w:val="IndexLink"/>
              </w:rPr>
              <w:t>609</w:t>
            </w:r>
          </w:hyperlink>
        </w:p>
        <w:p>
          <w:pPr>
            <w:pStyle w:val="Contents4"/>
            <w:tabs>
              <w:tab w:val="clear" w:pos="8176"/>
              <w:tab w:val="right" w:pos="9026" w:leader="dot"/>
            </w:tabs>
            <w:rPr/>
          </w:pPr>
          <w:hyperlink w:anchor="__RefHeading___Toc2495783_2142443653">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2495785_2142443653">
            <w:r>
              <w:rPr>
                <w:webHidden/>
                <w:rStyle w:val="IndexLink"/>
                <w:rtl w:val="true"/>
              </w:rPr>
              <w:t>مقتضى الأخبار ضمان الأشياء بالقيمة حتّى في المثلي</w:t>
            </w:r>
            <w:r>
              <w:rPr>
                <w:rStyle w:val="IndexLink"/>
                <w:rtl w:val="true"/>
              </w:rPr>
              <w:tab/>
            </w:r>
            <w:r>
              <w:rPr>
                <w:rStyle w:val="IndexLink"/>
              </w:rPr>
              <w:t>612</w:t>
            </w:r>
          </w:hyperlink>
        </w:p>
        <w:p>
          <w:pPr>
            <w:pStyle w:val="Contents4"/>
            <w:tabs>
              <w:tab w:val="clear" w:pos="8176"/>
              <w:tab w:val="right" w:pos="9026" w:leader="dot"/>
            </w:tabs>
            <w:rPr/>
          </w:pPr>
          <w:hyperlink w:anchor="__RefHeading___Toc2495787_2142443653">
            <w:r>
              <w:rPr>
                <w:webHidden/>
                <w:rStyle w:val="IndexLink"/>
                <w:rtl w:val="true"/>
              </w:rPr>
              <w:t>خروج المثلي الذي وجد مثله عن مقتضى الأخبار</w:t>
            </w:r>
            <w:r>
              <w:rPr>
                <w:rStyle w:val="IndexLink"/>
                <w:rtl w:val="true"/>
              </w:rPr>
              <w:tab/>
            </w:r>
            <w:r>
              <w:rPr>
                <w:rStyle w:val="IndexLink"/>
              </w:rPr>
              <w:t>620</w:t>
            </w:r>
          </w:hyperlink>
        </w:p>
        <w:p>
          <w:pPr>
            <w:pStyle w:val="Contents4"/>
            <w:tabs>
              <w:tab w:val="clear" w:pos="8176"/>
              <w:tab w:val="right" w:pos="9026" w:leader="dot"/>
            </w:tabs>
            <w:rPr/>
          </w:pPr>
          <w:hyperlink w:anchor="__RefHeading___Toc2495789_2142443653">
            <w:r>
              <w:rPr>
                <w:webHidden/>
                <w:rStyle w:val="IndexLink"/>
                <w:rtl w:val="true"/>
              </w:rPr>
              <w:t>الملاك في تعيين القيمة في القيمي</w:t>
            </w:r>
            <w:r>
              <w:rPr>
                <w:rStyle w:val="IndexLink"/>
                <w:rtl w:val="true"/>
              </w:rPr>
              <w:tab/>
            </w:r>
            <w:r>
              <w:rPr>
                <w:rStyle w:val="IndexLink"/>
              </w:rPr>
              <w:t>622</w:t>
            </w:r>
          </w:hyperlink>
        </w:p>
        <w:p>
          <w:pPr>
            <w:pStyle w:val="Contents4"/>
            <w:tabs>
              <w:tab w:val="clear" w:pos="8176"/>
              <w:tab w:val="right" w:pos="9026" w:leader="dot"/>
            </w:tabs>
            <w:rPr/>
          </w:pPr>
          <w:hyperlink w:anchor="__RefHeading___Toc2495791_2142443653">
            <w:r>
              <w:rPr>
                <w:webHidden/>
                <w:rStyle w:val="IndexLink"/>
                <w:rtl w:val="true"/>
              </w:rPr>
              <w:t>مقتضى القواعد وإطلاقات أدلّة الضمان</w:t>
            </w:r>
            <w:r>
              <w:rPr>
                <w:rStyle w:val="IndexLink"/>
                <w:rtl w:val="true"/>
              </w:rPr>
              <w:tab/>
            </w:r>
            <w:r>
              <w:rPr>
                <w:rStyle w:val="IndexLink"/>
              </w:rPr>
              <w:t>622</w:t>
            </w:r>
          </w:hyperlink>
        </w:p>
        <w:p>
          <w:pPr>
            <w:pStyle w:val="Contents4"/>
            <w:tabs>
              <w:tab w:val="clear" w:pos="8176"/>
              <w:tab w:val="right" w:pos="9026" w:leader="dot"/>
            </w:tabs>
            <w:rPr/>
          </w:pPr>
          <w:hyperlink w:anchor="__RefHeading___Toc2495793_2142443653">
            <w:r>
              <w:rPr>
                <w:webHidden/>
                <w:rStyle w:val="IndexLink"/>
                <w:rtl w:val="true"/>
              </w:rPr>
              <w:t>الاستدلال بفقرتین من صحيحة أبي ولاّد على اعتبار قيمة يوم التلف</w:t>
            </w:r>
            <w:r>
              <w:rPr>
                <w:rStyle w:val="IndexLink"/>
                <w:rtl w:val="true"/>
              </w:rPr>
              <w:tab/>
            </w:r>
            <w:r>
              <w:rPr>
                <w:rStyle w:val="IndexLink"/>
              </w:rPr>
              <w:t>626</w:t>
            </w:r>
          </w:hyperlink>
        </w:p>
        <w:p>
          <w:pPr>
            <w:pStyle w:val="Contents4"/>
            <w:tabs>
              <w:tab w:val="clear" w:pos="8176"/>
              <w:tab w:val="right" w:pos="9026" w:leader="dot"/>
            </w:tabs>
            <w:rPr/>
          </w:pPr>
          <w:hyperlink w:anchor="__RefHeading___Toc2495795_2142443653">
            <w:r>
              <w:rPr>
                <w:webHidden/>
                <w:rStyle w:val="IndexLink"/>
                <w:rtl w:val="true"/>
              </w:rPr>
              <w:t>الفقرة الاُولى الدالّة على ضمان قيمة يوم التلف</w:t>
            </w:r>
            <w:r>
              <w:rPr>
                <w:rStyle w:val="IndexLink"/>
                <w:rtl w:val="true"/>
              </w:rPr>
              <w:tab/>
            </w:r>
            <w:r>
              <w:rPr>
                <w:rStyle w:val="IndexLink"/>
              </w:rPr>
              <w:t>630</w:t>
            </w:r>
          </w:hyperlink>
        </w:p>
        <w:p>
          <w:pPr>
            <w:pStyle w:val="Contents4"/>
            <w:tabs>
              <w:tab w:val="clear" w:pos="8176"/>
              <w:tab w:val="right" w:pos="9026" w:leader="dot"/>
            </w:tabs>
            <w:rPr/>
          </w:pPr>
          <w:hyperlink w:anchor="__RefHeading___Toc2495797_2142443653">
            <w:r>
              <w:rPr>
                <w:webHidden/>
                <w:rStyle w:val="IndexLink"/>
                <w:rtl w:val="true"/>
              </w:rPr>
              <w:t>كلام الشيخ الأعظم وما فيه</w:t>
            </w:r>
            <w:r>
              <w:rPr>
                <w:rStyle w:val="IndexLink"/>
                <w:rtl w:val="true"/>
              </w:rPr>
              <w:tab/>
            </w:r>
            <w:r>
              <w:rPr>
                <w:rStyle w:val="IndexLink"/>
              </w:rPr>
              <w:t>631</w:t>
            </w:r>
          </w:hyperlink>
        </w:p>
        <w:p>
          <w:pPr>
            <w:pStyle w:val="Contents4"/>
            <w:tabs>
              <w:tab w:val="clear" w:pos="8176"/>
              <w:tab w:val="right" w:pos="9026" w:leader="dot"/>
            </w:tabs>
            <w:rPr/>
          </w:pPr>
          <w:hyperlink w:anchor="__RefHeading___Toc2495799_2142443653">
            <w:r>
              <w:rPr>
                <w:webHidden/>
                <w:rStyle w:val="IndexLink"/>
                <w:rtl w:val="true"/>
              </w:rPr>
              <w:t xml:space="preserve">المحتملات بناءً على تجرّد البغل من </w:t>
            </w:r>
            <w:r>
              <w:rPr>
                <w:rStyle w:val="IndexLink"/>
                <w:rtl w:val="true"/>
              </w:rPr>
              <w:t>«</w:t>
            </w:r>
            <w:r>
              <w:rPr>
                <w:rStyle w:val="IndexLink"/>
                <w:rtl w:val="true"/>
              </w:rPr>
              <w:t>اللام</w:t>
            </w:r>
            <w:r>
              <w:rPr>
                <w:rStyle w:val="IndexLink"/>
                <w:rtl w:val="true"/>
              </w:rPr>
              <w:t>»</w:t>
              <w:tab/>
            </w:r>
            <w:r>
              <w:rPr>
                <w:rStyle w:val="IndexLink"/>
              </w:rPr>
              <w:t>636</w:t>
            </w:r>
          </w:hyperlink>
        </w:p>
        <w:p>
          <w:pPr>
            <w:pStyle w:val="Contents4"/>
            <w:tabs>
              <w:tab w:val="clear" w:pos="8176"/>
              <w:tab w:val="right" w:pos="9026" w:leader="dot"/>
            </w:tabs>
            <w:rPr/>
          </w:pPr>
          <w:hyperlink w:anchor="__RefHeading___Toc2495801_2142443653">
            <w:r>
              <w:rPr>
                <w:webHidden/>
                <w:rStyle w:val="IndexLink"/>
                <w:rtl w:val="true"/>
              </w:rPr>
              <w:t xml:space="preserve">استظهار تعلّق </w:t>
            </w:r>
            <w:r>
              <w:rPr>
                <w:rStyle w:val="IndexLink"/>
                <w:rtl w:val="true"/>
              </w:rPr>
              <w:t>«</w:t>
            </w:r>
            <w:r>
              <w:rPr>
                <w:rStyle w:val="IndexLink"/>
                <w:rtl w:val="true"/>
              </w:rPr>
              <w:t>يوم تردّه</w:t>
            </w:r>
            <w:r>
              <w:rPr>
                <w:rStyle w:val="IndexLink"/>
                <w:rtl w:val="true"/>
              </w:rPr>
              <w:t xml:space="preserve">» </w:t>
            </w:r>
            <w:r>
              <w:rPr>
                <w:rStyle w:val="IndexLink"/>
                <w:rtl w:val="true"/>
              </w:rPr>
              <w:t>ب</w:t>
            </w:r>
            <w:r>
              <w:rPr>
                <w:rStyle w:val="IndexLink"/>
                <w:rtl w:val="true"/>
              </w:rPr>
              <w:t>- «</w:t>
            </w:r>
            <w:r>
              <w:rPr>
                <w:rStyle w:val="IndexLink"/>
                <w:rtl w:val="true"/>
              </w:rPr>
              <w:t>عليك</w:t>
            </w:r>
            <w:r>
              <w:rPr>
                <w:rStyle w:val="IndexLink"/>
                <w:rtl w:val="true"/>
              </w:rPr>
              <w:t>»</w:t>
              <w:tab/>
            </w:r>
            <w:r>
              <w:rPr>
                <w:rStyle w:val="IndexLink"/>
              </w:rPr>
              <w:t>637</w:t>
            </w:r>
          </w:hyperlink>
        </w:p>
        <w:p>
          <w:pPr>
            <w:pStyle w:val="Contents4"/>
            <w:tabs>
              <w:tab w:val="clear" w:pos="8176"/>
              <w:tab w:val="right" w:pos="9026" w:leader="dot"/>
            </w:tabs>
            <w:rPr/>
          </w:pPr>
          <w:hyperlink w:anchor="__RefHeading___Toc2495803_2142443653">
            <w:r>
              <w:rPr>
                <w:webHidden/>
                <w:rStyle w:val="IndexLink"/>
                <w:rtl w:val="true"/>
              </w:rPr>
              <w:t>تفصيل في ضمان العيب بعد ارتفاعه</w:t>
            </w:r>
            <w:r>
              <w:rPr>
                <w:rStyle w:val="IndexLink"/>
                <w:rtl w:val="true"/>
              </w:rPr>
              <w:tab/>
            </w:r>
            <w:r>
              <w:rPr>
                <w:rStyle w:val="IndexLink"/>
              </w:rPr>
              <w:t>639</w:t>
            </w:r>
          </w:hyperlink>
        </w:p>
        <w:p>
          <w:pPr>
            <w:pStyle w:val="Contents4"/>
            <w:tabs>
              <w:tab w:val="clear" w:pos="8176"/>
              <w:tab w:val="right" w:pos="9026" w:leader="dot"/>
            </w:tabs>
            <w:rPr/>
          </w:pPr>
          <w:hyperlink w:anchor="__RefHeading___Toc2495805_2142443653">
            <w:r>
              <w:rPr>
                <w:webHidden/>
                <w:rStyle w:val="IndexLink"/>
                <w:rtl w:val="true"/>
              </w:rPr>
              <w:t xml:space="preserve">المراد من قوله </w:t>
            </w:r>
            <w:r>
              <w:rPr>
                <w:rStyle w:val="IndexLink"/>
                <w:rtl w:val="true"/>
              </w:rPr>
              <w:t>: «</w:t>
            </w:r>
            <w:r>
              <w:rPr>
                <w:rStyle w:val="IndexLink"/>
                <w:rtl w:val="true"/>
              </w:rPr>
              <w:t>فمن يعرف ذلك؟</w:t>
            </w:r>
            <w:r>
              <w:rPr>
                <w:rStyle w:val="IndexLink"/>
                <w:rtl w:val="true"/>
              </w:rPr>
              <w:t>»</w:t>
              <w:tab/>
            </w:r>
            <w:r>
              <w:rPr>
                <w:rStyle w:val="IndexLink"/>
              </w:rPr>
              <w:t>640</w:t>
            </w:r>
          </w:hyperlink>
        </w:p>
        <w:p>
          <w:pPr>
            <w:pStyle w:val="Contents4"/>
            <w:tabs>
              <w:tab w:val="clear" w:pos="8176"/>
              <w:tab w:val="right" w:pos="9026" w:leader="dot"/>
            </w:tabs>
            <w:rPr/>
          </w:pPr>
          <w:hyperlink w:anchor="__RefHeading___Toc2495807_2142443653">
            <w:r>
              <w:rPr>
                <w:webHidden/>
                <w:rStyle w:val="IndexLink"/>
                <w:rtl w:val="true"/>
              </w:rPr>
              <w:t>الفقرة الثانية المتوهّم دلالتها على ضمان قيمة يوم التلف</w:t>
            </w:r>
            <w:r>
              <w:rPr>
                <w:rStyle w:val="IndexLink"/>
                <w:rtl w:val="true"/>
              </w:rPr>
              <w:tab/>
            </w:r>
            <w:r>
              <w:rPr>
                <w:rStyle w:val="IndexLink"/>
              </w:rPr>
              <w:t>641</w:t>
            </w:r>
          </w:hyperlink>
        </w:p>
        <w:p>
          <w:pPr>
            <w:pStyle w:val="Contents4"/>
            <w:tabs>
              <w:tab w:val="clear" w:pos="8176"/>
              <w:tab w:val="right" w:pos="9026" w:leader="dot"/>
            </w:tabs>
            <w:rPr/>
          </w:pPr>
          <w:hyperlink w:anchor="__RefHeading___Toc2495809_2142443653">
            <w:r>
              <w:rPr>
                <w:webHidden/>
                <w:rStyle w:val="IndexLink"/>
                <w:rtl w:val="true"/>
              </w:rPr>
              <w:t>تكفّل الصحيحة لحكم الضمان مطلقاً لا خصوص الغصب</w:t>
            </w:r>
            <w:r>
              <w:rPr>
                <w:rStyle w:val="IndexLink"/>
                <w:rtl w:val="true"/>
              </w:rPr>
              <w:tab/>
            </w:r>
            <w:r>
              <w:rPr>
                <w:rStyle w:val="IndexLink"/>
              </w:rPr>
              <w:t>644</w:t>
            </w:r>
          </w:hyperlink>
        </w:p>
        <w:p>
          <w:pPr>
            <w:pStyle w:val="Contents4"/>
            <w:tabs>
              <w:tab w:val="clear" w:pos="8176"/>
              <w:tab w:val="right" w:pos="9026" w:leader="dot"/>
            </w:tabs>
            <w:rPr/>
          </w:pPr>
          <w:hyperlink w:anchor="__RefHeading___Toc2495811_2142443653">
            <w:r>
              <w:rPr>
                <w:webHidden/>
                <w:rStyle w:val="IndexLink"/>
                <w:rtl w:val="true"/>
              </w:rPr>
              <w:t>الاستدلال بروايات الرهن على اعتبار قيمة يوم التلف</w:t>
            </w:r>
            <w:r>
              <w:rPr>
                <w:rStyle w:val="IndexLink"/>
                <w:rtl w:val="true"/>
              </w:rPr>
              <w:tab/>
            </w:r>
            <w:r>
              <w:rPr>
                <w:rStyle w:val="IndexLink"/>
              </w:rPr>
              <w:t>645</w:t>
            </w:r>
          </w:hyperlink>
        </w:p>
        <w:p>
          <w:pPr>
            <w:pStyle w:val="Contents4"/>
            <w:tabs>
              <w:tab w:val="clear" w:pos="8176"/>
              <w:tab w:val="right" w:pos="9026" w:leader="dot"/>
            </w:tabs>
            <w:rPr/>
          </w:pPr>
          <w:hyperlink w:anchor="__RefHeading___Toc2495813_2142443653">
            <w:r>
              <w:rPr>
                <w:webHidden/>
                <w:rStyle w:val="IndexLink"/>
                <w:rtl w:val="true"/>
              </w:rPr>
              <w:t>الروايات التي استدلّ بها على اعتبار قيمة يوم الأداء</w:t>
            </w:r>
            <w:r>
              <w:rPr>
                <w:rStyle w:val="IndexLink"/>
                <w:rtl w:val="true"/>
              </w:rPr>
              <w:tab/>
            </w:r>
            <w:r>
              <w:rPr>
                <w:rStyle w:val="IndexLink"/>
              </w:rPr>
              <w:t>648</w:t>
            </w:r>
          </w:hyperlink>
        </w:p>
        <w:p>
          <w:pPr>
            <w:pStyle w:val="Contents4"/>
            <w:tabs>
              <w:tab w:val="clear" w:pos="8176"/>
              <w:tab w:val="right" w:pos="9026" w:leader="dot"/>
            </w:tabs>
            <w:rPr/>
          </w:pPr>
          <w:hyperlink w:anchor="__RefHeading___Toc2495815_2142443653">
            <w:r>
              <w:rPr>
                <w:webHidden/>
                <w:rStyle w:val="IndexLink"/>
                <w:rtl w:val="true"/>
              </w:rPr>
              <w:t>استشهاد الشهيد الثاني بصحيحة أبي ولاّد على اعتبار أعلى القيم</w:t>
            </w:r>
            <w:r>
              <w:rPr>
                <w:rStyle w:val="IndexLink"/>
                <w:rtl w:val="true"/>
              </w:rPr>
              <w:tab/>
            </w:r>
            <w:r>
              <w:rPr>
                <w:rStyle w:val="IndexLink"/>
              </w:rPr>
              <w:t>649</w:t>
            </w:r>
          </w:hyperlink>
        </w:p>
        <w:p>
          <w:pPr>
            <w:pStyle w:val="Contents4"/>
            <w:tabs>
              <w:tab w:val="clear" w:pos="8176"/>
              <w:tab w:val="right" w:pos="9026" w:leader="dot"/>
            </w:tabs>
            <w:rPr/>
          </w:pPr>
          <w:hyperlink w:anchor="__RefHeading___Toc2495817_2142443653">
            <w:r>
              <w:rPr>
                <w:webHidden/>
                <w:rStyle w:val="IndexLink"/>
                <w:rtl w:val="true"/>
              </w:rPr>
              <w:t>الاستناد إلى حديث اليد لإثبات أعلى القيم</w:t>
            </w:r>
            <w:r>
              <w:rPr>
                <w:rStyle w:val="IndexLink"/>
                <w:rtl w:val="true"/>
              </w:rPr>
              <w:tab/>
            </w:r>
            <w:r>
              <w:rPr>
                <w:rStyle w:val="IndexLink"/>
              </w:rPr>
              <w:t>651</w:t>
            </w:r>
          </w:hyperlink>
        </w:p>
        <w:p>
          <w:pPr>
            <w:pStyle w:val="Contents4"/>
            <w:tabs>
              <w:tab w:val="clear" w:pos="8176"/>
              <w:tab w:val="right" w:pos="9026" w:leader="dot"/>
            </w:tabs>
            <w:rPr/>
          </w:pPr>
          <w:hyperlink w:anchor="__RefHeading___Toc2495819_2142443653">
            <w:r>
              <w:rPr>
                <w:webHidden/>
                <w:rStyle w:val="IndexLink"/>
                <w:rtl w:val="true"/>
              </w:rPr>
              <w:t>الاستناد إلى قاعدة نفي الضرر وآية الاعتداء لإثبات أعلى القيم</w:t>
            </w:r>
            <w:r>
              <w:rPr>
                <w:rStyle w:val="IndexLink"/>
                <w:rtl w:val="true"/>
              </w:rPr>
              <w:tab/>
            </w:r>
            <w:r>
              <w:rPr>
                <w:rStyle w:val="IndexLink"/>
              </w:rPr>
              <w:t>654</w:t>
            </w:r>
          </w:hyperlink>
        </w:p>
        <w:p>
          <w:pPr>
            <w:pStyle w:val="Contents4"/>
            <w:tabs>
              <w:tab w:val="clear" w:pos="8176"/>
              <w:tab w:val="right" w:pos="9026" w:leader="dot"/>
            </w:tabs>
            <w:rPr/>
          </w:pPr>
          <w:hyperlink w:anchor="__RefHeading___Toc2495821_2142443653">
            <w:r>
              <w:rPr>
                <w:webHidden/>
                <w:rStyle w:val="IndexLink"/>
                <w:rtl w:val="true"/>
              </w:rPr>
              <w:t>الاستدلال بالاُصول لإثبات أعلى القيم</w:t>
            </w:r>
            <w:r>
              <w:rPr>
                <w:rStyle w:val="IndexLink"/>
                <w:rtl w:val="true"/>
              </w:rPr>
              <w:tab/>
            </w:r>
            <w:r>
              <w:rPr>
                <w:rStyle w:val="IndexLink"/>
              </w:rPr>
              <w:t>655</w:t>
            </w:r>
          </w:hyperlink>
        </w:p>
        <w:p>
          <w:pPr>
            <w:pStyle w:val="Contents4"/>
            <w:tabs>
              <w:tab w:val="clear" w:pos="8176"/>
              <w:tab w:val="right" w:pos="9026" w:leader="dot"/>
            </w:tabs>
            <w:rPr/>
          </w:pPr>
          <w:hyperlink w:anchor="__RefHeading___Toc2495823_2142443653">
            <w:r>
              <w:rPr>
                <w:webHidden/>
                <w:rStyle w:val="IndexLink"/>
                <w:rtl w:val="true"/>
              </w:rPr>
              <w:t>عدم الاعتبار بزيادة القيمة بعد التلف</w:t>
            </w:r>
            <w:r>
              <w:rPr>
                <w:rStyle w:val="IndexLink"/>
                <w:rtl w:val="true"/>
              </w:rPr>
              <w:tab/>
            </w:r>
            <w:r>
              <w:rPr>
                <w:rStyle w:val="IndexLink"/>
              </w:rPr>
              <w:t>658</w:t>
            </w:r>
          </w:hyperlink>
        </w:p>
        <w:p>
          <w:pPr>
            <w:pStyle w:val="Contents4"/>
            <w:tabs>
              <w:tab w:val="clear" w:pos="8176"/>
              <w:tab w:val="right" w:pos="9026" w:leader="dot"/>
            </w:tabs>
            <w:rPr/>
          </w:pPr>
          <w:hyperlink w:anchor="__RefHeading___Toc2495825_2142443653">
            <w:r>
              <w:rPr>
                <w:webHidden/>
                <w:rStyle w:val="IndexLink"/>
                <w:rtl w:val="true"/>
              </w:rPr>
              <w:t>الاعتبار بقيمة مكان التلف</w:t>
            </w:r>
            <w:r>
              <w:rPr>
                <w:rStyle w:val="IndexLink"/>
                <w:rtl w:val="true"/>
              </w:rPr>
              <w:tab/>
            </w:r>
            <w:r>
              <w:rPr>
                <w:rStyle w:val="IndexLink"/>
              </w:rPr>
              <w:t>659</w:t>
            </w:r>
          </w:hyperlink>
        </w:p>
        <w:p>
          <w:pPr>
            <w:pStyle w:val="Contents4"/>
            <w:tabs>
              <w:tab w:val="clear" w:pos="8176"/>
              <w:tab w:val="right" w:pos="9026" w:leader="dot"/>
            </w:tabs>
            <w:rPr/>
          </w:pPr>
          <w:hyperlink w:anchor="__RefHeading___Toc2495827_2142443653">
            <w:r>
              <w:rPr>
                <w:webHidden/>
                <w:rStyle w:val="IndexLink"/>
                <w:rtl w:val="true"/>
              </w:rPr>
              <w:t>الكلام في بدل الحيلولة</w:t>
            </w:r>
            <w:r>
              <w:rPr>
                <w:rStyle w:val="IndexLink"/>
                <w:rtl w:val="true"/>
              </w:rPr>
              <w:tab/>
            </w:r>
            <w:r>
              <w:rPr>
                <w:rStyle w:val="IndexLink"/>
              </w:rPr>
              <w:t>661</w:t>
            </w:r>
          </w:hyperlink>
        </w:p>
        <w:p>
          <w:pPr>
            <w:pStyle w:val="Contents5"/>
            <w:tabs>
              <w:tab w:val="clear" w:pos="7892"/>
              <w:tab w:val="right" w:pos="9026" w:leader="dot"/>
            </w:tabs>
            <w:rPr/>
          </w:pPr>
          <w:hyperlink w:anchor="__RefHeading___Toc2495829_2142443653">
            <w:r>
              <w:rPr>
                <w:webHidden/>
                <w:rStyle w:val="IndexLink"/>
                <w:rtl w:val="true"/>
              </w:rPr>
              <w:t>اشارة</w:t>
            </w:r>
            <w:r>
              <w:rPr>
                <w:rStyle w:val="IndexLink"/>
                <w:rtl w:val="true"/>
              </w:rPr>
              <w:tab/>
            </w:r>
            <w:r>
              <w:rPr>
                <w:rStyle w:val="IndexLink"/>
              </w:rPr>
              <w:t>661</w:t>
            </w:r>
          </w:hyperlink>
        </w:p>
        <w:p>
          <w:pPr>
            <w:pStyle w:val="Contents5"/>
            <w:tabs>
              <w:tab w:val="clear" w:pos="7892"/>
              <w:tab w:val="right" w:pos="9026" w:leader="dot"/>
            </w:tabs>
            <w:rPr/>
          </w:pPr>
          <w:hyperlink w:anchor="__RefHeading___Toc2495831_2142443653">
            <w:r>
              <w:rPr>
                <w:webHidden/>
                <w:rStyle w:val="IndexLink"/>
                <w:rtl w:val="true"/>
              </w:rPr>
              <w:t>الاستدلال بقاعدة اليد على بدل الحيلولة</w:t>
            </w:r>
            <w:r>
              <w:rPr>
                <w:rStyle w:val="IndexLink"/>
                <w:rtl w:val="true"/>
              </w:rPr>
              <w:tab/>
            </w:r>
            <w:r>
              <w:rPr>
                <w:rStyle w:val="IndexLink"/>
              </w:rPr>
              <w:t>661</w:t>
            </w:r>
          </w:hyperlink>
        </w:p>
        <w:p>
          <w:pPr>
            <w:pStyle w:val="Contents5"/>
            <w:tabs>
              <w:tab w:val="clear" w:pos="7892"/>
              <w:tab w:val="right" w:pos="9026" w:leader="dot"/>
            </w:tabs>
            <w:rPr/>
          </w:pPr>
          <w:hyperlink w:anchor="__RefHeading___Toc2495833_2142443653">
            <w:r>
              <w:rPr>
                <w:webHidden/>
                <w:rStyle w:val="IndexLink"/>
                <w:rtl w:val="true"/>
              </w:rPr>
              <w:t>الاستدلال بقاعدة السلطنة على بدل الحيلولة</w:t>
            </w:r>
            <w:r>
              <w:rPr>
                <w:rStyle w:val="IndexLink"/>
                <w:rtl w:val="true"/>
              </w:rPr>
              <w:tab/>
            </w:r>
            <w:r>
              <w:rPr>
                <w:rStyle w:val="IndexLink"/>
              </w:rPr>
              <w:t>664</w:t>
            </w:r>
          </w:hyperlink>
        </w:p>
        <w:p>
          <w:pPr>
            <w:pStyle w:val="Contents5"/>
            <w:tabs>
              <w:tab w:val="clear" w:pos="7892"/>
              <w:tab w:val="right" w:pos="9026" w:leader="dot"/>
            </w:tabs>
            <w:rPr/>
          </w:pPr>
          <w:hyperlink w:anchor="__RefHeading___Toc2495835_2142443653">
            <w:r>
              <w:rPr>
                <w:webHidden/>
                <w:rStyle w:val="IndexLink"/>
                <w:rtl w:val="true"/>
              </w:rPr>
              <w:t>الاستدلال بحديث نفي الضرر على بدل الحيلولة</w:t>
            </w:r>
            <w:r>
              <w:rPr>
                <w:rStyle w:val="IndexLink"/>
                <w:rtl w:val="true"/>
              </w:rPr>
              <w:tab/>
            </w:r>
            <w:r>
              <w:rPr>
                <w:rStyle w:val="IndexLink"/>
              </w:rPr>
              <w:t>666</w:t>
            </w:r>
          </w:hyperlink>
        </w:p>
        <w:p>
          <w:pPr>
            <w:pStyle w:val="Contents5"/>
            <w:tabs>
              <w:tab w:val="clear" w:pos="7892"/>
              <w:tab w:val="right" w:pos="9026" w:leader="dot"/>
            </w:tabs>
            <w:rPr/>
          </w:pPr>
          <w:hyperlink w:anchor="__RefHeading___Toc2495837_2142443653">
            <w:r>
              <w:rPr>
                <w:webHidden/>
                <w:rStyle w:val="IndexLink"/>
                <w:rtl w:val="true"/>
              </w:rPr>
              <w:t xml:space="preserve">هذا كلّه في ضمان بدل الحيلولة في الجملة ، ويتمّ الكلام في فروعه في ضمن اُمور </w:t>
            </w:r>
            <w:r>
              <w:rPr>
                <w:rStyle w:val="IndexLink"/>
                <w:rtl w:val="true"/>
              </w:rPr>
              <w:t>:</w:t>
              <w:tab/>
            </w:r>
            <w:r>
              <w:rPr>
                <w:rStyle w:val="IndexLink"/>
              </w:rPr>
              <w:t>667</w:t>
            </w:r>
          </w:hyperlink>
        </w:p>
        <w:p>
          <w:pPr>
            <w:pStyle w:val="Contents6"/>
            <w:tabs>
              <w:tab w:val="clear" w:pos="7609"/>
              <w:tab w:val="right" w:pos="9026" w:leader="dot"/>
            </w:tabs>
            <w:rPr/>
          </w:pPr>
          <w:hyperlink w:anchor="__RefHeading___Toc2495839_2142443653">
            <w:r>
              <w:rPr>
                <w:webHidden/>
                <w:rStyle w:val="IndexLink"/>
                <w:rtl w:val="true"/>
              </w:rPr>
              <w:t xml:space="preserve">الأوّل </w:t>
            </w:r>
            <w:r>
              <w:rPr>
                <w:rStyle w:val="IndexLink"/>
                <w:rtl w:val="true"/>
              </w:rPr>
              <w:t xml:space="preserve">: </w:t>
            </w:r>
            <w:r>
              <w:rPr>
                <w:rStyle w:val="IndexLink"/>
                <w:rtl w:val="true"/>
              </w:rPr>
              <w:t>تقريب الاستدلال بحديث اليد لإثبات الضمان في صور التعذّر</w:t>
            </w:r>
            <w:r>
              <w:rPr>
                <w:rStyle w:val="IndexLink"/>
                <w:rtl w:val="true"/>
              </w:rPr>
              <w:tab/>
            </w:r>
            <w:r>
              <w:rPr>
                <w:rStyle w:val="IndexLink"/>
              </w:rPr>
              <w:t>667</w:t>
            </w:r>
          </w:hyperlink>
        </w:p>
        <w:p>
          <w:pPr>
            <w:pStyle w:val="Contents6"/>
            <w:tabs>
              <w:tab w:val="clear" w:pos="7609"/>
              <w:tab w:val="right" w:pos="9026" w:leader="dot"/>
            </w:tabs>
            <w:rPr/>
          </w:pPr>
          <w:hyperlink w:anchor="__RefHeading___Toc2495841_2142443653">
            <w:r>
              <w:rPr>
                <w:webHidden/>
                <w:rStyle w:val="IndexLink"/>
                <w:rtl w:val="true"/>
              </w:rPr>
              <w:t xml:space="preserve">الثاني </w:t>
            </w:r>
            <w:r>
              <w:rPr>
                <w:rStyle w:val="IndexLink"/>
                <w:rtl w:val="true"/>
              </w:rPr>
              <w:t xml:space="preserve">: </w:t>
            </w:r>
            <w:r>
              <w:rPr>
                <w:rStyle w:val="IndexLink"/>
                <w:rtl w:val="true"/>
              </w:rPr>
              <w:t>في ثبوت أحكام تلف العين عند تعذّرها</w:t>
            </w:r>
            <w:r>
              <w:rPr>
                <w:rStyle w:val="IndexLink"/>
                <w:rtl w:val="true"/>
              </w:rPr>
              <w:tab/>
            </w:r>
            <w:r>
              <w:rPr>
                <w:rStyle w:val="IndexLink"/>
              </w:rPr>
              <w:t>669</w:t>
            </w:r>
          </w:hyperlink>
        </w:p>
        <w:p>
          <w:pPr>
            <w:pStyle w:val="Contents6"/>
            <w:tabs>
              <w:tab w:val="clear" w:pos="7609"/>
              <w:tab w:val="right" w:pos="9026" w:leader="dot"/>
            </w:tabs>
            <w:rPr/>
          </w:pPr>
          <w:hyperlink w:anchor="__RefHeading___Toc2495843_2142443653">
            <w:r>
              <w:rPr>
                <w:webHidden/>
                <w:rStyle w:val="IndexLink"/>
                <w:rtl w:val="true"/>
              </w:rPr>
              <w:t xml:space="preserve">الثالث </w:t>
            </w:r>
            <w:r>
              <w:rPr>
                <w:rStyle w:val="IndexLink"/>
                <w:rtl w:val="true"/>
              </w:rPr>
              <w:t xml:space="preserve">: </w:t>
            </w:r>
            <w:r>
              <w:rPr>
                <w:rStyle w:val="IndexLink"/>
                <w:rtl w:val="true"/>
              </w:rPr>
              <w:t>هل بدل الحيلولة ملك لمالك العين أو مباح له؟</w:t>
            </w:r>
            <w:r>
              <w:rPr>
                <w:rStyle w:val="IndexLink"/>
                <w:rtl w:val="true"/>
              </w:rPr>
              <w:tab/>
            </w:r>
            <w:r>
              <w:rPr>
                <w:rStyle w:val="IndexLink"/>
              </w:rPr>
              <w:t>672</w:t>
            </w:r>
          </w:hyperlink>
        </w:p>
        <w:p>
          <w:pPr>
            <w:pStyle w:val="Contents6"/>
            <w:tabs>
              <w:tab w:val="clear" w:pos="7609"/>
              <w:tab w:val="right" w:pos="9026" w:leader="dot"/>
            </w:tabs>
            <w:rPr/>
          </w:pPr>
          <w:hyperlink w:anchor="__RefHeading___Toc2495845_2142443653">
            <w:r>
              <w:rPr>
                <w:webHidden/>
                <w:rStyle w:val="IndexLink"/>
                <w:rtl w:val="true"/>
              </w:rPr>
              <w:t xml:space="preserve">الرابع </w:t>
            </w:r>
            <w:r>
              <w:rPr>
                <w:rStyle w:val="IndexLink"/>
                <w:rtl w:val="true"/>
              </w:rPr>
              <w:t xml:space="preserve">: </w:t>
            </w:r>
            <w:r>
              <w:rPr>
                <w:rStyle w:val="IndexLink"/>
                <w:rtl w:val="true"/>
              </w:rPr>
              <w:t>في ضمان المنافع للعين المتعذّرة قبل أداء الغرامة وبعده</w:t>
            </w:r>
            <w:r>
              <w:rPr>
                <w:rStyle w:val="IndexLink"/>
                <w:rtl w:val="true"/>
              </w:rPr>
              <w:tab/>
            </w:r>
            <w:r>
              <w:rPr>
                <w:rStyle w:val="IndexLink"/>
              </w:rPr>
              <w:t>676</w:t>
            </w:r>
          </w:hyperlink>
        </w:p>
        <w:p>
          <w:pPr>
            <w:pStyle w:val="Contents6"/>
            <w:tabs>
              <w:tab w:val="clear" w:pos="7609"/>
              <w:tab w:val="right" w:pos="9026" w:leader="dot"/>
            </w:tabs>
            <w:rPr/>
          </w:pPr>
          <w:hyperlink w:anchor="__RefHeading___Toc2495847_2142443653">
            <w:r>
              <w:rPr>
                <w:webHidden/>
                <w:rStyle w:val="IndexLink"/>
                <w:rtl w:val="true"/>
              </w:rPr>
              <w:t xml:space="preserve">الخامس </w:t>
            </w:r>
            <w:r>
              <w:rPr>
                <w:rStyle w:val="IndexLink"/>
                <w:rtl w:val="true"/>
              </w:rPr>
              <w:t xml:space="preserve">: </w:t>
            </w:r>
            <w:r>
              <w:rPr>
                <w:rStyle w:val="IndexLink"/>
                <w:rtl w:val="true"/>
              </w:rPr>
              <w:t>في وجوب ردّ العين عند زوال التعذّر</w:t>
            </w:r>
            <w:r>
              <w:rPr>
                <w:rStyle w:val="IndexLink"/>
                <w:rtl w:val="true"/>
              </w:rPr>
              <w:tab/>
            </w:r>
            <w:r>
              <w:rPr>
                <w:rStyle w:val="IndexLink"/>
              </w:rPr>
              <w:t>678</w:t>
            </w:r>
          </w:hyperlink>
        </w:p>
        <w:p>
          <w:pPr>
            <w:pStyle w:val="Contents6"/>
            <w:tabs>
              <w:tab w:val="clear" w:pos="7609"/>
              <w:tab w:val="right" w:pos="9026" w:leader="dot"/>
            </w:tabs>
            <w:rPr/>
          </w:pPr>
          <w:hyperlink w:anchor="__RefHeading___Toc2495849_2142443653">
            <w:r>
              <w:rPr>
                <w:webHidden/>
                <w:rStyle w:val="IndexLink"/>
                <w:rtl w:val="true"/>
              </w:rPr>
              <w:t>وجوب ردّ العين إلى صاحبها قبل وقوعها تحت يد الغارم</w:t>
            </w:r>
            <w:r>
              <w:rPr>
                <w:rStyle w:val="IndexLink"/>
                <w:rtl w:val="true"/>
              </w:rPr>
              <w:tab/>
            </w:r>
            <w:r>
              <w:rPr>
                <w:rStyle w:val="IndexLink"/>
              </w:rPr>
              <w:t>681</w:t>
            </w:r>
          </w:hyperlink>
        </w:p>
        <w:p>
          <w:pPr>
            <w:pStyle w:val="Contents6"/>
            <w:tabs>
              <w:tab w:val="clear" w:pos="7609"/>
              <w:tab w:val="right" w:pos="9026" w:leader="dot"/>
            </w:tabs>
            <w:rPr/>
          </w:pPr>
          <w:hyperlink w:anchor="__RefHeading___Toc2495851_2142443653">
            <w:r>
              <w:rPr>
                <w:webHidden/>
                <w:rStyle w:val="IndexLink"/>
                <w:rtl w:val="true"/>
              </w:rPr>
              <w:t xml:space="preserve">السادس </w:t>
            </w:r>
            <w:r>
              <w:rPr>
                <w:rStyle w:val="IndexLink"/>
                <w:rtl w:val="true"/>
              </w:rPr>
              <w:t xml:space="preserve">: </w:t>
            </w:r>
            <w:r>
              <w:rPr>
                <w:rStyle w:val="IndexLink"/>
                <w:rtl w:val="true"/>
              </w:rPr>
              <w:t>في رجوع الغرامة إلى ملك الغارم بمجرّد التمكّن من العين</w:t>
            </w:r>
            <w:r>
              <w:rPr>
                <w:rStyle w:val="IndexLink"/>
                <w:rtl w:val="true"/>
              </w:rPr>
              <w:tab/>
            </w:r>
            <w:r>
              <w:rPr>
                <w:rStyle w:val="IndexLink"/>
              </w:rPr>
              <w:t>683</w:t>
            </w:r>
          </w:hyperlink>
        </w:p>
        <w:p>
          <w:pPr>
            <w:pStyle w:val="Contents6"/>
            <w:tabs>
              <w:tab w:val="clear" w:pos="7609"/>
              <w:tab w:val="right" w:pos="9026" w:leader="dot"/>
            </w:tabs>
            <w:rPr/>
          </w:pPr>
          <w:hyperlink w:anchor="__RefHeading___Toc2495853_2142443653">
            <w:r>
              <w:rPr>
                <w:webHidden/>
                <w:rStyle w:val="IndexLink"/>
                <w:rtl w:val="true"/>
              </w:rPr>
              <w:t>رجوع الضمان الجديد بالسبب الأوّل</w:t>
            </w:r>
            <w:r>
              <w:rPr>
                <w:rStyle w:val="IndexLink"/>
                <w:rtl w:val="true"/>
              </w:rPr>
              <w:tab/>
            </w:r>
            <w:r>
              <w:rPr>
                <w:rStyle w:val="IndexLink"/>
              </w:rPr>
              <w:t>685</w:t>
            </w:r>
          </w:hyperlink>
        </w:p>
        <w:p>
          <w:pPr>
            <w:pStyle w:val="Contents6"/>
            <w:tabs>
              <w:tab w:val="clear" w:pos="7609"/>
              <w:tab w:val="right" w:pos="9026" w:leader="dot"/>
            </w:tabs>
            <w:rPr/>
          </w:pPr>
          <w:hyperlink w:anchor="__RefHeading___Toc2495855_2142443653">
            <w:r>
              <w:rPr>
                <w:webHidden/>
                <w:rStyle w:val="IndexLink"/>
                <w:rtl w:val="true"/>
              </w:rPr>
              <w:t>عدم جواز حبس العين</w:t>
            </w:r>
            <w:r>
              <w:rPr>
                <w:rStyle w:val="IndexLink"/>
                <w:rtl w:val="true"/>
              </w:rPr>
              <w:tab/>
            </w:r>
            <w:r>
              <w:rPr>
                <w:rStyle w:val="IndexLink"/>
              </w:rPr>
              <w:t>686</w:t>
            </w:r>
          </w:hyperlink>
        </w:p>
        <w:p>
          <w:pPr>
            <w:pStyle w:val="Contents6"/>
            <w:tabs>
              <w:tab w:val="clear" w:pos="7609"/>
              <w:tab w:val="right" w:pos="9026" w:leader="dot"/>
            </w:tabs>
            <w:rPr/>
          </w:pPr>
          <w:hyperlink w:anchor="__RefHeading___Toc2495857_2142443653">
            <w:r>
              <w:rPr>
                <w:webHidden/>
                <w:rStyle w:val="IndexLink"/>
                <w:rtl w:val="true"/>
              </w:rPr>
              <w:t xml:space="preserve">السابع </w:t>
            </w:r>
            <w:r>
              <w:rPr>
                <w:rStyle w:val="IndexLink"/>
                <w:rtl w:val="true"/>
              </w:rPr>
              <w:t xml:space="preserve">: </w:t>
            </w:r>
            <w:r>
              <w:rPr>
                <w:rStyle w:val="IndexLink"/>
                <w:rtl w:val="true"/>
              </w:rPr>
              <w:t>في خروج العين عن التقويم</w:t>
            </w:r>
            <w:r>
              <w:rPr>
                <w:rStyle w:val="IndexLink"/>
                <w:rtl w:val="true"/>
              </w:rPr>
              <w:tab/>
            </w:r>
            <w:r>
              <w:rPr>
                <w:rStyle w:val="IndexLink"/>
              </w:rPr>
              <w:t>687</w:t>
            </w:r>
          </w:hyperlink>
        </w:p>
        <w:p>
          <w:pPr>
            <w:pStyle w:val="Contents6"/>
            <w:tabs>
              <w:tab w:val="clear" w:pos="7609"/>
              <w:tab w:val="right" w:pos="9026" w:leader="dot"/>
            </w:tabs>
            <w:rPr/>
          </w:pPr>
          <w:hyperlink w:anchor="__RefHeading___Toc2495859_2142443653">
            <w:r>
              <w:rPr>
                <w:webHidden/>
                <w:rStyle w:val="IndexLink"/>
                <w:rtl w:val="true"/>
              </w:rPr>
              <w:t>حكم الخياطة بالخيط المغصوب</w:t>
            </w:r>
            <w:r>
              <w:rPr>
                <w:rStyle w:val="IndexLink"/>
                <w:rtl w:val="true"/>
              </w:rPr>
              <w:tab/>
            </w:r>
            <w:r>
              <w:rPr>
                <w:rStyle w:val="IndexLink"/>
              </w:rPr>
              <w:t>690</w:t>
            </w:r>
          </w:hyperlink>
        </w:p>
        <w:p>
          <w:pPr>
            <w:pStyle w:val="Contents6"/>
            <w:tabs>
              <w:tab w:val="clear" w:pos="7609"/>
              <w:tab w:val="right" w:pos="9026" w:leader="dot"/>
            </w:tabs>
            <w:rPr/>
          </w:pPr>
          <w:hyperlink w:anchor="__RefHeading___Toc2495861_2142443653">
            <w:r>
              <w:rPr>
                <w:webHidden/>
                <w:rStyle w:val="IndexLink"/>
                <w:rtl w:val="true"/>
              </w:rPr>
              <w:t>خروج العين عن الملكية مع بقاء حق الأولوية</w:t>
            </w:r>
            <w:r>
              <w:rPr>
                <w:rStyle w:val="IndexLink"/>
                <w:rtl w:val="true"/>
              </w:rPr>
              <w:tab/>
            </w:r>
            <w:r>
              <w:rPr>
                <w:rStyle w:val="IndexLink"/>
              </w:rPr>
              <w:t>692</w:t>
            </w:r>
          </w:hyperlink>
        </w:p>
        <w:p>
          <w:pPr>
            <w:pStyle w:val="Contents6"/>
            <w:tabs>
              <w:tab w:val="clear" w:pos="7609"/>
              <w:tab w:val="right" w:pos="9026" w:leader="dot"/>
            </w:tabs>
            <w:rPr/>
          </w:pPr>
          <w:hyperlink w:anchor="__RefHeading___Toc2495863_2142443653">
            <w:r>
              <w:rPr>
                <w:webHidden/>
                <w:rStyle w:val="IndexLink"/>
                <w:rtl w:val="true"/>
              </w:rPr>
              <w:t xml:space="preserve">الاُولى </w:t>
            </w:r>
            <w:r>
              <w:rPr>
                <w:rStyle w:val="IndexLink"/>
                <w:rtl w:val="true"/>
              </w:rPr>
              <w:t xml:space="preserve">: </w:t>
            </w:r>
            <w:r>
              <w:rPr>
                <w:rStyle w:val="IndexLink"/>
                <w:rtl w:val="true"/>
              </w:rPr>
              <w:t>محتملات عدم ملكية الخمر</w:t>
            </w:r>
            <w:r>
              <w:rPr>
                <w:rStyle w:val="IndexLink"/>
                <w:rtl w:val="true"/>
              </w:rPr>
              <w:tab/>
            </w:r>
            <w:r>
              <w:rPr>
                <w:rStyle w:val="IndexLink"/>
              </w:rPr>
              <w:t>692</w:t>
            </w:r>
          </w:hyperlink>
        </w:p>
        <w:p>
          <w:pPr>
            <w:pStyle w:val="Contents6"/>
            <w:tabs>
              <w:tab w:val="clear" w:pos="7609"/>
              <w:tab w:val="right" w:pos="9026" w:leader="dot"/>
            </w:tabs>
            <w:rPr/>
          </w:pPr>
          <w:hyperlink w:anchor="__RefHeading___Toc2495865_2142443653">
            <w:r>
              <w:rPr>
                <w:webHidden/>
                <w:rStyle w:val="IndexLink"/>
                <w:rtl w:val="true"/>
              </w:rPr>
              <w:t xml:space="preserve">الثانية </w:t>
            </w:r>
            <w:r>
              <w:rPr>
                <w:rStyle w:val="IndexLink"/>
                <w:rtl w:val="true"/>
              </w:rPr>
              <w:t xml:space="preserve">: </w:t>
            </w:r>
            <w:r>
              <w:rPr>
                <w:rStyle w:val="IndexLink"/>
                <w:rtl w:val="true"/>
              </w:rPr>
              <w:t>ملكية الخلّ لصاحبه بعد أن كان خمراً</w:t>
            </w:r>
            <w:r>
              <w:rPr>
                <w:rStyle w:val="IndexLink"/>
                <w:rtl w:val="true"/>
              </w:rPr>
              <w:tab/>
            </w:r>
            <w:r>
              <w:rPr>
                <w:rStyle w:val="IndexLink"/>
              </w:rPr>
              <w:t>695</w:t>
            </w:r>
          </w:hyperlink>
        </w:p>
        <w:p>
          <w:pPr>
            <w:pStyle w:val="Contents2"/>
            <w:tabs>
              <w:tab w:val="clear" w:pos="8743"/>
              <w:tab w:val="right" w:pos="9026" w:leader="dot"/>
            </w:tabs>
            <w:rPr/>
          </w:pPr>
          <w:hyperlink w:anchor="__RefHeading___Toc2495867_2142443653">
            <w:r>
              <w:rPr>
                <w:webHidden/>
                <w:rStyle w:val="IndexLink"/>
                <w:rtl w:val="true"/>
              </w:rPr>
              <w:t>الفهارس العامّة</w:t>
            </w:r>
            <w:r>
              <w:rPr>
                <w:rStyle w:val="IndexLink"/>
                <w:rtl w:val="true"/>
              </w:rPr>
              <w:tab/>
            </w:r>
            <w:r>
              <w:rPr>
                <w:rStyle w:val="IndexLink"/>
              </w:rPr>
              <w:t>699</w:t>
            </w:r>
          </w:hyperlink>
        </w:p>
        <w:p>
          <w:pPr>
            <w:pStyle w:val="Contents3"/>
            <w:tabs>
              <w:tab w:val="clear" w:pos="8459"/>
              <w:tab w:val="right" w:pos="9026" w:leader="dot"/>
            </w:tabs>
            <w:rPr/>
          </w:pPr>
          <w:hyperlink w:anchor="__RefHeading___Toc2495869_2142443653">
            <w:r>
              <w:rPr>
                <w:webHidden/>
                <w:rStyle w:val="IndexLink"/>
                <w:rtl w:val="true"/>
              </w:rPr>
              <w:t>اشارة</w:t>
            </w:r>
            <w:r>
              <w:rPr>
                <w:rStyle w:val="IndexLink"/>
                <w:rtl w:val="true"/>
              </w:rPr>
              <w:tab/>
            </w:r>
            <w:r>
              <w:rPr>
                <w:rStyle w:val="IndexLink"/>
              </w:rPr>
              <w:t>699</w:t>
            </w:r>
          </w:hyperlink>
        </w:p>
        <w:p>
          <w:pPr>
            <w:pStyle w:val="Contents3"/>
            <w:tabs>
              <w:tab w:val="clear" w:pos="8459"/>
              <w:tab w:val="right" w:pos="9026" w:leader="dot"/>
            </w:tabs>
            <w:rPr/>
          </w:pPr>
          <w:hyperlink w:anchor="__RefHeading___Toc2495871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701</w:t>
            </w:r>
          </w:hyperlink>
        </w:p>
        <w:p>
          <w:pPr>
            <w:pStyle w:val="Contents3"/>
            <w:tabs>
              <w:tab w:val="clear" w:pos="8459"/>
              <w:tab w:val="right" w:pos="9026" w:leader="dot"/>
            </w:tabs>
            <w:rPr/>
          </w:pPr>
          <w:hyperlink w:anchor="__RefHeading___Toc2495873_2142443653">
            <w:r>
              <w:rPr>
                <w:webHidden/>
                <w:rStyle w:val="IndexLink"/>
              </w:rPr>
              <w:t>2</w:t>
            </w:r>
            <w:r>
              <w:rPr>
                <w:rStyle w:val="IndexLink"/>
                <w:rtl w:val="true"/>
              </w:rPr>
              <w:t xml:space="preserve"> - </w:t>
            </w:r>
            <w:r>
              <w:rPr>
                <w:rStyle w:val="IndexLink"/>
                <w:rtl w:val="true"/>
              </w:rPr>
              <w:t>فهرس الاحادیث الشریفة</w:t>
            </w:r>
            <w:r>
              <w:rPr>
                <w:rStyle w:val="IndexLink"/>
                <w:rtl w:val="true"/>
              </w:rPr>
              <w:tab/>
            </w:r>
            <w:r>
              <w:rPr>
                <w:rStyle w:val="IndexLink"/>
              </w:rPr>
              <w:t>707</w:t>
            </w:r>
          </w:hyperlink>
        </w:p>
        <w:p>
          <w:pPr>
            <w:pStyle w:val="Contents3"/>
            <w:tabs>
              <w:tab w:val="clear" w:pos="8459"/>
              <w:tab w:val="right" w:pos="9026" w:leader="dot"/>
            </w:tabs>
            <w:rPr/>
          </w:pPr>
          <w:hyperlink w:anchor="__RefHeading___Toc2495875_2142443653">
            <w:r>
              <w:rPr>
                <w:webHidden/>
                <w:rStyle w:val="IndexLink"/>
              </w:rPr>
              <w:t>3</w:t>
            </w:r>
            <w:r>
              <w:rPr>
                <w:rStyle w:val="IndexLink"/>
                <w:rtl w:val="true"/>
              </w:rPr>
              <w:t xml:space="preserve"> - </w:t>
            </w:r>
            <w:r>
              <w:rPr>
                <w:rStyle w:val="IndexLink"/>
                <w:rtl w:val="true"/>
              </w:rPr>
              <w:t>فهرس اسماء المعصومین علیهم السلام</w:t>
            </w:r>
            <w:r>
              <w:rPr>
                <w:rStyle w:val="IndexLink"/>
                <w:rtl w:val="true"/>
              </w:rPr>
              <w:tab/>
            </w:r>
            <w:r>
              <w:rPr>
                <w:rStyle w:val="IndexLink"/>
              </w:rPr>
              <w:t>717</w:t>
            </w:r>
          </w:hyperlink>
        </w:p>
        <w:p>
          <w:pPr>
            <w:pStyle w:val="Contents3"/>
            <w:tabs>
              <w:tab w:val="clear" w:pos="8459"/>
              <w:tab w:val="right" w:pos="9026" w:leader="dot"/>
            </w:tabs>
            <w:rPr/>
          </w:pPr>
          <w:hyperlink w:anchor="__RefHeading___Toc2495877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719</w:t>
            </w:r>
          </w:hyperlink>
        </w:p>
        <w:p>
          <w:pPr>
            <w:pStyle w:val="Contents3"/>
            <w:tabs>
              <w:tab w:val="clear" w:pos="8459"/>
              <w:tab w:val="right" w:pos="9026" w:leader="dot"/>
            </w:tabs>
            <w:rPr/>
          </w:pPr>
          <w:hyperlink w:anchor="__RefHeading___Toc2495879_2142443653">
            <w:r>
              <w:rPr>
                <w:webHidden/>
                <w:rStyle w:val="IndexLink"/>
              </w:rPr>
              <w:t>5</w:t>
            </w:r>
            <w:r>
              <w:rPr>
                <w:rStyle w:val="IndexLink"/>
                <w:rtl w:val="true"/>
              </w:rPr>
              <w:t xml:space="preserve"> - </w:t>
            </w:r>
            <w:r>
              <w:rPr>
                <w:rStyle w:val="IndexLink"/>
                <w:rtl w:val="true"/>
              </w:rPr>
              <w:t>فهرس الکتب الواردة فی المتن</w:t>
            </w:r>
            <w:r>
              <w:rPr>
                <w:rStyle w:val="IndexLink"/>
                <w:rtl w:val="true"/>
              </w:rPr>
              <w:tab/>
            </w:r>
            <w:r>
              <w:rPr>
                <w:rStyle w:val="IndexLink"/>
              </w:rPr>
              <w:t>727</w:t>
            </w:r>
          </w:hyperlink>
        </w:p>
        <w:p>
          <w:pPr>
            <w:pStyle w:val="Contents3"/>
            <w:tabs>
              <w:tab w:val="clear" w:pos="8459"/>
              <w:tab w:val="right" w:pos="9026" w:leader="dot"/>
            </w:tabs>
            <w:rPr/>
          </w:pPr>
          <w:hyperlink w:anchor="__RefHeading___Toc2495881_2142443653">
            <w:r>
              <w:rPr>
                <w:webHidden/>
                <w:rStyle w:val="IndexLink"/>
              </w:rPr>
              <w:t>6</w:t>
            </w:r>
            <w:r>
              <w:rPr>
                <w:rStyle w:val="IndexLink"/>
                <w:rtl w:val="true"/>
              </w:rPr>
              <w:t xml:space="preserve"> - </w:t>
            </w:r>
            <w:r>
              <w:rPr>
                <w:rStyle w:val="IndexLink"/>
                <w:rtl w:val="true"/>
              </w:rPr>
              <w:t>فهرس مصادر التحقیق</w:t>
            </w:r>
            <w:r>
              <w:rPr>
                <w:rStyle w:val="IndexLink"/>
                <w:rtl w:val="true"/>
              </w:rPr>
              <w:tab/>
            </w:r>
            <w:r>
              <w:rPr>
                <w:rStyle w:val="IndexLink"/>
              </w:rPr>
              <w:t>732</w:t>
            </w:r>
          </w:hyperlink>
        </w:p>
        <w:p>
          <w:pPr>
            <w:pStyle w:val="Contents3"/>
            <w:tabs>
              <w:tab w:val="clear" w:pos="8459"/>
              <w:tab w:val="right" w:pos="9026" w:leader="dot"/>
            </w:tabs>
            <w:rPr/>
          </w:pPr>
          <w:hyperlink w:anchor="__RefHeading___Toc2495883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752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94_150367"/>
      <w:bookmarkStart w:id="1" w:name="pg15194_150367"/>
      <w:bookmarkEnd w:id="1"/>
    </w:p>
    <w:p>
      <w:pPr>
        <w:pStyle w:val="Heading2"/>
        <w:numPr>
          <w:ilvl w:val="1"/>
          <w:numId w:val="1"/>
        </w:numPr>
        <w:rPr/>
      </w:pPr>
      <w:bookmarkStart w:id="2" w:name="pg15194_150367"/>
      <w:bookmarkStart w:id="3" w:name="__RefHeading___Toc249517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 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517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94_150371"/>
      <w:bookmarkStart w:id="8" w:name="pg15194_150371"/>
      <w:bookmarkEnd w:id="8"/>
    </w:p>
    <w:p>
      <w:pPr>
        <w:pStyle w:val="Heading2"/>
        <w:numPr>
          <w:ilvl w:val="1"/>
          <w:numId w:val="1"/>
        </w:numPr>
        <w:rPr/>
      </w:pPr>
      <w:bookmarkStart w:id="9" w:name="pg15194_150371"/>
      <w:bookmarkStart w:id="10" w:name="__RefHeading___Toc2495175_2142443653"/>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IRNazanin" w:hAnsi="IRNazanin" w:eastAsia="IRNazanin"/>
          <w:color w:val="111111"/>
          <w:sz w:val="28"/>
          <w:sz w:val="28"/>
          <w:szCs w:val="28"/>
          <w:rtl w:val="true"/>
          <w:lang w:bidi="fa-IR"/>
        </w:rPr>
        <w:t xml:space="preserve">كانت الطريقة المتبعة لدى الفقهاء منذ الصدر الأوّل لتدوين الفقه عند البحث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ضمن أبواب المعاملات في بحوثهم وتآليفهم، فكانت في مقابل سائر الأبواب واستمرّت هذه السيرة إلى زمن الشيخ الأنصاري رحمه الله علیه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الأنصاري؛ فقد جعله بحثاً مستقلاًّ مستوفىً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 لاُصول بحوث المعاملات، ولعلّه قد استلهم تنقيح مباحث العبادات أو المعاملات بشكل مستقلّ من بعض الفقهاء المتقدّمين كالشهيد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كاشف الغطاء في كتابه المعروف، فحذا حذوهم، ولكنّه وسّع المباحث سعة بحيث جاء بثورة فقهية في الحوزات العلمية ونقطة تحوّل في تأريخ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اتّضحت آثار هذه الثورة في هذا العصر حيث دوّنت القوانين المدنية في الدول الإسلامية فاحتاجت إلى فقه مدني مبنيّ على العرف والبنائات العقلائية فاُتّخذ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للفقهاء والحقوقيين في تدوين الحقوق الإسلامية </w:t>
      </w:r>
    </w:p>
    <w:p>
      <w:pPr>
        <w:pStyle w:val="BookText"/>
        <w:rPr/>
      </w:pPr>
      <w:r>
        <w:rPr>
          <w:rFonts w:ascii="Amiri" w:hAnsi="Amiri" w:eastAsia="Amiri" w:cs="Amiri"/>
          <w:color w:val="111111"/>
          <w:sz w:val="28"/>
          <w:sz w:val="28"/>
          <w:szCs w:val="28"/>
          <w:rtl w:val="true"/>
          <w:lang w:bidi="ar-SA"/>
        </w:rPr>
        <w:t>الخصوصية في مقابل الحقوق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هذا الكتاب نموذجاً ومصدراً مهمّاً لكتب العلماء المتأخّرين لما يحويه من مادّة علمية وعملية غزيرة قلّ نظيرها في كتب من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وكدليل على علوّ شأنه وعظيم درجته العلمية والعملية فقد كثرت الحواشي والتعليقات عليه بين ناقدةٌ ومؤيّدةٌ لآرائه القيّمة، ومن بين تلك الحواشي والتعليقات ما صنّفه العلماء الأعلام والآيات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حبيب اللّه الرشتي، الآخوند الخراساني، الميرزا محمّد تقي الشيرازي، السيّد محمّد كاظم اليزدي، الحاج آقا رضا الهمداني، الميرزا أبوالفضل الطهراني، الميرزا محمّد حسين النائيني، الشيخ عبدالكريم الحائري، الشيخ محمّد حسين الأصفهاني، الآقا ضياء الدين العراقي، الميرزا علي الإيرواني، الشيخ محمّد كاظم الشيرازي، السيّد أبوالقاسم الإشكوري، التنكابني والشهيدي وغيرهم رحمهم اللّه تعالى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الخميني قدّس سرّه فإنّه لم يكتفِ بشرح ولا تعليق، بل أفرد كتاباً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بين يديك 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كافّة المباحث المتعلّقة بهذا الباب، ولكثرة الدقائق والأدلّة وتنقيح المباحث ونقل الآراء ونقدها صار من أحسن الكتب التي دوّنت في هذا السياق سواء على مستوى كتب المتقدّمين أو المتأخّرين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ويقف القارئ الكريم على صحّة ما ذكرنا حينما يطّلع على تحقيقات الإمام قدّس سرّه في مسألة ماهية البيع، مسألة المعاطاة، بيع الفضوليّ، مبحث المثلي والقيمي، ملكية الإمام المعصوم علیه السلام، ولاية الفقيه، معاملات الصبيّ، الغرر والشرط المخالف للكتاب وغيرها كثير، إذ سيجد الفرق الشاسع بين الكتب </w:t>
      </w:r>
    </w:p>
    <w:p>
      <w:pPr>
        <w:pStyle w:val="BookText"/>
        <w:rPr/>
      </w:pPr>
      <w:r>
        <w:rPr>
          <w:rFonts w:ascii="Amiri" w:hAnsi="Amiri" w:eastAsia="Amiri" w:cs="Amiri"/>
          <w:color w:val="111111"/>
          <w:sz w:val="28"/>
          <w:sz w:val="28"/>
          <w:szCs w:val="28"/>
          <w:rtl w:val="true"/>
          <w:lang w:bidi="ar-SA"/>
        </w:rPr>
        <w:t>المؤلّفة في هذا الموضوع وهذا الكتاب الذي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تتبّع آراء الإمام الخميني قدّس سرّه الفقهية والاُصولية وتبحّره في مباحثهما وكذلك معرفة تضلّع الإمام قدّس سرّه في علوم الحكمة واللغة والتفسير وفقه الحديث فليرجع إلى مباحث هذا الكتاب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الفائدة من هذا الكتاب بالنسبة إلى المحقّقين والفضلاء، لا تختص بالبيع فقط، بل إنّه يفيدهم كذلك في سائر أبواب الفقه، وحيث إنّ المباحث المطروحة بين طيّات الكتاب غير التي ذكرت سابقاً كثيرةٌ، فإنّا سنشير إلى بعضها هاهنا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تَجرِي فيهِ الإقالةِ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التعاريف وبيان حقيقة بعض العقود تعريف حقيقة الإنشاء والعقد، المعاطاة، الضمان، البيع والإجارة، الخيار والفسخ، النكاح والتمتّع، الوقف، </w:t>
      </w:r>
    </w:p>
    <w:p>
      <w:pPr>
        <w:pStyle w:val="BookText"/>
        <w:rPr/>
      </w:pPr>
      <w:r>
        <w:rPr>
          <w:rFonts w:ascii="Amiri" w:hAnsi="Amiri" w:eastAsia="Amiri" w:cs="Amiri"/>
          <w:color w:val="111111"/>
          <w:sz w:val="28"/>
          <w:sz w:val="28"/>
          <w:szCs w:val="28"/>
          <w:rtl w:val="true"/>
          <w:lang w:bidi="ar-SA"/>
        </w:rPr>
        <w:t>وماهية الكسر المشاع والفرد المنتشر والكلّي في المعيّن وفي الذمّة، ومعنى الكذب والتورية، الإكراه والاضطرار، الغرر والغبن، العيب والأرش، الشرط، التلف، القبض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ونقّح بعض المسائل التي هي معركة الآراء أو كثيرة النفع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الحقّ والحكم، جريان المعاطاة في العقود والإيقاعات، أركان العقد بالصيغة، اختلاف المتعاقدين في شروط الصيغة، التعليق والتنجيز في الإنشاء، المثلي والقيمي، ضمان بدل الحيلولة، امتنانية الأحكام الشرعية، معاملات الصبيّ، وحجر الصبيّ، الخطأ في التطبيق، معرفة العوضين في المعاملات، الفضوليّ في العقود والإيقاعات، ناقلية الإجازة وكاشفيتها، الربا المعاوضي والقرضي والحيل فيها، ولاية الأب والجد والفقيه وعدول المؤمنين، حكم سهم الإمام علیه السلام والأنفال وكيفية تعلّق ملكية الإمام، أحكام الأراضي من المفتوحة عنوةً والموات والتي صولح عليها والخراجية وغيرها، تعلّق الجعل بالأحكام الوضعية، تشخيص المدعي والمنكر، أصالة اللزوم في المعاملات، تعلّم أحكام الدين، الاحتكار والتسعير، ثبوت واشتراط الخيار في العقود الجائزة، بيع الخيار وأقسامه، اشتراط الخيار في العقود والإيقاعات، حكم امتزاج الأموال، الشروط المخالفة للكتاب والمخالفة لمقتضى العقد، إرث الخيار، والبحث عن الحقيقي والاعتباري من التلف والزيادة والتصرف والموضوعات الخارجية والاعتبارية، ورعاية المصلحة والغبطة في الولايات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المباحث الاُصولية من جهة تأثيرها في الفقه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الإجزاء، العموم الأزماني والأفرادي، تعارض العموم والاستصحاب، المرجع عند الشكّ </w:t>
      </w:r>
      <w:bookmarkStart w:id="12" w:name="pg15194_150375"/>
    </w:p>
    <w:p>
      <w:pPr>
        <w:pStyle w:val="BookText"/>
        <w:rPr/>
      </w:pPr>
      <w:bookmarkEnd w:id="12"/>
      <w:r>
        <w:rPr>
          <w:rFonts w:ascii="Amiri" w:hAnsi="Amiri" w:eastAsia="Amiri" w:cs="Amiri"/>
          <w:color w:val="111111"/>
          <w:sz w:val="28"/>
          <w:sz w:val="28"/>
          <w:szCs w:val="28"/>
          <w:rtl w:val="true"/>
          <w:lang w:bidi="ar-SA"/>
        </w:rPr>
        <w:t>في المفاهيم والمصاديق، استصحاب الكلّي القسم الثالث، حكم الجاهل والعالم في الأحكام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للفضلاء المحقّقين التدقيق في اُسلوب الإمام قدّس سرّه في فصل الفقه عن الفلسفة، وينظروا إلى تأثير الفهم العرفي في بحوثه، وآرائه حول بناء العقلاء في تشخيص الأحكام وفي تعيين المراد من التعابير الواردة في الأدلّة وبناء العقلاء في تأييد الروايات وتقييدها، والسيرة العقلائية والشرعية، وفي الرجوع إلى أهل الخبرة، ثمّ ينظروا كيفية تهذيبه المباحث العقلائية والعرفية عن الدقائق العقلية التي شاع ورودها في فقه المتأخّرين، فإنّ الإمام قدّس سرّه كثيراً ما أورد المباحث العقلية الموجودة في كتب المتأخّرين واستشكل عليها حذراً من دخالتها في الفهم العرفي وابتناء الفقه عليها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495177_2142443653"/>
      <w:bookmarkStart w:id="14" w:name="_Toc4"/>
      <w:bookmarkEnd w:id="13"/>
      <w:r>
        <w:rPr>
          <w:rtl w:val="true"/>
        </w:rPr>
        <w:t>مختصر حول تأريخ الكتاب</w:t>
      </w:r>
      <w:bookmarkEnd w:id="14"/>
    </w:p>
    <w:p>
      <w:pPr>
        <w:pStyle w:val="BookText"/>
        <w:rPr/>
      </w:pPr>
      <w:r>
        <w:rPr>
          <w:rFonts w:ascii="Amiri" w:hAnsi="Amiri" w:eastAsia="Amiri" w:cs="Amiri"/>
          <w:color w:val="111111"/>
          <w:sz w:val="28"/>
          <w:sz w:val="28"/>
          <w:szCs w:val="28"/>
          <w:rtl w:val="true"/>
          <w:lang w:bidi="ar-SA"/>
        </w:rPr>
        <w:t xml:space="preserve">صنّف الإمام الراحل هذا الكتاب عند تدريسه الدورة الفقهية في الحوزة العلمية بقم المقدّسة والنجف الأشرف، وكان الإمام الخميني قدّس سرّه قد أفاد قبل ذلك،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والمكاسب المحرّمة في حوزة قم، وقد حضر في درسه كثير من الفضلاء والطلاّب بأضعاف بالنسبة إلى سائر الدروس الاُخرى حتّى صار متميّزاً بينها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ذلك إلاّ لدقّة نظره وحسن بيانه وسلاسة تدريسه وتبحّره في الفقه والاُصول والحكمة وحسن سلوكه وأخلاقه، وكذلك لبعثه المعنويات السامية والشجاعة والحرّية التحرّر على طلاّبه ولآرائه المشهورة في مجابهة </w:t>
      </w:r>
    </w:p>
    <w:p>
      <w:pPr>
        <w:pStyle w:val="BookText"/>
        <w:rPr/>
      </w:pPr>
      <w:r>
        <w:rPr>
          <w:rFonts w:ascii="Amiri" w:hAnsi="Amiri" w:eastAsia="Amiri" w:cs="Amiri"/>
          <w:color w:val="111111"/>
          <w:sz w:val="28"/>
          <w:sz w:val="28"/>
          <w:szCs w:val="28"/>
          <w:rtl w:val="true"/>
          <w:lang w:bidi="ar-SA"/>
        </w:rPr>
        <w:t>الفساد والحكومات الظالمة واستلهام عقائده من المنابع الحديثية والقرآنية حتّى عُرف بين الطلبة بأنّه هو القائد الوحيد المخصوص بحمل راية الإسلام وزعامة الشيعة، ولهذا السبب نشاهد تلاميذه عارفين بمقاماته العلمية والعملية، عاشقين لسلوكه السياسي والاجتماعي، خاضعين لتدبيراته، مجاهدين في سبيل اللّه بهدايته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ويجد الناظر في كتبه العلمية أنّها شاملة للمباحث الاجتماعية في الإسلام نحو ما ذكره من شؤون الفقيه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النبي صلی الله علیه وآله وسلم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المسائل الهامّة التي أوردها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حرمة إعانة الظالمين والولاية من قبل الجائر ومباحث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منسوخة في أكثر كتب المتأخّرين مثل أبواب الدفاع، والحدود والديات، والأمر بالمعروف والنهي عن المنكر، وصلاة الجمعة، وأضاف إلى ذلك أيضاً المسائل المستحدثة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الكتاب قد بحث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أوفى مع مخالفة أقرانه واعتراض بعض الفضلاء من حوزة النجف وتركهم مجلس بحثه حيث كانوا يرون أنّ الإمام قدّس سرّه سيعترض على ما وقع في إيران ولم يلتفتوا إلى أنّه قد أراد بذلك بثّ فكرة الحكومة الإسلامية والكفر بالطاغوت وعلوّ الإسلام واقتدار الشيعة وخروج إيران من ذلّ الاستعمار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قد شرع في تدريس بحث البيع في حوزة قم المقدّسة يوم 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الكتاب حين التدريس </w:t>
      </w:r>
      <w:bookmarkStart w:id="15" w:name="pg15194_150377"/>
    </w:p>
    <w:p>
      <w:pPr>
        <w:pStyle w:val="BookText"/>
        <w:rPr/>
      </w:pPr>
      <w:bookmarkEnd w:id="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دأبه في تأليف الفقه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مباحث البيع الفضوليّ، ولكن بعد وقوع النهضة الإسلامية ونفى الإمام من إيران، وإقامته الجبرية في تركيا وبعد وصوله النجف الأشرف بدأ بالبحث من أوّل البيع يوم الثاني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التصنيف قد اُكمل بعد وصول البحث إلى ما تركه سابقاً، إلاّ بعض الحواشي التي اُضيفت إلى المتن السابق فترى خطّ المصنّف في مطاوي الكتاب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تصويره في المجلّد الصفر من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إتمام التصنيف هو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495179_2142443653"/>
      <w:bookmarkStart w:id="17" w:name="_Toc5"/>
      <w:bookmarkEnd w:id="16"/>
      <w:r>
        <w:rPr>
          <w:rtl w:val="true"/>
        </w:rPr>
        <w:t>منهجنا في التحقيق</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نسخة الكتاب، فإنّ للكتاب نسخة خطّية بيد المؤلّف العلاّمة، وعليه بعض الحواشي المضافة عند تدريس الدورة الثانية في النجف الأشرف، ومن المؤسّف له أنّ النسخة التي بأيدينا ناقصة أوّلاً وآخراً ومن الوسط، وقابلنا كلّ ما بأيدينا مع المتن المطبوع، لكنّ النسخة المطبوعة في النجف الأشرف تختلف بعض الأحيان مع خطّ الإمام الخمينى قدّس سرّه وهو من جهة أنّ النسخة كانت مسوّدة وقد قام آية اللّه الرضواني رحمه الله علیه من تلامذة الإمام بتصحيح الكتاب وتقويم متنه وقد عرض ما يرى أنّه الأصحّ أو الأقوم على حضرته فكان يقبله أو يردّه، فصار الكتاب مصحّحاً حقيقة بيد الإمام الراحل، وطبعت النسخة ما بين سنوات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في النجف الأشرف، فنحن راعينا هذه التصحيحات أيضاً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علامات الترقيم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التقطيع وجعل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 الفهارس المذكورة آخر</w:t>
      </w:r>
    </w:p>
    <w:p>
      <w:pPr>
        <w:pStyle w:val="BookText"/>
        <w:rPr/>
      </w:pPr>
      <w:r>
        <w:rPr>
          <w:rFonts w:ascii="Amiri" w:hAnsi="Amiri" w:eastAsia="Amiri" w:cs="Amiri"/>
          <w:color w:val="111111"/>
          <w:sz w:val="28"/>
          <w:sz w:val="28"/>
          <w:szCs w:val="28"/>
          <w:rtl w:val="true"/>
          <w:lang w:bidi="ar-SA"/>
        </w:rPr>
        <w:t>الطبعة السابقة للنجف كانت من قلم المصنّف ظاهراً على حسب دأبه في سائر كتبه، وهي من المسقطات عن النسخة الخطّية الموجودة، فلهذا قد حفظنا الظرائف الموجودة في مطاوي تلك الفهارس عند جعل العناوين وتنظيم فهرس المطالب في هذه الطبعة وأضفنا إليها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العناوين المجعولة في الكتاب كثيرة، لم نميّزها ولم نجعلها بين المعقوفتين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فكثير من عناوين الكتاب من جانب لجنة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الآيات والروايات على حسب ما هو المتعارف في إحياء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الأقوال المصرّح بها وغير المصرّح من الآراء الفقهية والاُصولية واللغوية والتفسيرية والحكمية وغيرها على حدّ ما أصبناه وحقّقناه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وجه ضعف الأحاديث الضعيفة أو المردّد فيها على حسب آراء الإمام الرجالية، وقد ذكرناها على وجه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الفنّية للكتاب آخر كلّ مجلّد مستقلاًّ حتّى يسهل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 مؤسّسة تنظيم ونشر آثار الإمام الخميني قدّس سرّه قامت بتصحيح وطبع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وتعيد الآن وفي ضمن موسوعة الإمام الخميني قدّس سرّه تصحيحه مرّة اُخرى ولفت النظر في المتن وتحديث الحواشي وتطبيقها لكتب المنشورة أخيراً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الأجزاء الخمسة التي بين يدي القارئ هي نفس الأجزاء </w:t>
      </w:r>
    </w:p>
    <w:p>
      <w:pPr>
        <w:pStyle w:val="BookText"/>
        <w:rPr/>
      </w:pPr>
      <w:r>
        <w:rPr>
          <w:rFonts w:ascii="Amiri" w:hAnsi="Amiri" w:eastAsia="Amiri" w:cs="Amiri"/>
          <w:color w:val="111111"/>
          <w:sz w:val="28"/>
          <w:sz w:val="28"/>
          <w:szCs w:val="28"/>
          <w:rtl w:val="true"/>
          <w:lang w:bidi="ar-SA"/>
        </w:rPr>
        <w:t>الخمسة المطبوعة آنفاً أوّلاً وآخراً حتّى لا تختلط الأجزاء ويسهل الأمر على الناظرين والمراجعين إلى الطبعة السابقة واللاحقة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تقدّم المؤسّسة بالشكر الجزيل إلى كلّ الإخوة الفضلاء الذين ساهموا في تحقيق هذا الكتاب راجية لهم دوام التوفيق وحسن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محمّد وآله الطاهرين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195_150383"/>
      <w:bookmarkStart w:id="19" w:name="pg15195_150383"/>
      <w:bookmarkEnd w:id="19"/>
    </w:p>
    <w:p>
      <w:pPr>
        <w:pStyle w:val="Heading2"/>
        <w:numPr>
          <w:ilvl w:val="1"/>
          <w:numId w:val="1"/>
        </w:numPr>
        <w:rPr/>
      </w:pPr>
      <w:bookmarkStart w:id="20" w:name="pg15195_150383"/>
      <w:bookmarkStart w:id="21" w:name="__RefHeading___Toc2495181_2142443653"/>
      <w:bookmarkStart w:id="22" w:name="_Toc6"/>
      <w:bookmarkEnd w:id="20"/>
      <w:bookmarkEnd w:id="21"/>
      <w:r>
        <w:rPr>
          <w:rtl w:val="true"/>
        </w:rPr>
        <w:t>كتاب البيع وانقسامه إلى مباحث</w:t>
      </w:r>
      <w:bookmarkEnd w:id="22"/>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وهو ماهية ذات إضافة إلى المتبايعين، وإلى المثمن والثمن، وله أحكام، ولهذا تنقسم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يبحث فيه عن ماهيته وما هو مربوط بها، كألفاظ الإيجاب والقبول، وما هو بحكمها 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يبحث فيه عن شرائط المتبايعين، وما يتفرّع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يبحث فيه عن شرائط العوضين والأقسام التي باعتبارهما، كباب الصرف، والسلم، والربا، والنقد، والنسيئة، والقبض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يبحث فيه عن أحكامها وما وقع في ضمنها، كالخيارات</w:t>
      </w:r>
    </w:p>
    <w:p>
      <w:pPr>
        <w:pStyle w:val="BookText"/>
        <w:rPr/>
      </w:pPr>
      <w:r>
        <w:rPr>
          <w:rFonts w:ascii="Amiri" w:hAnsi="Amiri" w:eastAsia="Amiri" w:cs="Amiri"/>
          <w:color w:val="111111"/>
          <w:sz w:val="28"/>
          <w:sz w:val="28"/>
          <w:szCs w:val="28"/>
          <w:rtl w:val="true"/>
          <w:lang w:bidi="ar-SA"/>
        </w:rPr>
        <w:t>والشروط وأحكامهما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بحثنا على طبق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قدّس سرّه، اقتفينا أثره، وإن كان الترتيب يقتضي غير ذلك</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195_150385"/>
      <w:bookmarkStart w:id="24" w:name="pg15195_150385"/>
      <w:bookmarkEnd w:id="24"/>
    </w:p>
    <w:p>
      <w:pPr>
        <w:pStyle w:val="Heading2"/>
        <w:numPr>
          <w:ilvl w:val="1"/>
          <w:numId w:val="1"/>
        </w:numPr>
        <w:rPr/>
      </w:pPr>
      <w:bookmarkStart w:id="25" w:name="pg15195_150385"/>
      <w:bookmarkStart w:id="26" w:name="__RefHeading___Toc2495183_2142443653"/>
      <w:bookmarkStart w:id="27" w:name="_Toc7"/>
      <w:bookmarkEnd w:id="25"/>
      <w:bookmarkEnd w:id="26"/>
      <w:r>
        <w:rPr>
          <w:rtl w:val="true"/>
        </w:rPr>
        <w:t>المبحث الأوّل</w:t>
      </w:r>
      <w:bookmarkEnd w:id="27"/>
    </w:p>
    <w:p>
      <w:pPr>
        <w:pStyle w:val="Heading3"/>
        <w:numPr>
          <w:ilvl w:val="2"/>
          <w:numId w:val="1"/>
        </w:numPr>
        <w:rPr/>
      </w:pPr>
      <w:bookmarkStart w:id="28" w:name="__RefHeading___Toc2495185_2142443653"/>
      <w:bookmarkStart w:id="29" w:name="_Toc8"/>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في ماهية البيع</w:t>
      </w:r>
    </w:p>
    <w:p>
      <w:pPr>
        <w:pStyle w:val="Heading3"/>
        <w:numPr>
          <w:ilvl w:val="2"/>
          <w:numId w:val="1"/>
        </w:numPr>
        <w:rPr/>
      </w:pPr>
      <w:bookmarkStart w:id="30" w:name="__RefHeading___Toc2495187_2142443653"/>
      <w:bookmarkStart w:id="31" w:name="_Toc9"/>
      <w:bookmarkEnd w:id="30"/>
      <w:r>
        <w:rPr>
          <w:rtl w:val="true"/>
        </w:rPr>
        <w:t xml:space="preserve">ولا بدّ في تحصيل تعريفها من تقديم اُمور </w:t>
      </w:r>
      <w:r>
        <w:rPr>
          <w:rtl w:val="true"/>
        </w:rPr>
        <w:t>:</w:t>
      </w:r>
      <w:bookmarkEnd w:id="3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2495189_2142443653"/>
      <w:bookmarkStart w:id="33" w:name="_Toc10"/>
      <w:bookmarkEnd w:id="32"/>
      <w:r>
        <w:rPr>
          <w:rtl w:val="true"/>
        </w:rPr>
        <w:t>اشارة</w:t>
      </w:r>
      <w:bookmarkEnd w:id="3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195_150387"/>
      <w:bookmarkStart w:id="35" w:name="pg15195_150387"/>
      <w:bookmarkEnd w:id="35"/>
    </w:p>
    <w:p>
      <w:pPr>
        <w:pStyle w:val="Heading4"/>
        <w:numPr>
          <w:ilvl w:val="3"/>
          <w:numId w:val="1"/>
        </w:numPr>
        <w:rPr/>
      </w:pPr>
      <w:bookmarkStart w:id="36" w:name="pg15195_150387"/>
      <w:bookmarkStart w:id="37" w:name="__RefHeading___Toc2495191_2142443653"/>
      <w:bookmarkStart w:id="38" w:name="_Toc11"/>
      <w:bookmarkEnd w:id="36"/>
      <w:bookmarkEnd w:id="37"/>
      <w:r>
        <w:rPr>
          <w:rtl w:val="true"/>
        </w:rPr>
        <w:t>الأمر الأوّل</w:t>
      </w:r>
      <w:bookmarkEnd w:id="38"/>
    </w:p>
    <w:p>
      <w:pPr>
        <w:pStyle w:val="BookText"/>
        <w:rPr/>
      </w:pPr>
      <w:r>
        <w:rPr>
          <w:rFonts w:ascii="Amiri" w:hAnsi="Amiri" w:eastAsia="Amiri" w:cs="Amiri"/>
          <w:color w:val="111111"/>
          <w:sz w:val="28"/>
          <w:sz w:val="28"/>
          <w:szCs w:val="28"/>
          <w:rtl w:val="true"/>
          <w:lang w:bidi="ar-SA"/>
        </w:rPr>
        <w:t>في المراد من البيع الذي يبحث عن ماهيته</w:t>
      </w:r>
    </w:p>
    <w:p>
      <w:pPr>
        <w:pStyle w:val="BookText"/>
        <w:rPr/>
      </w:pPr>
      <w:r>
        <w:rPr>
          <w:rFonts w:ascii="Amiri" w:hAnsi="Amiri" w:eastAsia="Amiri" w:cs="Amiri"/>
          <w:color w:val="111111"/>
          <w:sz w:val="28"/>
          <w:sz w:val="28"/>
          <w:szCs w:val="28"/>
          <w:rtl w:val="true"/>
          <w:lang w:bidi="ar-SA"/>
        </w:rPr>
        <w:t>إنّ ما رمناها من ماهية البيع هي التي تترتّب عليها أبواب الكتاب؛ من شرائط العوضين والمتبايعين وغير ذلك، وليس ما ذكر هو البيع المقابل للشراء ولو كان ذلك موافقا للعرف واللغة</w:t>
      </w:r>
      <w:r>
        <w:rPr>
          <w:rStyle w:val="FootnoteAnchor"/>
          <w:rtl w:val="true"/>
        </w:rPr>
        <w:footnoteReference w:id="2"/>
      </w:r>
      <w:r>
        <w:rPr>
          <w:rFonts w:ascii="Amiri" w:hAnsi="Amiri" w:eastAsia="Amiri" w:cs="Amiri"/>
          <w:color w:val="111111"/>
          <w:sz w:val="28"/>
          <w:sz w:val="28"/>
          <w:szCs w:val="28"/>
          <w:rtl w:val="true"/>
          <w:lang w:bidi="ar-SA"/>
        </w:rPr>
        <w:t>، بل المراد تحصيل معنى ما هو المصطلح عند الفقهاء، وهو المتقوّم بالإيجاب والقبول والتمليك والتملّك، فتعريفه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بتمليك العين بالعوض</w:t>
      </w:r>
      <w:r>
        <w:rPr>
          <w:rStyle w:val="FootnoteAnchor"/>
          <w:rtl w:val="true"/>
        </w:rPr>
        <w:footnoteReference w:id="3"/>
      </w:r>
      <w:r>
        <w:rPr>
          <w:rFonts w:ascii="Amiri" w:hAnsi="Amiri" w:eastAsia="Amiri" w:cs="Amiri"/>
          <w:color w:val="111111"/>
          <w:sz w:val="28"/>
          <w:sz w:val="28"/>
          <w:szCs w:val="28"/>
          <w:rtl w:val="true"/>
          <w:lang w:bidi="ar-SA"/>
        </w:rPr>
        <w:t>أو تبديل مال بمال</w:t>
      </w:r>
      <w:r>
        <w:rPr>
          <w:rStyle w:val="FootnoteAnchor"/>
          <w:rtl w:val="true"/>
        </w:rPr>
        <w:footnoteReference w:id="4"/>
      </w:r>
      <w:r>
        <w:rPr>
          <w:rFonts w:ascii="IRNazanin" w:hAnsi="IRNazanin" w:eastAsia="IRNazanin"/>
          <w:color w:val="111111"/>
          <w:sz w:val="28"/>
          <w:sz w:val="28"/>
          <w:szCs w:val="28"/>
          <w:rtl w:val="true"/>
          <w:lang w:bidi="fa-IR"/>
        </w:rPr>
        <w:t>ونحوهما ممّا هو فعل البائع</w:t>
      </w:r>
      <w:r>
        <w:rPr>
          <w:rStyle w:val="FootnoteAnchor"/>
          <w:rtl w:val="true"/>
        </w:rPr>
        <w:footnoteReference w:id="5"/>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أن البيع من مقولة المعنى لا اللفظ، فليس الإيجاب والقبول مطلقا، أو المستعملان استعمالاً إيجادياً، أو المؤثّران عرفا أو شرعاً، بيعاً عرفاً </w:t>
      </w:r>
      <w:bookmarkStart w:id="39" w:name="pg15195_150388"/>
    </w:p>
    <w:p>
      <w:pPr>
        <w:pStyle w:val="BookText"/>
        <w:rPr/>
      </w:pPr>
      <w:bookmarkEnd w:id="39"/>
      <w:r>
        <w:rPr>
          <w:rFonts w:ascii="Amiri" w:hAnsi="Amiri" w:eastAsia="Amiri" w:cs="Amiri"/>
          <w:color w:val="111111"/>
          <w:sz w:val="28"/>
          <w:sz w:val="28"/>
          <w:szCs w:val="28"/>
          <w:rtl w:val="true"/>
          <w:lang w:bidi="ar-SA"/>
        </w:rPr>
        <w:t>ولغةً وإن اُطلق عليهما أحياناً،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يطلقان على الأسباب، وأمّا المسبّبات فلا تتّصف بهما، بل يدور أمرها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المسبّب الإنشائي أيضاً يتّصف بالصحّة والفساد كما هو التحقيق</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الاستعمال الإيجادي للإيجاب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بيعا، وكذا الأثر الحاصل اعتباراً عقيب إنشاء التمليك والتملّك، بل هو عبارة عن التمليك والتملّك، أو التبديل والتبدّل، وسيأتي الفرق بينهما وما هو الحقّ في المقام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ذكرناه يجري في المعاطاة أيضاً، فليس بيع المعاطاة عبارة عن التعاطي الخارجي الحسّي، بل هو قائم مقام اللفظ في البيع بالصيغة، وإنشاء فعلي له، كالإشارة القائمة مقام هيئة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بالقيام مقامه أنّ البيع بالصيغة أصيل والمعاطاة نائبة منابه، بل لعلّ الأصيل الأقدم في باب المعاملات هو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البيع من مقولة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المعاطاة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495193_2142443653"/>
      <w:bookmarkStart w:id="41" w:name="_Toc12"/>
      <w:bookmarkEnd w:id="40"/>
      <w:r>
        <w:rPr>
          <w:rtl w:val="true"/>
        </w:rPr>
        <w:t>إشكال ودفع</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هاهنا إشكال عقلي في جميع العقود المتقوّم تحقّق أثرها بالقبول، وهو أنّه لا إشكال في أنّ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لحوق القبول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مؤثّرا فعلاً في </w:t>
      </w:r>
    </w:p>
    <w:p>
      <w:pPr>
        <w:pStyle w:val="BookText"/>
        <w:rPr/>
      </w:pPr>
      <w:r>
        <w:rPr>
          <w:rFonts w:ascii="Amiri" w:hAnsi="Amiri" w:eastAsia="Amiri" w:cs="Amiri"/>
          <w:color w:val="111111"/>
          <w:sz w:val="28"/>
          <w:sz w:val="28"/>
          <w:szCs w:val="28"/>
          <w:rtl w:val="true"/>
          <w:lang w:bidi="ar-SA"/>
        </w:rPr>
        <w:t>تحقّق التمليك والتملّك الاعتباريين، لا عند العقلاء، ولا عند المنشئ والموجب؛ ضرورة أنّ الموجب أيضاً لا يرى خروج المثمن عن ملكه ودخول الثمن فيه بمجرّد إيجابه، فمع العلم بعدم تأثير إنشائه في تحصيل المعنى الاعتباري المطلوب كيف يمكن له الاستعمال الإيجادي للإيجاب والقصد إلى حصول الملكية، ضرورة أنّ القصد إلى حصولها وتحقّق الجدّ به متوقّف على التصديق بترتّب الأثر عليه، وبكونه آلة للإيجاد، ومع التصديق بعدم ذلك وبتوقّفه على فعل الغير لا يعقل القصد إلى إيجاده، فكيف يمكن إنشاء ما لا يمكن أن يتحقّق ويحصل</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بإمكان تعلّق القصد بشيء لا يترتّب عليه أثر إلاّ بالقصد، كالتعظيم والتوهين من الاُمور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القيام ليس تعظيماً وتوهيناً إلاّ بقصدهما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يتعلّق القصد بما لا يترتّب عليه الأثر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والركوع والسجود آلات للتعظيم، فإذا أدرك الإنسان عظمة الطرف، فصار ذلك الإدراك وسائر المبادئ محرّكة له للقيام ونحوه من آلات التعظيم، يصير ما فعل إظهاراً لعظمته وتعظيماً له، وإذا كانت في النفس مبادئ التحقير والسخرية فأوجد آلات التعظيم بتلك المبادئ صار ما فعل إظهارا لحقارته وتحقيراً له، وليس في شيء من ذلك قصد التعظيم والتحقير علّةً لهما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القياس باطل؛ فإنّ فيما نحن بصدده ليس قصد الإيجاد موجباً للوجود </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لمّا علم أنّ قصده كذلك موجب لترتّب الأثر عليه، يقصده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ألفاظ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أو مع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تكون مؤثّرات لتحقّق ما يتوقّع منها، كالملكية في البيع؛ لأنّ الملكية والزوجية وغيرهما من الماهيات الاعتبارية المتقوّمة باعتبار العقلاء حدوثاً وبقاءً، وليس لها حتّى بعد الاعتبار حقيقة غير متقوّمة به،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اعتبارية، لكن بعد الاعتبار القانوني الكلّي لا يحتاج تحقّقها إليه</w:t>
      </w:r>
      <w:r>
        <w:rPr>
          <w:rStyle w:val="FootnoteAnchor"/>
          <w:rtl w:val="true"/>
        </w:rPr>
        <w:footnoteReference w:id="9"/>
      </w:r>
      <w:r>
        <w:rPr>
          <w:rFonts w:ascii="Amiri" w:hAnsi="Amiri" w:eastAsia="Amiri" w:cs="Amiri"/>
          <w:color w:val="111111"/>
          <w:sz w:val="28"/>
          <w:sz w:val="28"/>
          <w:szCs w:val="28"/>
          <w:rtl w:val="true"/>
          <w:lang w:bidi="ar-SA"/>
        </w:rPr>
        <w:t>ضرورة أنّ مصاديق الأمر الاعتباري اعتبارية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للملكية والزوجية ونحوهما حقيقة مع الغضّ عن 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فعلية اعتبار العقلاء،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عرضت عليهم الأسباب المملّكة ليعتبرون الآثار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الفعلية الارتكازية، وعليه لا يعقل أن يكون الإيجاب والقبول موجبين لإيجاد الملكية ووجودها، فضلاً عن الإيجاب المجرّد؛ إذ لازمه أن تكون ألفاظ المعاملات مؤثّرات في نفوس العقلاء ونفس الموجب والمنشئ لها، مع أنّ للاعتبارات مبادئ ومناشئ حاصلة في صُقْع النفوس لا يعقل أن تكون تلك الألفاظ منها، فضلاً عن كونها علّة تامّة وسبباً وحيداً لها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أسبابا حقيقة، </w:t>
      </w:r>
    </w:p>
    <w:p>
      <w:pPr>
        <w:pStyle w:val="BookText"/>
        <w:rPr/>
      </w:pPr>
      <w:r>
        <w:rPr>
          <w:rFonts w:ascii="Amiri" w:hAnsi="Amiri" w:eastAsia="Amiri" w:cs="Amiri"/>
          <w:color w:val="111111"/>
          <w:sz w:val="28"/>
          <w:sz w:val="28"/>
          <w:szCs w:val="28"/>
          <w:rtl w:val="true"/>
          <w:lang w:bidi="ar-SA"/>
        </w:rPr>
        <w:t>فالحيازة ليست سببا لحصول الملكية؛ أي هذا المعنى الاعتباري المتقوّم بالاعتبار، بل هي كسائر الأسباب موضوعات لاعتبار العقلاء، فإذا تحقّقت الحيازة تصير موضوعة لاعتبار الملكية عقيبها من غير أن تصير علّة للاعتبار أو الأمر الاعتباري المتقوّم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ألفاظ العقود، فإنّها أيضاً موضوعات لاعتبارهم؛ بمعنى أنّهم يعتبرون الملكية إذا استعملت هذه الألفاظ في معانيها جدّاً، فإذا علم المتبايعان أنّ انتقال السلعة إلى أحدهما والثمن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إنشاء التمليك والتملّك جدّاً، فلا محالة يقصدان بألفاظهما ذلك جدّاً ولو مع العلم بأنّ الألفاظ ليست موجدات لمعانيها حقيقة، بل موضوعات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مبنيّ على مبنى فاسد، وهو موجدية الإيجاب للتمليك أو الملكية؛ ومع عدم صحّته ينفسخ الإشكال، فمع العلم بترتّب الأثر المطلوب على الإنشاء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يتمشّى القصد لا محالة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العقود مؤثّرات كالتأثير التكويني، فلا مجال لتوهّم تأثير الإيجاب في حصول الملكية للمتبايعين قبل لحوق القبول به، ولا إشكال عند كافّة العقلاء في أنّ الأثر حاصل بعد لحوق القبول وتمامية المعاملة، فتكون ألفاظ الإيجاب جزء المؤثّر، لا تمامه، فإذا علم الموجب أنّ جزئيتها للتأثير موقوفة على إنشاء التمليك جدّاً، واستعمال الألفاظ في معانيها بقصد تحقّق آثارها في موطنها، فلا محالة يتعلّق قصده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جزئيتها للأثر بعد انصرامها وتقضّيها بعد ما كان لها اعتبار بقاء </w:t>
      </w:r>
    </w:p>
    <w:p>
      <w:pPr>
        <w:pStyle w:val="BookText"/>
        <w:rPr/>
      </w:pPr>
      <w:r>
        <w:rPr>
          <w:rFonts w:ascii="Amiri" w:hAnsi="Amiri" w:eastAsia="Amiri" w:cs="Amiri"/>
          <w:color w:val="111111"/>
          <w:sz w:val="28"/>
          <w:sz w:val="28"/>
          <w:szCs w:val="28"/>
          <w:rtl w:val="true"/>
          <w:lang w:bidi="ar-SA"/>
        </w:rPr>
        <w:t>وبقاء اعتباري، كالعقد الفضولي المتعقّب بالإمضاء بناءً على النقل، والوصيّة المعلّقة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يسهل دفع الإشكال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الإيجاب مؤثّر في ظرف القبول</w:t>
      </w:r>
      <w:r>
        <w:rPr>
          <w:rStyle w:val="FootnoteAnchor"/>
          <w:rtl w:val="true"/>
        </w:rPr>
        <w:footnoteReference w:id="10"/>
      </w:r>
      <w:r>
        <w:rPr>
          <w:rFonts w:ascii="Amiri" w:hAnsi="Amiri" w:eastAsia="Amiri" w:cs="Amiri"/>
          <w:color w:val="111111"/>
          <w:sz w:val="28"/>
          <w:sz w:val="28"/>
          <w:szCs w:val="28"/>
          <w:rtl w:val="true"/>
          <w:lang w:bidi="ar-SA"/>
        </w:rPr>
        <w:t>أو بضمّه</w:t>
      </w:r>
      <w:r>
        <w:rPr>
          <w:rStyle w:val="FootnoteAnchor"/>
          <w:rtl w:val="true"/>
        </w:rPr>
        <w:footnoteReference w:id="11"/>
      </w:r>
      <w:r>
        <w:rPr>
          <w:rFonts w:ascii="Amiri" w:hAnsi="Amiri" w:eastAsia="Amiri" w:cs="Amiri"/>
          <w:color w:val="111111"/>
          <w:sz w:val="28"/>
          <w:sz w:val="28"/>
          <w:szCs w:val="28"/>
          <w:rtl w:val="true"/>
          <w:lang w:bidi="ar-SA"/>
        </w:rPr>
        <w:t>فإنّ الموجب مع علمه بذلك ينشئ سبب التمليك أو جزءه ليؤثّر في ظرفه؛ أي بعد القبول، وهذا وإن لم يكن من قبيل التعليق في الإنشاء، لكن يتوقّف تأثيره على تحقّق القبول، وعلى الظرف الخاصّ،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النظر في كلام الشيخ الأعظم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القبول شرط للانتقال في الخارج، لا في نظر الناقل؛ إذ الأثر لا ينفكّ عن التأثير، فالبيع وما يساويه معنىً من قبيل الإيجاب والوجوب، لا الكسر والانكسار، كما تخيّله بعض</w:t>
      </w:r>
      <w:r>
        <w:rPr>
          <w:rStyle w:val="FootnoteAnchor"/>
          <w:rtl w:val="true"/>
        </w:rPr>
        <w:footnoteReference w:id="12"/>
      </w:r>
      <w:r>
        <w:rPr>
          <w:rFonts w:ascii="Amiri" w:hAnsi="Amiri" w:eastAsia="Amiri" w:cs="Amiri"/>
          <w:color w:val="111111"/>
          <w:sz w:val="28"/>
          <w:sz w:val="28"/>
          <w:szCs w:val="28"/>
          <w:rtl w:val="true"/>
          <w:lang w:bidi="ar-SA"/>
        </w:rPr>
        <w:t>، ثمّ أمر بالتأمّل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ناظر إلى أنّ الانتقال كما لا يحصل في الخارج، لا يحصل بنظر الناقل أيضا؛ لوضوح أنّ الآثار المتوقّعة من العقود إنّما تترتّب عليها بعد تماميتها وبضمّ القبول إلى الإيجاب، وأنّ الإيجاب فقط لا يؤثّر في النقل، وهذا أمر واضح لا يغفل عنه الناس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التأثير إن كان مشروطاً لا يعقل ترتّب أثره على الإيجاب بلا شرط، ولا يكون توقّفه على الشرط من قبيل انفكاك الأثر عن التأثير</w:t>
      </w:r>
      <w:r>
        <w:rPr>
          <w:rFonts w:eastAsia="Amiri" w:cs="Amiri" w:ascii="Amiri" w:hAnsi="Amiri"/>
          <w:color w:val="111111"/>
          <w:sz w:val="28"/>
          <w:szCs w:val="28"/>
          <w:rtl w:val="true"/>
          <w:lang w:bidi="ar-SA"/>
        </w:rPr>
        <w:t xml:space="preserve">. </w:t>
      </w:r>
      <w:bookmarkStart w:id="42" w:name="pg15195_150393"/>
    </w:p>
    <w:p>
      <w:pPr>
        <w:pStyle w:val="BookText"/>
        <w:rPr/>
      </w:pPr>
      <w:bookmarkEnd w:id="42"/>
      <w:r>
        <w:rPr>
          <w:rFonts w:ascii="Amiri" w:hAnsi="Amiri" w:eastAsia="Amiri" w:cs="Amiri"/>
          <w:color w:val="111111"/>
          <w:sz w:val="28"/>
          <w:sz w:val="28"/>
          <w:szCs w:val="28"/>
          <w:rtl w:val="true"/>
          <w:lang w:bidi="ar-SA"/>
        </w:rPr>
        <w:t>وأوضح منه نظراً كلام بعض أعاظم العصر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الذي من فعل البائع، لا ينفكّ عن تحقّق اسم المصدر وإن لم يترتّب عليه الأثر خارجاً، فهو نظير الكسر الذي لا ينفكّ عنه الانكسار،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الإيجاب الذي لا يكون منشأً للآثار إلاّ إذا صدر ممّن له الأهلية 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اسم المصدر في التمليك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في الخارج، لا يعقل معه عدم تحقّق الأثر الذي هو الانتقال، فالتفكيك بين تحقّق اسم المصدر والأثر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الأثر ليس ما هو المعهود بينهم، بل المراد منه أحكام الملكية، من قبيل وجوب التسليم وحرمة التصرّف، غير وجيه، ولو أراد ذلك فهو أفسد</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495195_2142443653"/>
      <w:bookmarkStart w:id="44" w:name="_Toc13"/>
      <w:bookmarkEnd w:id="43"/>
      <w:r>
        <w:rPr>
          <w:rtl w:val="true"/>
        </w:rPr>
        <w:t>الأمر الثاني في أنّ البيع هو التبادل في الإضافة</w:t>
      </w:r>
      <w:bookmarkEnd w:id="44"/>
    </w:p>
    <w:p>
      <w:pPr>
        <w:pStyle w:val="BookText"/>
        <w:rPr/>
      </w:pPr>
      <w:r>
        <w:rPr>
          <w:rFonts w:ascii="Amiri" w:hAnsi="Amiri" w:eastAsia="Amiri" w:cs="Amiri"/>
          <w:color w:val="111111"/>
          <w:sz w:val="28"/>
          <w:sz w:val="28"/>
          <w:szCs w:val="28"/>
          <w:rtl w:val="true"/>
          <w:lang w:bidi="ar-SA"/>
        </w:rPr>
        <w:t xml:space="preserve">لا شبهة في أنّ ما هو عمل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التمليك والتملّك، وتبديل الإضافة المالكية والمملوكية بإضافة اُخرى، فالتبادل يقع بين الإضافات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شبهة في أنّ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البيع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هو المبادلة في الملكية ونحوها، وإلاّ فلا معنى معقول له؛ فإنّ المبادلة </w:t>
      </w:r>
      <w:bookmarkStart w:id="45" w:name="pg15195_150394"/>
    </w:p>
    <w:p>
      <w:pPr>
        <w:pStyle w:val="BookText"/>
        <w:rPr/>
      </w:pPr>
      <w:bookmarkEnd w:id="45"/>
      <w:r>
        <w:rPr>
          <w:rFonts w:ascii="Amiri" w:hAnsi="Amiri" w:eastAsia="Amiri" w:cs="Amiri"/>
          <w:color w:val="111111"/>
          <w:sz w:val="28"/>
          <w:sz w:val="28"/>
          <w:szCs w:val="28"/>
          <w:rtl w:val="true"/>
          <w:lang w:bidi="ar-SA"/>
        </w:rPr>
        <w:t>بين الشيئين لا بدّ وأن تكون في شيء 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جوهر ذاتهما، أو صفاتهما الحقيقية، أو إضافاتهما غير الإضافة الملكية، كالإضافة الزمانية، والمكانية،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شيئاً منها لا معنى له في المقام، ولا يمكن أن يكون مراده، فلا محالة يكون مقصوده التبادل في الملكية ولو بالمعنى الأعمّ الذي سنشير إليه</w:t>
      </w:r>
      <w:r>
        <w:rPr>
          <w:rStyle w:val="FootnoteAnchor"/>
          <w:rtl w:val="true"/>
        </w:rPr>
        <w:footnoteReference w:id="16"/>
      </w:r>
      <w:r>
        <w:rPr>
          <w:rFonts w:ascii="Amiri" w:hAnsi="Amiri" w:eastAsia="Amiri" w:cs="Amiri"/>
          <w:color w:val="111111"/>
          <w:sz w:val="28"/>
          <w:sz w:val="28"/>
          <w:szCs w:val="28"/>
          <w:rtl w:val="true"/>
          <w:lang w:bidi="ar-SA"/>
        </w:rPr>
        <w:t>، وهو عبارة اُخرى عن التمليك بالعوض من هذه الجهة، وإن كان بينهما اختلاف من جهة اُخرى</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495197_2142443653"/>
      <w:bookmarkStart w:id="47" w:name="_Toc14"/>
      <w:bookmarkEnd w:id="46"/>
      <w:r>
        <w:rPr>
          <w:rtl w:val="true"/>
        </w:rPr>
        <w:t>حول كلام المحقّق النائيني في المقام</w:t>
      </w:r>
      <w:bookmarkEnd w:id="47"/>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التعريفين فرقا معنوياً؛ فإنّ ظاهر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المقابلة تقع بين المملوكين، والتعريف الآخر أنّ المقابلة بين السلطنتين، والمتعارف تبديل الأموال، لا تبديل الملكية التي هي عبارة عن السلطنة على الأموال؛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لا على سلطنتهم، وباب الإعراض عن الملك ليس من جهة شمول السلطنة؛ فإنّ الإعراض إذهاب موضوع السلطنة، وليس مندرجا في موضوعها، فالمعاوضات عبارة عن تبديل المملوكين، عكس باب الإرث الذي هو تبديل المالكين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عالم الاعتبار كلّ من المتبايعين واجد لإضافة بينه وبين المملوك والتبديل عبارة عن حلّ الإضافة القائمة بالمثمن، وجعلها قائمةٌ </w:t>
      </w:r>
    </w:p>
    <w:p>
      <w:pPr>
        <w:pStyle w:val="BookText"/>
        <w:rPr/>
      </w:pPr>
      <w:r>
        <w:rPr>
          <w:rFonts w:ascii="Amiri" w:hAnsi="Amiri" w:eastAsia="Amiri" w:cs="Amiri"/>
          <w:color w:val="111111"/>
          <w:sz w:val="28"/>
          <w:sz w:val="28"/>
          <w:szCs w:val="28"/>
          <w:rtl w:val="true"/>
          <w:lang w:bidi="ar-SA"/>
        </w:rPr>
        <w:t>بالثمن، وهذا الحلّ من آثار واجدية الإضافة، لا أنّ الإضافة بتمامها تتبدّل بإضافة اُخرى، فالإضافة هي السلطنة، وليس للناس سلطنة على السلطنة،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مبادلة مالٍ بمالٍ، وليس عبارةٌ عن تمليك العين بالعوض، فالملكية جدة اعتبارية، لها نحو تحقّق في الاعتبار، وبها تتبدّل الأموال، وأمّا هي بنفسها فليست قابلةٌ للتبديل؛ لأنّه ليس للمالك ملكية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فرق بين البيع وغيره في ذلك، حتّى مثل الهبة المجّانية؛ فإنّ الواهب لا يملّك المتّهب ابتداءً، بل يعطيه المال، فإذا أعطاه إيّاه تنخلع عنه الإضافة، ويلبسها الآخر</w:t>
      </w:r>
      <w:r>
        <w:rPr>
          <w:rStyle w:val="FootnoteAnchor"/>
          <w:rtl w:val="true"/>
        </w:rPr>
        <w:footnoteReference w:id="18"/>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موارد كثيرة للنظر، نذكر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التعريفين من هذه الجهة يرجعان إلى معنىً واحد، وإن اختلفا من جهة اُخرى كما سيأتي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ليست هي الملكية، بل هي من الأحكام العقلائية للملكية، وتوهّم وحدتهما أوقعه في الإشكال، فقال ما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بما ذكرناه؛ فإنّ إضافة الأموال إلى الناس هي الإضافة المملوكية، فقوله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لا يُسَلَّطُونَ </w:t>
      </w:r>
    </w:p>
    <w:p>
      <w:pPr>
        <w:pStyle w:val="BookText"/>
        <w:rPr/>
      </w:pPr>
      <w:r>
        <w:rPr>
          <w:rFonts w:ascii="Amiri" w:hAnsi="Amiri" w:eastAsia="Amiri" w:cs="Amiri"/>
          <w:color w:val="111111"/>
          <w:sz w:val="28"/>
          <w:sz w:val="28"/>
          <w:szCs w:val="28"/>
          <w:rtl w:val="true"/>
          <w:lang w:bidi="ar-SA"/>
        </w:rPr>
        <w:t>عَلى الأموالِ بِلا إضافةِ مالكيةٍ بَينَها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رجعت السلطنة إلى الملكية، يكون قوله ذلك عبارةُ اُخرى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مالِكونَ لأملاكِهِم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توضيح الواضح، فلا شبهة في أنّ السلطنة من أحكام الملكية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باب الإعراض، فهو أيضاً من شؤون السلطنة على الأموال، ولا ضير في إيجابه إعدام موضوع السلطنة؛ إذ هو في جميع المعاملات كذلك، فالبيع موجب لذهاب موضوع السلطنة على السلعة، فلا فرق بين الإعراض، والبيع، والصلح، والهبة من هذه الجهة، فكما أنّ السلطنة على الأموال لازمها السلطنة على البيع، وإعدام سلطنة البائع على المبيع بإعدام موضوعها، كذلك لازمها السلطنة على الإعراض، وإعدامها بإعدام موضوعها، فما هو منشأ إشكاله منفسخ، وبه ينفسخ ما يترتّب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التبديل عبارةُ عن حلّ الإضافة القائمة بالسلعة، وجعلها قائمةُ بالثمن، وهو من آثار واجديتها، لا أنّ الإضافة بتمامها تتبدّل بإضافة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لأنّ حلّ الإضافة من طرف المملوك، وبقاءها في طرف المالك، ممّا لا يعقل، من غير فرق بين الاعتباريات وغيرها؛ ضرورة أنّ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المالك، والمالك مالك المملوك، وهما متكافئان؛ لا يعقل المملوك بلا مالك، ولا المالك بلا مملوك، فلا يعقل خلع إضافة المملوكية، وبقاء إضافة المالكية، ولا تبديل إضافة المملوكية، وعدم تبديل إضافة المالكية، وعليه يكون ما التزمه كرّاً على ما فرّ منه، مع توالٍ 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تخيّله في باب الإرث أيضاً غير صحيح، بل مخالف لظواهر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خلع الإضافة، وجعلها قائمة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من آثار تلك الإضافة؛ لأنّ الإضافة قائمة بالطرفين، والفرض أنّ الملكية عبارة عن السلطنة، ولازمه كونها أيضاً قائمة بالطرفين، فحينئذٍ خلع طرف الإضافة خلع حيثية ذاتها، أو جزء ذاتها، وهو لا يمكن أن يكون من آثارها، بل ولا يمكن أن تكون للناس سلطنة على سلطنتهم، والفرض أنّ السلطنة هي الملكية القائمة بالطرفين، فخلع الإضافة تصرّف في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ببعض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 غير الوجيه، فيكون من قبيل السلطنة على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الملكية من قبيل الجدة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تفسيرها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من الإضافة الاعتبارية بوجه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أقرب في الاعتبار إلى الإضافة،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الواهب لا يملّك المتّهب ابتداءً، بل يعطيه المال، فإذا أعطاه إيّاه تنخلع عنه الإضافة، ويلبسها الآخر، من غرائب الكلام؛ ضرورة أنّ الإعطاء الخارجي ليس بهبة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المال، إن كان الإعطاء الخارجي بلا قصد هبته، فلا يعقل انخلاع الإضافة، وإن كان الإعطاء هبة فهو التمليك مجّاناً، فعدم التمليك وانخلاع الإضافة لا يجتمعان، وهو واضح</w:t>
      </w:r>
      <w:r>
        <w:rPr>
          <w:rFonts w:eastAsia="Amiri" w:cs="Amiri" w:ascii="Amiri" w:hAnsi="Amiri"/>
          <w:color w:val="111111"/>
          <w:sz w:val="28"/>
          <w:szCs w:val="28"/>
          <w:rtl w:val="true"/>
          <w:lang w:bidi="ar-SA"/>
        </w:rPr>
        <w:t xml:space="preserve">. </w:t>
      </w:r>
      <w:bookmarkStart w:id="48" w:name="pg15195_150398"/>
    </w:p>
    <w:p>
      <w:pPr>
        <w:pStyle w:val="Heading4"/>
        <w:numPr>
          <w:ilvl w:val="3"/>
          <w:numId w:val="1"/>
        </w:numPr>
        <w:rPr/>
      </w:pPr>
      <w:bookmarkStart w:id="49" w:name="__RefHeading___Toc2495199_2142443653"/>
      <w:bookmarkStart w:id="50" w:name="_Toc15"/>
      <w:bookmarkEnd w:id="48"/>
      <w:bookmarkEnd w:id="49"/>
      <w:r>
        <w:rPr>
          <w:rtl w:val="true"/>
        </w:rPr>
        <w:t>الأمر الثالث في المراد من تبادل الإضافات</w:t>
      </w:r>
      <w:bookmarkEnd w:id="50"/>
    </w:p>
    <w:p>
      <w:pPr>
        <w:pStyle w:val="BookText"/>
        <w:rPr/>
      </w:pPr>
      <w:r>
        <w:rPr>
          <w:rFonts w:ascii="Amiri" w:hAnsi="Amiri" w:eastAsia="Amiri" w:cs="Amiri"/>
          <w:color w:val="111111"/>
          <w:sz w:val="28"/>
          <w:sz w:val="28"/>
          <w:szCs w:val="28"/>
          <w:rtl w:val="true"/>
          <w:lang w:bidi="ar-SA"/>
        </w:rPr>
        <w:t>إنّ ما ذكرناه في الأمر المتقدّم من أنّ ماهية البيع عبارة عن تبديل الإضافات، إنّما هو في مقابل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ماهيته تبديل المال بالمال أو العين بالمال، فيقع التبادل بين المالين ابتداءً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يتوهّم من ظاهر ما قلناه، أنّ المراد هو التبادل بمعناه المعهود؛ بمعنى أنّ البائع يبدّل إضافته الخاصّة التي بينه وبين العين، بإضافة خاصّة بين المشتري والثمن؛ فإنّ ذلك غير معقول حتّى لدى العرف، لعدم معقولية استقلال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الاعتبارية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طرف ولو آنا ما، ولازم انتقالها من البائع إلى المشتري استقلالها وجوداً واعتباراً بلا طرف،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إمكان استقلالها عقلي لا عرفي، والمقام متقوّم بتشخيص العرف؛ فإنّ العرف والعقلاء أيضاً لا يتعقّلون إضافة الملكية بلا مالك ولا مملوك، بل ما هو المتعارف لدى العقلاء هو تمليك العين بالعوض غالباً ولازمه سلب المالكية عن نفسه، وإيقاع الإضافة المالكية للطرف،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سلطانان على السلعة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لهما أنحاء التصرّفات فيهما؛ من التمليك المجّان، وبالعوض، والإعراض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والأخير سلب المالكية عن نفسه، والأوّلان إيقاع المالكية لغيره، ولازمه </w:t>
      </w:r>
    </w:p>
    <w:p>
      <w:pPr>
        <w:pStyle w:val="BookText"/>
        <w:rPr/>
      </w:pPr>
      <w:r>
        <w:rPr>
          <w:rFonts w:ascii="Amiri" w:hAnsi="Amiri" w:eastAsia="Amiri" w:cs="Amiri"/>
          <w:color w:val="111111"/>
          <w:sz w:val="28"/>
          <w:sz w:val="28"/>
          <w:szCs w:val="28"/>
          <w:rtl w:val="true"/>
          <w:lang w:bidi="ar-SA"/>
        </w:rPr>
        <w:t>سلبها عن نفسه، وهو عبارةٌ اُخرى عن تبديل العين بالعوض في الملكية؛ أي إعطاء الملكية للغير بالعوض، وعن تمليك العين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حقيقة البيع عبارة عن مبادلة مال بمال، ولا دخل في الإضافة المالكية فيها، ووجود الإضافة المالكية بحسب الغالب، لا يوجب دخالتها في الماهية وتقوّمها بها، والدليل عليه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 الأعيان الموقوفة فيما يجوز بيعها، مع أنّه لا مالك لها، ولا سيّما الموقوفات العامّة، فإذا ملّكها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كالمتولّي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بالعوض،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ولدى العقلاء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بيع الحاكم الأجناس الزكوية وأمثالها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ملكاً لأحد، بل عيّنها الشارع لمصارف خاصّة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في بعض أقسام البيع الفضولي، الذي يأتي الكلام فيه إن شاء اللّه‌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بيع الكلّي في الذمّة مع عدم مالكية الشخص له؛ إذ لا يعتبر العقلاء مالكية الإنسان لما في ذمّته، ولا يعدّ مالاً له، لكن لمّا كان للذمم اعتبار على حسب اختلافها فيه، يكون لصاحبها سلطنة على تمليك كلّي فيها حسب مقدار الاعتبار العقلائي، فيكون ذلك تمليك مال، لا تمليك مال مملوك، أو تبديل الإضافة التي بين المالك والمملوك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ظهر أنّ في الأمثلة المتقدّمة ونظائرها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bookmarkStart w:id="51" w:name="pg15195_150400"/>
    </w:p>
    <w:p>
      <w:pPr>
        <w:pStyle w:val="BookText"/>
        <w:rPr/>
      </w:pPr>
      <w:bookmarkEnd w:id="51"/>
      <w:r>
        <w:rPr>
          <w:rFonts w:ascii="Amiri" w:hAnsi="Amiri" w:eastAsia="Amiri" w:cs="Amiri"/>
          <w:color w:val="111111"/>
          <w:sz w:val="28"/>
          <w:sz w:val="28"/>
          <w:szCs w:val="28"/>
          <w:rtl w:val="true"/>
          <w:lang w:bidi="ar-SA"/>
        </w:rPr>
        <w:t>عدم اختلاف ماهية البيع في تلك الموارد وغيرها من موارد تحقّق الإضافة المالكية، نستكشف أنّ ماهيته لا تتقوّم بالإضافة المالكية وإن كانت متحقّقة في غالب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تبادل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إضافة بعوض، وهذا عين تمليك عين بعوض؛ فإنّ التمليك إعطاء الإضافة، لا تبديل إضافة محقّقة بإضافة اُخرى محقّقة، فتدبّر جيّدا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495201_2142443653"/>
      <w:bookmarkStart w:id="53" w:name="_Toc16"/>
      <w:bookmarkEnd w:id="52"/>
      <w:r>
        <w:rPr>
          <w:rtl w:val="true"/>
        </w:rPr>
        <w:t>الأمر الرابع في عدم تقوّم البيع بكون المبيع أصلاً والثمن بدلاً</w:t>
      </w:r>
      <w:bookmarkEnd w:id="53"/>
    </w:p>
    <w:p>
      <w:pPr>
        <w:pStyle w:val="BookText"/>
        <w:rPr/>
      </w:pPr>
      <w:r>
        <w:rPr>
          <w:rFonts w:ascii="Amiri" w:hAnsi="Amiri" w:eastAsia="Amiri" w:cs="Amiri"/>
          <w:color w:val="111111"/>
          <w:sz w:val="28"/>
          <w:sz w:val="28"/>
          <w:szCs w:val="28"/>
          <w:rtl w:val="true"/>
          <w:lang w:bidi="ar-SA"/>
        </w:rPr>
        <w:t xml:space="preserve">لا شبهة في أنّ المتعارف عند الناس في أوائل تمدّنهم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تعارف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تبادل الأمتعة بعضها ببعض، حسب ما مسّت الحاجات إليه، فكانوا يعاوضون الحنطة بالشعير، والمزروع بالملبوس وهكذا، والآن أيضا تكون المعاوضة بين العينين متعارفة، ولا سيّما بين أهل البوادي والقرى، فهل هي معاملة مستقلّة غير البيع، أو هي هو؟</w:t>
      </w:r>
    </w:p>
    <w:p>
      <w:pPr>
        <w:pStyle w:val="BookText"/>
        <w:rPr/>
      </w:pPr>
      <w:r>
        <w:rPr>
          <w:rFonts w:ascii="Amiri" w:hAnsi="Amiri" w:eastAsia="Amiri" w:cs="Amiri"/>
          <w:color w:val="111111"/>
          <w:sz w:val="28"/>
          <w:sz w:val="28"/>
          <w:szCs w:val="28"/>
          <w:rtl w:val="true"/>
          <w:lang w:bidi="ar-SA"/>
        </w:rPr>
        <w:t xml:space="preserve">قد يتوهّم من التعبير في البيع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البيع متقوّمة بكون المبيع أصلاً، والثمن بدلاً؛ بمعنى أنّ المبيع مطلوب بالذات، والثمن بدل لماليته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وهم؛ فإنّ التعبير بذلك ليس لأجل كون المبيع مطلوباً ذاتاً بخصوصياته </w:t>
      </w:r>
    </w:p>
    <w:p>
      <w:pPr>
        <w:pStyle w:val="BookText"/>
        <w:rPr/>
      </w:pPr>
      <w:r>
        <w:rPr>
          <w:rFonts w:ascii="Amiri" w:hAnsi="Amiri" w:eastAsia="Amiri" w:cs="Amiri"/>
          <w:color w:val="111111"/>
          <w:sz w:val="28"/>
          <w:sz w:val="28"/>
          <w:szCs w:val="28"/>
          <w:rtl w:val="true"/>
          <w:lang w:bidi="ar-SA"/>
        </w:rPr>
        <w:t xml:space="preserve">الذاتية، والثمن مطلوباً لأجل بدليته، ومطلوبية بدليته عرضية، مع أنّ ذلك أيضاً لا يصحّ كلّياً، بل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 في المعاملة؛ أي يكون التمليك في مقابل التمليك، لا مجّاناً وبلا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تعارف كون المبيع سلعة وعروضاً ومقابله الأثمان، لا يوجب تقوّم حقيقة البيع بذلك وصحّة سلبه عن بيع الدينار بالدينار، والدرهم بالدرهم، وعن البيع الربوي والصرف، مع شيوع إطلاقه عليها عرفاً وفي الشرع، فالبيع تمليك عين بعوض، أو مبادلة مالٍ بمالٍ، سواءٌ كان العوض من الأثمان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البائع والمشتري في بيع الأعيان بالأثمان معلومٌ لدى العرف، لكن في بيع الدرهم بالدرهم يمكن أن يكون كلّ واحد منهما بائعاً، فمن أوجب التمليك بالعوض بائعٌ، فلا يتعيّن فيه البائع لدى العرف ولا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ديناراً بدينارين أو بدراهم وقبل الآخر، صار الأوّل بائعاً، والثاني مشترياً، ولو انعكس انعكس إذا لم نقل بجواز بيع الأثمان بالعروض؛ لعدم التعارف، ومخالفته لبناء العرف والعقلاء،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وحكي عن العلاّمة أنّه لو باع ديناراً بحيوان يثبت الخيار للبائع، مدّعيا عليه الاتّفاق</w:t>
      </w:r>
      <w:r>
        <w:rPr>
          <w:rStyle w:val="FootnoteAnchor"/>
          <w:rtl w:val="true"/>
        </w:rPr>
        <w:footnoteReference w:id="24"/>
      </w:r>
      <w:r>
        <w:rPr>
          <w:rFonts w:ascii="Amiri" w:hAnsi="Amiri" w:eastAsia="Amiri" w:cs="Amiri"/>
          <w:color w:val="111111"/>
          <w:sz w:val="28"/>
          <w:sz w:val="28"/>
          <w:szCs w:val="28"/>
          <w:rtl w:val="true"/>
          <w:lang w:bidi="ar-SA"/>
        </w:rPr>
        <w:t xml:space="preserve">، فيدلّ على صحّته لدى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الفرق من هذه الجهة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فرض إنشاء العقد بصيغة المعاوضة والمبادلة من غير تقدّم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وكّلا ثالثاً لإجرائه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خارجاً عن حقيقة البيع، بل هو أيضاً تمليك العين بالعوض</w:t>
      </w:r>
      <w:r>
        <w:rPr>
          <w:rFonts w:eastAsia="Amiri" w:cs="Amiri" w:ascii="Amiri" w:hAnsi="Amiri"/>
          <w:color w:val="111111"/>
          <w:sz w:val="28"/>
          <w:szCs w:val="28"/>
          <w:rtl w:val="true"/>
          <w:lang w:bidi="ar-SA"/>
        </w:rPr>
        <w:t xml:space="preserve">. </w:t>
      </w:r>
      <w:bookmarkStart w:id="54" w:name="pg15195_150402"/>
    </w:p>
    <w:p>
      <w:pPr>
        <w:pStyle w:val="BookText"/>
        <w:rPr/>
      </w:pPr>
      <w:bookmarkEnd w:id="54"/>
      <w:r>
        <w:rPr>
          <w:rFonts w:ascii="Amiri" w:hAnsi="Amiri" w:eastAsia="Amiri" w:cs="Amiri"/>
          <w:color w:val="111111"/>
          <w:sz w:val="28"/>
          <w:sz w:val="28"/>
          <w:szCs w:val="28"/>
          <w:rtl w:val="true"/>
          <w:lang w:bidi="ar-SA"/>
        </w:rPr>
        <w:t>نعم، يمكن الفرق بينه وبين البيع بالأثمان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المتبايعين ملّك عينه بالعوض، وهو لا يوجب الخروج عن حقيقة البيع، ولا التفاوت الجوهري بينه وبين البيع بالأثمان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495203_2142443653"/>
      <w:bookmarkStart w:id="56" w:name="_Toc17"/>
      <w:bookmarkEnd w:id="55"/>
      <w:r>
        <w:rPr>
          <w:rtl w:val="true"/>
        </w:rPr>
        <w:t>الأمر الخامس فيما يعتبر في صدق البيع من خصوصيات العوضين</w:t>
      </w:r>
      <w:bookmarkEnd w:id="56"/>
    </w:p>
    <w:p>
      <w:pPr>
        <w:pStyle w:val="Heading4"/>
        <w:numPr>
          <w:ilvl w:val="3"/>
          <w:numId w:val="1"/>
        </w:numPr>
        <w:rPr/>
      </w:pPr>
      <w:bookmarkStart w:id="57" w:name="__RefHeading___Toc2495205_2142443653"/>
      <w:bookmarkStart w:id="58" w:name="_Toc18"/>
      <w:bookmarkEnd w:id="57"/>
      <w:r>
        <w:rPr>
          <w:rtl w:val="true"/>
        </w:rPr>
        <w:t>اعتبار كون المبيع عيناً في صدق البيع</w:t>
      </w:r>
      <w:bookmarkEnd w:id="5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اعتبار كون المبيع عيناً، فلا يعمّ المنافع والحقوق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يتشبّث لذلك بانصراف الأدلّة إلى ما هو المعهود خارجاً، أو الشكّ في شمول المطلقات لغير بيع الأعيان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المقصود هاهنا تحصيل مفهوم البيع عرفاً، سواء كان صحيحاً شرعاً أم لا، لا ما هو المؤثّر شرعاً، وإلاّ كان اللازم تقييد الموضوع بكلّ ما يعتبر في مؤثّريته شرعاً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 يتّجه التمسّك بالإجماع، أو تسالم الأصحاب وعدم الخلاف، ولا بانصراف الأدلّة، أو الشكّ في إطلاقها؛ إذ كلّ ذلك أجنبيّ عن المقصود، إلاّ أن يتشبّث باتّفاق الأصحاب لتحصيل معناه العرفي، وهو كما ترى؛ لأنّهم بصدد </w:t>
      </w:r>
    </w:p>
    <w:p>
      <w:pPr>
        <w:pStyle w:val="BookText"/>
        <w:rPr/>
      </w:pPr>
      <w:r>
        <w:rPr>
          <w:rFonts w:ascii="Amiri" w:hAnsi="Amiri" w:eastAsia="Amiri" w:cs="Amiri"/>
          <w:color w:val="111111"/>
          <w:sz w:val="28"/>
          <w:sz w:val="28"/>
          <w:szCs w:val="28"/>
          <w:rtl w:val="true"/>
          <w:lang w:bidi="ar-SA"/>
        </w:rPr>
        <w:t>بيان التفاوت بين البيع والإجارة المؤثّرين، ولا أقلّ من احتمال ذلك، فلا يمكن استكشاف المعنى العرفي منه،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يتمسّك بالتبادر عرفاً، وصحّة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تمليك المنفعة بالعوض</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والتبادر الناشئ من الغلبة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السلب، فمع رجوعها إلى التبادر على ما حقّق في محلّه</w:t>
      </w:r>
      <w:r>
        <w:rPr>
          <w:rStyle w:val="FootnoteAnchor"/>
          <w:rtl w:val="true"/>
        </w:rPr>
        <w:footnoteReference w:id="28"/>
      </w:r>
      <w:r>
        <w:rPr>
          <w:rFonts w:ascii="Amiri" w:hAnsi="Amiri" w:eastAsia="Amiri" w:cs="Amiri"/>
          <w:color w:val="111111"/>
          <w:sz w:val="28"/>
          <w:sz w:val="28"/>
          <w:szCs w:val="28"/>
          <w:rtl w:val="true"/>
          <w:lang w:bidi="ar-SA"/>
        </w:rPr>
        <w:t xml:space="preserve">، فهي ممنوعة أيضاً؛ ضرورة تعارف البيع لدى العقلاء والعرف في موارد بيع غير الأعيان، كما يتعارف بين الزرّاع بيع آثار الأعمال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وحفر الجداول، وتصفية الأراضي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ترك الزرع أو الهجرة من قريتهم، ولا أظنّ بأحد منهم التردّد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تعارف في عصرنا بيع حقّ عقلائي أو اعتبار كذلك، يتخيّلونه في الدكاكين وغيرها، يسمّونه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الماء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بأحدهم عدّ ذلك غير البيع، ولا الشبهة في صدق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صدقه على بيع السلطان قطعة من مملكته وحومة تصرّفه، مع قيام الضرورة على عدم بيع الأراضي والدور المملوكة للأشخاص، ولو فرض كون جميع تلك الناحية معمورة لأشخاص معلومين، يصحّ بيعها </w:t>
      </w:r>
      <w:bookmarkStart w:id="59" w:name="pg15195_150404"/>
    </w:p>
    <w:p>
      <w:pPr>
        <w:pStyle w:val="BookText"/>
        <w:rPr/>
      </w:pPr>
      <w:bookmarkEnd w:id="59"/>
      <w:r>
        <w:rPr>
          <w:rFonts w:ascii="Amiri" w:hAnsi="Amiri" w:eastAsia="Amiri" w:cs="Amiri"/>
          <w:color w:val="111111"/>
          <w:sz w:val="28"/>
          <w:sz w:val="28"/>
          <w:szCs w:val="28"/>
          <w:rtl w:val="true"/>
          <w:lang w:bidi="ar-SA"/>
        </w:rPr>
        <w:t>لدى العقلاء، وهو ليس من بيع الأعيان، بل هو بيع معنىً اعتباري، ولو نوقش في المثال فلا تنبغي المناقشة في أصل الدعوي، فبيع المنافع والحقوق بيع عرفا ولغةً ولو فرض بطلانه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495207_2142443653"/>
      <w:bookmarkStart w:id="61" w:name="_Toc19"/>
      <w:bookmarkEnd w:id="60"/>
      <w:r>
        <w:rPr>
          <w:rtl w:val="true"/>
        </w:rPr>
        <w:t>الإشكال في بيع الكلّي في الذمّة والدين</w:t>
      </w:r>
      <w:bookmarkEnd w:id="61"/>
    </w:p>
    <w:p>
      <w:pPr>
        <w:pStyle w:val="BookText"/>
        <w:rPr/>
      </w:pPr>
      <w:r>
        <w:rPr>
          <w:rFonts w:ascii="Amiri" w:hAnsi="Amiri" w:eastAsia="Amiri" w:cs="Amiri"/>
          <w:color w:val="111111"/>
          <w:sz w:val="28"/>
          <w:sz w:val="28"/>
          <w:szCs w:val="28"/>
          <w:rtl w:val="true"/>
          <w:lang w:bidi="ar-SA"/>
        </w:rPr>
        <w:t>ثمّ إنّه لو اعتبر كون المبيع عيناً فيراد منها ما تقابل المنفعة والحقّ، فتعمّ العين الشخصية، والملك المشاع، والكلّي في المعيّن، والكلّي في الذمّة،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شيءٍ منها إلاّ الأخيرين؛ فإنّ فيهما إشكالاً، وهو أنّه لا بدّ في المبيع أن يكون ملكاً ومعروضاً للملكية، وهما ليسا كذلك؛ لعدم وجودهما، مع أنّ الملكية عرض محتاج إلى المحلّ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جارٍ في الكلّي في المعيّن والمشاع أيضاً؛ ضرورة أنّ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فرض، وبأيّ قيد 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الكلّية، ففي الكلّي في المعيّن ما هو موجود في الخارج هو المتشخّصات المتعيّنات، التي هي غير قابلة للصدق على الكثيرين، والكلّي في المعيّن ماهية صادقة على كلّ واحد من الأفراد الموجودة في المعيّن، فصاع من صُبْرة يصدق على كلّ صاع متحقّق فيها، ولهذا يصحّ تعيينه في أيّ صاع أراده البائع، وما هو كذلك لا يعقل أن يكون موجوداً متشخّصاً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بينه وبين الكلّي في الذمّة إلاّ من جهة التقيّد، فالكلّي في المعيّن كلّي مقيّد بقيد، لا ينطبق لأجله إلاّ على المصاديق المتحقّقة في الصُبْرة، والكلّي في الذمّة لو لم يتقيّد بشيء، يصدق على كلّ فرد من الطبيعة، وهذا لا يوجب الافتراق في الكلّية، ولا يخرج الكلّي به عن الكلّية إلى الشخصية المتقوّمة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المشاع، فإنّ النصف والثلث وغيرهما من الكسور، لم تكن متعيّنة متشخّصة في الخارج، وما ليس كذلك ليس بموجود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الخارج هو العين، وأبعاضها المعيّنة موجودة بتبعها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بموجوديتها فعلاً،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الموجود إلاّ نفس العين، وقبل القسمة الفرضية لم تكن الأجزاء موجودة بوجه، وبعدها تصير موجودة فرضاً، ومع التقسيم الخارجي تخرج من الجزئية إلى الاستقلال، وتصير موجودة بوجودها الشخصي، وهذا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المتشخّص أو المتعيّن ولو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الكسر المشاع، بل هو أمر معيّن، والمشاع لا يعقل أن يكون معيّناً، ومع عدم التعيين يأتي الإشكال المتقدّم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التشبّث بأنّ الملكية ليست من الأعراض الخارجية، بل من الاعتبارات العقلائية، ولا مانع من اعتبارها في موضوع اعتباري آخر، والكلّي في الذمّة وكذا سائر الأمثلة، ليست معدومة مطلقا حتّى في الاعتبار، بل هي موجودات اعتبارية، مورد اعتبارها قد يكون في الذمّة، وقد يكون في خارجها ومع موجوديتها يعتبرها العقلاء ملكاً ومملوكاً، فلا إشكال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تحقيق اعتبار العقلاء في الملك المشاع، والكلّي في المعيّن، والفرق بينهما، فموكول إلى محلّه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فيهما أقوى، والجواب أصعب من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الآخر المختصّ بالكلّي في الذمّة من بين الأمثلة، والجاري في عمل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ماليته لصاحب الذمّة والحرّ</w:t>
      </w:r>
      <w:r>
        <w:rPr>
          <w:rStyle w:val="FootnoteAnchor"/>
          <w:rtl w:val="true"/>
        </w:rPr>
        <w:footnoteReference w:id="32"/>
      </w:r>
      <w:r>
        <w:rPr>
          <w:rFonts w:ascii="IRNazanin" w:hAnsi="IRNazanin" w:eastAsia="IRNazanin"/>
          <w:color w:val="111111"/>
          <w:sz w:val="28"/>
          <w:sz w:val="28"/>
          <w:szCs w:val="28"/>
          <w:rtl w:val="true"/>
          <w:lang w:bidi="fa-IR"/>
        </w:rPr>
        <w:t>، فقد مرّ دفعه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اعتبار كون المبيع عينا 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عدم اعتبار كون العوض عيناً، وعدم الخلاف فيه</w:t>
      </w:r>
      <w:r>
        <w:rPr>
          <w:rStyle w:val="FootnoteAnchor"/>
          <w:rtl w:val="true"/>
        </w:rPr>
        <w:footnoteReference w:id="34"/>
      </w:r>
      <w:r>
        <w:rPr>
          <w:rFonts w:ascii="Amiri" w:hAnsi="Amiri" w:eastAsia="Amiri" w:cs="Amiri"/>
          <w:color w:val="111111"/>
          <w:sz w:val="28"/>
          <w:sz w:val="28"/>
          <w:szCs w:val="28"/>
          <w:rtl w:val="true"/>
          <w:lang w:bidi="ar-SA"/>
        </w:rPr>
        <w:t xml:space="preserve">، ولا شبهة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واحتمال الإلحاق شرعاً مقطوع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العوض والمعوّض يختلفان بالاعتبار حسب إنشاء البيع، وأمّا بحسب الواقع فكلّ من المثمن والثمن عوض عن الآخر، فماهية البيع هي المبادلة بينهما، وجعل كلّ منهما عوضا عن الآخر، وبدلاً عن صاحبه، فالعين بدل الثمن وعوضه، والثمن بدل العين وعوضها، فكما لا يعتبر في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عينا، كذلك في العوض الآخر الذي هو مبيع؛ لعدم الفرق بينهما من جهة العوضية والمعوّضية، ومن وقوع التبادل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التزام الأعاظم بالفرق بينهما، ناشٍ</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من كلام الفقهاء في مقام الفرق بين البيع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نقل الأعيان، </w:t>
      </w:r>
      <w:bookmarkStart w:id="62" w:name="pg15195_150407"/>
    </w:p>
    <w:p>
      <w:pPr>
        <w:pStyle w:val="BookText"/>
        <w:rPr/>
      </w:pPr>
      <w:bookmarkEnd w:id="62"/>
      <w:r>
        <w:rPr>
          <w:rFonts w:ascii="Amiri" w:hAnsi="Amiri" w:eastAsia="Amiri" w:cs="Amiri"/>
          <w:color w:val="111111"/>
          <w:sz w:val="28"/>
          <w:sz w:val="28"/>
          <w:szCs w:val="28"/>
          <w:rtl w:val="true"/>
          <w:lang w:bidi="ar-SA"/>
        </w:rPr>
        <w:t>وهي نقل المنافع</w:t>
      </w:r>
      <w:r>
        <w:rPr>
          <w:rStyle w:val="FootnoteAnchor"/>
          <w:rtl w:val="true"/>
        </w:rPr>
        <w:footnoteReference w:id="35"/>
      </w:r>
      <w:r>
        <w:rPr>
          <w:rFonts w:ascii="IRNazanin" w:hAnsi="IRNazanin" w:eastAsia="IRNazanin"/>
          <w:color w:val="111111"/>
          <w:sz w:val="28"/>
          <w:sz w:val="28"/>
          <w:szCs w:val="28"/>
          <w:rtl w:val="true"/>
          <w:lang w:bidi="fa-IR"/>
        </w:rPr>
        <w:t xml:space="preserve">وقد أشرنا </w:t>
      </w:r>
      <w:r>
        <w:rPr>
          <w:rStyle w:val="FootnoteAnchor"/>
          <w:rtl w:val="true"/>
        </w:rPr>
        <w:footnoteReference w:id="36"/>
      </w:r>
      <w:r>
        <w:rPr>
          <w:rFonts w:ascii="Amiri" w:hAnsi="Amiri" w:eastAsia="Amiri" w:cs="Amiri"/>
          <w:color w:val="111111"/>
          <w:sz w:val="28"/>
          <w:sz w:val="28"/>
          <w:szCs w:val="28"/>
          <w:rtl w:val="true"/>
          <w:lang w:bidi="ar-SA"/>
        </w:rPr>
        <w:t xml:space="preserve">إلى أنّ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كاشفاً عن المفهوم العقلائي، ولا تثبت به اللغة والمعنى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تمليك العين بالعوض</w:t>
      </w:r>
      <w:r>
        <w:rPr>
          <w:rStyle w:val="FootnoteAnchor"/>
          <w:rtl w:val="true"/>
        </w:rPr>
        <w:footnoteReference w:id="37"/>
      </w:r>
      <w:r>
        <w:rPr>
          <w:rFonts w:ascii="Amiri" w:hAnsi="Amiri" w:eastAsia="Amiri" w:cs="Amiri"/>
          <w:color w:val="111111"/>
          <w:sz w:val="28"/>
          <w:sz w:val="28"/>
          <w:szCs w:val="28"/>
          <w:rtl w:val="true"/>
          <w:lang w:bidi="ar-SA"/>
        </w:rPr>
        <w:t>فالتزموا في المبيع أن يكون عينا دون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هذا التعريف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 الفرق بينهما عرفاً تكلّف،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محطّ بحثنا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495209_2142443653"/>
      <w:bookmarkStart w:id="64" w:name="_Toc20"/>
      <w:bookmarkEnd w:id="63"/>
      <w:r>
        <w:rPr>
          <w:rtl w:val="true"/>
        </w:rPr>
        <w:t>حول صدق البيع مع كون العوض عمل الحرّ</w:t>
      </w:r>
      <w:bookmarkEnd w:id="64"/>
    </w:p>
    <w:p>
      <w:pPr>
        <w:pStyle w:val="BookText"/>
        <w:rPr/>
      </w:pPr>
      <w:r>
        <w:rPr>
          <w:rFonts w:ascii="Amiri" w:hAnsi="Amiri" w:eastAsia="Amiri" w:cs="Amiri"/>
          <w:color w:val="111111"/>
          <w:sz w:val="28"/>
          <w:sz w:val="28"/>
          <w:szCs w:val="28"/>
          <w:rtl w:val="true"/>
          <w:lang w:bidi="ar-SA"/>
        </w:rPr>
        <w:t xml:space="preserve">ثمّ لا إشكال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العوض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 الحرّ فقد استشكل فيه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اعتبار كون المبيع مالاً قبل المعاوضة، واحتمال عدم مالية عمل الحرّ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أمراً مستقلاًّ، وكان علينا بيانه في تحصيل مفهوم البيع، لكن نتعرّض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هذا الأمر، فنقول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39"/>
      </w:r>
      <w:r>
        <w:rPr>
          <w:rFonts w:ascii="Amiri" w:hAnsi="Amiri" w:eastAsia="Amiri" w:cs="Amiri"/>
          <w:color w:val="111111"/>
          <w:sz w:val="28"/>
          <w:sz w:val="28"/>
          <w:szCs w:val="28"/>
          <w:rtl w:val="true"/>
          <w:lang w:bidi="ar-SA"/>
        </w:rPr>
        <w:t xml:space="preserve">عدم اعتبار كون المبيع ملكاً للبائع، كبيع وليّ الوقف الموقوفة </w:t>
      </w:r>
    </w:p>
    <w:p>
      <w:pPr>
        <w:pStyle w:val="BookText"/>
        <w:rPr/>
      </w:pPr>
      <w:r>
        <w:rPr>
          <w:rFonts w:ascii="Amiri" w:hAnsi="Amiri" w:eastAsia="Amiri" w:cs="Amiri"/>
          <w:color w:val="111111"/>
          <w:sz w:val="28"/>
          <w:sz w:val="28"/>
          <w:szCs w:val="28"/>
          <w:rtl w:val="true"/>
          <w:lang w:bidi="ar-SA"/>
        </w:rPr>
        <w:t>العامّة، بل ولا يعتبر في العوض ذلك أيضاً، كما إذا اشترى الحاكم بالصدقات أو بالخراج شيئاً،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كونهما لمالك، بل جُعلاً لمصرف خاصّ، وكتبادل الوقف العامّ بمثله إذا اقتضت المصالح، فيرجع إلى تبادلهما في الولاية أو السلطنة، ولا بأس به؛ للصدق العرفي، فهل يعتبر كونهما مالين قبل وقوع المعاوضة عليهما أم لا؟</w:t>
      </w:r>
    </w:p>
    <w:p>
      <w:pPr>
        <w:pStyle w:val="BookText"/>
        <w:rPr/>
      </w:pPr>
      <w:r>
        <w:rPr>
          <w:rFonts w:ascii="Amiri" w:hAnsi="Amiri" w:eastAsia="Amiri" w:cs="Amiri"/>
          <w:color w:val="111111"/>
          <w:sz w:val="28"/>
          <w:sz w:val="28"/>
          <w:szCs w:val="28"/>
          <w:rtl w:val="true"/>
          <w:lang w:bidi="ar-SA"/>
        </w:rPr>
        <w:t>الظاهر عدم الاعتبار، فإذا فرض كون شيء غير مال لدى المشتري أو البائع، لكن بعد النقل صار مالاً، يكون تبادلهما بيعاً عرفاً، ومورداً لاعتبار العقلاء، وموافقاً لأغراضهم، فإذا فرض عدم مالية عمل الحرّ قبل وقوع المعاوضة عليه، وصار مالاً بعده، يكون بيعه بيعاً عرفياً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بعدم اعتبار كونهما مالاً رأساً؛ فإنّ المعاوضة عليهما بيع وإن كان فاسداً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فإنّ المنظور هاهنا هو البيع الذي من مقولة المعنى، لا ألفاظ المعاملة حتّى تتّصف بالصحّة والفساد، وأمر المعنى دائر بين كونه مورداً لاعتبار العقلاء وعدمه، ومع عدمه لا يكون بيعاً؛ فإنّه ماهية اعتبارية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اعتبارات العقلاء إنّما هي لأغراض واحتياجات ومصالح التمدّن والعيش، ولا معنى لاعتبار ما لا يتعلّق به غرض ولا فائدةٌ له رأساً، فهل يصحّ اعتبار عقد الزواج بين الشجرتين،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نكاح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ليس إلاّ اُضحوكة؟ </w:t>
      </w:r>
      <w:r>
        <w:rPr>
          <w:rFonts w:eastAsia="Amiri" w:cs="Amiri" w:ascii="Amiri" w:hAnsi="Amiri"/>
          <w:color w:val="111111"/>
          <w:sz w:val="28"/>
          <w:szCs w:val="28"/>
          <w:rtl w:val="true"/>
          <w:lang w:bidi="ar-SA"/>
        </w:rPr>
        <w:t xml:space="preserve">! </w:t>
      </w:r>
      <w:bookmarkStart w:id="65" w:name="pg15195_150409"/>
    </w:p>
    <w:p>
      <w:pPr>
        <w:pStyle w:val="BookText"/>
        <w:rPr/>
      </w:pPr>
      <w:bookmarkEnd w:id="65"/>
      <w:r>
        <w:rPr>
          <w:rFonts w:ascii="Amiri" w:hAnsi="Amiri" w:eastAsia="Amiri" w:cs="Amiri"/>
          <w:color w:val="111111"/>
          <w:sz w:val="28"/>
          <w:sz w:val="28"/>
          <w:szCs w:val="28"/>
          <w:rtl w:val="true"/>
          <w:lang w:bidi="ar-SA"/>
        </w:rPr>
        <w:t xml:space="preserve">فتبديل منّ من ماء البحر بمنّ منه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كتبديل كفّ من تراب بكفّ منه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اُضحوكة، لا بيع، ولا معاملة اُخرى</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495211_2142443653"/>
      <w:bookmarkStart w:id="67" w:name="_Toc21"/>
      <w:bookmarkEnd w:id="66"/>
      <w:r>
        <w:rPr>
          <w:rtl w:val="true"/>
        </w:rPr>
        <w:t>ثبوت الضمان في حبس الحرّ الكسوب</w:t>
      </w:r>
      <w:bookmarkEnd w:id="67"/>
    </w:p>
    <w:p>
      <w:pPr>
        <w:pStyle w:val="BookText"/>
        <w:rPr/>
      </w:pPr>
      <w:r>
        <w:rPr>
          <w:rFonts w:ascii="Amiri" w:hAnsi="Amiri" w:eastAsia="Amiri" w:cs="Amiri"/>
          <w:color w:val="111111"/>
          <w:sz w:val="28"/>
          <w:sz w:val="28"/>
          <w:szCs w:val="28"/>
          <w:rtl w:val="true"/>
          <w:lang w:bidi="ar-SA"/>
        </w:rPr>
        <w:t>ثمّ إنّ عمل الحرّ مال سواء كان كسوباً أم لا؛ ضرورة أنّ خياطة الثوب أو حفر النهر، مال يبذل بإزائه الثمن، وليس المال إلاّ ما يكون موردا لرغبة العقلاء وطلبهم، ومعه يبذلون بإزائه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ماليته باعتبار توقّع حصوله ووجوده، لكن لا بمعنى أنّه قيد لها، بل بمعنى كونه مالاً بلحاظه، فيكون ذلك كجهة تعليلية لذلك، فالفرق بين عمل الكسوب وغيره من جهة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الطباطبائي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بينهما في تحقّق الضمان بحبسه؛ فإنّ الظاهر أنّ حبس الحرّ الكسوب موجب للضمان لدى العقلاء،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جارٍ ظاهراً في العبد، وفي سائر الأموال أيضاً، فإنّ العبد أو الفرس أو غيرهما، قد يكون معدّا للإجارة وتحصيل مال الإجارة، وقد لا يعدّ لذلك، كما في عبيد السلاطين والخلفاء، فإنّهم لمجرّد زيادة الشوكة والعظمة، ولا يكون عبيدهم معدّين للكسب، فحبس مثل هذا العبد لا يوجب ضمان المنافع لدى العقلاء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أفراس السلاطين والأشراف، ممّا لا تكون معدّة للإجارة، بل لركوبهم، فليس غصبها موجباً لتقدير منفعة لها وتضمين الغاصب إيّاها</w:t>
      </w:r>
      <w:r>
        <w:rPr>
          <w:rFonts w:eastAsia="Amiri" w:cs="Amiri" w:ascii="Amiri" w:hAnsi="Amiri"/>
          <w:color w:val="111111"/>
          <w:sz w:val="28"/>
          <w:szCs w:val="28"/>
          <w:rtl w:val="true"/>
          <w:lang w:bidi="ar-SA"/>
        </w:rPr>
        <w:t xml:space="preserve">. </w:t>
      </w:r>
      <w:bookmarkStart w:id="68" w:name="pg15195_150410"/>
    </w:p>
    <w:p>
      <w:pPr>
        <w:pStyle w:val="BookText"/>
        <w:rPr/>
      </w:pPr>
      <w:bookmarkEnd w:id="68"/>
      <w:r>
        <w:rPr>
          <w:rFonts w:ascii="Amiri" w:hAnsi="Amiri" w:eastAsia="Amiri" w:cs="Amiri"/>
          <w:color w:val="111111"/>
          <w:sz w:val="28"/>
          <w:sz w:val="28"/>
          <w:szCs w:val="28"/>
          <w:rtl w:val="true"/>
          <w:lang w:bidi="ar-SA"/>
        </w:rPr>
        <w:t>وكذا الحال في بيت معدٍّ لإقامة العزاء لا غير، فيجري فيه ما ذكر، ففي جميع تلك الموارد، يفترق المعدّ للإجارة عن غيره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استيفاء الغاصب منفعة منها يكون ضامناً لها، وهو واضح، والظاهر عدم تعبّد في المقام من قبل الشارع غير ما لدى العقلاء،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حصول الاستطاعة بمجرّد كون الحرّ كسوبا </w:t>
      </w:r>
      <w:r>
        <w:rPr>
          <w:rStyle w:val="FootnoteAnchor"/>
          <w:rtl w:val="true"/>
        </w:rPr>
        <w:footnoteReference w:id="42"/>
      </w:r>
      <w:r>
        <w:rPr>
          <w:rFonts w:ascii="Amiri" w:hAnsi="Amiri" w:eastAsia="Amiri" w:cs="Amiri"/>
          <w:color w:val="111111"/>
          <w:sz w:val="28"/>
          <w:sz w:val="28"/>
          <w:szCs w:val="28"/>
          <w:rtl w:val="true"/>
          <w:lang w:bidi="ar-SA"/>
        </w:rPr>
        <w:t xml:space="preserve">فممنوع؛ لأنّ الاستطاعة عبارة عن واجدية الزاد والراحلة فعلاً، وعمل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كسوباً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بالتدريج، فتحصيل الزاد في طريق الحجّ من قبيل تحصيل الاستطاعة، وليست حاصلة بالفعل</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495213_2142443653"/>
      <w:bookmarkStart w:id="70" w:name="_Toc22"/>
      <w:bookmarkEnd w:id="69"/>
      <w:r>
        <w:rPr>
          <w:rtl w:val="true"/>
        </w:rPr>
        <w:t>نظرة في الحقوق</w:t>
      </w:r>
      <w:bookmarkEnd w:id="70"/>
    </w:p>
    <w:p>
      <w:pPr>
        <w:pStyle w:val="Heading4"/>
        <w:numPr>
          <w:ilvl w:val="3"/>
          <w:numId w:val="1"/>
        </w:numPr>
        <w:rPr/>
      </w:pPr>
      <w:bookmarkStart w:id="71" w:name="__RefHeading___Toc2495215_2142443653"/>
      <w:bookmarkStart w:id="72" w:name="_Toc23"/>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وأمّا الحقوق ففيها جهتان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ماهياتها وأقسامها وأحكامها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جعلها عوضاً أو معوّضاً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495217_2142443653"/>
      <w:bookmarkStart w:id="74" w:name="_Toc24"/>
      <w:bookmarkEnd w:id="73"/>
      <w:r>
        <w:rPr>
          <w:rtl w:val="true"/>
        </w:rPr>
        <w:t xml:space="preserve">الجهة الاُولى </w:t>
      </w:r>
      <w:r>
        <w:rPr>
          <w:rtl w:val="true"/>
        </w:rPr>
        <w:t xml:space="preserve">: </w:t>
      </w:r>
      <w:r>
        <w:rPr>
          <w:rtl w:val="true"/>
        </w:rPr>
        <w:t>ماهية الحقوق وأقسامها</w:t>
      </w:r>
      <w:bookmarkEnd w:id="74"/>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الحقّ ماهية اعتبارية عقلائية في بعض الموارد، وشرعية في بعض الموارد، كاعتبارية الملك، والسلطنة، والولاية، والحكومة وغيرها، فهو من الأحكام الوضعية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ينبغي الريب في أنّه ماهية واحدة ومعنى وحداني في جميع الموارد، </w:t>
      </w:r>
    </w:p>
    <w:p>
      <w:pPr>
        <w:pStyle w:val="BookText"/>
        <w:rPr/>
      </w:pPr>
      <w:r>
        <w:rPr>
          <w:rFonts w:ascii="Amiri" w:hAnsi="Amiri" w:eastAsia="Amiri" w:cs="Amiri"/>
          <w:color w:val="111111"/>
          <w:sz w:val="28"/>
          <w:sz w:val="28"/>
          <w:szCs w:val="28"/>
          <w:rtl w:val="true"/>
          <w:lang w:bidi="ar-SA"/>
        </w:rPr>
        <w:t>وليس له في كلّ مورد معنىً مغاير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معنوي بين مصاديقه كأخواته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اعتباره عين اعتبار السلطنة، أو عين اعتبار الملكية، أو لا هذا ولا ذاك، بل هو اعتبار آخر مقابلهم؟</w:t>
      </w:r>
    </w:p>
    <w:p>
      <w:pPr>
        <w:pStyle w:val="BookText"/>
        <w:rPr/>
      </w:pPr>
      <w:r>
        <w:rPr>
          <w:rFonts w:ascii="Amiri" w:hAnsi="Amiri" w:eastAsia="Amiri" w:cs="Amiri"/>
          <w:color w:val="111111"/>
          <w:sz w:val="28"/>
          <w:sz w:val="28"/>
          <w:szCs w:val="28"/>
          <w:rtl w:val="true"/>
          <w:lang w:bidi="ar-SA"/>
        </w:rPr>
        <w:t>يظهر من الشيخ الأنصاري قدّس سرّه أنّه عبارة عن السلطنة مقابلاً للملك</w:t>
      </w:r>
      <w:r>
        <w:rPr>
          <w:rStyle w:val="FootnoteAnchor"/>
          <w:rtl w:val="true"/>
        </w:rPr>
        <w:footnoteReference w:id="43"/>
      </w:r>
      <w:r>
        <w:rPr>
          <w:rFonts w:ascii="Amiri" w:hAnsi="Amiri" w:eastAsia="Amiri" w:cs="Amiri"/>
          <w:color w:val="111111"/>
          <w:sz w:val="28"/>
          <w:sz w:val="28"/>
          <w:szCs w:val="28"/>
          <w:rtl w:val="true"/>
          <w:lang w:bidi="ar-SA"/>
        </w:rPr>
        <w:t>ومن عدّة من المحقّقين أنّه مرتبة ضعيفة من الملك ونوع منه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نحو سلطنة وملك</w:t>
      </w:r>
      <w:r>
        <w:rPr>
          <w:rStyle w:val="FootnoteAnchor"/>
          <w:rtl w:val="true"/>
        </w:rPr>
        <w:footnoteReference w:id="45"/>
      </w:r>
      <w:r>
        <w:rPr>
          <w:rFonts w:ascii="Amiri" w:hAnsi="Amiri" w:eastAsia="Amiri" w:cs="Amiri"/>
          <w:color w:val="111111"/>
          <w:sz w:val="28"/>
          <w:sz w:val="28"/>
          <w:szCs w:val="28"/>
          <w:rtl w:val="true"/>
          <w:lang w:bidi="ar-SA"/>
        </w:rPr>
        <w:t>، فيكون الحقّ والملك والسلطنة معنىً واحداً، وإن كان الحقّ أخصّ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محقّقي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مورد لاعتبار مخصوص، له آثار خاصّة، فحقّ الولاية، وحقّ التولية، والنظارة، والرهانة، والاختصاص، ليس إلاّ نفس تلك الاعتبارات، والإضافة فيها بيانية، وحقّ التحجير عبارة عن اعتبار كونه أولى بالأرض، وحقّ القصاص والشفعة والخيار عبارة عن السلطنة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أنّ الاعتبار في الحقوق ليس مختلفا وإن اختلف متعلّقاتها، وما ذكره من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والتولية،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منها من الحقوق، بل هي اعتبارات اُخر غير الحقّ والملك والسلطنة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فالولاية والوصاية من الاعتبارات المجعولة بذاتها، غير مربوطة بالحقّ، والظاهر أنّ الاختصاص في الخمر ليس من الحقوق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المذكورات كلّها من الحقوق، والالتزام بأنّ الحقّ في كلّ مورد له معنىً على حدة، في غاية الإشكال، ومخالف لارتكاز العقلاء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ما ذكرناه من وحدانية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عرفاً ولغةً وتبادراً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أنّه غير الملك والسلطنة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فهم العرف وارتكاز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في موارد لا يعتبر فيها الملك ولا السلطنة، فلو سبق إلى مكان في المسجد والأراضي المتّسعة من الأملاك والموقوفات، فلا شبهة في أنّه لا يملك المكان المسبوق إليه بوجه من الوجوه؛ لا ملكا ضعيفاً، ولا شديداً، لو سلّم تصوّر الشدّة والضعف في الملك، مع أنّ المعروف أنّه أحقّ به من غيره، ويتعلّق به حقّ له على المكان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 مالكيته للتمكّن فيه، كلام شعري لا ينبغي الإصغاء إليه، ومخالف لاعتبار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حفر نهراً وأوصله إلى الشطّ، فما لم يدخل الماء في نهره لا يكون مالكاً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 الحيازة، وفي مورد التحجير يثبت حقّ على الأرض، ولا تصير ملكاً له بلا ريبٍ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أمثال 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 غير اعتبار الملك، ولا يكون مساوقاً له، ولا أخصّ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تخلّفه عن السلطنة أحياناً دليل على عدم مساوقته لها، ولا أخصّيته منها، فإذا انتقل حقّ التحجير والاستحلاف والقذف وغيرها إلى الصغير، أو كانت تلك الحقوق للمحجور عليه بسفه وغيره، فلا شبهة في اعتبار الحقّ لهم كاعتبار الملك، كما لا شبهة في عدم اعتبار السلطنة لهم حتّى لدى العقلاء بالنسبة إلى بعضهم، كالصغير غير المميّز والمجنون، فالسلطنة فيها لوليّه القانوني العرفي أو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سلطنتهم سلطنة القاصر</w:t>
      </w:r>
      <w:r>
        <w:rPr>
          <w:rStyle w:val="FootnoteAnchor"/>
          <w:rtl w:val="true"/>
        </w:rPr>
        <w:footnoteReference w:id="48"/>
      </w:r>
      <w:r>
        <w:rPr>
          <w:rFonts w:ascii="Amiri" w:hAnsi="Amiri" w:eastAsia="Amiri" w:cs="Amiri"/>
          <w:color w:val="111111"/>
          <w:sz w:val="28"/>
          <w:sz w:val="28"/>
          <w:szCs w:val="28"/>
          <w:rtl w:val="true"/>
          <w:lang w:bidi="ar-SA"/>
        </w:rPr>
        <w:t>ليس بشيء؛ لأنّ القاصر مسلوب السلطنة لا مفوّضها، وللوصيّ، والقيّم، والجدّ، والأب، والحاكم، سلطنة مستقلّة عليه وعليها، وليس حالهم حال الوكيل،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تعتبر السلطنة في بعض الموارد، ولا يعتبر الحقّ ولا الملك، كسلطنة الناس على نفوسهم؛ فإنّها عقلائية، فكما أنّ الإنسان مسلّط على أمواله، مسلّط على نفسه، فله التصرّف فيها بأيّ نحو شاء، لولا المنع القانوني لدى العقلاء، والشرعي لدى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قيام السلطنة بطرفيها بشخص واحد</w:t>
      </w:r>
      <w:r>
        <w:rPr>
          <w:rStyle w:val="FootnoteAnchor"/>
          <w:rtl w:val="true"/>
        </w:rPr>
        <w:footnoteReference w:id="49"/>
      </w:r>
      <w:r>
        <w:rPr>
          <w:rFonts w:ascii="Amiri" w:hAnsi="Amiri" w:eastAsia="Amiri" w:cs="Amiri"/>
          <w:color w:val="111111"/>
          <w:sz w:val="28"/>
          <w:sz w:val="28"/>
          <w:szCs w:val="28"/>
          <w:rtl w:val="true"/>
          <w:lang w:bidi="ar-SA"/>
        </w:rPr>
        <w:t>إن أراد الامتناع العقلي؛ للتضايف الذي بينهما، فلا دليل على الامتناع كلّية، بل في كثير من الموارد يقوم طرفا الإضافة بشيءٍ واحد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اعتبار العقلاء فهو أيضاً ممنوع؛ فإنّ الناس لدى العقلاء مسلّطون على أنفسهم، كما أنّهم مسلّطون على أموالهم، بل في هذا العصر تعارف بيع </w:t>
      </w:r>
    </w:p>
    <w:p>
      <w:pPr>
        <w:pStyle w:val="BookText"/>
        <w:rPr/>
      </w:pPr>
      <w:r>
        <w:rPr>
          <w:rFonts w:ascii="Amiri" w:hAnsi="Amiri" w:eastAsia="Amiri" w:cs="Amiri"/>
          <w:color w:val="111111"/>
          <w:sz w:val="28"/>
          <w:sz w:val="28"/>
          <w:szCs w:val="28"/>
          <w:rtl w:val="true"/>
          <w:lang w:bidi="ar-SA"/>
        </w:rPr>
        <w:t>الشخص دمه وجسده للاختبارات الطبّية بعد موته، وليس ذلك إلاّ لتسلّطه على نفسه لدى العقلاء، فسلطنة الناس على أنفسهم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الشخص ذا حقّ على نفسه فغير عقلائي؛ إذ لا يعتبر العقلاء أنّ الإنسان ذو حقّ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لا يقوم بطرفيه على شخص واحد فيكون محقّاً ومحقّاً عليه، كان وجيهاً، وإن بقي الإشكال عليه من جهة تخيّل أنّ الحقّ مطلقا أو في الشفعة والخيار، يتعلّق بالطرف، فيكون مطلقا أو في الشفعة والخيار، سلطاناً وسلطاناً عليه، مع أنّ الأمر ليس كذلك كلّياً ولا في المثالين؛ لأنّ حقّ الخيار قائم بالعقد، وحقّ الشفعة قائم بالعين لا بالطرف، فتوجيه بعضهم كلامه</w:t>
      </w:r>
      <w:r>
        <w:rPr>
          <w:rStyle w:val="FootnoteAnchor"/>
          <w:rtl w:val="true"/>
        </w:rPr>
        <w:footnoteReference w:id="50"/>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كلامه بوجه آخر سيأتي التعرّض 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عدم اعتبار ملكية الإنسان لنفسه، وقد تقدّم أنّ ماهية البيع لا تتقوّم بكون المبيع ملكاً، بل يكفي في تحقّقها السلطنة على التمليك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ليس ملكاً، ولا مرتبة منه، ولا سلطنة، ولا مرتبة منها؛ أي لا يكون عينهما، ولا أخصّ منهما، وإلاّ لما تخلّف عنهما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المدّعى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في جميع الموارد إضافة بين المالك والمملوك، حتّى في مالكية شيءٍ في ذمّة الغير؛ لأنّ الملكية متقوّمة بالإضافة </w:t>
      </w:r>
    </w:p>
    <w:p>
      <w:pPr>
        <w:pStyle w:val="BookText"/>
        <w:rPr/>
      </w:pPr>
      <w:r>
        <w:rPr>
          <w:rFonts w:ascii="Amiri" w:hAnsi="Amiri" w:eastAsia="Amiri" w:cs="Amiri"/>
          <w:color w:val="111111"/>
          <w:sz w:val="28"/>
          <w:sz w:val="28"/>
          <w:szCs w:val="28"/>
          <w:rtl w:val="true"/>
          <w:lang w:bidi="ar-SA"/>
        </w:rPr>
        <w:t>الحاصلة المذكورة، وتكون ذمّة المديون كمحفظة للمال، لا دخالة لها في</w:t>
      </w:r>
    </w:p>
    <w:p>
      <w:pPr>
        <w:pStyle w:val="BookText"/>
        <w:rPr/>
      </w:pPr>
      <w:r>
        <w:rPr>
          <w:rFonts w:ascii="Amiri" w:hAnsi="Amiri" w:eastAsia="Amiri" w:cs="Amiri"/>
          <w:color w:val="111111"/>
          <w:sz w:val="28"/>
          <w:sz w:val="28"/>
          <w:szCs w:val="28"/>
          <w:rtl w:val="true"/>
          <w:lang w:bidi="ar-SA"/>
        </w:rPr>
        <w:t>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الذمّة حال الخارج بالنسبة إلى الأعيان الخارجية المملوكة، فكما أنّ الخارج ظرف للمملوك من غير دخالة له في اعتبار الملكية، كذلك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 فكثيراً ما يعتبر بين ذي الحقّ ومن عليه الحقّ، ففي حقّ الاستحلاف يكون للمدّعي حقّ على المدّعى عليه لأن يستحلفه، فيكون الاستحلاف مورد الحقّ، والمدّعي صاحبه، والمنكر من عليه الحقّ، وإذا حلف المنكر أدّى ما عليه، وليس في شيءٍ من الموارد حال الملك كذلك، حتّى في ملكية ما في الذمّه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يرى من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الذمم، فإنّما هو باعتبار الدين لا الملك؛ إذ الدين له إضافة إلى الدائن وإلى المديون، فيكون فيه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الملك؛ فإنّ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موارده دخيلاً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الحقّ أحياناً الأداء كالدين، دون الملك؛ لأنّ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بعض الموارد على الغير، فيصحّ فيه الأداء، ويصدق عليه، وأمّا الملك فلا تعتبر فيه العهدة، ولا يصحّ فيه الأداء والتأدية، كما لا يصحّ ذلك الاعتبار في السلطنة،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سلطنته أو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حقّه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الحقّ في مثل استحقاق العقوبة في العاصي واستحقاق الثواب في المطيع بل وحقّ الجار على الجار في الجملة وأنحائها، من هذا القبيل </w:t>
      </w:r>
    </w:p>
    <w:p>
      <w:pPr>
        <w:pStyle w:val="BookText"/>
        <w:rPr/>
      </w:pPr>
      <w:r>
        <w:rPr>
          <w:rFonts w:ascii="Amiri" w:hAnsi="Amiri" w:eastAsia="Amiri" w:cs="Amiri"/>
          <w:color w:val="111111"/>
          <w:sz w:val="28"/>
          <w:sz w:val="28"/>
          <w:szCs w:val="28"/>
          <w:rtl w:val="true"/>
          <w:lang w:bidi="ar-SA"/>
        </w:rPr>
        <w:t xml:space="preserve">فيكون للّه تعالى حقّ على العاصي أن يعاقبه، وللمطيع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تعالى أن يثيبه، مع عدم اعتبار الملكية والسلطنة في نحو الأخير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علم أنّ الحقّ اعتبار مقابل الاعتبارات الاُخر المتقدّمة، فهل يكون مقتضاه ذاتاً جواز النقل والإسقاط، أو تستتبعه عند العقلاء سلطنة على ذلك، كما قلنا في الأموال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اعتبار عقلائي، ومن أحكامها السلطنة على التقليب والتقلّب</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الثاني؛ فإنّ واجدية الحقّ ليست عبارة اُخرى عن السلطنة والقدرة الاعتبارية على المذكورات، بل لدى العقلاء كلّ ذي حقّ سلطان على حقّه، وله التقليب والتقلّب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يعبّر عن السلطنة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حقّ على إسقاط حقّه أو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عدم اعتبار حقّ على الحقّ، بل له السلطنة على الحقّ، وبها تجوز المذكورات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فالسلطنة القائمة على الأموال والأملاك والحقوق، مقوّمة لنفوذ المعاملات لدى العقلاء، لا نفس الملك، ولا نفس الحقّ، لهذا قد يتحقّق الملك والحقّ ولا سلطنة على المذكورات، كالمحجور عليه، وقد تتحقّق السلطنة لشخص بلا واجديته للملك والحقّ كالأولياء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فسّر بعض الأعاظم الحقّ بالسلطنة الضعيفة</w:t>
      </w:r>
      <w:r>
        <w:rPr>
          <w:rStyle w:val="FootnoteAnchor"/>
          <w:rtl w:val="true"/>
        </w:rPr>
        <w:footnoteReference w:id="55"/>
      </w:r>
      <w:r>
        <w:rPr>
          <w:rFonts w:ascii="Amiri" w:hAnsi="Amiri" w:eastAsia="Amiri" w:cs="Amiri"/>
          <w:color w:val="111111"/>
          <w:sz w:val="28"/>
          <w:sz w:val="28"/>
          <w:szCs w:val="28"/>
          <w:rtl w:val="true"/>
          <w:lang w:bidi="ar-SA"/>
        </w:rPr>
        <w:t>، ومع ذلك التزم بجواز نقله</w:t>
      </w:r>
      <w:r>
        <w:rPr>
          <w:rStyle w:val="FootnoteAnchor"/>
          <w:rtl w:val="true"/>
        </w:rPr>
        <w:footnoteReference w:id="56"/>
      </w:r>
      <w:r>
        <w:rPr>
          <w:rFonts w:ascii="Amiri" w:hAnsi="Amiri" w:eastAsia="Amiri" w:cs="Amiri"/>
          <w:color w:val="111111"/>
          <w:sz w:val="28"/>
          <w:sz w:val="28"/>
          <w:szCs w:val="28"/>
          <w:rtl w:val="true"/>
          <w:lang w:bidi="ar-SA"/>
        </w:rPr>
        <w:t>، مع إنكاره فيما تقدّم إمكان نقل الملك؛ لكونه سلطنة، ولا تعقل السلطنة على السلطنة،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سلطانهم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نقل الحقّ الذي هو 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السلطنة على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خلال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الحقّ عبارة عن اعتبار خاصّ، الذي أثره السلطنة الضعيفة على شيء، ومرتبة ضعيفة من الملك، فهو بجميع أقسامه وأنحائه قابل للإسقاط</w:t>
      </w:r>
      <w:r>
        <w:rPr>
          <w:rStyle w:val="FootnoteAnchor"/>
          <w:rtl w:val="true"/>
        </w:rPr>
        <w:footnoteReference w:id="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صدر كلامه هذا مخالف لما تقدّم منه من أنّه سلطنة ضعيفة، كما أنّه مخالف لقوله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ضعيفة من الملك بعد ما فسّر الملك بالسلطنة، ولازم كلامه هذا مع ما تقدّم منه أنّه سلطنة ضعيفة، أثرها سلطنة ضعيفة، وهو كما ترى، فلو اكتفى بالجملة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خاصّ الذي أثره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تقيّدها بالضعيفة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ذيل كلامه أنّ قوام الحقّ بقابليته للإسقاط، فإذا لم يقبل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 حقّاً، واستظهر من الشهيد أيضاً </w:t>
      </w:r>
      <w:r>
        <w:rPr>
          <w:rStyle w:val="FootnoteAnchor"/>
          <w:rtl w:val="true"/>
        </w:rPr>
        <w:footnoteReference w:id="59"/>
      </w:r>
      <w:r>
        <w:rPr>
          <w:rFonts w:ascii="Amiri" w:hAnsi="Amiri" w:eastAsia="Amiri" w:cs="Amiri"/>
          <w:color w:val="111111"/>
          <w:sz w:val="28"/>
          <w:sz w:val="28"/>
          <w:szCs w:val="28"/>
          <w:rtl w:val="true"/>
          <w:lang w:bidi="ar-SA"/>
        </w:rPr>
        <w:t>، وفي الاستظهار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قوام الحقّ بقابليته للإسقاط؛ بمعنى أنّ عدمها مساوق لعدمه، غير ظاهر إن كان المراد قابليته فعلاً؛ بمعنى لزوم سقوطه بالإسقاط، وما ليس كذلك فليس بحقّ، كما لا يبعد ذلك بالنظر إلى جميع كلامه، لا بمعنى اقتضائه لذلك وإن أمكن حصول المانع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الثاني فلا بحث، وإلاّ ففيه إشكال؛ لأنّ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خاصّ، ومن أحكامه السلطنة على اُمور، كالإسقاط والنقل، فلو فرض سلب جميع آثاره فلا شبهة في عدم اعتباره، كما أنّ سلب جميع آثار الملكية، مساوق لسلب اعتبارها لدى العقلاء، وأمّا سلب بعض الآثار مع بقاء بعضها فلا، فالحقّ يعتبر مع حفظ السلطنة ولو في بعض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الإسقاط في الحقّ كحال النقل في البيع؛ من حيث إنّ شرط عدم الإسقاط كان مخالفا لمقتضاه، كما أنّ شرط عدم النقل مخالف لمقتضى البيع؛ ضرورة أنّ شرط عدم الإسقاط غير منافٍ لمقتضاه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أنّ الحقّ في حدّ نفسه قابل للإسقاط، لكن لو كان مراده ذلك لم يتّجه إشكاله على السيّد الطباطبائي قدّس سرّه </w:t>
      </w:r>
      <w:r>
        <w:rPr>
          <w:rStyle w:val="FootnoteAnchor"/>
          <w:rtl w:val="true"/>
        </w:rPr>
        <w:footnoteReference w:id="61"/>
      </w:r>
      <w:r>
        <w:rPr>
          <w:rFonts w:ascii="Amiri" w:hAnsi="Amiri" w:eastAsia="Amiri" w:cs="Amiri"/>
          <w:color w:val="111111"/>
          <w:sz w:val="28"/>
          <w:sz w:val="28"/>
          <w:szCs w:val="28"/>
          <w:rtl w:val="true"/>
          <w:lang w:bidi="ar-SA"/>
        </w:rPr>
        <w:t>فإنّه أيضا صرّح بأنّ الحقّ بحسب طبعه يقتضي جواز إسقاطه ونقله لولا المنع التعبّدي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ينتقل بالموت ولا يصحّ إسقاطه ولا نقله، وعدّ منه حقّ الاُبوّة، وحقّ الولاية، وحقّ الاستمتاع بالزوجة، وحقّ السبق في الرماية قبل تمام النضال، وحقّ الوصاية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شيئاً منها ليس من قبيل الحقوق، فمثل الولاية والوصاية ونحوهما من الوضعيات المقابلة للحقّ والملك والسلطنة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والاستمتاع بالزوجة جائز شرعاً، ويجب عليها التمكين، والزوج مسلّط عليها في الاستمتاعات، وأمّا كونه حقّاً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السبق قبل تمام النضال لم يثبت حقّ، بل هو عقد لازم ظاهراً، يجب الوفاء به، فقبل تمامه يجب الإتمام بناءً على لزومه</w:t>
      </w:r>
      <w:r>
        <w:rPr>
          <w:rStyle w:val="FootnoteAnchor"/>
          <w:rtl w:val="true"/>
        </w:rPr>
        <w:footnoteReference w:id="64"/>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الجعالة</w:t>
      </w:r>
      <w:r>
        <w:rPr>
          <w:rStyle w:val="FootnoteAnchor"/>
          <w:rtl w:val="true"/>
        </w:rPr>
        <w:footnoteReference w:id="65"/>
      </w:r>
      <w:r>
        <w:rPr>
          <w:rFonts w:ascii="Amiri" w:hAnsi="Amiri" w:eastAsia="Amiri" w:cs="Amiri"/>
          <w:color w:val="111111"/>
          <w:sz w:val="28"/>
          <w:sz w:val="28"/>
          <w:szCs w:val="28"/>
          <w:rtl w:val="true"/>
          <w:lang w:bidi="ar-SA"/>
        </w:rPr>
        <w:t>، فلا شيء قبل تمامه، وبعده يملك عليه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مورد اُحرز كونه حقّا، ومع ذلك لم يكن قابلاً للإسقاط والنقل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نقله وإسقاطه، وينتقل بالموت، كحقّ الخيار، والقصاص، والرهانة، والتحجير ونحوها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بعدم قبول حقّ الخيار والشفعة والرهانة للنقل إلى الغير؛ بحيث يكون له الخيار، وله تملّك حصّة الشريك، أو له استيفاء الدين؛ فإنّ </w:t>
      </w:r>
    </w:p>
    <w:p>
      <w:pPr>
        <w:pStyle w:val="BookText"/>
        <w:rPr/>
      </w:pPr>
      <w:r>
        <w:rPr>
          <w:rFonts w:ascii="Amiri" w:hAnsi="Amiri" w:eastAsia="Amiri" w:cs="Amiri"/>
          <w:color w:val="111111"/>
          <w:sz w:val="28"/>
          <w:sz w:val="28"/>
          <w:szCs w:val="28"/>
          <w:rtl w:val="true"/>
          <w:lang w:bidi="ar-SA"/>
        </w:rPr>
        <w:t>ذلك غير صحيح أو غير معقول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حقّ قائم بالعقد، ولصاحب الخيار سلطنة على الفسخ والإمضاء، ولازم الفسخ رجوع كلّ من العين والثمن إلى محلّه الأوّل، فترجع العين إلى البائع، والثمن إلى المشتري بالفسخ، وهذا المعنى قابل للنقل إلى الغير، وليس مقتضاه إلاّ فسخ العقد بالمعنى المذكور، من غير فرق بين النقل إلى الأجنبيّ أو إلى طرف المعاملة، فكما يصحّ جعل الخيار أوّلاً لأجنبيّ ولأيّ طرف من المتعاملين، وليس لازمه إلاّ ما ذكر؛ أي فسخ العقد ورجوع العوضين إلى صاحبهما الأوّل لا إلى الأجنبيّ، فكذلك حال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حال حقّ الشفعة أيضاً؛ فإنّه حقّ قائم بالعين المشاعة المبتاعة ليضمّها إلى ملكه،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للنقل إلى الأجنبيّ وإلى الطرف، فيثبت لهما ذلك الحقّ؛ أي حقّ ضمّ المبتاع إلى ملك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الرهن فليس بحقّ، 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الشرائط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بالعين المرهونة لاستيفاء الدين منها، وهذا قابل للانتقال إلى الأجنبيّ، ليكون له حقّ استيفاء دين الدائن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يصحّ جعله للراهن؛ لأنّ له ذلك قبل الجعل، فلا معنى لنقل ما هو حاصل، إلاّ أن يرجع إلى الإسقاط،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قابل للنقل إلى من هو مثله، كحقّ القسم القابل للانتقال إلى الضرّة لا غير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5" w:name="pg15195_150421"/>
    </w:p>
    <w:p>
      <w:pPr>
        <w:pStyle w:val="BookText"/>
        <w:rPr/>
      </w:pPr>
      <w:bookmarkEnd w:id="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جواز نقله إلى الغير حتّى إلى الرجل، ولا 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أخذ العوض بإزائه</w:t>
      </w:r>
      <w:r>
        <w:rPr>
          <w:rStyle w:val="FootnoteAnchor"/>
          <w:rtl w:val="true"/>
        </w:rPr>
        <w:footnoteReference w:id="69"/>
      </w:r>
      <w:r>
        <w:rPr>
          <w:rFonts w:ascii="Amiri" w:hAnsi="Amiri" w:eastAsia="Amiri" w:cs="Amiri"/>
          <w:color w:val="111111"/>
          <w:sz w:val="28"/>
          <w:sz w:val="28"/>
          <w:szCs w:val="28"/>
          <w:rtl w:val="true"/>
          <w:lang w:bidi="ar-SA"/>
        </w:rPr>
        <w:t>، كما هو الأشبه؛ لإمكان أن يشتري الأجنبيّ هذا الحقّ ويبيعه أو يتصالح مع الضرّة، وليس معنى انتقال هذا الحقّ أن يكون للمنتقل إليه حقّ الاستيفاء مباشرة، بل معناه كونه صاحب قسم الزوجة، فله الإسقاط، وله الاستيفاء لولا المانع، وله النقل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معنى اعتباري قائم باعتبار العقلاء، وبما أنّه إضافة</w:t>
      </w:r>
    </w:p>
    <w:p>
      <w:pPr>
        <w:pStyle w:val="BookText"/>
        <w:rPr/>
      </w:pPr>
      <w:r>
        <w:rPr>
          <w:rFonts w:ascii="Amiri" w:hAnsi="Amiri" w:eastAsia="Amiri" w:cs="Amiri"/>
          <w:color w:val="111111"/>
          <w:sz w:val="28"/>
          <w:sz w:val="28"/>
          <w:szCs w:val="28"/>
          <w:rtl w:val="true"/>
          <w:lang w:bidi="ar-SA"/>
        </w:rPr>
        <w:t xml:space="preserve">خاصّة تتقوّم بالأطراف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معنى نقله ما هو المتفاهم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حاله حال البيع بما مرّ ذكره</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إنشاء النقل جدّاً موضوع لاعتبار العقلاء ذلك الحقّ لغيره، وإلاّ فلا يعقل النقل بمعناه الواقعي، اللازم منه استقلال الإضافة بلا طرف، حتّى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صحّة إسقاطها أو نقلها وانتقالها، وعدّ منها ما لا يكون حقّا جزماً، وما يشكّ في كونه حقّاً، وما يكون قابلاً للإسقاط والنقل، على فرض ثبوت حقّيته، كحقّ السبق في إمام الجماعة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495219_2142443653"/>
      <w:bookmarkStart w:id="77" w:name="_Toc25"/>
      <w:bookmarkEnd w:id="76"/>
      <w:r>
        <w:rPr>
          <w:rtl w:val="true"/>
        </w:rPr>
        <w:t>مقتضى الأصل عند الشكّ في الحقّ</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شكّ في كون شيء حقّاً أو حكماً، فلا أصل لإثبات أحدهما، فلابدّ من الرجوع إلى الاُصول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شكّ في كون حقّ قابلاً للإسقاط أو النقل، فإن كان الشكّ لأجل الشكّ في القابلية العرفية، فلا يصحّ إحرازها بالعمومات؛ لرجوع الشكّ إلى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القابلية الشرعية،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التمسّك بعمومات تنفيذ العقد والصلح والشرط وسلطنة الناس على أموالهم؛ لتصحيح المعاملة وكشف القابلية؛ إذ شأن العمومات رفع هذا الشكّ</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إنفاذ المعاملات في مقام بيان إنفاذ الأسباب شرعاً عموماً أو إطلاقاً، فإذا اُحرزت قابلية النقل، وشكّ في اعتبار سبب خاصّ، فدليل عموم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الصلح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هذا الشكّ، وأمّا إذا شكّ في قبوله للنقل، لا من حيث خصوصية سبب من الأسباب، فلا يمكن رفعه بأدلّتها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ظاهر في لزوم الوفاء بكلّ معاقدة أو صلح أو شرط تصدق عليها تلك العناوين عرفاً، فعدم وجوب الوفاء في مورد أو موارد، مخالف لهذه العمومات والإطلاقات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اُلقيت تلك العمومات إلى العقلاء، لا يشكّون في أنّ الشارع بصدد إنفاذ كلّية العقود والشروط وماهية الصلح بلا قيد وشرط، والشكّ في عدم القابلية الشرعية، راجع إلى الشكّ في اعتبار الشارع شرطاً وقيداً في المثمن أو الثمن؛ وبالجملة إلى عدم إنفاذه معاملة خاصّة، فإذا شكّ في أنّ البيع الربوي صحيح، يرجع ذلك الشكّ إلى احتمال اعتبار الشارع شرطاً في العوضين بعد كون المعاملة عقلائية، ولا شبهة في أنّ العمومات رافعة له، ولا دليل على دعوى كونها بصدد إنفاذ الأسباب فقط، حتّى ترجع إلى الحكم الحيثي، بل الظاهر منها أنّها أحكام فعلية، بصدد إنفاذ المعاملات العقلائية والعقود العرفية، ولا يزال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بها لإثبات صحّة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جريان الإشكال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مع شموله للحقّ الذي هو مال، وبإ لغاء الخصوصية أو الفحوى يسري الحكم إلى ما ليس كذلك، لكنّه يأتي الكلام فيه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شبهة اُخرى، وهي أنّه استثني من أدلّة نفوذ الشرط ما هو مخالف لكتاب اللّه‌</w:t>
      </w:r>
      <w:r>
        <w:rPr>
          <w:rStyle w:val="FootnoteAnchor"/>
          <w:rtl w:val="true"/>
        </w:rPr>
        <w:footnoteReference w:id="79"/>
      </w:r>
      <w:r>
        <w:rPr>
          <w:rFonts w:ascii="Amiri" w:hAnsi="Amiri" w:eastAsia="Amiri" w:cs="Amiri"/>
          <w:color w:val="111111"/>
          <w:sz w:val="28"/>
          <w:sz w:val="28"/>
          <w:szCs w:val="28"/>
          <w:rtl w:val="true"/>
          <w:lang w:bidi="ar-SA"/>
        </w:rPr>
        <w:t>، أو غير موافق له</w:t>
      </w:r>
      <w:r>
        <w:rPr>
          <w:rStyle w:val="FootnoteAnchor"/>
          <w:rtl w:val="true"/>
        </w:rPr>
        <w:footnoteReference w:id="80"/>
      </w:r>
      <w:r>
        <w:rPr>
          <w:rFonts w:ascii="Amiri" w:hAnsi="Amiri" w:eastAsia="Amiri" w:cs="Amiri"/>
          <w:color w:val="111111"/>
          <w:sz w:val="28"/>
          <w:sz w:val="28"/>
          <w:szCs w:val="28"/>
          <w:rtl w:val="true"/>
          <w:lang w:bidi="ar-SA"/>
        </w:rPr>
        <w:t xml:space="preserve">، أو حرّم حلالاً، أو أحلّ حراماً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استثني من دليل إنفاذ الصلح ما أحلّ حراماً أو حرّم حلالاً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مخالفة الكتاب مخالفة حكم اللّه تعالى، ولو ثبت من سنّة رسول اللّه صلی الله علیه و آله وسلم أو أخبار الأئمّة الطاهرين سلام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الظاهر أن لا خصوصية للتحليل والتحريم، بل المراد تغيير حكم اللّه تعالى، كما يشهد به اختلاف التعبير في الشرط، فيراد في الصلح أيضا ظاهراً استثناء مطلق ما يخالف حكم اللّه، ولا يبعد إسراء العرف والعقلاء هذا الاستثناء إلى سائر المعاملات، بل لا يبعد أن يكون ذلك حكما عقلياً واستثناءً لبّياً يدركه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الشرط أعمّ من الشرط الضمني والابتدائي، بل مطلق العقود والمجعولات العقلائية،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معاملة؛ من جهة اعتبار الشارع الأقدس قيداً أو شرطاً في العوضين، به يخرجان عن القابلية للانتقال، لا يصحّ التمسّك لرفعه بالعمومات؛ لكونه من التمسّك بها في الشبهة المصداقية، وهو غير جائز ولو في المخصّصات اللبّية، كما قرّرنا في محلّه</w:t>
      </w:r>
      <w:r>
        <w:rPr>
          <w:rStyle w:val="FootnoteAnchor"/>
          <w:rtl w:val="true"/>
        </w:rPr>
        <w:footnoteReference w:id="83"/>
      </w:r>
      <w:r>
        <w:rPr>
          <w:rFonts w:ascii="Amiri" w:hAnsi="Amiri" w:eastAsia="Amiri" w:cs="Amiri"/>
          <w:color w:val="111111"/>
          <w:sz w:val="28"/>
          <w:sz w:val="28"/>
          <w:szCs w:val="28"/>
          <w:rtl w:val="true"/>
          <w:lang w:bidi="ar-SA"/>
        </w:rPr>
        <w:t>، وإحراز المصداق بالأصل محلّ إشكال يطول التعرّض له، ولعلّه يأتي الكلام فيه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للحقوق المالية لفظاً، ولغيرها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الشكّ في اعتبار الشارع قيداً للعوضين؛ </w:t>
      </w:r>
      <w:bookmarkStart w:id="78" w:name="pg15195_150425"/>
    </w:p>
    <w:p>
      <w:pPr>
        <w:pStyle w:val="BookText"/>
        <w:rPr/>
      </w:pPr>
      <w:bookmarkEnd w:id="78"/>
      <w:r>
        <w:rPr>
          <w:rFonts w:ascii="Amiri" w:hAnsi="Amiri" w:eastAsia="Amiri" w:cs="Amiri"/>
          <w:color w:val="111111"/>
          <w:sz w:val="28"/>
          <w:sz w:val="28"/>
          <w:szCs w:val="28"/>
          <w:rtl w:val="true"/>
          <w:lang w:bidi="ar-SA"/>
        </w:rPr>
        <w:t>ضرورة أنّ كلّ قيد يوجب عدم قابلية العوضين للنقل، تضييق لسلطنة المتعاملين، ومنافٍ للعموم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فالعموم يكشف عن عدم اعتبار الشارع قيداً، ويكشف عن عدم كون المعاملة مخالفة لحكم اللّه تعالى، وينقّح بهذا الدليل موضوع عمومات الصلح والعقد والشرط، فيتمسّك بها لإنفاذ المذكورات، ولكنّه لا يخلو من مناقشة، يأتي الكلام فيها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495221_2142443653"/>
      <w:bookmarkStart w:id="80" w:name="_Toc26"/>
      <w:bookmarkEnd w:id="79"/>
      <w:r>
        <w:rPr>
          <w:rtl w:val="true"/>
        </w:rPr>
        <w:t>الجهة الثانية</w:t>
      </w:r>
      <w:r>
        <w:rPr>
          <w:rtl w:val="true"/>
        </w:rPr>
        <w:t xml:space="preserve">: </w:t>
      </w:r>
      <w:r>
        <w:rPr>
          <w:rtl w:val="true"/>
        </w:rPr>
        <w:t>صحّة جعل الحقّ عوضا أو معوّضا</w:t>
      </w:r>
      <w:bookmarkEnd w:id="80"/>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مورد البحث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 البيع أن لا يكون الحقّ عوضاً ولا معوّضاً؛ أي يكون الاعتبار فيه على وجه لو جعل الحقّ عوضاً أو معوّضاً لخرج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صدقه أن يكونا عينين أو منفعتين، أم لا مطلقاً، أو يفصّل بين العوض والمعوّض؟</w:t>
      </w:r>
    </w:p>
    <w:p>
      <w:pPr>
        <w:pStyle w:val="BookText"/>
        <w:rPr/>
      </w:pPr>
      <w:r>
        <w:rPr>
          <w:rFonts w:ascii="Amiri" w:hAnsi="Amiri" w:eastAsia="Amiri" w:cs="Amiri"/>
          <w:color w:val="111111"/>
          <w:sz w:val="28"/>
          <w:sz w:val="28"/>
          <w:szCs w:val="28"/>
          <w:rtl w:val="true"/>
          <w:lang w:bidi="ar-SA"/>
        </w:rPr>
        <w:t>يمكن 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البيع تمليك العوضين، فيقوم كلّ منهما مقام الآخر في الملكية، وهذا المعنى غير متصوّر في نقل الحقوق؛ لأنّ اعتبار الحقّ غير اعتبار الملك والسلطنة كما مرّ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الحقّ مملوكا لذي الحقّ، بل له إضافة خاصّة بها يستحقّ، لا بإضافة مالكية حتّى تكون له إضافتان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حقّ، وإضافة مالكية الحقّ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لكلّ ذي حقّ وملك سلطنة عليهما، وهي من الأحكام العقلائية لهما، </w:t>
      </w:r>
      <w:bookmarkStart w:id="81" w:name="pg15195_150426"/>
    </w:p>
    <w:p>
      <w:pPr>
        <w:pStyle w:val="BookText"/>
        <w:rPr/>
      </w:pPr>
      <w:bookmarkEnd w:id="81"/>
      <w:r>
        <w:rPr>
          <w:rFonts w:ascii="Amiri" w:hAnsi="Amiri" w:eastAsia="Amiri" w:cs="Amiri"/>
          <w:color w:val="111111"/>
          <w:sz w:val="28"/>
          <w:sz w:val="28"/>
          <w:szCs w:val="28"/>
          <w:rtl w:val="true"/>
          <w:lang w:bidi="ar-SA"/>
        </w:rPr>
        <w:t xml:space="preserve">فإن لم يكن الحقّ ملكاً ولا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اُطلقا عليه بنحو من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نقله بيعا، سواء كان من طرف أو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التمليك والتملّك في ماهية البيع، كما مرّ</w:t>
      </w:r>
      <w:r>
        <w:rPr>
          <w:rStyle w:val="FootnoteAnchor"/>
          <w:rtl w:val="true"/>
        </w:rPr>
        <w:footnoteReference w:id="87"/>
      </w:r>
      <w:r>
        <w:rPr>
          <w:rFonts w:ascii="Amiri" w:hAnsi="Amiri" w:eastAsia="Amiri" w:cs="Amiri"/>
          <w:color w:val="111111"/>
          <w:sz w:val="28"/>
          <w:sz w:val="28"/>
          <w:szCs w:val="28"/>
          <w:rtl w:val="true"/>
          <w:lang w:bidi="ar-SA"/>
        </w:rPr>
        <w:t xml:space="preserve">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 الوقف العامّ مع عدم دخول ثمنه في ملك أحد، وكما في بيع الغلاّت الزكوية بالنقد الزكوي، بناءً على عدم مملوكية الزكاة لأحد، بل تكون الأصناف مصارف لها كما لا يبعد، ففي أمثال ذلك يكون التبادل بين المالين في السلطنة من طرف أو طرفين، لا في الملكية، مع وضوح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شاهد على عدم اعتبار التمليك والدخول في الملك في العوضين لدى العقلاء، وقد مرّ ضعف التفصيل بين العوض والمعوّض</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المبادلة بين العينين في السلطنة دون الحقوق،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الحقوق بالعوض بل بالحقوق، والأملاك بها أو بالعكس، بيع عرفاً، فبيع حقّ التحجير بالثمن بيع لدى العقلاء</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495223_2142443653"/>
      <w:bookmarkStart w:id="83" w:name="_Toc27"/>
      <w:bookmarkEnd w:id="82"/>
      <w:r>
        <w:rPr>
          <w:rtl w:val="true"/>
        </w:rPr>
        <w:t>تفصيل الشيخ الأعظم بين الحقوق في صحّة بيعها</w:t>
      </w:r>
      <w:bookmarkEnd w:id="83"/>
    </w:p>
    <w:p>
      <w:pPr>
        <w:pStyle w:val="BookText"/>
        <w:rPr/>
      </w:pPr>
      <w:r>
        <w:rPr>
          <w:rFonts w:ascii="Amiri" w:hAnsi="Amiri" w:eastAsia="Amiri" w:cs="Amiri"/>
          <w:color w:val="111111"/>
          <w:sz w:val="28"/>
          <w:sz w:val="28"/>
          <w:szCs w:val="28"/>
          <w:rtl w:val="true"/>
          <w:lang w:bidi="ar-SA"/>
        </w:rPr>
        <w:t xml:space="preserve">ثمّ إنّه يظهر من الشيخ الأعظم تقسيم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المعاوضة بالمال، وهذا لا إشكال في عدم صحّة بيعه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النقل، كنقل الحقّ إلى من عليه الحقّ، فجعل المانع فيه لزوم قيام طرفي السلطنة الفعلية بشخص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محذور فيه من هذه الجهة، كحقّ التحجير، وكالحقوق التي على الأشخاص من غيرهم، وجعل المانع فيها عدم ماليتها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التفسير لكلامه، ولا يبعد أن يكون المتفاهم من جملة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به الإشكال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الحقوق مطلقاً ليست كذلك حتّى نحتاج إلى الدفع بما فعله العلمان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كلامه بحقّ الشفعة والخيار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على الأشخاص، بل الأوّل متعلّق بالأعيان، والثاني بالعقود كما مرّ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دليله أخصّ من مدّعاه كما قال الطباطبائي قدّس سرّه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مدّعاه في القسم الثاني حقّ، وإن كان دليله غير وجيه؛ لعدم كون الحقّ سلطنة أوّلاً؛ لما مرّ</w:t>
      </w:r>
      <w:r>
        <w:rPr>
          <w:rStyle w:val="FootnoteAnchor"/>
          <w:rtl w:val="true"/>
        </w:rPr>
        <w:footnoteReference w:id="93"/>
      </w:r>
      <w:r>
        <w:rPr>
          <w:rFonts w:ascii="Amiri" w:hAnsi="Amiri" w:eastAsia="Amiri" w:cs="Amiri"/>
          <w:color w:val="111111"/>
          <w:sz w:val="28"/>
          <w:sz w:val="28"/>
          <w:szCs w:val="28"/>
          <w:rtl w:val="true"/>
          <w:lang w:bidi="ar-SA"/>
        </w:rPr>
        <w:t>من اختلاف اعتبارهما، وعدم امتناع قيام طرفي السلطنة الاعتبارية بشخص واحد ثانياً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العقلاء كون الشخص ذا حقّ على نفسه، كما لا يعتبرون كون الشخص الواحد دائناً ومديوناً؛ أي مديونا لنفسه، فالحقّ على الأشخاص من الاعتبارات التي تتقوّم بشخصين</w:t>
      </w:r>
      <w:r>
        <w:rPr>
          <w:rFonts w:eastAsia="Amiri" w:cs="Amiri" w:ascii="Amiri" w:hAnsi="Amiri"/>
          <w:color w:val="111111"/>
          <w:sz w:val="28"/>
          <w:szCs w:val="28"/>
          <w:rtl w:val="true"/>
          <w:lang w:bidi="ar-SA"/>
        </w:rPr>
        <w:t xml:space="preserve">. </w:t>
      </w:r>
      <w:bookmarkStart w:id="84" w:name="pg15195_150428"/>
    </w:p>
    <w:p>
      <w:pPr>
        <w:pStyle w:val="BookText"/>
        <w:rPr/>
      </w:pPr>
      <w:bookmarkEnd w:id="84"/>
      <w:r>
        <w:rPr>
          <w:rFonts w:ascii="Amiri" w:hAnsi="Amiri" w:eastAsia="Amiri" w:cs="Amiri"/>
          <w:color w:val="111111"/>
          <w:sz w:val="28"/>
          <w:sz w:val="28"/>
          <w:szCs w:val="28"/>
          <w:rtl w:val="true"/>
          <w:lang w:bidi="ar-SA"/>
        </w:rPr>
        <w:t>وأمّا القسم الثالث فلا يمكن مساعدته فيه؛ لأنّ بعض الحقوق أموال تبذل بإزائها الأثمان، ولا يعتبر في المالية إلاّ ذلك</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495225_2142443653"/>
      <w:bookmarkStart w:id="86" w:name="_Toc28"/>
      <w:bookmarkEnd w:id="85"/>
      <w:r>
        <w:rPr>
          <w:rtl w:val="true"/>
        </w:rPr>
        <w:t>توجيه الشيخ الأعظم بيع الدين على من هو عليه</w:t>
      </w:r>
      <w:bookmarkEnd w:id="86"/>
    </w:p>
    <w:p>
      <w:pPr>
        <w:pStyle w:val="BookText"/>
        <w:rPr/>
      </w:pPr>
      <w:r>
        <w:rPr>
          <w:rFonts w:ascii="Amiri" w:hAnsi="Amiri" w:eastAsia="Amiri" w:cs="Amiri"/>
          <w:color w:val="111111"/>
          <w:sz w:val="28"/>
          <w:sz w:val="28"/>
          <w:szCs w:val="28"/>
          <w:rtl w:val="true"/>
          <w:lang w:bidi="ar-SA"/>
        </w:rPr>
        <w:t>ثمّ إنّ الشيخ الأعظم دفع توهّم النقض عليه في القسم الثاني ببيع الدين على من هو عليه</w:t>
      </w:r>
      <w:r>
        <w:rPr>
          <w:rStyle w:val="FootnoteAnchor"/>
          <w:rtl w:val="true"/>
        </w:rPr>
        <w:footnoteReference w:id="94"/>
      </w:r>
      <w:r>
        <w:rPr>
          <w:rFonts w:ascii="Amiri" w:hAnsi="Amiri" w:eastAsia="Amiri" w:cs="Amiri"/>
          <w:color w:val="111111"/>
          <w:sz w:val="28"/>
          <w:sz w:val="28"/>
          <w:szCs w:val="28"/>
          <w:rtl w:val="true"/>
          <w:lang w:bidi="ar-SA"/>
        </w:rPr>
        <w:t>بالفرق بين اعتبار الملكية، والسلطنة على الأشخاص</w:t>
      </w:r>
      <w:r>
        <w:rPr>
          <w:rStyle w:val="FootnoteAnchor"/>
          <w:rtl w:val="true"/>
        </w:rPr>
        <w:footnoteReference w:id="95"/>
      </w:r>
      <w:r>
        <w:rPr>
          <w:rFonts w:ascii="Amiri" w:hAnsi="Amiri" w:eastAsia="Amiri" w:cs="Amiri"/>
          <w:color w:val="111111"/>
          <w:sz w:val="28"/>
          <w:sz w:val="28"/>
          <w:szCs w:val="28"/>
          <w:rtl w:val="true"/>
          <w:lang w:bidi="ar-SA"/>
        </w:rPr>
        <w:t>، فإنّ هذه السلطنة متقوّمة بأطراف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والمسلّط عليه، وما فيه السلطنة، فالسلطنة على المنكر في استحلافه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الحقّ 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بالمدّعي والمنكر والاستحلاف، وأمّا اعتبار الملكية فلا يتقوّم إلاّ بالمالك والمملوك، وأمّا الذمّة فكالخارج، لا دخالة لها في اعتبارها، فليس في الملك مملوك عليه، وهو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عدم قابلية ما في الذمّة لأن يكون مملوكاً لمن عليه، وعدم قابلية نقل الغير إليه ولو آناً ما، فصيرورة الإنسان مالكاً على نفسه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يسقط عنه، وتبرأ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بما أفاده الشيخ قدّس سرّه ومرّ تقريره؛ ضرورة أنّ اعتبار مالكية ما في الذمّة ليس اعتبار المالكية على النفس، بل هو اعتبار المالكية لما في الذمّة، وهو ليس بمستحيل،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بيع الدين على من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الاعتبارات العقلائية، </w:t>
      </w:r>
      <w:bookmarkStart w:id="87" w:name="pg15195_150429"/>
    </w:p>
    <w:p>
      <w:pPr>
        <w:pStyle w:val="BookText"/>
        <w:rPr/>
      </w:pPr>
      <w:bookmarkEnd w:id="87"/>
      <w:r>
        <w:rPr>
          <w:rFonts w:ascii="Amiri" w:hAnsi="Amiri" w:eastAsia="Amiri" w:cs="Amiri"/>
          <w:color w:val="111111"/>
          <w:sz w:val="28"/>
          <w:sz w:val="28"/>
          <w:szCs w:val="28"/>
          <w:rtl w:val="true"/>
          <w:lang w:bidi="ar-SA"/>
        </w:rPr>
        <w:t>فنرى أنّ العقلاء يبيعون كرّاً من الحنطة التي على العهدة على من عليه، كبيعهم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الاعتبار له أمد خاصّ، وليس كاعتبار ملكية الأعيان، فنرى أنّهم لا يرون بعد البيع والانتقال إليه أنّه مالك لما في ذمّته مطلقاً وبلا 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كمالكيته لسائر الأشياء، ولهذا تكون نتيجة مالكيته براءة ذمّته أو السقوط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ليست عقلية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مالكيته حدوثا لصحّت بقاءً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أثر الملكية سقوطها؛ للزوم كون الشيء معدما لنفسه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عقلائية اعتبارية، لا بدّ من تبعية العقلاء فيها في أصل الاعتبار، ومقداره، وأمده، ولا شبهة في اعتبار الانتقال حدوثاً، لا بقاء الملكية، ولا إشكال فيه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495227_2142443653"/>
      <w:bookmarkStart w:id="89" w:name="_Toc29"/>
      <w:bookmarkEnd w:id="88"/>
      <w:r>
        <w:rPr>
          <w:rtl w:val="true"/>
        </w:rPr>
        <w:t>توجيه المحقّق النائيني بيع الدين على من هو عليه</w:t>
      </w:r>
      <w:bookmarkEnd w:id="8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الأعاظم بعد الإشكال في مالكية الشخص لما في ذمّته، أراد توجيه بيع الدين على من هو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لم يقع على ما في الذمّة بقيد كونه فيها؛ لأنّ هذا القيد يوجب امتناع تحقّقه، بل يقع البيع على الكلّي، وهو مَنّ من الحنطة مثلاً، فيصير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لذلك الكلّي على </w:t>
      </w:r>
      <w:bookmarkStart w:id="90" w:name="pg15195_150430"/>
    </w:p>
    <w:p>
      <w:pPr>
        <w:pStyle w:val="BookText"/>
        <w:rPr/>
      </w:pPr>
      <w:bookmarkEnd w:id="90"/>
      <w:r>
        <w:rPr>
          <w:rFonts w:ascii="Amiri" w:hAnsi="Amiri" w:eastAsia="Amiri" w:cs="Amiri"/>
          <w:color w:val="111111"/>
          <w:sz w:val="28"/>
          <w:sz w:val="28"/>
          <w:szCs w:val="28"/>
          <w:rtl w:val="true"/>
          <w:lang w:bidi="ar-SA"/>
        </w:rPr>
        <w:t>البائع، وحيث كان البائع مالكاً لمنّ من الحنطة على ذمّة المديون وهو المشتري، فينطبق ما على البائع على ما كان له على المديون، فيوجب سقوط ذمّتهما، وهو أشبه شيء بالتهاتر</w:t>
      </w:r>
      <w:r>
        <w:rPr>
          <w:rStyle w:val="FootnoteAnchor"/>
          <w:rtl w:val="true"/>
        </w:rPr>
        <w:footnoteReference w:id="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غريب؛ لأنّ المتعارف لدى العقلاء بيع ما في الذمّة، لا بيع كلّي بغير اعتبار ذلك، فحينئذٍ لا بدّ من تصحيح هذا الاعتبار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 اعتبارات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المتقيّد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الذي ظرفه الذمّة، واعتبر على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الدين اعتبر على العهدة والذمّة، ومع ذلك فهو قابل للتحقّق الخارجي؛ وذلك لأنّ الاعتبار فيه على النحو الثالث، وعدم كون الذمّة والعهدة إلاّ مخزن الأمر الاعتباري، لا قيده ليمتنع معه تحقّقه، فكما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أدّى دينه وما في ذمّته، فبرأ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 قبيل التهاتر ونحوه بالضرورة، فكذا في المقام تقع المعاملة على الدين؛ أي الحنطة التي في الذمّة، لا على حنطة كلّية بلا علامة، ولا على الحنطة المتقيّدة بكونها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 الاعتبارات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محطّ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العقليات الأجنبيّة منها، يوقع الفقيه فيما لا ينبغي لشأنه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495229_2142443653"/>
      <w:bookmarkStart w:id="92" w:name="_Toc30"/>
      <w:bookmarkEnd w:id="91"/>
      <w:r>
        <w:rPr>
          <w:rtl w:val="true"/>
        </w:rPr>
        <w:t>حول إنكار المحقّق النائيني قابلية الحقّ للعوضية</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 الله علیه أنكر قابلية الحقّ للعوضية، بعد تسليم كونه قابلاً للنقل، واستدلّ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يعتبر في البيع أن يكون كلّ من الثمن والمثمن داخلاً في ملك مالك </w:t>
      </w:r>
    </w:p>
    <w:p>
      <w:pPr>
        <w:pStyle w:val="BookText"/>
        <w:rPr/>
      </w:pPr>
      <w:r>
        <w:rPr>
          <w:rFonts w:ascii="Amiri" w:hAnsi="Amiri" w:eastAsia="Amiri" w:cs="Amiri"/>
          <w:color w:val="111111"/>
          <w:sz w:val="28"/>
          <w:sz w:val="28"/>
          <w:szCs w:val="28"/>
          <w:rtl w:val="true"/>
          <w:lang w:bidi="ar-SA"/>
        </w:rPr>
        <w:t>الآخر، ولا شبهة في أنّ الحقّ لا يكون قابلاً لذلك؛ فإنّه مباين للملك سنخاً وإن كان من أنحاء السلطنة بالمعنى الأعمّ، ومن المراتب الضعيفة للملك، ولكن كونه كذلك غير كافٍ لوقوعه عوضاً؛ لأنّه لا بدّ من حلول الثمن محلّ المثمن في الملكية، فلا بدّ أن يكون كلّ منهما من سنخ الآخر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التناقض بين الاعتراف بكونه من المراتب الضعيفة للملك، مع دعوى مباينتهما سنخاً؛ ضرورة عدم التباين السنخي بين مراتب شيءٍ واحد، ومضافاً إلى عدم صحّة دعوى كونه من أنحاء السلطنة وكونه من مراتب الملك كما مرّ</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ذلك في البيع، بل قد تقدّم</w:t>
      </w:r>
      <w:r>
        <w:rPr>
          <w:rStyle w:val="FootnoteAnchor"/>
          <w:rtl w:val="true"/>
        </w:rPr>
        <w:footnoteReference w:id="102"/>
      </w:r>
      <w:r>
        <w:rPr>
          <w:rFonts w:ascii="Amiri" w:hAnsi="Amiri" w:eastAsia="Amiri" w:cs="Amiri"/>
          <w:color w:val="111111"/>
          <w:sz w:val="28"/>
          <w:sz w:val="28"/>
          <w:szCs w:val="28"/>
          <w:rtl w:val="true"/>
          <w:lang w:bidi="ar-SA"/>
        </w:rPr>
        <w:t xml:space="preserve">تعارف تبديل الملك بالسلطنة وبالحقّ لدى العقلاء،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عرفاً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أراد بما ذكر أنّه يعتبر في البيع أن يكون كلّ الثمن والمثمن في درجة واحدة في الملكية ولا يكفي فيه مبادلة مرتبة قويّة بمرتبة ضعيفة منها، وأراد بالمباينة السنخية المباينة في المرتبة؛ بتقيّد كلّ مرتبة بالحدّ التي هي فيه، كان الإشكال أوضح؛ ضرورة عدم اعتبار وحدة الدرجة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كون الملك ذا مراتب، وإلاّ لزم على مبناه عدم صحّة جعل المنافع عوضاً؛ لتصريحه بأضعفية مرتبتها من ملك الأعيان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93" w:name="pg15195_150432"/>
    </w:p>
    <w:p>
      <w:pPr>
        <w:pStyle w:val="BookText"/>
        <w:rPr/>
      </w:pPr>
      <w:bookmarkEnd w:id="93"/>
      <w:r>
        <w:rPr>
          <w:rFonts w:ascii="Amiri" w:hAnsi="Amiri" w:eastAsia="Amiri" w:cs="Amiri"/>
          <w:color w:val="111111"/>
          <w:sz w:val="28"/>
          <w:sz w:val="28"/>
          <w:szCs w:val="28"/>
          <w:rtl w:val="true"/>
          <w:lang w:bidi="ar-SA"/>
        </w:rPr>
        <w:t>ولو رجع كلامه إلى ما تقدّم منّا؛ من أنّ الحقّ سنخ اعتبار مخالف للملك، ويعتبر في البيع التمليك والتملّك، فقد مرّ جوابه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الحقوق القابلة للنقل</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495231_2142443653"/>
      <w:bookmarkStart w:id="95" w:name="_Toc31"/>
      <w:bookmarkEnd w:id="94"/>
      <w:r>
        <w:rPr>
          <w:rtl w:val="true"/>
        </w:rPr>
        <w:t>حكم الحقوق القابلة للإسقاط</w:t>
      </w:r>
      <w:bookmarkEnd w:id="95"/>
    </w:p>
    <w:p>
      <w:pPr>
        <w:pStyle w:val="BookText"/>
        <w:rPr/>
      </w:pPr>
      <w:r>
        <w:rPr>
          <w:rFonts w:ascii="Amiri" w:hAnsi="Amiri" w:eastAsia="Amiri" w:cs="Amiri"/>
          <w:color w:val="111111"/>
          <w:sz w:val="28"/>
          <w:sz w:val="28"/>
          <w:szCs w:val="28"/>
          <w:rtl w:val="true"/>
          <w:lang w:bidi="ar-SA"/>
        </w:rPr>
        <w:t xml:space="preserve">وأمّا الحقوق القابلة للإسقاط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قابلة للنقل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جعل إسقاطها أو سقوطها مقابلاً أو معوّضاً ويكون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صادقاً عليه عرفاً،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الصدق إذا جعل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بل معوّضاً؛ بمعنى جعل عمل صاحب الحقّ ملكاً للطرف على عهدته، كجعل الخياطة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عهدة الخيّاط والكاتب،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التمليك والتملّك في البيع؛ ضرورة أنّ العمل الكذائي صار بالتمليك وجعله عوضاً ملكاً للطرف على عهدة صاحب الحقّ، كسائر موارد جعل أعمال الحرّ والعبد عوضاً، طابق النعل بالنعل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لو جعل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عهدة صاحب الحقّ القادر على تحصيله بالإسقاط، كجعل خياطة الثوب، وكناسة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عهدة الخيّاط والكنّاس، فيكون هذا المعنى ملكاً للطرف على عهدتهما، وتكون لهما القدرة على إيجاده وتسليمه</w:t>
      </w:r>
      <w:r>
        <w:rPr>
          <w:rFonts w:eastAsia="Amiri" w:cs="Amiri" w:ascii="Amiri" w:hAnsi="Amiri"/>
          <w:color w:val="111111"/>
          <w:sz w:val="28"/>
          <w:szCs w:val="28"/>
          <w:rtl w:val="true"/>
          <w:lang w:bidi="ar-SA"/>
        </w:rPr>
        <w:t xml:space="preserve">. </w:t>
      </w:r>
      <w:bookmarkStart w:id="96" w:name="pg15195_150433"/>
    </w:p>
    <w:p>
      <w:pPr>
        <w:pStyle w:val="Heading4"/>
        <w:numPr>
          <w:ilvl w:val="3"/>
          <w:numId w:val="1"/>
        </w:numPr>
        <w:rPr/>
      </w:pPr>
      <w:bookmarkStart w:id="97" w:name="__RefHeading___Toc2495233_2142443653"/>
      <w:bookmarkStart w:id="98" w:name="_Toc32"/>
      <w:bookmarkEnd w:id="96"/>
      <w:bookmarkEnd w:id="97"/>
      <w:r>
        <w:rPr>
          <w:rtl w:val="true"/>
        </w:rPr>
        <w:t>كلام المحقّق النائيني في المقام ودفعه</w:t>
      </w:r>
      <w:bookmarkEnd w:id="98"/>
    </w:p>
    <w:p>
      <w:pPr>
        <w:pStyle w:val="BookText"/>
        <w:rPr/>
      </w:pPr>
      <w:r>
        <w:rPr>
          <w:rFonts w:ascii="Amiri" w:hAnsi="Amiri" w:eastAsia="Amiri" w:cs="Amiri"/>
          <w:color w:val="111111"/>
          <w:sz w:val="28"/>
          <w:sz w:val="28"/>
          <w:szCs w:val="28"/>
          <w:rtl w:val="true"/>
          <w:lang w:bidi="ar-SA"/>
        </w:rPr>
        <w:t xml:space="preserve">وما قيل من أنّ الإسقاط بالمعنى المصدري، 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كالخياطة ونحوها ممّا يملكه البائع؛ لأنّ هذا معنى حرفي غير قابل لأن يتموّل إلاّ باعتبار نفس الحقّ</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بوجيه؛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الخياطة وسائر أعمال الحرّ والعبد أيضاً من المعاني المصدرية، وليس شيء منها بذاتها متموّلة، بل اعتبار ماليتها لأجل الآثار المرغوبة المطلوبة منها لدى العقلاء، وهذا كافٍ في جعلها عوضاً، ومضافاً إلى عدم كون حاصل المصدر معنىً 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الفرق بين الخياطة وسائر أعمال الحرّ والعبد، وبين هذا العمل غير صحيحة؛ لأنّ كلاًّ منهما قابل للنقل والتمليك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أنّه بعد ما ادّعى أنّ المصدر واسمه لا يقبلان الدخول في ملك الغير والخروج عن ملك المشتري؛ ليكون البائع مالكاً لهذا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بشرط الإسقاط في ضمن عقد لازم؛ لأنّ في باب الشرط يملك المشروط له على المشروط عليه إسقاط الحقّ أو سقوطه، ولا ملازمة بين قابليته للدخول تحت الشرط، وبين قابلية وقوعه ثمناً؛ لأنّ إسقاط الحقّ يصير بالشرط مملوكاً للغير على صاحب الحقّ، ولكن لا يمكن أن يكون بنفسه مملوكاً، ويحلّ محلّ المبيع في الملكية</w:t>
      </w:r>
      <w:r>
        <w:rPr>
          <w:rStyle w:val="FootnoteAnchor"/>
          <w:rtl w:val="true"/>
        </w:rPr>
        <w:footnoteReference w:id="1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99" w:name="pg15195_150434"/>
    </w:p>
    <w:p>
      <w:pPr>
        <w:pStyle w:val="BookText"/>
        <w:rPr/>
      </w:pPr>
      <w:bookmarkEnd w:id="99"/>
      <w:r>
        <w:rPr>
          <w:rFonts w:ascii="Amiri" w:hAnsi="Amiri" w:eastAsia="Amiri" w:cs="Amiri"/>
          <w:color w:val="111111"/>
          <w:sz w:val="28"/>
          <w:sz w:val="28"/>
          <w:szCs w:val="28"/>
          <w:rtl w:val="true"/>
          <w:lang w:bidi="ar-SA"/>
        </w:rPr>
        <w:t xml:space="preserve">وأنت خبير بما فيه؛ ضرورة أنّ دعوى عدم قابليته للدخول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مالكاً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دعوى قابليته للدخول في ملك الغير بدليل الشرط؛ لأنّ دليل الشرط لا يجعل غير القابل قابلاً، بل هو من النواقل لما هو قابل له، فلو جعل انتقاله بدليل الشرط دليلاً على قابليته للتملّك، فالنقل بالبيع أولى؛ فإنّه بعد ثبوت قابليته له لا يبقى وجه لقصور تمليكه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بنفسه مملوكاً، ويحلّ محلّ المبيع في الملكية، فغير متّضح المراد فإن أراد أنّه لا يصير بلا سبب كذلك فهو حقّ، لكنّه غير مربوط بالمدّعى؛ ضرورة أنّ البيع سبب للنقل والتمليك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بغير الشرط من سائر الأسباب لا يمكن أن يصير مملوكاً، ليرجع إلى قصور الأسباب في السببية، أو تقيّد القبول بوجه خاصّ، فهو كما ترى، مضافاً إلى سوء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التفرقة بين هذا العمل وغيره لا ترجع إلى محصّل</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495235_2142443653"/>
      <w:bookmarkStart w:id="101" w:name="_Toc33"/>
      <w:bookmarkEnd w:id="100"/>
      <w:r>
        <w:rPr>
          <w:rtl w:val="true"/>
        </w:rPr>
        <w:t>اعتبار انتقال العوضين في صدق البيع</w:t>
      </w:r>
      <w:bookmarkEnd w:id="101"/>
    </w:p>
    <w:p>
      <w:pPr>
        <w:pStyle w:val="BookText"/>
        <w:rPr/>
      </w:pPr>
      <w:r>
        <w:rPr>
          <w:rFonts w:ascii="Amiri" w:hAnsi="Amiri" w:eastAsia="Amiri" w:cs="Amiri"/>
          <w:color w:val="111111"/>
          <w:sz w:val="28"/>
          <w:sz w:val="28"/>
          <w:szCs w:val="28"/>
          <w:rtl w:val="true"/>
          <w:lang w:bidi="ar-SA"/>
        </w:rPr>
        <w:t xml:space="preserve">بقي شيء وهو أنّه هل يعتبر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العوضان منتقلين إلى الطرف بنحو من الانتقال؛ أي في الملكية، أو السلطنة، أو الحقّ، أو لا يعتبر ذلك، فيصحّ جعل نفس السقوط عوضاً أو معوّضاً؟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طرف العوض كلّ ما يصلح للعوضية وإن لم يكن على وجه النقل، كما في الإجارة بالنسبة إلى المعوّض، فإنّه لا إشكال في صحّة إجارته ليعمل عملاً للغير، أو لكنس المسجد، أو نحو ذلك ممّا لا ينتقل العمل فيه </w:t>
      </w:r>
    </w:p>
    <w:p>
      <w:pPr>
        <w:pStyle w:val="BookText"/>
        <w:rPr/>
      </w:pPr>
      <w:r>
        <w:rPr>
          <w:rFonts w:ascii="Amiri" w:hAnsi="Amiri" w:eastAsia="Amiri" w:cs="Amiri"/>
          <w:color w:val="111111"/>
          <w:sz w:val="28"/>
          <w:sz w:val="28"/>
          <w:szCs w:val="28"/>
          <w:rtl w:val="true"/>
          <w:lang w:bidi="ar-SA"/>
        </w:rPr>
        <w:t>إلى المستأجر، بل يملك عليه أن يعمل ذلك للغير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بعوضية الإسقاط كون التمليك بإزاء العمل، بل المراد أن يكون العوض هو الدين مثلاً على وجه الإسقاط،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بدينك عليّ؛ بأن يكون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فتشمله العمومات، وكذا الحقّ الذي لا يقبل إلاّ الإسقاط</w:t>
      </w:r>
      <w:r>
        <w:rPr>
          <w:rStyle w:val="FootnoteAnchor"/>
          <w:rtl w:val="true"/>
        </w:rPr>
        <w:footnoteReference w:id="1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الإجارة فلم يتّجه قياسها بالمقام، بعد الاعتراف بأنّ المستأجر يملك على المؤجر العمل للغير وللمسجد؛ فإنّ المعوّض فيها على وجه النقل بلا شبهة، لأنّ المنقول هو العمل للغير أو المسجد، والمنقول إليه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عدم اعتبار النقل في العوض، فيصحّ جعله سقوط الحقّ أو الدين، فغير وجيهة؛ لأنّ البيع عرفاً متقوّم بالنقل، فالإعراض مقابل الإعراض، والتمليك مقابل الإعراض، لا بنحو يكون ذلك المعنى المصدري على عهدته، وكذا السقوط مقابل التمليك أو السقوط، ليس شيء منها بيعاً عرفاً، ولا أقلّ من الشكّ في الصدق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يكون العوض هو الدين على وجه الإسقاط؛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بدينك؛ بأن يكون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الأمر؛ لأنّ هذا عبارة اُخرى عن التمليك في مقابل سقوط الدين أو الحقّ، فلا يكون الدين عوضاً، بل سقوطه عوض، وهو ليس ببيع عرفاً،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بسقوط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بيعاً عرفاً</w:t>
      </w:r>
      <w:r>
        <w:rPr>
          <w:rFonts w:eastAsia="Amiri" w:cs="Amiri" w:ascii="Amiri" w:hAnsi="Amiri"/>
          <w:color w:val="111111"/>
          <w:sz w:val="28"/>
          <w:szCs w:val="28"/>
          <w:rtl w:val="true"/>
          <w:lang w:bidi="ar-SA"/>
        </w:rPr>
        <w:t xml:space="preserve">. </w:t>
      </w:r>
      <w:bookmarkStart w:id="102" w:name="pg15195_150436"/>
    </w:p>
    <w:p>
      <w:pPr>
        <w:pStyle w:val="Heading3"/>
        <w:numPr>
          <w:ilvl w:val="2"/>
          <w:numId w:val="1"/>
        </w:numPr>
        <w:rPr/>
      </w:pPr>
      <w:bookmarkStart w:id="103" w:name="__RefHeading___Toc2495237_2142443653"/>
      <w:bookmarkStart w:id="104" w:name="_Toc34"/>
      <w:bookmarkEnd w:id="102"/>
      <w:bookmarkEnd w:id="103"/>
      <w:r>
        <w:rPr>
          <w:rtl w:val="true"/>
        </w:rPr>
        <w:t>تعريف البيع</w:t>
      </w:r>
      <w:bookmarkEnd w:id="104"/>
    </w:p>
    <w:p>
      <w:pPr>
        <w:pStyle w:val="Heading4"/>
        <w:numPr>
          <w:ilvl w:val="3"/>
          <w:numId w:val="1"/>
        </w:numPr>
        <w:rPr/>
      </w:pPr>
      <w:bookmarkStart w:id="105" w:name="__RefHeading___Toc2495239_2142443653"/>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إذا عرفت ما تقدّم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 البيع بتعاريف عديدة</w:t>
      </w:r>
      <w:r>
        <w:rPr>
          <w:rStyle w:val="FootnoteAnchor"/>
          <w:rtl w:val="true"/>
        </w:rPr>
        <w:footnoteReference w:id="109"/>
      </w:r>
      <w:r>
        <w:rPr>
          <w:rFonts w:ascii="Amiri" w:hAnsi="Amiri" w:eastAsia="Amiri" w:cs="Amiri"/>
          <w:color w:val="111111"/>
          <w:sz w:val="28"/>
          <w:sz w:val="28"/>
          <w:szCs w:val="28"/>
          <w:rtl w:val="true"/>
          <w:lang w:bidi="ar-SA"/>
        </w:rPr>
        <w:t>، لا داعي لنقلها وتضعيفها، إلاّ ما أفاده المحقّقون المتأخّرون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495241_2142443653"/>
      <w:bookmarkStart w:id="108" w:name="_Toc36"/>
      <w:bookmarkEnd w:id="107"/>
      <w:r>
        <w:rPr>
          <w:rtl w:val="true"/>
        </w:rPr>
        <w:t>تعريف الشيخ الأعظم وردّه</w:t>
      </w:r>
      <w:bookmarkEnd w:id="108"/>
    </w:p>
    <w:p>
      <w:pPr>
        <w:pStyle w:val="BookText"/>
        <w:rPr/>
      </w:pPr>
      <w:r>
        <w:rPr>
          <w:rFonts w:ascii="Amiri" w:hAnsi="Amiri" w:eastAsia="Amiri" w:cs="Amiri"/>
          <w:color w:val="111111"/>
          <w:sz w:val="28"/>
          <w:sz w:val="28"/>
          <w:szCs w:val="28"/>
          <w:rtl w:val="true"/>
          <w:lang w:bidi="ar-SA"/>
        </w:rPr>
        <w:t>فقد عرّفه الشيخ الأعظم بعد الإشكال في سائر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قريب ممّا عرّفه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تمليك العين بعوض على وجه التراضي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يرد على الثاني ما لا يرد على الأوّل، وهو أنّ مقتضى إطلاقه جواز جعل العوض ممّا ليس بمال، وقد تقدّم</w:t>
      </w:r>
      <w:r>
        <w:rPr>
          <w:rStyle w:val="FootnoteAnchor"/>
          <w:rtl w:val="true"/>
        </w:rPr>
        <w:footnoteReference w:id="112"/>
      </w:r>
      <w:r>
        <w:rPr>
          <w:rFonts w:ascii="Amiri" w:hAnsi="Amiri" w:eastAsia="Amiri" w:cs="Amiri"/>
          <w:color w:val="111111"/>
          <w:sz w:val="28"/>
          <w:sz w:val="28"/>
          <w:szCs w:val="28"/>
          <w:rtl w:val="true"/>
          <w:lang w:bidi="ar-SA"/>
        </w:rPr>
        <w:t>اعتباره في ماهية البيع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إخلال 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بالمقصود؛ لعدم اعتباره في مفهوم البيع عرفاً بلا شبهة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غير البيع؛ فإنّ حقيقته نفس التبديل لا إنشاؤه، وكذا لا يعتبر فيه التمليك، وكذا لا يعتبر أن يكون المعوّض عيناً كما تقدّم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09" w:name="pg15195_150437"/>
    </w:p>
    <w:p>
      <w:pPr>
        <w:pStyle w:val="Heading4"/>
        <w:numPr>
          <w:ilvl w:val="3"/>
          <w:numId w:val="1"/>
        </w:numPr>
        <w:rPr/>
      </w:pPr>
      <w:bookmarkStart w:id="110" w:name="__RefHeading___Toc2495243_2142443653"/>
      <w:bookmarkStart w:id="111" w:name="_Toc37"/>
      <w:bookmarkEnd w:id="109"/>
      <w:bookmarkEnd w:id="110"/>
      <w:r>
        <w:rPr>
          <w:rtl w:val="true"/>
        </w:rPr>
        <w:t>تعريف المحقّق النائيني وردّه</w:t>
      </w:r>
      <w:bookmarkEnd w:id="111"/>
    </w:p>
    <w:p>
      <w:pPr>
        <w:pStyle w:val="BookText"/>
        <w:rPr/>
      </w:pPr>
      <w:r>
        <w:rPr>
          <w:rFonts w:ascii="Amiri" w:hAnsi="Amiri" w:eastAsia="Amiri" w:cs="Amiri"/>
          <w:color w:val="111111"/>
          <w:sz w:val="28"/>
          <w:sz w:val="28"/>
          <w:szCs w:val="28"/>
          <w:rtl w:val="true"/>
          <w:lang w:bidi="ar-SA"/>
        </w:rPr>
        <w:t>ومن ذلك يعرف الإشكال في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 عين بعوض في ظرف تملّك المشتري</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 من عرّفه بذلك أراد التخلّص عن كون البيع إيقاعاً،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تعريف الشيخ أن يكون البيع إيقاعاً، وغير متوقّف على القبول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تعريفه بهذا أيضاً يقتضي كونه إيقاعاً لو كان ذلك إيقاعاً؛ لأنّ تمليكه في ظرف تملّك المشتري إيقاع ومن فعل البائع، وما لا يكون إيقاعاً هو التمليك والتملّك؛ أي الماهية الاعتبارية المتقوّمة بهما، ولا يخرج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كونه في ظرف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إيقاعاً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495245_2142443653"/>
      <w:bookmarkStart w:id="113" w:name="_Toc38"/>
      <w:bookmarkEnd w:id="112"/>
      <w:r>
        <w:rPr>
          <w:rtl w:val="true"/>
        </w:rPr>
        <w:t>تعريف المحقّق الأصفهاني وردّه</w:t>
      </w:r>
      <w:bookmarkEnd w:id="113"/>
    </w:p>
    <w:p>
      <w:pPr>
        <w:pStyle w:val="BookText"/>
        <w:rPr/>
      </w:pPr>
      <w:r>
        <w:rPr>
          <w:rFonts w:ascii="Amiri" w:hAnsi="Amiri" w:eastAsia="Amiri" w:cs="Amiri"/>
          <w:color w:val="111111"/>
          <w:sz w:val="28"/>
          <w:sz w:val="28"/>
          <w:szCs w:val="28"/>
          <w:rtl w:val="true"/>
          <w:lang w:bidi="ar-SA"/>
        </w:rPr>
        <w:t xml:space="preserve">وأردأ من الكلّ ما عرّفه بعض أهل التحقيق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على تحديد الشيخ بجملة من الموارد التي يشكل التزام كونها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ممّن ينعتق عليه؛ فإنّ الملك التحقيقي إن كان ممتنعاً شرعاً أو عقلاً، فلا فرق بين زمان طويل أو قصير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على من هو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امتناع مالكية الشخص لما في ذمّته بين زمان طويل وقصير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من نفسه في بعض الموارد؛ لعدم الفرق في الامتناع بين الزمانين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العبد تحت الشدّة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آلات المسجد والقنطرة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بإزاء سقوط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جعل شيءٍ بإزاء شيءٍ، فيختلف أثره بحسب الموارد</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كثيراً من موارد النقض بين ما لا يرد عليه، وما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فبيع العبد ممّن ينعتق عليه لا شبهة في كونه تمليكاً لدى العرف؛ إذ لا فرق لدى العقلاء في ملكية العمودين، وغيرهما من العبيد والإماء، فالبيع عرفي عقلائي، والمالكية محقّقة، والتعبّد الشرعي بالانعتاق بعد الشراء لم يظهر منه عدم تحقّقها، والدليل على عدم مالكية العمودين منصرف إلى المستقرّة كسائر الأملاك، مع أنّه تعبّد، والكلام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بيع الدين ممّن هو عليه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بيع العبد من نفسه؛ فإنّه بعد فرض صدقه لدى العقلاء لا مانع من الالتزام بمالكيته لها آناً ما، كما تقدّم نظيره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14" w:name="pg15195_150439"/>
    </w:p>
    <w:p>
      <w:pPr>
        <w:pStyle w:val="BookText"/>
        <w:rPr/>
      </w:pPr>
      <w:bookmarkEnd w:id="114"/>
      <w:r>
        <w:rPr>
          <w:rFonts w:ascii="Amiri" w:hAnsi="Amiri" w:eastAsia="Amiri" w:cs="Amiri"/>
          <w:color w:val="111111"/>
          <w:sz w:val="28"/>
          <w:sz w:val="28"/>
          <w:szCs w:val="28"/>
          <w:rtl w:val="true"/>
          <w:lang w:bidi="ar-SA"/>
        </w:rPr>
        <w:t xml:space="preserve">وأمّا فيما إذا كان العوض سقوطاً، فقد تقدّم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نحو الشراء من الزكوات كما تقدّم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تعريفه بما ذكر فلا يوافق العرف واللغة، ويرد عليه من النقض إلى ما شاء اللّه، كجعل شيءٍ بإزاء شيءٍ مكاناً، وكالجعالة، والطلاق خلعاً ومباراةً، والإجارة، والهبة غير المجّانية، والصلح، وكذلك جعل اللّه الثواب مقابل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المسلك وإن كان غير معروف ولا مألوف، إلاّ أنّ المتّبع هو البرهان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ما ذكر خلاف المعروف والمألوف لدى العقلاء جميعاً، أقوى دليل على بطلانه؛ فإنّ البيع من المعاني العرفية الاعتبارية، ولا سبيل للبرهان فيه إن كان مراده البرهان الاصطلاحي، ولو أراد أنّ معناه عرفاً ولدى العقلاء ذلك، فلا معنى لعدم معروفيته ومألوفيته، مع أنّ ما ذكر ليس معناه العرفي والعقلائي جزماً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495247_2142443653"/>
      <w:bookmarkStart w:id="116" w:name="_Toc39"/>
      <w:bookmarkEnd w:id="115"/>
      <w:r>
        <w:rPr>
          <w:rtl w:val="true"/>
        </w:rPr>
        <w:t>أسدّ التعاريف تعريف المصباح</w:t>
      </w:r>
      <w:bookmarkEnd w:id="1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أسدّ التعاريف هو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مبادلة مال بمال</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على ما هو الظاهر المتفاهم من كونها بين طرفين، والبيع بالمعنى المعهود لدى العقلاء، أمر اعتباري مضاف إلى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يصغى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باب المفاعلة لمجرّد تعدية المادّة وإنهائها إلى الغير، فلا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بهيئته دالّ على ما أفاد الحرف أو كان لازم النسبة، والدليل عليه استعمال باب المفاعلة في الكلام الفصيح في غير ما كان بين الاثنين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الاستعمال أعمّ، ولا سيّما مع قيام القرينة العقلية أو غيرها على معنىً، ولا شبهة في أنّه إذا كتب إلى زيد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أنهى البحث إلى طرفه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هو التبادر والمعروفية عند أهل اللغة والعرف، كما اعترف بها </w:t>
      </w:r>
      <w:r>
        <w:rPr>
          <w:rStyle w:val="FootnoteAnchor"/>
          <w:rtl w:val="true"/>
        </w:rPr>
        <w:footnoteReference w:id="124"/>
      </w:r>
      <w:r>
        <w:rPr>
          <w:rFonts w:ascii="Amiri" w:hAnsi="Amiri" w:eastAsia="Amiri" w:cs="Amiri"/>
          <w:color w:val="111111"/>
          <w:sz w:val="28"/>
          <w:sz w:val="28"/>
          <w:szCs w:val="28"/>
          <w:rtl w:val="true"/>
          <w:lang w:bidi="ar-SA"/>
        </w:rPr>
        <w:t>، وليس شيء أقرب إلى إثبات اللغة من التبادر، ولا سيّما عند أهل اللغة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كلام، وهو أنّه هل يعتبر في باب المفاعلة أن يكون التفاعل بين الشخصين والفاعلين، أو تختلف الموارد، ففي مثل تقابل جسم بجسم تكون المقابلة بين الشيئين، وإن كان موقعها شخصاً واحداً، ففيما نحن بصدده لو أوقع البائع المبادلة بين العوضين كفى في تحقّق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المعتبر فيها أن يكون كلّ من الطرفين فاعلاً، والآخر </w:t>
      </w:r>
      <w:bookmarkStart w:id="117" w:name="pg15195_150441"/>
    </w:p>
    <w:p>
      <w:pPr>
        <w:pStyle w:val="BookText"/>
        <w:rPr/>
      </w:pPr>
      <w:bookmarkEnd w:id="117"/>
      <w:r>
        <w:rPr>
          <w:rFonts w:ascii="Amiri" w:hAnsi="Amiri" w:eastAsia="Amiri" w:cs="Amiri"/>
          <w:color w:val="111111"/>
          <w:sz w:val="28"/>
          <w:sz w:val="28"/>
          <w:szCs w:val="28"/>
          <w:rtl w:val="true"/>
          <w:lang w:bidi="ar-SA"/>
        </w:rPr>
        <w:t>مفعولاً به، ففي المبادلة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 زيد ماله عمراً، وعمرو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عدم اعتبار التفاعل في الباب،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للبيع المصطلح في كتاب البيع؛ أي الماهية المتقوّمة بالإيجاب والقبول؛ وذلك لأنّ الظاهر من كلّ عنوان موضوع للحكم أو مأخوذ في الحدود وغيرها؛ هو الفعلية، مقابل الشأنية والإمكان، وكذلك الألفاظ موضوعة للعناوين الفعلية، فالنار موضوعة للماهية الحارّة بالفعل، لا الأعمّ منها وممّا هي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للموجود؛ فإنّه واضح البطلان، بل الألفاظ موضوعة للطبائع، لكن للمتّصفة بالوصف العنواني فعلاً، فلا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نار بالقوّة والشأنية،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المتلبّس بالعلم شأناً وبالقوّة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هو المبادلة الفعلية، وهي متقوّمة بالإيجاب والقبول؛ ضرورة عدم فعلية التبادل في الإضافة إلاّ مع القبول، فالإيجاب لا يكفي في فعلية التبادل، كما لا يخفى</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495249_2142443653"/>
      <w:bookmarkStart w:id="119" w:name="_Toc40"/>
      <w:bookmarkEnd w:id="118"/>
      <w:r>
        <w:rPr>
          <w:rtl w:val="true"/>
        </w:rPr>
        <w:t>دفع ما يرد على تعريف المصباح</w:t>
      </w:r>
      <w:bookmarkEnd w:id="119"/>
    </w:p>
    <w:p>
      <w:pPr>
        <w:pStyle w:val="BookText"/>
        <w:rPr/>
      </w:pPr>
      <w:r>
        <w:rPr>
          <w:rFonts w:ascii="Amiri" w:hAnsi="Amiri" w:eastAsia="Amiri" w:cs="Amiri"/>
          <w:color w:val="111111"/>
          <w:sz w:val="28"/>
          <w:sz w:val="28"/>
          <w:szCs w:val="28"/>
          <w:rtl w:val="true"/>
          <w:lang w:bidi="ar-SA"/>
        </w:rPr>
        <w:t>ثمّ إنّه يرد على هذا التعريف اُمور قابلة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تعريف بالأعمّ؛ فإنّ المبادلة بين المالين يمكن أن تكون في ذاتهما، أو صفتهما، أو سائر الإضافات غير إضافة الملكية أو نحوها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المبادلة بين المالين أن تكون المالية دخيلة فيها، فتكون المبادلة بين المالين بما هما كذلك، وسائر المبادلات ليست بما هما 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لتبادل مالية أحدهما بمالية الآخر؛ بمعنى أنّ ما كانت ماليته عشرة دراهم صارت بالتبادل عشرين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معقول عادة، فالقرينة العقلية دالّة على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الاتّكال على القرائن اللفظية أو العقلية في الحدود وهم، بعد فهم العقلاء من الكلام ما هو المقصود، ولا شبهة في أنّ المتفاهم من هذا الكلام هو التبادل في الملكية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اعتبار المالية الفعلية للمتبادلين حال التبادل، وقد مرّ</w:t>
      </w:r>
      <w:r>
        <w:rPr>
          <w:rStyle w:val="FootnoteAnchor"/>
          <w:rtl w:val="true"/>
        </w:rPr>
        <w:footnoteReference w:id="125"/>
      </w:r>
      <w:r>
        <w:rPr>
          <w:rFonts w:ascii="Amiri" w:hAnsi="Amiri" w:eastAsia="Amiri" w:cs="Amiri"/>
          <w:color w:val="111111"/>
          <w:sz w:val="28"/>
          <w:sz w:val="28"/>
          <w:szCs w:val="28"/>
          <w:rtl w:val="true"/>
          <w:lang w:bidi="ar-SA"/>
        </w:rPr>
        <w:t>عدم اعتبارها، فلو فرض أنّ عمل الحرّ ليس مالاً إلاّ بعد النقل، فهو بيع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تقدّم مجرّد فرض وتخيّل لا واقع له، وإلاّ فكلّ مورد يبذل العقلاء في مقابل شيءٍ ثمناً، يكون ذلك الشيء مالاً فعلاً، فعمل الحرّ مال بلا شبهة، وكذا كلّ ما يجعله العقلاء في قبال الثمن، ولو كان لأثر مترقّب فيه، ولم يكن ذلك الأثر فعلياً، فتوقّع ترتّب الأثر على الشيء يوجب فعلية ماليته، ولا شبهة في أنّ المراد بالتعريف تحديد ما لدى العقلاء من المعاملة، لا ما لا وجود له إلاّ فرضاً وتخيّلاً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بمثل الصلح، والإجارة، والهبة، ونحوها </w:t>
      </w:r>
      <w:r>
        <w:rPr>
          <w:rStyle w:val="FootnoteAnchor"/>
          <w:rtl w:val="true"/>
        </w:rPr>
        <w:footnoteReference w:id="126"/>
      </w:r>
      <w:r>
        <w:rPr>
          <w:rFonts w:ascii="IRNazanin" w:hAnsi="IRNazanin" w:eastAsia="IRNazanin"/>
          <w:color w:val="111111"/>
          <w:sz w:val="28"/>
          <w:sz w:val="28"/>
          <w:szCs w:val="28"/>
          <w:rtl w:val="true"/>
          <w:lang w:bidi="fa-IR"/>
        </w:rPr>
        <w:t>، فقد تصدّى الأعلام لجوابه</w:t>
      </w:r>
      <w:r>
        <w:rPr>
          <w:rStyle w:val="FootnoteAnchor"/>
          <w:rtl w:val="true"/>
        </w:rPr>
        <w:footnoteReference w:id="127"/>
      </w:r>
      <w:r>
        <w:rPr>
          <w:rFonts w:ascii="Amiri" w:hAnsi="Amiri" w:eastAsia="Amiri" w:cs="Amiri"/>
          <w:color w:val="111111"/>
          <w:sz w:val="28"/>
          <w:sz w:val="28"/>
          <w:szCs w:val="28"/>
          <w:rtl w:val="true"/>
          <w:lang w:bidi="ar-SA"/>
        </w:rPr>
        <w:t>فلا نطيل بالبيان</w:t>
      </w:r>
      <w:r>
        <w:rPr>
          <w:rFonts w:eastAsia="Amiri" w:cs="Amiri" w:ascii="Amiri" w:hAnsi="Amiri"/>
          <w:color w:val="111111"/>
          <w:sz w:val="28"/>
          <w:szCs w:val="28"/>
          <w:rtl w:val="true"/>
          <w:lang w:bidi="ar-SA"/>
        </w:rPr>
        <w:t xml:space="preserve">. </w:t>
      </w:r>
      <w:bookmarkStart w:id="120" w:name="pg15195_150443"/>
    </w:p>
    <w:p>
      <w:pPr>
        <w:pStyle w:val="Heading4"/>
        <w:numPr>
          <w:ilvl w:val="3"/>
          <w:numId w:val="1"/>
        </w:numPr>
        <w:rPr/>
      </w:pPr>
      <w:bookmarkStart w:id="121" w:name="__RefHeading___Toc2495251_2142443653"/>
      <w:bookmarkStart w:id="122" w:name="_Toc41"/>
      <w:bookmarkEnd w:id="120"/>
      <w:bookmarkEnd w:id="121"/>
      <w:r>
        <w:rPr>
          <w:rtl w:val="true"/>
        </w:rPr>
        <w:t>تغاير البيع الاصطلاحي واللغوي</w:t>
      </w:r>
      <w:bookmarkEnd w:id="122"/>
    </w:p>
    <w:p>
      <w:pPr>
        <w:pStyle w:val="BookText"/>
        <w:rPr/>
      </w:pPr>
      <w:r>
        <w:rPr>
          <w:rFonts w:ascii="Amiri" w:hAnsi="Amiri" w:eastAsia="Amiri" w:cs="Amiri"/>
          <w:color w:val="111111"/>
          <w:sz w:val="28"/>
          <w:sz w:val="28"/>
          <w:szCs w:val="28"/>
          <w:rtl w:val="true"/>
          <w:lang w:bidi="ar-SA"/>
        </w:rPr>
        <w:t>ثمّ إنّ ما ذكر من التحديد، يكون للمعنى المصطلح عليه لدى الفقهاء،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الإجارة، والصلح، وغيرهما، وهو غير المعنى اللغوي بلا شبهة،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اللغوي هو التمليك</w:t>
      </w:r>
      <w:r>
        <w:rPr>
          <w:rStyle w:val="FootnoteAnchor"/>
          <w:rtl w:val="true"/>
        </w:rPr>
        <w:footnoteReference w:id="128"/>
      </w:r>
      <w:r>
        <w:rPr>
          <w:rFonts w:ascii="Amiri" w:hAnsi="Amiri" w:eastAsia="Amiri" w:cs="Amiri"/>
          <w:color w:val="111111"/>
          <w:sz w:val="28"/>
          <w:sz w:val="28"/>
          <w:szCs w:val="28"/>
          <w:rtl w:val="true"/>
          <w:lang w:bidi="ar-SA"/>
        </w:rPr>
        <w:t>،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التمليك المتعقّب بالقبول أو التملّك</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التمليك المتعقّب عبارة عن فعل البائع، مع التقيّد بأمرٍ آخر يحصل بفعل المشتري، ومعلوم أنّه ليس المراد بالبيع المصطلح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المصدري المتقيّد، بل المراد منه هو الماهية المتقوّمة بالتمليك والتملّك، من غير نظر إلى اعتبار تقدّم فعل البائع، فضلاً عن كونه فعله مع 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المعنى المصطلح عليه من البيع، ليس مادّة للمشتقّات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معنى مصدرياً، حتّى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المصدر ومشتقّاته هو التمليك المتعقّب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 والإنشائي</w:t>
      </w:r>
      <w:r>
        <w:rPr>
          <w:rStyle w:val="FootnoteAnchor"/>
          <w:rtl w:val="true"/>
        </w:rPr>
        <w:footnoteReference w:id="131"/>
      </w:r>
      <w:r>
        <w:rPr>
          <w:rFonts w:ascii="Amiri" w:hAnsi="Amiri" w:eastAsia="Amiri" w:cs="Amiri"/>
          <w:color w:val="111111"/>
          <w:sz w:val="28"/>
          <w:sz w:val="28"/>
          <w:szCs w:val="28"/>
          <w:rtl w:val="true"/>
          <w:lang w:bidi="ar-SA"/>
        </w:rPr>
        <w:t xml:space="preserve">لعدم إمكان </w:t>
      </w:r>
    </w:p>
    <w:p>
      <w:pPr>
        <w:pStyle w:val="BookText"/>
        <w:rPr/>
      </w:pPr>
      <w:r>
        <w:rPr>
          <w:rFonts w:ascii="Amiri" w:hAnsi="Amiri" w:eastAsia="Amiri" w:cs="Amiri"/>
          <w:color w:val="111111"/>
          <w:sz w:val="28"/>
          <w:sz w:val="28"/>
          <w:szCs w:val="28"/>
          <w:rtl w:val="true"/>
          <w:lang w:bidi="ar-SA"/>
        </w:rPr>
        <w:t xml:space="preserve">إنشاء التمليك المتعقّب بالقبول الذي هو فعل الغير، ضرورة أنّ إنشاء التمليك المتعقّب فعلاً غير ممكن؛ لأنّ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له إلاّ بعد تحقّق القبول، لأنّه عنوان إضافي متضايف للمتعقّب بالفتح، وهما متكافئان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وثوق الموجب بحصول القبول، لا يوجب إمكان إنشائه للمتعقّب فعلاً، كما توهّم بعضهم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اُريد به الذي يتعقّب بعد، فيكون كرّاً على ما فرّ منه من المفاسد، مع أنّ صريح كلامه هو المتعقّب بالفعل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بعض أهل التحقيق على دعوى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الألفاظ موضوعة لنفس المعاني المجرّدة عن أنحاء الوجود، فالبيع إذا كان التمليك فالموضوع له طبيعي التمليك، القابل لأنحاء الوجود، لا الطبيعي الموجود بوجود إنشائي، ولا الطبيعي الموجود بوجود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تبادر التمليك الحقيقي أو الإنشائي منه بلا وجه؛ لعدم دخل كلا الوجودين في الموضوع له والمستعمل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برهن على دعواه بما لا يخلو عن الخلط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المعاملية والطلبية لها وجود إنشائي، ووجود حقيقي، هو في المعاملات عين كونها معاني اعتبارية، فالمستعمل فيه فيها نفس الطبيعي، وإن كان المستفاد منه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الطبيعي كما في تحديد </w:t>
      </w:r>
    </w:p>
    <w:p>
      <w:pPr>
        <w:pStyle w:val="BookText"/>
        <w:rPr/>
      </w:pPr>
      <w:r>
        <w:rPr>
          <w:rFonts w:ascii="Amiri" w:hAnsi="Amiri" w:eastAsia="Amiri" w:cs="Amiri"/>
          <w:color w:val="111111"/>
          <w:sz w:val="28"/>
          <w:sz w:val="28"/>
          <w:szCs w:val="28"/>
          <w:rtl w:val="true"/>
          <w:lang w:bidi="ar-SA"/>
        </w:rPr>
        <w:t>البيع،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الوجودين من الإنشائي والحقيقي بمناسبات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ولا تستوحش من مخالفته لكلمات الأعيان بعد موافقته للبرهان المساوق للعيان</w:t>
      </w:r>
      <w:r>
        <w:rPr>
          <w:rStyle w:val="FootnoteAnchor"/>
          <w:rtl w:val="true"/>
        </w:rPr>
        <w:footnoteReference w:id="1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رحمه الله علیه لم يصل إلى مغزى مرامهم من دعوى التبادر وصحّة السلب</w:t>
      </w:r>
      <w:r>
        <w:rPr>
          <w:rStyle w:val="FootnoteAnchor"/>
          <w:rtl w:val="true"/>
        </w:rPr>
        <w:footnoteReference w:id="135"/>
      </w:r>
      <w:r>
        <w:rPr>
          <w:rFonts w:ascii="Amiri" w:hAnsi="Amiri" w:eastAsia="Amiri" w:cs="Amiri"/>
          <w:color w:val="111111"/>
          <w:sz w:val="28"/>
          <w:sz w:val="28"/>
          <w:szCs w:val="28"/>
          <w:rtl w:val="true"/>
          <w:lang w:bidi="ar-SA"/>
        </w:rPr>
        <w:t xml:space="preserve">، فزعم أنّ المراد تبادر نحو وجود من الطبيعي، وهو خلاف الواقع؛ لعدم احتمال إرادة أحد منهم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موضوع لوجود التمليك أو المبادلة، على نحو عموم الوضع، وخصوص الموضوع له، بل هنا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التبادل الجامع بين الإنشائي والحقيقي، لو سلّم تحقّق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التبادل الإنشائي، وطبيعي التبادل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التبادلين ووجوداتهما الإنشائية والحقيقية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والمدّعي للتبادر يدّعي تبادر التبادل الحقيقي؛ أي طبيعيها الذي ينطبق على الكثيرين، ولا يدّعي تبادر الوجود الحقيقي حتّى يتوهّم ورود الإشكال عليهم، وإلاّ فأوّل ما 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البيع موضوعاً للأشخاص، ولم يقل به أحد، وعلى ما ذكرناه لا يرد على القائل بالتبادر شيء ممّا ذكره؛ وزعم أنّه موافق للبرهان المساوق للعيان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دعوى وضع ألفاظ المعاملات للطبيعي الجامع بين الوجود الإنشائي والحقيقي فرع وجود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عدمه، إن قلنا بأنّ الوجود الإنشائي ليس إلاّ إنشاء المبادلة والتمليك، من غير أن يكون هنا تبديل وتمليك، ولا جامع بين نفس المبادلة والتمليك، وبين إنشائهما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الإنشاء من المعاني الحرفية الإيجادية، وقد حقّق في مقامه عدم الجامع بين المعاني الحرفية</w:t>
      </w:r>
      <w:r>
        <w:rPr>
          <w:rStyle w:val="FootnoteAnchor"/>
          <w:rtl w:val="true"/>
        </w:rPr>
        <w:footnoteReference w:id="136"/>
      </w:r>
      <w:r>
        <w:rPr>
          <w:rFonts w:ascii="Amiri" w:hAnsi="Amiri" w:eastAsia="Amiri" w:cs="Amiri"/>
          <w:color w:val="111111"/>
          <w:sz w:val="28"/>
          <w:sz w:val="28"/>
          <w:szCs w:val="28"/>
          <w:rtl w:val="true"/>
          <w:lang w:bidi="ar-SA"/>
        </w:rPr>
        <w:t>، فضلاً عن الجامع بينها وبين المبادلة التي هي معنى اسمي أو حرفي مباين للإنشاء، ومع عدم الجامع ينهدم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لو 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حقيقة على مثل البيع الفضولي، لا بدّ من الالتزام بالاشتراك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المعاملات إلى الصحيحة والفاسدة صحيح بلا تأوّل وتجوّز، وهو آية وضعها للأسباب، أو صيرورتها حقيقة فيها بكثرة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بأنّ الوجود الإنشائي عبارة عن المبادلة الإنشائية الحاصلة بإنشائها، فيكون الإنشاء سبباً، والمنشأ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المبادلة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فلا إشكال في وجود الجامع، ويكون بيع الفضولي بيعاً حقيقة كسائر البيوع كما هو الحقّ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القول بأنّ البيع موضوع للتبادل الإنشائي بنحو ما ذكر، وحصول التبادل حقيقة خارج عن الماهية وأثر لها</w:t>
      </w:r>
      <w:r>
        <w:rPr>
          <w:rFonts w:eastAsia="Amiri" w:cs="Amiri" w:ascii="Amiri" w:hAnsi="Amiri"/>
          <w:color w:val="111111"/>
          <w:sz w:val="28"/>
          <w:szCs w:val="28"/>
          <w:rtl w:val="true"/>
          <w:lang w:bidi="ar-SA"/>
        </w:rPr>
        <w:t xml:space="preserve">. </w:t>
      </w:r>
      <w:bookmarkStart w:id="123" w:name="pg15195_150447"/>
    </w:p>
    <w:p>
      <w:pPr>
        <w:pStyle w:val="Heading4"/>
        <w:numPr>
          <w:ilvl w:val="3"/>
          <w:numId w:val="1"/>
        </w:numPr>
        <w:rPr/>
      </w:pPr>
      <w:bookmarkStart w:id="124" w:name="__RefHeading___Toc2495253_2142443653"/>
      <w:bookmarkStart w:id="125" w:name="_Toc42"/>
      <w:bookmarkEnd w:id="123"/>
      <w:bookmarkEnd w:id="124"/>
      <w:r>
        <w:rPr>
          <w:rtl w:val="true"/>
        </w:rPr>
        <w:t>في وضع ألفاظ المعاملات للصحيح أو الأعمّ</w:t>
      </w:r>
      <w:bookmarkEnd w:id="125"/>
    </w:p>
    <w:p>
      <w:pPr>
        <w:pStyle w:val="BookText"/>
        <w:rPr/>
      </w:pPr>
      <w:r>
        <w:rPr>
          <w:rFonts w:ascii="Amiri" w:hAnsi="Amiri" w:eastAsia="Amiri" w:cs="Amiri"/>
          <w:color w:val="111111"/>
          <w:sz w:val="28"/>
          <w:sz w:val="28"/>
          <w:szCs w:val="28"/>
          <w:rtl w:val="true"/>
          <w:lang w:bidi="ar-SA"/>
        </w:rPr>
        <w:t xml:space="preserve">ثمّ على فرض وضعها للمسبّبات فلا تتّصف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أمرها دائر بين الوجود والعدم، إلاّ على بعض الصور التي أشرنا إليها في الاُصول</w:t>
      </w:r>
      <w:r>
        <w:rPr>
          <w:rStyle w:val="FootnoteAnchor"/>
          <w:rtl w:val="true"/>
        </w:rPr>
        <w:footnoteReference w:id="137"/>
      </w:r>
      <w:r>
        <w:rPr>
          <w:rFonts w:ascii="Amiri" w:hAnsi="Amiri" w:eastAsia="Amiri" w:cs="Amiri"/>
          <w:color w:val="111111"/>
          <w:sz w:val="28"/>
          <w:sz w:val="28"/>
          <w:szCs w:val="28"/>
          <w:rtl w:val="true"/>
          <w:lang w:bidi="ar-SA"/>
        </w:rPr>
        <w:t>ممّا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ما ذكرنا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موضوعاً للتبادل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اتّصافه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وضعها للأسباب،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للأعمّ من الصحيح منها، ولو فرض وضعها للصحيح فلا شبهة في عدم وضعها للصحيح الشرعي؛ ضرورة عدم اصطلاح خاصّ ووضع مستقلّ للشارع الأقدس، ولو فرض وضعها للصحيح عنده فلا ينبغي التأمّل في لزوم كون اختلافه مع العرف في المفهوم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بعدم اختلافهما فيه، ورجوع ردع الشارع إلى التخطئة في المصداق</w:t>
      </w:r>
      <w:r>
        <w:rPr>
          <w:rStyle w:val="FootnoteAnchor"/>
          <w:rtl w:val="true"/>
        </w:rPr>
        <w:footnoteReference w:id="138"/>
      </w:r>
      <w:r>
        <w:rPr>
          <w:rFonts w:ascii="Amiri" w:hAnsi="Amiri" w:eastAsia="Amiri" w:cs="Amiri"/>
          <w:color w:val="111111"/>
          <w:sz w:val="28"/>
          <w:sz w:val="28"/>
          <w:szCs w:val="28"/>
          <w:rtl w:val="true"/>
          <w:lang w:bidi="ar-SA"/>
        </w:rPr>
        <w:t xml:space="preserve">، غير تامّ، لأنّه مع اتّفاقهما في المفهوم لا يعقل الردع والتخطئة في المصداق، بعد كون تطبيق المفاهيم على المصاديق في المقام ضرورياً؛ لأنّه إذا كان البيع عرفاً هو الإيجاب والقبول بلا اعتبار العربية والتقديم والتأخير مثلاً، وكان الشارع لا يخالف العرف فيه، فوجد البيع بلا عربية مع جميع الخصوصيات المعتبرة فيه عرفاً، فلا يعقل رجوع تخطئة الشارع إلى عدم مصداقية ما وجد </w:t>
      </w:r>
      <w:bookmarkStart w:id="126" w:name="pg15195_150448"/>
    </w:p>
    <w:p>
      <w:pPr>
        <w:pStyle w:val="BookText"/>
        <w:rPr/>
      </w:pPr>
      <w:bookmarkEnd w:id="126"/>
      <w:r>
        <w:rPr>
          <w:rFonts w:ascii="Amiri" w:hAnsi="Amiri" w:eastAsia="Amiri" w:cs="Amiri"/>
          <w:color w:val="111111"/>
          <w:sz w:val="28"/>
          <w:sz w:val="28"/>
          <w:szCs w:val="28"/>
          <w:rtl w:val="true"/>
          <w:lang w:bidi="ar-SA"/>
        </w:rPr>
        <w:t>للماهية؛ ضرورة أنّ تطبيقها عليه وجداني بداهة، فلا بدّ من اعتبار الشارع قيداً فيها حتّى لا تنطبق على الفاقد، وهذا هو الاختلاف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وضعت للصحيح بالحمل الأوّلي أو للمؤثّر كذلك، وهو بديهي البطلان، فاختلاف نظر الشارع والعرف على فرض وضعها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لماهية إذا وجدت في الخارج كانت مؤثّرة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للشارع المقنّن أن يعتبر في التأثير زائداً على ماهية البيع، قيوداً اُخر، وهو خارج عن البحث، كما هو واضح</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495255_2142443653"/>
      <w:bookmarkStart w:id="128" w:name="_Toc43"/>
      <w:bookmarkEnd w:id="127"/>
      <w:r>
        <w:rPr>
          <w:rtl w:val="true"/>
        </w:rPr>
        <w:t>في التمسّك بالإطلاقات في المعاملات</w:t>
      </w:r>
      <w:bookmarkEnd w:id="128"/>
    </w:p>
    <w:p>
      <w:pPr>
        <w:pStyle w:val="BookText"/>
        <w:rPr/>
      </w:pPr>
      <w:r>
        <w:rPr>
          <w:rFonts w:ascii="Amiri" w:hAnsi="Amiri" w:eastAsia="Amiri" w:cs="Amiri"/>
          <w:color w:val="111111"/>
          <w:sz w:val="28"/>
          <w:sz w:val="28"/>
          <w:szCs w:val="28"/>
          <w:rtl w:val="true"/>
          <w:lang w:bidi="ar-SA"/>
        </w:rPr>
        <w:t xml:space="preserve">ثمّ على فرض وضعها للأسباب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الاختلاف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بالإطلاق إذا شكّ في اعتبار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بجوازه في العبادات والمعاملات على مذهب الصحيحي، والسرّ فيه أنّه ليس الموضوع 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يكون جامعاً للشرائط الشرعية بحسب ما يستفاد من الأدلّة؛ بمعنى أنّها طريق إلى الموضوع 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نظير ما يقال في دفع الإشكال على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المطلوب هو الصحيح قطعاً، فكيف يتمسّك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حتّى يمتنع معه التمسّك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مثّل القائل بأمثلة أجنبيّة عن باب الإطلاق،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يضرّ </w:t>
      </w:r>
    </w:p>
    <w:p>
      <w:pPr>
        <w:pStyle w:val="BookText"/>
        <w:rPr/>
      </w:pPr>
      <w:r>
        <w:rPr>
          <w:rFonts w:ascii="IRNazanin" w:hAnsi="IRNazanin" w:eastAsia="IRNazanin"/>
          <w:color w:val="111111"/>
          <w:sz w:val="28"/>
          <w:sz w:val="28"/>
          <w:szCs w:val="28"/>
          <w:rtl w:val="true"/>
          <w:lang w:bidi="fa-IR"/>
        </w:rPr>
        <w:t>الصائم ما صنع إذا اجتنب أربع خصال</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وغيره ممّا هو ظاهر في تحديد الموضوعات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إثبات الأجزاء والشرائط، لا يعقل أن تكون طريقاً إلى الموضوع له الواقعي، إلاّ أن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لسان إثبات ما يعتبر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نفي الغير، وإلاّ فمجرّد لسان الإثبات لا يحرز الموضوع له الواقعي، ومن الواضح أنّه ليس لها مفادان، وإلاّ لوقع التعارض بين الأدلّة المثبتة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على ثبوت قيد لموضوع، لا تكون أمارة على نفي اعتبار قيد آخر، ومع الشكّ فيه لا يجوز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والتنظير بدفع الإشكال عن الأعمّي في غير مورده؛ لأنّ ماهية العبادة والمعاملة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غير ما لدى العرف، ولم يخرج من أدلّة الإنفاذ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ترجع الشبهة مصداقية، وإنّما خرج منها بعض عناوين خاصّة، فيرجع عند الشكّ إليها بلا إشكال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الأسامي للمسبّبات يشكل التمسّك بالإطلاق؛ لأنّ أمرها دائر بين الوجود والعدم، لا الصحّة والفساد، إلاّ أن ترجع الأدلّة الرادعة إلى التخصيص الحكمي، فيجوز التمسّك بأدلّة الإمضاء للمسبّبات، لكن التخصيص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إمضاء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للغوية الاعتبار، فلا معنى </w:t>
      </w:r>
    </w:p>
    <w:p>
      <w:pPr>
        <w:pStyle w:val="BookText"/>
        <w:rPr/>
      </w:pPr>
      <w:r>
        <w:rPr>
          <w:rFonts w:ascii="Amiri" w:hAnsi="Amiri" w:eastAsia="Amiri" w:cs="Amiri"/>
          <w:color w:val="111111"/>
          <w:sz w:val="28"/>
          <w:sz w:val="28"/>
          <w:szCs w:val="28"/>
          <w:rtl w:val="true"/>
          <w:lang w:bidi="ar-SA"/>
        </w:rPr>
        <w:t>لاعتبار ما لا أثر له، فلا بدّ من القول برجوع الردع إلى التخصّص ورفع الموضوع وعدم الاعتبار، فتكون الشبهة مصداقية لدى الشكّ في الردع؛ لرجوعه إلى الشكّ في إعدام الموضوع</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بإطلاق أدلّة الإمضاء؛ إذ لا يعقل رجوع الردع إلى إعدام موضوع أدلّة الإنفاذ؛ لأنّ موضوعها هو المسبّبات العقلائية المتقوّمة باعتبار العقلاء، وليس رفع اعتبارهم تحت قدرة التشريع، فلا مجال فيه إلاّ للتخصيص الحكمي، ومعه يصحّ التمسّك بالإطلاقات، وحديث اللغوية إنّما يصحّ إذا كان الشارع معتبراً لما لا أثر له، والفرض أنّ أدلّة الإنفاذ إنّما ترد لإمضاء ما لدى العقلاء، وليس للشارع اعتبار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التصرّف والتخصيص الحكمي، فلا إشكال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قد عرفت</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موضوعة للمسبّبات، ومع ذلك تتّصف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مندفع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بالإطلاق لو وضعت الألفاظ للأسباب الصحيحة، وكانت أدلّة الإنفاذ ناظرة إلى الأسباب، لا المسبّبات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ناظرة إلى المسبّبات، فلا ينبغي الريب في أنّ إطلاقها ملازم لإنفاذ الأسباب العرفية، وكشف الأسباب الصحيحة؛ بمعنى كاشفية إطلاق إمضاء المسبّب عن كون ما هو السبب لدى العرف هو السبب شرعاً، وأنّ ما </w:t>
      </w:r>
    </w:p>
    <w:p>
      <w:pPr>
        <w:pStyle w:val="BookText"/>
        <w:rPr/>
      </w:pPr>
      <w:r>
        <w:rPr>
          <w:rFonts w:ascii="Amiri" w:hAnsi="Amiri" w:eastAsia="Amiri" w:cs="Amiri"/>
          <w:color w:val="111111"/>
          <w:sz w:val="28"/>
          <w:sz w:val="28"/>
          <w:szCs w:val="28"/>
          <w:rtl w:val="true"/>
          <w:lang w:bidi="ar-SA"/>
        </w:rPr>
        <w:t xml:space="preserve">لدى العرف هي الأسباب الصحيحة؛ ضرورة عدم مخالفة الشارع للعرف والعقلاء في معنى البيع المسبّبي، وكذا في سائر المسبّبات من العقود والإيقاعات، فالبيع عند الجميع مبادلة مال بمال، أو تمليك عين بعوض،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الأسباب فقط، وينشأ منه الاختلاف في تحقّق المسبّبات، لا في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وكان المراد منه وجوب الوفاء بالمسبّبات؛ أي المعاني المنشأة بالألفاظ، أو المعاني التي تعتبر لدى الإنشاء الجدّي للإيجاب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المسالك</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مقتضى عمومه لزوم الوفاء بكلّ معاقدة مسبّبية، فلا محالة تكون الأسباب التي تنشأ تلك المسبّبات منها أسباباً عنده، وإلاّ فلا يعقل إنفاذ المسبّب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يرى المعاقدة باللفظ الفارسي غير محقّقة، ولا واجبة الوفاء، لا يعقل منه الإطلاق والعموم في لزوم الوفاء بكلّ معاقدة عقلائية، والمفروض أنّ العقد المسبّبي لدى العقلاء عين ما لدى الشارع مفهوماً وعنواناً، ودليل الإمضاء متعلّق بالعناوين لا بالخارجيات، وإنّما تنطبق العناوين على الخارجيات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إمضاء المسبّب لا يلازم إمضاء السبب؛ لعدم الاتّحاد بينهما ولا الملازمة</w:t>
      </w:r>
      <w:r>
        <w:rPr>
          <w:rStyle w:val="FootnoteAnchor"/>
          <w:rtl w:val="true"/>
        </w:rPr>
        <w:footnoteReference w:id="145"/>
      </w:r>
      <w:r>
        <w:rPr>
          <w:rFonts w:ascii="Amiri" w:hAnsi="Amiri" w:eastAsia="Amiri" w:cs="Amiri"/>
          <w:color w:val="111111"/>
          <w:sz w:val="28"/>
          <w:sz w:val="28"/>
          <w:szCs w:val="28"/>
          <w:rtl w:val="true"/>
          <w:lang w:bidi="ar-SA"/>
        </w:rPr>
        <w:t>في غاية السقوط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محالّ أنظار، تركناها مخافة التطويل،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 العرف متّبع </w:t>
      </w:r>
    </w:p>
    <w:p>
      <w:pPr>
        <w:pStyle w:val="BookText"/>
        <w:rPr/>
      </w:pPr>
      <w:r>
        <w:rPr>
          <w:rFonts w:ascii="Amiri" w:hAnsi="Amiri" w:eastAsia="Amiri" w:cs="Amiri"/>
          <w:color w:val="111111"/>
          <w:sz w:val="28"/>
          <w:sz w:val="28"/>
          <w:szCs w:val="28"/>
          <w:rtl w:val="true"/>
          <w:lang w:bidi="ar-SA"/>
        </w:rPr>
        <w:t>في تشخيص المفاهيم، لا تطبيقها على المصاديق</w:t>
      </w:r>
      <w:r>
        <w:rPr>
          <w:rStyle w:val="FootnoteAnchor"/>
          <w:rtl w:val="true"/>
        </w:rPr>
        <w:footnoteReference w:id="146"/>
      </w:r>
      <w:r>
        <w:rPr>
          <w:rFonts w:ascii="Amiri" w:hAnsi="Amiri" w:eastAsia="Amiri" w:cs="Amiri"/>
          <w:color w:val="111111"/>
          <w:sz w:val="28"/>
          <w:sz w:val="28"/>
          <w:szCs w:val="28"/>
          <w:rtl w:val="true"/>
          <w:lang w:bidi="ar-SA"/>
        </w:rPr>
        <w:t>، تبعاً لبعض المحقّقين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تنفيذ المسبّب يفيد تنفيذ السبب إن لم يحكم العقل بالاحتياط في الشكّ في المحصّل</w:t>
      </w:r>
      <w:r>
        <w:rPr>
          <w:rStyle w:val="FootnoteAnchor"/>
          <w:rtl w:val="true"/>
        </w:rPr>
        <w:footnoteReference w:id="14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ممّا ذكر أنّه بعد الإشكال على ما ذكره تشبّث بأمرٍ آخر لجواز التمسّك بإطلاق دليل إمضاء المسبّب لإمضاء السبب،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المنشآت بالعقود ليست من باب المسبّبات، بل المنشأ من قبيل الإيلام بالضرب، وعنوان ثانوي لفعل الفاعل، ويكون متعلّق إرادته أوّلاً، فالمتكلّم يوجد المعنى ابتداءً بلا واسطة، والألفاظ آلات لا أسباب، نظير الكتابة بالقلم، والنجارة بالقدّوم ممّا هي أفعاله بلا وسط وإن كانت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التلفّظ بهذه الألفاظ فعلاً له، فالأثر الحاصل منها فعل له أيضاً بلا واسطة؛ لأنّ المصدر متّحد مع اسمه، ولا يباينه إلاّ اعتباراً، ولا تفاوت بين الإيجاد والوجود، فلو تعلّق الإمضاء بالأثر الحاصل من الأفعال، يكون إمضاءً للمصدر أيضاً؛ لاتّحاد الأثر مع التأثير، فإمضاء الأثر إمضاء للمصدر؛ لعدم الفرق بينهما خارجاً </w:t>
      </w:r>
      <w:r>
        <w:rPr>
          <w:rStyle w:val="FootnoteAnchor"/>
          <w:rtl w:val="true"/>
        </w:rPr>
        <w:footnoteReference w:id="149"/>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الخلط؛ لأنّ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كونها آلات لإيجاد المعاني المنشأة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تتّحد مع ذي الآلات؛ للزوم آليّة الشيء لإيجاد ما هو </w:t>
      </w:r>
    </w:p>
    <w:p>
      <w:pPr>
        <w:pStyle w:val="BookText"/>
        <w:rPr/>
      </w:pPr>
      <w:r>
        <w:rPr>
          <w:rFonts w:ascii="Amiri" w:hAnsi="Amiri" w:eastAsia="Amiri" w:cs="Amiri"/>
          <w:color w:val="111111"/>
          <w:sz w:val="28"/>
          <w:sz w:val="28"/>
          <w:szCs w:val="28"/>
          <w:rtl w:val="true"/>
          <w:lang w:bidi="ar-SA"/>
        </w:rPr>
        <w:t>عينه خارجاً، وهو بمنزلة آليّة الشيء لإيجاد نفسه، مع أنّ المعاني المنشأة في المقام اعتبارية؛ صقعها اُفق النفس، والألفاظ متحقّقة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وجودات الألفاظ متدرّجة متصرّمة بخلاف المعاني، فكيف يكون الاتّحاد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واتّحاد المصدر واسمه أجنبيّ عن المقصود؛ لأنّ المصدر إمّا يراد منه التلفّظ، فاسمه الحاصل منه اللفظ، وهما متّحدان ذاتاً، مختلفان اعتباراً، لكنّه 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مصاديق اللفظ أو التلفّظ،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بمصادر، ولو اُريد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 بالمعنى المصدري مع اسم المصدر؛ أي البيع بلا 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المقام؛ لعدم التلفّظ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منه المعنى المنشأ، 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الحاصل منه ذات التبادل غير المنتسب إلى الفاعل أو المفعول، فهو أيضاً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الآلات مع ذيها فمختلفات ذاتاً وماهية، ولا اتّحاد بينهما بوجه حتّى يكون إمضاء أحدهما إمضاء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اعترف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ألفاظ العقود مركّبات، والمنشآت الحاصلة بها بسائط</w:t>
      </w:r>
      <w:r>
        <w:rPr>
          <w:rStyle w:val="FootnoteAnchor"/>
          <w:rtl w:val="true"/>
        </w:rPr>
        <w:footnoteReference w:id="150"/>
      </w:r>
      <w:r>
        <w:rPr>
          <w:rFonts w:ascii="Amiri" w:hAnsi="Amiri" w:eastAsia="Amiri" w:cs="Amiri"/>
          <w:color w:val="111111"/>
          <w:sz w:val="28"/>
          <w:sz w:val="28"/>
          <w:szCs w:val="28"/>
          <w:rtl w:val="true"/>
          <w:lang w:bidi="ar-SA"/>
        </w:rPr>
        <w:t xml:space="preserve">وعليه كيف يمكن الاتّحاد الذاتي بينهما؟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الكلام ظاهر البطلان، حكي عن بعض مقرّري بحثه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واسمه لمّا كانا متّحدين، فإمضاء الأثر إمضاء للتأثير بأسبابه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يصلح مطلوبه بل يفسده؛ لأنّ البيع المسبّبي عبارة عن المعنى المصدري؛ أي التبديل أو المبادلة، لا أثره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إتعابه نفسه الشريفة إنّما هو لإثبات الاتّحاد بين المصدر واسمه، حتّى يكون إمضاء أحدهما إمضاء الآخر؛ بتوهّم أنّ السبب والمسبّب غير متّحدين، فلا يكون إمضاء المسبّب إمضاءً لسببه؛ لعدم الاتّحاد، مع أنّ الآلة وذا الآلة أيضاً غير متّحدين ذاتاً، بل متباينان حقيقة، فكيف يكون إمضاء أحدهما إمضاء الآخر المباين له، وهل هذا إلاّ كرّ على ما فرّ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وسلّمنا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بين العقد السببي والمسبّبي نسبة المصدر واسمه، يمكن الخدشة في دعوى كون إمضاء أحدهما إمضاء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في كون إمضاء اسم المصدر إمضاء المصدر وحدتهما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المصدر واسمه مختلفان عنواناً ومفهوماً واعتباراً، كما صرّح هو بتباينهما </w:t>
      </w:r>
      <w:r>
        <w:rPr>
          <w:rStyle w:val="FootnoteAnchor"/>
          <w:rtl w:val="true"/>
        </w:rPr>
        <w:footnoteReference w:id="151"/>
      </w:r>
      <w:r>
        <w:rPr>
          <w:rFonts w:ascii="Amiri" w:hAnsi="Amiri" w:eastAsia="Amiri" w:cs="Amiri"/>
          <w:color w:val="111111"/>
          <w:sz w:val="28"/>
          <w:sz w:val="28"/>
          <w:szCs w:val="28"/>
          <w:rtl w:val="true"/>
          <w:lang w:bidi="ar-SA"/>
        </w:rPr>
        <w:t>،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الإنفاذ من الإطلاق والعموم، إنّما تعلّقت بالعناوين أو المصاديق الذاتية، لا المصاديق مع كلّ ما يتّحد معها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المطلقات فواضح؛ لأنّ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مثلاً إنّما جعل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كونه في مقام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طبيعي البيع وماهيته المطلقة، لا على الأفراد، وإنّما يحكم بحلّية الأفراد؛ لكون الماهية موجودة بعين وجودها؛ لا لكون متعلّق الحكم هو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العمومات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فإنّ العقد عبارة عن نفس الطبيعة، والدالّ على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كثرة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متعلّق بالأفراد الذاتية للعقد، 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يتّحد معها، فإذا فرض كون المطلقات والعمومات بصدد تنفيذ المعاملات 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حاصل المصدر 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إمضاء اسم المصدر إمضاء المصدر؛ لأنّ متعلّق الإمضاء عنوان اسم المصدر، وهو يخالف المصدر ويباينه عنواناً ومفهوماً، والاتّحاد الخارجي لا يفيد بعد الاختلاف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المصدر لا يكون منتسباً إلى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يسري هذا الحكم إلى المصدر لمكان اتّحادهما خارجاً؛ لأنّ الحكم تعلّق على مورد الاختلاف؛ أي الماهية والعنوان، والتشبّث بالاتّحاد الخارجي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تبعيد للمسافة، مع عدم صحّته في نفسه، ولا يحتاج تصحيح الدعوى إلى تلك التكلّفات،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ذكرناه يظهر النظر فيما رامه في الاُصول، وبنى على هذا المبنى</w:t>
      </w:r>
    </w:p>
    <w:p>
      <w:pPr>
        <w:pStyle w:val="BookText"/>
        <w:rPr/>
      </w:pPr>
      <w:r>
        <w:rPr>
          <w:rFonts w:ascii="Amiri" w:hAnsi="Amiri" w:eastAsia="Amiri" w:cs="Amiri"/>
          <w:color w:val="111111"/>
          <w:sz w:val="28"/>
          <w:sz w:val="28"/>
          <w:szCs w:val="28"/>
          <w:rtl w:val="true"/>
          <w:lang w:bidi="ar-SA"/>
        </w:rPr>
        <w:t xml:space="preserve">غير المسلّم، وهو إدخال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وضعها للمسبّبات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النزاع في باب الصحيح والأعمّ</w:t>
      </w:r>
      <w:r>
        <w:rPr>
          <w:rStyle w:val="FootnoteAnchor"/>
          <w:rtl w:val="true"/>
        </w:rPr>
        <w:footnoteReference w:id="15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هو الكلام في مقام الثبوت والتصوّر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مقام الإثبات، فلا شبهة في أنّه ليس للشارع في باب المعاملات </w:t>
      </w:r>
      <w:bookmarkStart w:id="129" w:name="pg15195_150456"/>
    </w:p>
    <w:p>
      <w:pPr>
        <w:pStyle w:val="BookText"/>
        <w:rPr/>
      </w:pPr>
      <w:bookmarkEnd w:id="129"/>
      <w:r>
        <w:rPr>
          <w:rFonts w:ascii="Amiri" w:hAnsi="Amiri" w:eastAsia="Amiri" w:cs="Amiri"/>
          <w:color w:val="111111"/>
          <w:sz w:val="28"/>
          <w:sz w:val="28"/>
          <w:szCs w:val="28"/>
          <w:rtl w:val="true"/>
          <w:lang w:bidi="ar-SA"/>
        </w:rPr>
        <w:t>اصطلاح خاصّ ووضع مخصوص مقابل العقلاء، فما هو المسمّى لدى العقلاء هو المسمّى لدى الشارع، وإن تصرّف في بعضها أو كلّها بزيادة قيد أو شرط 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ينبغي الريب في جواز التمسّك بالعموم والإطلاق لرفع الشكّ في اعتبار شيء زائد على المسمّى، سواء كانت الألفاظ لدى العقلاء موضوعة للصحيح عندهم أو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وضعها للأعمّ عندهم قد يختلج بالبال صحّة التمسّك بالإطلاق؛ لرفع القيود المعتبرة في الصحّة زائدة على المسمّى العرفي، فتكون المعاملة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نطاقاً ممّا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بالإطلاق القيد العقلائي مع احتمال عدم اعتباره شرعاً، لكنّه مجرّد تصوّر لا واقعية له ظاهراً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495257_2142443653"/>
      <w:bookmarkStart w:id="131" w:name="_Toc44"/>
      <w:bookmarkEnd w:id="130"/>
      <w:r>
        <w:rPr>
          <w:rtl w:val="true"/>
        </w:rPr>
        <w:t>وضع ألفاظ المعاملات للمسبّبات</w:t>
      </w:r>
      <w:bookmarkEnd w:id="1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ألفاظ المعاملات موضوعة للمسبّبات؛ للتبادر، وإن لم يبعد وضعها للأسباب أيضاً، ولعلّ وضعها لها تعيّني؛ بدعوى أنّ تقسيمها إلى الصحيحة والفاسدة صحيح بلا تأوّل وتجوّز، فلو كان بين الأسباب والمسبّبات جامع لكانت موضوعة له، لكن بعد عدم تعقّله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بالوضع تعييناً أو تعيّناً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المسبّبات الإنشائية تتّصف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فالتوصيف بهما لا يدلّ على وضعها للأسباب، ولا يحتاج إلى التكلّف، فالحقّ أنّها موضوعة للمسبّبات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 ممّا مرّ أنّ التمسّك بالإطلاقات مفيد، ويرفع الشكّ عن الأسباب والمسبّبات مطلقاً</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5195_150459"/>
      <w:bookmarkStart w:id="133" w:name="pg15195_150459"/>
      <w:bookmarkEnd w:id="133"/>
    </w:p>
    <w:p>
      <w:pPr>
        <w:pStyle w:val="Heading2"/>
        <w:numPr>
          <w:ilvl w:val="1"/>
          <w:numId w:val="1"/>
        </w:numPr>
        <w:rPr/>
      </w:pPr>
      <w:bookmarkStart w:id="134" w:name="pg15195_150459"/>
      <w:bookmarkStart w:id="135" w:name="__RefHeading___Toc2495259_2142443653"/>
      <w:bookmarkStart w:id="136" w:name="_Toc45"/>
      <w:bookmarkEnd w:id="134"/>
      <w:bookmarkEnd w:id="135"/>
      <w:r>
        <w:rPr>
          <w:rtl w:val="true"/>
        </w:rPr>
        <w:t>المبحث الثاني</w:t>
      </w:r>
      <w:r>
        <w:rPr>
          <w:rtl w:val="true"/>
        </w:rPr>
        <w:t xml:space="preserve">: </w:t>
      </w:r>
      <w:r>
        <w:rPr>
          <w:rtl w:val="true"/>
        </w:rPr>
        <w:t>فی اقسام البیع بحسب الأسباب</w:t>
      </w:r>
      <w:bookmarkEnd w:id="136"/>
    </w:p>
    <w:p>
      <w:pPr>
        <w:pStyle w:val="Heading3"/>
        <w:numPr>
          <w:ilvl w:val="2"/>
          <w:numId w:val="1"/>
        </w:numPr>
        <w:rPr/>
      </w:pPr>
      <w:bookmarkStart w:id="137" w:name="__RefHeading___Toc2495261_2142443653"/>
      <w:bookmarkStart w:id="138" w:name="_Toc46"/>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في أقسام البيع بحسب الأسباب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والبيع بالصيغة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195_150461"/>
      <w:bookmarkStart w:id="140" w:name="pg15195_150461"/>
      <w:bookmarkEnd w:id="1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pg15195_150461"/>
      <w:bookmarkStart w:id="142" w:name="__RefHeading___Toc2495263_2142443653"/>
      <w:bookmarkStart w:id="143" w:name="_Toc47"/>
      <w:bookmarkEnd w:id="141"/>
      <w:bookmarkEnd w:id="142"/>
      <w:r>
        <w:rPr>
          <w:rtl w:val="true"/>
        </w:rPr>
        <w:t>القسم الأوّل في المعاطاة</w:t>
      </w:r>
      <w:bookmarkEnd w:id="1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195_150463"/>
      <w:bookmarkStart w:id="145" w:name="pg15195_150463"/>
      <w:bookmarkEnd w:id="145"/>
    </w:p>
    <w:p>
      <w:pPr>
        <w:pStyle w:val="Heading3"/>
        <w:numPr>
          <w:ilvl w:val="2"/>
          <w:numId w:val="1"/>
        </w:numPr>
        <w:rPr/>
      </w:pPr>
      <w:bookmarkStart w:id="146" w:name="pg15195_150463"/>
      <w:bookmarkStart w:id="147" w:name="__RefHeading___Toc2495265_2142443653"/>
      <w:bookmarkStart w:id="148" w:name="_Toc48"/>
      <w:bookmarkEnd w:id="146"/>
      <w:bookmarkEnd w:id="147"/>
      <w:r>
        <w:rPr>
          <w:rtl w:val="true"/>
        </w:rPr>
        <w:t>المراد من المعاطاة</w:t>
      </w:r>
      <w:bookmarkEnd w:id="148"/>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تقسيم للبيع السببي بالذات، وللمسبّبي بالتبع وبالعرَض؛ أي باعتبار أسبابه، 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الأفعال التي هي أسباب لإنشاء معاملة؛ من عقد أو إيقاع، بناءً على جريانها فيهما، سواء كان الفعل بنحو التعاطي، كما هو ظاهر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بنحو الأخذ والإعطاء، كما في النسيئة، والسلم، والقرض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المقصود بالمعاطاة قصرها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اصطلاح لمعنىً أعمّ منه، فللمعاطاة وجوه وأقسام حسب تقسيم العقود والإيقاعات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مقصورة على الوجهين المذكورين في كتاب شيخنا الأعظم قدّس سرّه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بالوجهين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خصوص المقام الذي هو مورد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ذلك مقدّمة لبيان مراد القوم، لا قصر المعاطاة عليهما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الأولى النظر إلى القواعد في المعاطاة صحّة ولزوماً، ثمّ النظر إلى ما يخالفها من إجماع، أو شهرة، أو غيرهما</w:t>
      </w:r>
      <w:r>
        <w:rPr>
          <w:rFonts w:eastAsia="Amiri" w:cs="Amiri" w:ascii="Amiri" w:hAnsi="Amiri"/>
          <w:color w:val="111111"/>
          <w:sz w:val="28"/>
          <w:szCs w:val="28"/>
          <w:rtl w:val="true"/>
          <w:lang w:bidi="ar-SA"/>
        </w:rPr>
        <w:t xml:space="preserve">. </w:t>
      </w:r>
      <w:bookmarkStart w:id="149" w:name="pg15195_150464"/>
    </w:p>
    <w:p>
      <w:pPr>
        <w:pStyle w:val="Heading3"/>
        <w:numPr>
          <w:ilvl w:val="2"/>
          <w:numId w:val="1"/>
        </w:numPr>
        <w:rPr/>
      </w:pPr>
      <w:bookmarkStart w:id="150" w:name="__RefHeading___Toc2495267_2142443653"/>
      <w:bookmarkStart w:id="151" w:name="_Toc49"/>
      <w:bookmarkEnd w:id="149"/>
      <w:bookmarkEnd w:id="150"/>
      <w:r>
        <w:rPr>
          <w:rtl w:val="true"/>
        </w:rPr>
        <w:t>أدلّة صحّة المعاطاة</w:t>
      </w:r>
      <w:bookmarkEnd w:id="151"/>
    </w:p>
    <w:p>
      <w:pPr>
        <w:pStyle w:val="Heading4"/>
        <w:numPr>
          <w:ilvl w:val="3"/>
          <w:numId w:val="1"/>
        </w:numPr>
        <w:rPr/>
      </w:pPr>
      <w:bookmarkStart w:id="152" w:name="__RefHeading___Toc2495269_2142443653"/>
      <w:bookmarkStart w:id="153" w:name="_Toc50"/>
      <w:bookmarkEnd w:id="152"/>
      <w:r>
        <w:rPr>
          <w:rtl w:val="true"/>
        </w:rPr>
        <w:t xml:space="preserve">الدليل الأوّل </w:t>
      </w:r>
      <w:r>
        <w:rPr>
          <w:rtl w:val="true"/>
        </w:rPr>
        <w:t xml:space="preserve">: </w:t>
      </w:r>
      <w:r>
        <w:rPr>
          <w:rtl w:val="true"/>
        </w:rPr>
        <w:t>السيرة العقلائية</w:t>
      </w:r>
      <w:bookmarkEnd w:id="15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صحّتها السيرة المستمرّة العقلائية، من لدن تحقّق التمدّن والاحتياج إلى المبادلات إلى زماننا، بل الظاهر أنّ البيع معاطاة أقدم زماناً وأوسع نطاقاً من البيع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تنبغي الشبهة في أنّ البشر في أوّل تمدّنه واحتياجه إلى التبادلات، كان يبادل الأجناس بالأجناس، من غير إنشاء المعاملات باللفظ أو الالتزام بإيقاعها به، وكان الأمر كذلك في جميع الأعصار، سواء كانت المعاملة بين الأجناس، أو بينها وبين الأثمان في زمان تعارفها ورواجها، وكانت الأسواق في كلّ اُمّة جارية على المعاطاة، وقلّما يتّفق الإنشاء اللفظي في إيقاع نفس المعاملة، وإن كان التقاول قبل إيقاعها متعارفاً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متعارفة في عصر النبوّة وبعده بلا شبهة، فلو كانت غير صحيحة لدى الشارع، أو غير مفيدة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بناء العقلاء عليها، ومعاملة الملكية مع المأخوذ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عليهم البيان القابل للردع، ومعه كان اشتهاره </w:t>
      </w:r>
      <w:bookmarkStart w:id="154" w:name="pg15195_150465"/>
    </w:p>
    <w:p>
      <w:pPr>
        <w:pStyle w:val="BookText"/>
        <w:rPr/>
      </w:pPr>
      <w:bookmarkEnd w:id="154"/>
      <w:r>
        <w:rPr>
          <w:rFonts w:ascii="Amiri" w:hAnsi="Amiri" w:eastAsia="Amiri" w:cs="Amiri"/>
          <w:color w:val="111111"/>
          <w:sz w:val="28"/>
          <w:sz w:val="28"/>
          <w:szCs w:val="28"/>
          <w:rtl w:val="true"/>
          <w:lang w:bidi="ar-SA"/>
        </w:rPr>
        <w:t>كالشمس في رائعة النهار؛ لأنّ ردعها موجب لتغيير أسواق المسلمين في المعاملات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سيرة المتشرّعة من العلماء والصلحاء وغيرهم، ولم يعهد منهم إجراء الصيغة لدى شراء الخبز واللحم وغيرهما، ولا يكون بناؤهم على صرف الإباحة، بل بناؤهم على الملكية، فلو قيل للمتديّن المبالي بالديانة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اشتريت من السوق ليس مالك، بل بقي على ملك السوقي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لتعجّب منه، ولرمى القائل بالانحراف والجزاف، فدعوى عدم مبالاتهم</w:t>
      </w:r>
      <w:r>
        <w:rPr>
          <w:rStyle w:val="FootnoteAnchor"/>
          <w:rtl w:val="true"/>
        </w:rPr>
        <w:footnoteReference w:id="158"/>
      </w:r>
      <w:r>
        <w:rPr>
          <w:rFonts w:ascii="Amiri" w:hAnsi="Amiri" w:eastAsia="Amiri" w:cs="Amiri"/>
          <w:color w:val="111111"/>
          <w:sz w:val="28"/>
          <w:sz w:val="28"/>
          <w:szCs w:val="28"/>
          <w:rtl w:val="true"/>
          <w:lang w:bidi="ar-SA"/>
        </w:rPr>
        <w:t>، ليست في محلّها، بل الظاهر بناء العقلاء بل المتشرّعة على اللزوم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لديهم بين إنشاء البيع بالصيغة، وبين المعاطاة في شيءٍ من الآثار صحّة ولزوماً، وليس شيء ممّا توهّم صالحاً للردع عن السيرة كما سيأتي بيانه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2495271_2142443653"/>
      <w:bookmarkStart w:id="156" w:name="_Toc51"/>
      <w:bookmarkEnd w:id="155"/>
      <w:r>
        <w:rPr>
          <w:rtl w:val="true"/>
        </w:rPr>
        <w:t xml:space="preserve">الدليل الثاني </w:t>
      </w:r>
      <w:r>
        <w:rPr>
          <w:rtl w:val="true"/>
        </w:rPr>
        <w:t xml:space="preserve">: </w:t>
      </w:r>
      <w:r>
        <w:rPr>
          <w:rtl w:val="true"/>
        </w:rPr>
        <w:t>آية الحلّ</w:t>
      </w:r>
      <w:bookmarkEnd w:id="156"/>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160"/>
      </w:r>
      <w:r>
        <w:rPr>
          <w:rFonts w:ascii="Amiri" w:hAnsi="Amiri" w:eastAsia="Amiri" w:cs="Amiri"/>
          <w:color w:val="111111"/>
          <w:sz w:val="28"/>
          <w:sz w:val="28"/>
          <w:szCs w:val="28"/>
          <w:rtl w:val="true"/>
          <w:lang w:bidi="ar-SA"/>
        </w:rPr>
        <w:t>على المطلوب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ولا بدّ من البحث في مفاده وإطلاقه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صدر الآية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احتمال،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الرِّبَوا</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للربا الحاصل بالمعاملة، لا نفس 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يحتمل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الرِّبَوا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أن يكون مرادهم بالتسوية مثلية الربح الحاصل بالبيع للربا؛ أي الزيادة الحاصلة بالبيع الربوي، أو الأعمّ منه حتّى يشمل الربا القرضي، أو يكون مرادهم التسوية بين البيع الذي ليس فيه رباً، والبيع الذي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وَحَرَّمَ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الزيادة الحاصلة بالبيع غير الربوي، وحرّم الزيادة الربوية؛ ردعاً لزعمهم، ودفعاً لتوهّمهم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البيع غير الربوي؛ ضرورة أنّ تحليل نتيجة المعاملة ليس تحليلاً مالكياً، بل لعلّه لا يعقل أن يكون كذلك؛ لأنّ عمل المتعاملين ليس إلاّ تمليك الأعيان بالأثمان وتملّكها بها، وإباحة تصرّف المشتري في الأعيان، والبائع في الأثمان، من أحكام ملكيتهما لهما، وفي الرتبة المتأخّرة عن حصول الملكية، وهي رتبة قطع يد المشتري عن الثمن، والبائع عن المثمن، فلا تأثير لإباحتهما، ولا معنى 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والإباحة في عرض التمليك والتملّك أو المتقدّمة عليهما، غير مقصودة لهما، ولا منشأة بإنشائهما كما هو واضح، فإذا أباح اللّه تعالى الزيادة والربح في البيع، </w:t>
      </w:r>
    </w:p>
    <w:p>
      <w:pPr>
        <w:pStyle w:val="BookText"/>
        <w:rPr/>
      </w:pPr>
      <w:r>
        <w:rPr>
          <w:rFonts w:ascii="Amiri" w:hAnsi="Amiri" w:eastAsia="Amiri" w:cs="Amiri"/>
          <w:color w:val="111111"/>
          <w:sz w:val="28"/>
          <w:sz w:val="28"/>
          <w:szCs w:val="28"/>
          <w:rtl w:val="true"/>
          <w:lang w:bidi="ar-SA"/>
        </w:rPr>
        <w:t>فلا محالة تكون تلك الإباحة لأجل مالكية المشتري أو البائع، ولا سبب للملكية غير البيع؛ ضرورة بطلان توهّم أنّ اللّه تعالى أحلّ الربح الحاصل بالبيع تعبّداً ومستقلاًّ، بلا سببية البيع، وعلى رغم المتبايعين، فيكون ما قصدا غير واقع، وما وقع غير مقصود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الربح تنفيذ لحصول الملكية، لا تحليل مستقلّ تعبّدي، وتنفيذ الملكية تنفيذ السبب المحصّل لها، لا جعل ملكية مستقلّة تعبّداً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الاستدلال بالآية على بطلان البيع الربوي؛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تصحيحه بلا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بيع المثل بالمثلين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بوقوع ما لم يقصدا، وعدم وقوع ما قصدا، ولمّا كان هذا في غاية البعد لدى العرف والعقل، فلا محالة تستلزم حرمة الزيادة عندهم البطلان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بصدد دفع توهّم التسوية بين البيعين، ولا شبهة أيضاً في دلالته على الصحّة، سواء كان البيع هو السبب أم المسبّب، بتقريب أنّ قوله تعالى ذلك لردع توهّم التسوية، وكانت دعواهم التسوية لتصحيح أكل الربا، لا لمجرّد تسوية إنشاء لإنشاء، أو مبادلة لمبادلة، بل مرادهم أنّ البيع غير الربوي مثل الربوي في تحصيل النتيجة، وأنّ النتيجة الحاصلة منهما غير مختلفة، ولازم ردعهم بأنّهما في هذه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ترتّب النتيجة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مثلين، بل اللّه تعالى أحلّ البيع، فنتيجته الحاصلة حلال، وحرّم الربا، فنتيجته حرام، هو صحّة هذا، وفساد ذاك</w:t>
      </w:r>
      <w:r>
        <w:rPr>
          <w:rFonts w:eastAsia="Amiri" w:cs="Amiri" w:ascii="Amiri" w:hAnsi="Amiri"/>
          <w:color w:val="111111"/>
          <w:sz w:val="28"/>
          <w:szCs w:val="28"/>
          <w:rtl w:val="true"/>
          <w:lang w:bidi="ar-SA"/>
        </w:rPr>
        <w:t xml:space="preserve">. </w:t>
      </w:r>
      <w:bookmarkStart w:id="157" w:name="pg15195_150468"/>
    </w:p>
    <w:p>
      <w:pPr>
        <w:pStyle w:val="BookText"/>
        <w:rPr/>
      </w:pPr>
      <w:bookmarkEnd w:id="157"/>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القائلين بالتسوية بين البيعين هو التسوية في الربحين؛ ليدفعوا عن أنفسهم عار أكل الربا، والردع المتوجّه إلى دفعه ينفي التسوية بينهما في هذه الخاصّية، ويثبت العار عليهم، وعليه لا شبهة في دلالة الآية على الصحّة إن كان المراد بالبيع السببي منه، وعلى تنفيذ ما لدى العقلاء إن كان المراد المسبّبي منه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495273_2142443653"/>
      <w:bookmarkStart w:id="159" w:name="_Toc52"/>
      <w:bookmarkEnd w:id="158"/>
      <w:r>
        <w:rPr>
          <w:rtl w:val="true"/>
        </w:rPr>
        <w:t>المراد بالحلّية والحرمة</w:t>
      </w:r>
      <w:bookmarkEnd w:id="159"/>
    </w:p>
    <w:p>
      <w:pPr>
        <w:pStyle w:val="BookText"/>
        <w:rPr/>
      </w:pPr>
      <w:r>
        <w:rPr>
          <w:rFonts w:ascii="Amiri" w:hAnsi="Amiri" w:eastAsia="Amiri" w:cs="Amiri"/>
          <w:color w:val="111111"/>
          <w:sz w:val="28"/>
          <w:sz w:val="28"/>
          <w:szCs w:val="28"/>
          <w:rtl w:val="true"/>
          <w:lang w:bidi="ar-SA"/>
        </w:rPr>
        <w:t>ثمّ إنّ المراد بالحلّية والحرمة التكليفيتان على الاحتمال الأوّل، وتحتمل التكليفية على الاحتمال الثاني، وإن كان الأظهر هو الوضعية على هذا الاحتمال؛ لأنّ الحلّ والحرمة إذا نُسبا إلى الأسباب التي يتوصّل بها إلى شيء آخر بل إلى مسبّبات يتوصّل بها إلى النتائج، يكونان ظاهرين في الحكم الوضعي؛ وتصحيح الأسباب وتنفيذ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بمعنى استعمالهما في الحكم الوضعي أو التكليفي كما يتخيّل</w:t>
      </w:r>
      <w:r>
        <w:rPr>
          <w:rStyle w:val="FootnoteAnchor"/>
          <w:rtl w:val="true"/>
        </w:rPr>
        <w:footnoteReference w:id="164"/>
      </w:r>
      <w:r>
        <w:rPr>
          <w:rFonts w:ascii="Amiri" w:hAnsi="Amiri" w:eastAsia="Amiri" w:cs="Amiri"/>
          <w:color w:val="111111"/>
          <w:sz w:val="28"/>
          <w:sz w:val="28"/>
          <w:szCs w:val="28"/>
          <w:rtl w:val="true"/>
          <w:lang w:bidi="ar-SA"/>
        </w:rPr>
        <w:t>، بل بمعنى استعمالهما في معناهما اللغوي؛ أي المنع وعدمه، أو المنع والرخصة، وإنّما يفهم التكليف والوضع بمناسبات الحكم والموضوع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الأمر كذلك في صيغة الأمر والنهي، فإنّهما في الوضعيات والتكليفيات تستعملان في معنىً واحد، هو المعنى اللغوي؛ أي البعث والزجر، لكنّهما إن </w:t>
      </w:r>
    </w:p>
    <w:p>
      <w:pPr>
        <w:pStyle w:val="BookText"/>
        <w:rPr/>
      </w:pPr>
      <w:r>
        <w:rPr>
          <w:rFonts w:ascii="Amiri" w:hAnsi="Amiri" w:eastAsia="Amiri" w:cs="Amiri"/>
          <w:color w:val="111111"/>
          <w:sz w:val="28"/>
          <w:sz w:val="28"/>
          <w:szCs w:val="28"/>
          <w:rtl w:val="true"/>
          <w:lang w:bidi="ar-SA"/>
        </w:rPr>
        <w:t xml:space="preserve">تعلّقا بالعناوين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منهما أنّ المطلوب والمبغوض نفسهما، وأنّ البعث والزجر تكليفيان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تعلّقا بمثل الأسباب ومالها آليّة إلى تحصيل الغير، وكذا بشيء في المركّبات الاعتبارية المتوقّعة منها الصحّة والفساد، يفهم منهما الإنفاذ والإمضاء، والصحّة والفساد، والشرطية، أو الجزئية، أو المانعية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النهي في معناه الحقيقي؛ أي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تعلّقه بالعنوان الأوّل، دالّ على ممنوعيته الذاتية ومبغوضيته في نفسه، وبالثاني دالّ على مانعية الوبر عن الصلاة، لا حرمته التكليفية؛ وأنّ لبسه فيها من قبيل وقوع حرام في واجب؛ وذلك بمناسبة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الأمر، بل الظاهر أنّ الحال كذلك في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فإنّها مستعملة في معانيها الحقيقية، لكن يفهم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والتكليف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حلّت الصلاة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البيع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الصلاة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في كون الاستعمال في الجميع إنّما </w:t>
      </w:r>
      <w:bookmarkStart w:id="160" w:name="pg15195_150470"/>
    </w:p>
    <w:p>
      <w:pPr>
        <w:pStyle w:val="BookText"/>
        <w:rPr/>
      </w:pPr>
      <w:bookmarkEnd w:id="160"/>
      <w:r>
        <w:rPr>
          <w:rFonts w:ascii="Amiri" w:hAnsi="Amiri" w:eastAsia="Amiri" w:cs="Amiri"/>
          <w:color w:val="111111"/>
          <w:sz w:val="28"/>
          <w:sz w:val="28"/>
          <w:szCs w:val="28"/>
          <w:rtl w:val="true"/>
          <w:lang w:bidi="ar-SA"/>
        </w:rPr>
        <w:t>هو في المعنى اللغوي الحقيقي، وإن اختلفت في إفادة الوضع والتكليف بلحاظ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 في الآية الكريمة استعمل في القدر المشترك بين الوضع والتكليف</w:t>
      </w:r>
      <w:r>
        <w:rPr>
          <w:rStyle w:val="FootnoteAnchor"/>
          <w:rtl w:val="true"/>
        </w:rPr>
        <w:footnoteReference w:id="167"/>
      </w:r>
      <w:r>
        <w:rPr>
          <w:rFonts w:ascii="Amiri" w:hAnsi="Amiri" w:eastAsia="Amiri" w:cs="Amiri"/>
          <w:color w:val="111111"/>
          <w:sz w:val="28"/>
          <w:sz w:val="28"/>
          <w:szCs w:val="28"/>
          <w:rtl w:val="true"/>
          <w:lang w:bidi="ar-SA"/>
        </w:rPr>
        <w:t>كأنّه في غير محلّه في المقام وسائر المقامات؛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الدلالة في المقام تكون على الاحتمالين المتقدّمين مختلفة، ولا شبهة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لم يستعمل في الماهية الاعتبارية والآثار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التكليف والوضع؛ بمعنى أن يكون المراد أنّ البيع بعنوانه حلال وضعاً وتكليفاً، وكذا في الربا لو كان المراد به</w:t>
      </w:r>
    </w:p>
    <w:p>
      <w:pPr>
        <w:pStyle w:val="BookText"/>
        <w:rPr/>
      </w:pPr>
      <w:r>
        <w:rPr>
          <w:rFonts w:ascii="Amiri" w:hAnsi="Amiri" w:eastAsia="Amiri" w:cs="Amiri"/>
          <w:color w:val="111111"/>
          <w:sz w:val="28"/>
          <w:sz w:val="28"/>
          <w:szCs w:val="28"/>
          <w:rtl w:val="true"/>
          <w:lang w:bidi="ar-SA"/>
        </w:rPr>
        <w:t>البيع الربوي كما لا يخفى</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495275_2142443653"/>
      <w:bookmarkStart w:id="162" w:name="_Toc53"/>
      <w:bookmarkEnd w:id="161"/>
      <w:r>
        <w:rPr>
          <w:rtl w:val="true"/>
        </w:rPr>
        <w:t>الإشكال في إطلاق الآية والجواب عنه</w:t>
      </w:r>
      <w:bookmarkEnd w:id="162"/>
    </w:p>
    <w:p>
      <w:pPr>
        <w:pStyle w:val="BookText"/>
        <w:rPr/>
      </w:pPr>
      <w:r>
        <w:rPr>
          <w:rFonts w:ascii="Amiri" w:hAnsi="Amiri" w:eastAsia="Amiri" w:cs="Amiri"/>
          <w:color w:val="111111"/>
          <w:sz w:val="28"/>
          <w:sz w:val="28"/>
          <w:szCs w:val="28"/>
          <w:rtl w:val="true"/>
          <w:lang w:bidi="ar-SA"/>
        </w:rPr>
        <w:t>ثمّ إنّ في إطلاق الآية الكريمة إشكالاً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أنّها ليست في مقام حلّية البيع وحرمة الربا، بل بصدد بيان نفي التسوية بينهما في قبال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فتكون في مقام بيان حكم آخر، فلا إطلاق فيها يدفع به الشكّ عن الأسباب المحتملة وغيرها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الآية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إخبار عن حكم شرعي سابق، لا إنشاء فعلي للحلّ والحرمة؛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 كُلُونَ الرِّبَوا لاَ يَقُومُونَ إِلاَّ كَمَا يَقُومُ الَّذِى يَتَخَبَّطُهُ الشَّيْطَانُ مِنَ الْمَسِّ ذلِكَ بِأَ نَّهُمْ قَالُوا إِنَّمَا الْبَيْعُ مِثْلُ الرِّبَوا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وأن يكون حكم البيع والربا مسبوقاً بالجعل، حتّى يتوجّه على القائل بالتسوية التعيير والتوعيد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قولهم بالتسوية ظاهر في مسبوقية سلبها، لا كلام ابتدائي، فظاهر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كذا، وذلك لأجل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كان أحلّ البيع وحرّم الربا، فقولهم بما أنّه في قبال حكم اللّه تعالى، صار موجباً للعذاب والعقاب الاُخروي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فعليه لا تكون الآية بصدد بيان الحلّ والحرمة، بل بصدد الإخبار عن حلّيةٍ وحرمةٍ سابقتين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ولعلّهما كانتا بلسان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لعلّهما مستفادتان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بضميمة بعض آيات تحريم الربا </w:t>
      </w:r>
      <w:r>
        <w:rPr>
          <w:rStyle w:val="FootnoteAnchor"/>
          <w:rtl w:val="true"/>
        </w:rPr>
        <w:footnoteReference w:id="173"/>
      </w:r>
      <w:r>
        <w:rPr>
          <w:rFonts w:ascii="Amiri" w:hAnsi="Amiri" w:eastAsia="Amiri" w:cs="Amiri"/>
          <w:color w:val="111111"/>
          <w:sz w:val="28"/>
          <w:sz w:val="28"/>
          <w:szCs w:val="28"/>
          <w:rtl w:val="true"/>
          <w:lang w:bidi="ar-SA"/>
        </w:rPr>
        <w:t>المخصّصة 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ولعلّهما كانتا متقدّمتين في النزول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آخره، وإن كانت آية وجوب الوفاء،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أخيرة السور نزولاً</w:t>
      </w:r>
      <w:r>
        <w:rPr>
          <w:rStyle w:val="FootnoteAnchor"/>
          <w:rtl w:val="true"/>
        </w:rPr>
        <w:footnoteReference w:id="174"/>
      </w:r>
      <w:r>
        <w:rPr>
          <w:rFonts w:ascii="Amiri" w:hAnsi="Amiri" w:eastAsia="Amiri" w:cs="Amiri"/>
          <w:color w:val="111111"/>
          <w:sz w:val="28"/>
          <w:sz w:val="28"/>
          <w:szCs w:val="28"/>
          <w:rtl w:val="true"/>
          <w:lang w:bidi="ar-SA"/>
        </w:rPr>
        <w:t xml:space="preserve">لعدم ثبوت كونها بجميع آياتها كذلك، 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الروايات</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عداها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بإطلاق الآية؛ لاحتمال أن يكون الحكم المجعول سابقاً بنحو خاصّ، وكأنّ القائل بالتسوية ادّعى التسوية بين المجعولين، فلا يظهر حال المجعول؛ هل هو مطلق، أو مقيّد؟</w:t>
      </w:r>
    </w:p>
    <w:p>
      <w:pPr>
        <w:pStyle w:val="BookText"/>
        <w:rPr/>
      </w:pPr>
      <w:r>
        <w:rPr>
          <w:rFonts w:ascii="Amiri" w:hAnsi="Amiri" w:eastAsia="Amiri" w:cs="Amiri"/>
          <w:color w:val="111111"/>
          <w:sz w:val="28"/>
          <w:sz w:val="28"/>
          <w:szCs w:val="28"/>
          <w:rtl w:val="true"/>
          <w:lang w:bidi="ar-SA"/>
        </w:rPr>
        <w:t>ويمكن 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إخبار عن قولهم، فلا بدّ وأن يكون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كالربا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صوناً لكلامه تعالى عن الكذب، فيظهر منه أنّهم في مقام بيان تسوية مطلق البيع غير الربوي لمطلق البيع الربوي، أو مطلق نتيجة الأوّل للثاني على الاحتمالين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إخبار اللّه تعالى بأنّ اللّه أحلّ البيع وحرّم الربا موافقاً لقولهم موضوعاً؛ أي يكون الموضوع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إخباراً بتحليله مطلق البيع، وتحريمه مطلق الربا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مِثْلُ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بحكاية اللّه تعالى؛ إذ كان بصدد بيان حكاية قولهم، ولا يعقل تخلّف حكايته عن قولهم إطلاقاً </w:t>
      </w:r>
    </w:p>
    <w:p>
      <w:pPr>
        <w:pStyle w:val="BookText"/>
        <w:rPr/>
      </w:pPr>
      <w:r>
        <w:rPr>
          <w:rFonts w:ascii="Amiri" w:hAnsi="Amiri" w:eastAsia="Amiri" w:cs="Amiri"/>
          <w:color w:val="111111"/>
          <w:sz w:val="28"/>
          <w:sz w:val="28"/>
          <w:szCs w:val="28"/>
          <w:rtl w:val="true"/>
          <w:lang w:bidi="ar-SA"/>
        </w:rPr>
        <w:t xml:space="preserve">وتقييداً، وقولهم بنحو الإطلاق كاشف عن كونه مرادهم بالطريق العقلائي، فيثبت أنّهم ادّعوا مماثلة مطلق البيعين، وأخبر اللّه تعالى بأنّه أحلّ البيع الذي قالوا إ نّه مماثل للربا، وحرّم الربا، فالإخبار بنحو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بالقرينة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تحليله مطلق البيع، وتحريمه مطلق الربا، فتأمّل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إخباراً لما أمكنت مطابقته للواقع؛ لأنّ غير البيع الربوي لا يكون حلالاً مطلقاً، كبيع الغرر، والمنابذة، والملامسة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إمكان أن يكون هذا الإخبار قبل ورود تحريم تلك البيوع، وكأنّ البيع قبله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محلّل هو غير الربوي، وفاسد محرّم هو الربوي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إخبار على فرضه عن التحليل القانوني، ولا يلزم أن يكون إخباراً عنه بمخصّصاته ومقيّداته، كما أنّ إخبارات الأئمّة علیهم السلام وفتاويهم يمكن أن تكون كذلك، أو لمصالح هم أعلم بها، لعلّ منها فتح باب الاجتهاد الذي به بقاء الدين القويم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كلاماً آخر لدفع شبهة عدم كونه في مقام البيان، وهو أنّ ردع القائلين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ببيان عدم التسوية،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غير مثلين، فإنّ أحدهما حلال، والآخر حرام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ببيان حكم الموضوعين؛ ليكون ردعاً لهم بلازم الكلام، نحو الآية الشريفة، فإنّها ردع لهم ببيان حكم الموضوعين، فحينئذٍ تكون في مقام </w:t>
      </w:r>
      <w:bookmarkStart w:id="163" w:name="pg15195_150474"/>
    </w:p>
    <w:p>
      <w:pPr>
        <w:pStyle w:val="BookText"/>
        <w:rPr/>
      </w:pPr>
      <w:bookmarkEnd w:id="163"/>
      <w:r>
        <w:rPr>
          <w:rFonts w:ascii="Amiri" w:hAnsi="Amiri" w:eastAsia="Amiri" w:cs="Amiri"/>
          <w:color w:val="111111"/>
          <w:sz w:val="28"/>
          <w:sz w:val="28"/>
          <w:szCs w:val="28"/>
          <w:rtl w:val="true"/>
          <w:lang w:bidi="ar-SA"/>
        </w:rPr>
        <w:t>بيان حكمهما، ليترتّب عليه ردعهم، وهذا لا يضرّ بالإطلاق،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يدفع توهّم كون الآية في مقام التشريع، فلا إطلاق لها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يوجّه كون الآية في مقام الإنشاء بوجه بعيد؛ بأن يقال 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إخبار عن حالهم في القيامة،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إخبار عن قولهم في الدنيا بعد تحليل البيع وتحريم الربا، بنحو الإخبار عن الغيب،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آكل الربا كذا وكذا في الآخرة؛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هذا التحليل والتحريم، فتأمّل</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495277_2142443653"/>
      <w:bookmarkStart w:id="165" w:name="_Toc54"/>
      <w:bookmarkEnd w:id="164"/>
      <w:r>
        <w:rPr>
          <w:rtl w:val="true"/>
        </w:rPr>
        <w:t xml:space="preserve">الدليل الثالث </w:t>
      </w:r>
      <w:r>
        <w:rPr>
          <w:rtl w:val="true"/>
        </w:rPr>
        <w:t xml:space="preserve">: </w:t>
      </w:r>
      <w:r>
        <w:rPr>
          <w:rtl w:val="true"/>
        </w:rPr>
        <w:t>آية التجارة</w:t>
      </w:r>
      <w:bookmarkEnd w:id="165"/>
    </w:p>
    <w:p>
      <w:pPr>
        <w:pStyle w:val="BookText"/>
        <w:rPr/>
      </w:pPr>
      <w:r>
        <w:rPr>
          <w:rFonts w:ascii="Amiri" w:hAnsi="Amiri" w:eastAsia="Amiri" w:cs="Amiri"/>
          <w:color w:val="111111"/>
          <w:sz w:val="28"/>
          <w:sz w:val="28"/>
          <w:szCs w:val="28"/>
          <w:rtl w:val="true"/>
          <w:lang w:bidi="ar-SA"/>
        </w:rPr>
        <w:t>ويستدلّ</w:t>
      </w:r>
      <w:r>
        <w:rPr>
          <w:rStyle w:val="FootnoteAnchor"/>
          <w:rtl w:val="true"/>
        </w:rPr>
        <w:footnoteReference w:id="178"/>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 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تقريب دلالة الآية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الآية السابقة،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اسم الفعل الناقص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مسدّ الخبر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بالأسباب والطرق الباطلة، كالقمار </w:t>
      </w:r>
    </w:p>
    <w:p>
      <w:pPr>
        <w:pStyle w:val="BookText"/>
        <w:rPr/>
      </w:pPr>
      <w:r>
        <w:rPr>
          <w:rFonts w:ascii="Amiri" w:hAnsi="Amiri" w:eastAsia="Amiri" w:cs="Amiri"/>
          <w:color w:val="111111"/>
          <w:sz w:val="28"/>
          <w:sz w:val="28"/>
          <w:szCs w:val="28"/>
          <w:rtl w:val="true"/>
          <w:lang w:bidi="ar-SA"/>
        </w:rPr>
        <w:t>والسرقة والخيانة ونحوها، إلاّ أن تكون الأموال أموال تجارة؛ أي حاصلة بها، فأحلّ الأموال الحاصلة بها، وهو ملازم لصحّتها عرفاً؛ فإنّ الأموال الحاصلة بها هي ما صارت متبادلة بوسيلتها، كالبيع ونحوه، وحلّية الأكل أثر لهذا التبادل المالكي المترتّب عليه قهراً، لا بجعل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الترخيص الاستقلالي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المربوط بتبادل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جدّاً، بل خلاف الواقع جزماً؛ إذ يكون من قبيل وقوع ما لم يقصدا، وعدم وقوع ما قصدا، ويرجع الأمر إلى أنّ تحصيل المال بطريق التجارة عن تراضٍ لا أثر له، وتكون التجارة مقارنة لتحليل الشارع، وهو خلاف ظاهر الآية أو نصّها، وخلاف فهم العقلاء، فلا محالة تكون إباحة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حصول الملك بالتجارة، وتحقّق الأثر العقلائي لدى الشارع، وهو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دلالة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التجارة المقابلة له حقّ وسبب ثابت عند اللّه، وهو عين التنفيذ والتصحيح، فكما أنّ الأسباب الباطلة ملغاة لدى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عدّها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التجارة عن تراضٍ معتبرة لديه؛ لأنّها حقّ بمقتضى المقابلة، فلا شبهة في دلالتها على المطلوب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الإشكال في إطلاقها، ولا سيّما مع كون الاستثناء منقطعاً؛ إذ لا يأتي فيه ما ربّما يقال في بعض الاستثناءات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في مقام بيان المستثنى منه، لا المستثنى</w:t>
      </w:r>
      <w:r>
        <w:rPr>
          <w:rStyle w:val="FootnoteAnchor"/>
          <w:rtl w:val="true"/>
        </w:rPr>
        <w:footnoteReference w:id="180"/>
      </w:r>
      <w:r>
        <w:rPr>
          <w:rFonts w:ascii="Amiri" w:hAnsi="Amiri" w:eastAsia="Amiri" w:cs="Amiri"/>
          <w:color w:val="111111"/>
          <w:sz w:val="28"/>
          <w:sz w:val="28"/>
          <w:szCs w:val="28"/>
          <w:rtl w:val="true"/>
          <w:lang w:bidi="ar-SA"/>
        </w:rPr>
        <w:t xml:space="preserve">فإنّ ذلك في المنقطع بعيد، لا سيّما في </w:t>
      </w:r>
    </w:p>
    <w:p>
      <w:pPr>
        <w:pStyle w:val="BookText"/>
        <w:rPr/>
      </w:pPr>
      <w:r>
        <w:rPr>
          <w:rFonts w:ascii="Amiri" w:hAnsi="Amiri" w:eastAsia="Amiri" w:cs="Amiri"/>
          <w:color w:val="111111"/>
          <w:sz w:val="28"/>
          <w:sz w:val="28"/>
          <w:szCs w:val="28"/>
          <w:rtl w:val="true"/>
          <w:lang w:bidi="ar-SA"/>
        </w:rPr>
        <w:t>المقام؛ إذ قيّد التجارة بالتراضي منهما، وهو يؤكّد كونه في مقام البيان،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أنّ الأكل بالتجارة مرخّص فيه؛ لكونها حقّاً ثابتاً، وطريقاً مستقيماً لتحصيل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إطلاقها مقابلتها بالباطل الذي يشعر بالعلّية، بل يدلّ عليه لدى العرف، فيفهم من المقابلة أنّ التجارة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للملكية، وموجبة لجواز الأكل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التوسعة في السبب الحقّ لكلّ ما هو سبب حقّ لدى العقلاء لتحصيل المال، كسائر المعاوضات العقلائية غير البيع،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البيع، ولعلّ نكتة تخصيصه بالذكر على هذا الفرض، كونه السبب الغالبي لتحصيل الأموال، لا لخصوصية فيه، ولهذا يمكن دعوى إلغاء الخصوصية عرفاً منه، وإسراء الحكم إلى كلّ غير باطل، ولو لم تفهم العلّية من الباطل وبالمقابلة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الظاهر عدم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بالبيع، بل تشمل سائر المكاسب، كالصلح، والإجارة وغيرهما، بل يمكن التوسعة على فرض العلّية لكلّ سبب حقّ ولو لم يكن من قبيل المعاملات، كالحيازة، والصيد ونحوهما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المعاملة الباطلة وغيرها كالبخس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كالنجش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والقمار والظلم، كما هو المرويّ عن أبي جعفر علیه السلام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التوسعة لغير الأموال،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منها سلب سببية كلّ </w:t>
      </w:r>
    </w:p>
    <w:p>
      <w:pPr>
        <w:pStyle w:val="BookText"/>
        <w:rPr/>
      </w:pPr>
      <w:r>
        <w:rPr>
          <w:rFonts w:ascii="Amiri" w:hAnsi="Amiri" w:eastAsia="Amiri" w:cs="Amiri"/>
          <w:color w:val="111111"/>
          <w:sz w:val="28"/>
          <w:sz w:val="28"/>
          <w:szCs w:val="28"/>
          <w:rtl w:val="true"/>
          <w:lang w:bidi="ar-SA"/>
        </w:rPr>
        <w:t>سبب باطل، وإثبات سببية كلّ سبب حقّ للمسبّبات مطلقاً، فتشمل النكاح؛ فإنّه سبب حقّ، لكن هذا الاحتمال لا يوافقه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صحّة جميع المعاملات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والصلح، والإجارة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بلا إشكال، واستفادة صحّة نحو الوصيّة والوقف والحيازة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العقلائي والعرفي، كما هو ظاهر كلّ عنوان اُخذ في موضوع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اُريد به ما هو بغير الوجه الشرعي، ومن مقابله ما هو بالوجه الشرعي</w:t>
      </w:r>
    </w:p>
    <w:p>
      <w:pPr>
        <w:pStyle w:val="BookText"/>
        <w:rPr/>
      </w:pPr>
      <w:r>
        <w:rPr>
          <w:rFonts w:ascii="Amiri" w:hAnsi="Amiri" w:eastAsia="Amiri" w:cs="Amiri"/>
          <w:color w:val="111111"/>
          <w:sz w:val="28"/>
          <w:sz w:val="28"/>
          <w:szCs w:val="28"/>
          <w:rtl w:val="true"/>
          <w:lang w:bidi="ar-SA"/>
        </w:rPr>
        <w:t xml:space="preserve">كما قال به الأردبيلي قدّس سرّه </w:t>
      </w:r>
      <w:r>
        <w:rPr>
          <w:rStyle w:val="FootnoteAnchor"/>
          <w:rtl w:val="true"/>
        </w:rPr>
        <w:footnoteReference w:id="182"/>
      </w:r>
      <w:r>
        <w:rPr>
          <w:rFonts w:ascii="Amiri" w:hAnsi="Amiri" w:eastAsia="Amiri" w:cs="Amiri"/>
          <w:color w:val="111111"/>
          <w:sz w:val="28"/>
          <w:sz w:val="28"/>
          <w:szCs w:val="28"/>
          <w:rtl w:val="true"/>
          <w:lang w:bidi="ar-SA"/>
        </w:rPr>
        <w:t>، فيسقط الاستدلال بها على البيع فضلاً عن غيره؛ لأنّه مع الشكّ في اعتبار شيء فيه تصير الشبهة مصداقية، لكنّه احتمال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المرويّ عن أبي جعفر علیه السلام </w:t>
      </w:r>
      <w:r>
        <w:rPr>
          <w:rStyle w:val="FootnoteAnchor"/>
          <w:rtl w:val="true"/>
        </w:rPr>
        <w:footnoteReference w:id="183"/>
      </w:r>
      <w:r>
        <w:rPr>
          <w:rFonts w:ascii="Amiri" w:hAnsi="Amiri" w:eastAsia="Amiri" w:cs="Amiri"/>
          <w:color w:val="111111"/>
          <w:sz w:val="28"/>
          <w:sz w:val="28"/>
          <w:szCs w:val="28"/>
          <w:rtl w:val="true"/>
          <w:lang w:bidi="ar-SA"/>
        </w:rPr>
        <w:t>عدّ الربا من أكل المال بالباطل، فلا بدّ أن يكون المراد منه بالباطل شرعاً كما قال الأردبيلي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على فرض ثبوت الرواية وعدم كون الربا أو بعض مراتبه من الباطل عرفاً لا بدّ من حملها على الباطل حكماً لا موضوعاً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الإلحاق الحكمي، ولا يظهر من الرواية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الباطل الشرعي، ولهذا لا يزال الأصحاب يتمسّكون بإطلاق الآية الكريمة لرفع بعض الشكوك</w:t>
      </w:r>
      <w:r>
        <w:rPr>
          <w:rFonts w:eastAsia="Amiri" w:cs="Amiri" w:ascii="Amiri" w:hAnsi="Amiri"/>
          <w:color w:val="111111"/>
          <w:sz w:val="28"/>
          <w:szCs w:val="28"/>
          <w:rtl w:val="true"/>
          <w:lang w:bidi="ar-SA"/>
        </w:rPr>
        <w:t xml:space="preserve">. </w:t>
      </w:r>
      <w:bookmarkStart w:id="166" w:name="pg15195_150478"/>
    </w:p>
    <w:p>
      <w:pPr>
        <w:pStyle w:val="BookText"/>
        <w:rPr/>
      </w:pPr>
      <w:bookmarkEnd w:id="166"/>
      <w:r>
        <w:rPr>
          <w:rFonts w:ascii="Amiri" w:hAnsi="Amiri" w:eastAsia="Amiri" w:cs="Amiri"/>
          <w:color w:val="111111"/>
          <w:sz w:val="28"/>
          <w:sz w:val="28"/>
          <w:szCs w:val="28"/>
          <w:rtl w:val="true"/>
          <w:lang w:bidi="ar-SA"/>
        </w:rPr>
        <w:t xml:space="preserve">ثمّ إنّ الآية على جميع الاحتمالات، تدلّ على المقصود؛ أي سواء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حتّى يكون الكون تامّاً، أم منصوبة ويكون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أم يرجع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بدعوى أنّ الأموال نفس التجارة، أم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الاستثناء متّصلاً أم منقطعاً، وسواء 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ومن مقابله كذلك، أم لا، ومن غير فرق بين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 أو يكون كناية عن التصرّف إجمالاً، أو عن جميع التصرّفات، أو كناية عن التملّك، والتقريب في الجميع ما تقدّم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495279_2142443653"/>
      <w:bookmarkStart w:id="168" w:name="_Toc55"/>
      <w:bookmarkEnd w:id="167"/>
      <w:r>
        <w:rPr>
          <w:rtl w:val="true"/>
        </w:rPr>
        <w:t xml:space="preserve">الدليل الرابع </w:t>
      </w:r>
      <w:r>
        <w:rPr>
          <w:rtl w:val="true"/>
        </w:rPr>
        <w:t xml:space="preserve">: </w:t>
      </w:r>
      <w:r>
        <w:rPr>
          <w:rtl w:val="true"/>
        </w:rPr>
        <w:t>آية الوفاء</w:t>
      </w:r>
      <w:bookmarkEnd w:id="168"/>
    </w:p>
    <w:p>
      <w:pPr>
        <w:pStyle w:val="Heading4"/>
        <w:numPr>
          <w:ilvl w:val="3"/>
          <w:numId w:val="1"/>
        </w:numPr>
        <w:rPr/>
      </w:pPr>
      <w:bookmarkStart w:id="169" w:name="__RefHeading___Toc2495281_2142443653"/>
      <w:bookmarkStart w:id="170" w:name="_Toc5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184"/>
      </w:r>
      <w:r>
        <w:rPr>
          <w:rFonts w:ascii="Amiri" w:hAnsi="Amiri" w:eastAsia="Amiri" w:cs="Amiri"/>
          <w:color w:val="111111"/>
          <w:sz w:val="28"/>
          <w:sz w:val="28"/>
          <w:szCs w:val="28"/>
          <w:rtl w:val="true"/>
          <w:lang w:bidi="ar-SA"/>
        </w:rPr>
        <w:t>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العقد استعارة، إمّا من الحبل الذي ربط بنحو حصلت فيه العقدة؛ بادّعاء أنّ الإضافة الاعتبارية هي الحبل، وأنّ تبادل الإضافتين هو العقدة، فاستعمل العقد الذي بمعنى ربط حقيقي بنحو خاصّ تحصل به العقدة واُريد منه الإضافة الاعتبارية ادّعاءً واستعارة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غَلُظَ، تشبيهاً للمعقول بالمحسوس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العقد بكسر العين؛ بمعنى القلادة، واستعير منه بدعوى أنّ التعاقد بينهما كالقلادة على عنقهما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هو الأظهر؛ لمساعدة فهم العرف له، ويشهد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الَّذِى بِيَدِهِ عُقْدَةُ النِّكَاحِ</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يظهر منهما أنّ الاعتبار في العقد هو الربط الخاصّ الذي تحصل به العقدة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العهد الموثّق، شبّه بعقد الحبل ونحوه، ومنه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عقدوا عقداً لجارهم شدّوا العناج وشدّوا فوقه الكربا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وأصله عقد الشيء بغيره، وهو وصله به، كما يعقد الحبل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الجعل في الذمّة والعهدة، والمعاهدة هي قرار كلّ من الطرفين في عهدته أن يفعل كذا، ومعاهدة اللّه هي التعهّد والقرار على ذمّته مع اللّه أن يفعل كذا، وكأنّ اعتبار العهد والنذر واحد، وإن اختلفا في بعض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معنى العقد والعهد، وليس العقد هو العهد، أو العهد المشدّد، أو أوكد العهود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 حقيقة في المعاهدات الاعتبارية بين الأشخاص، وفي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استعارة ومجاز في المعاني </w:t>
      </w:r>
    </w:p>
    <w:p>
      <w:pPr>
        <w:pStyle w:val="BookText"/>
        <w:rPr/>
      </w:pPr>
      <w:r>
        <w:rPr>
          <w:rFonts w:ascii="Amiri" w:hAnsi="Amiri" w:eastAsia="Amiri" w:cs="Amiri"/>
          <w:color w:val="111111"/>
          <w:sz w:val="28"/>
          <w:sz w:val="28"/>
          <w:szCs w:val="28"/>
          <w:rtl w:val="true"/>
          <w:lang w:bidi="ar-SA"/>
        </w:rPr>
        <w:t xml:space="preserve">العقدية الاعتبارية، كما يشهد به الاعتبار والوجدان، ويظهر من بعض أئمّة الأدب واللغة،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والبيضاوي</w:t>
      </w:r>
      <w:r>
        <w:rPr>
          <w:rStyle w:val="FootnoteAnchor"/>
          <w:rtl w:val="true"/>
        </w:rPr>
        <w:footnoteReference w:id="190"/>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أنّهما بحسب المصداق من قبيل العموم من وجه، فربّما يتّفق تصادقهما على مصداق واحد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ما اتّفق لصاحبي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العقد والعهد أنّ العقد فيه معنى الاستيثاق والشدّ، ولا يكون إلاّ بين المتعاقدين، والعهد قد ينفرد به الواحد، فكلّ عهد عقد، ولا يكون كلّ عقد عهداً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ما ذكر أعمّية العهد من العقد، لا العكس، ولعلّ الاشتباه من النسّاخ وإن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نظير هذا الاشتباه لبعض أهل التحقيق، فجعل كلّ عهد عقداً، ولا عكس، مع ذهابه إلى أنّ العهد هو مطلق الجعل والقرار، كمجعولاته تعالى في المناصب، كالإمامة والخلافة، وكتكاليفه تعالى، وجعل العقد ربط شيء بشيء</w:t>
      </w:r>
      <w:r>
        <w:rPr>
          <w:rStyle w:val="FootnoteAnchor"/>
          <w:rtl w:val="true"/>
        </w:rPr>
        <w:footnoteReference w:id="192"/>
      </w:r>
      <w:r>
        <w:rPr>
          <w:rFonts w:ascii="Amiri" w:hAnsi="Amiri" w:eastAsia="Amiri" w:cs="Amiri"/>
          <w:color w:val="111111"/>
          <w:sz w:val="28"/>
          <w:sz w:val="28"/>
          <w:szCs w:val="28"/>
          <w:rtl w:val="true"/>
          <w:lang w:bidi="ar-SA"/>
        </w:rPr>
        <w:t>، فراجع كلامه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ما جعله من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كالمناصب والتكاليف؛ تشبّثاً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وَعَهِدْنَا إِلَى إِبْرَاهِيمَ وَإِسْمَاعِيلَ أَنْ </w:t>
      </w:r>
      <w:bookmarkStart w:id="171" w:name="pg15195_150481"/>
    </w:p>
    <w:p>
      <w:pPr>
        <w:pStyle w:val="BookText"/>
        <w:rPr/>
      </w:pPr>
      <w:bookmarkEnd w:id="171"/>
      <w:r>
        <w:rPr>
          <w:rFonts w:ascii="Amiri" w:hAnsi="Amiri" w:eastAsia="Amiri" w:cs="Amiri"/>
          <w:color w:val="111111"/>
          <w:sz w:val="28"/>
          <w:sz w:val="28"/>
          <w:szCs w:val="28"/>
          <w:rtl w:val="true"/>
          <w:lang w:bidi="ar-SA"/>
        </w:rPr>
        <w:t>طَهِّرَا بَيْتِىَ</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إلى آخره، ولهذا زعم أنّ العهد مطلق الجعل 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آخر من العهد ظاهراً؛ أي الوصيّة،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وصيّتي بالولاية والإمامة،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أوصينا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العهد المستعمل في المعاهدات والمعاقدات والعهود للّه تعالى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معنىً آخر منه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495283_2142443653"/>
      <w:bookmarkStart w:id="173" w:name="_Toc57"/>
      <w:bookmarkEnd w:id="172"/>
      <w:r>
        <w:rPr>
          <w:rtl w:val="true"/>
        </w:rPr>
        <w:t>شبهة عدم شمول الآية للمعاطاة ودفعها</w:t>
      </w:r>
      <w:bookmarkEnd w:id="173"/>
    </w:p>
    <w:p>
      <w:pPr>
        <w:pStyle w:val="BookText"/>
        <w:rPr/>
      </w:pPr>
      <w:r>
        <w:rPr>
          <w:rFonts w:ascii="Amiri" w:hAnsi="Amiri" w:eastAsia="Amiri" w:cs="Amiri"/>
          <w:color w:val="111111"/>
          <w:sz w:val="28"/>
          <w:sz w:val="28"/>
          <w:szCs w:val="28"/>
          <w:rtl w:val="true"/>
          <w:lang w:bidi="ar-SA"/>
        </w:rPr>
        <w:t xml:space="preserve">ثمّ إنّ من أراد أن يخرج المعاطاة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العقد هو العهد المشدّد، وتشديده إنّما هو باللفظ</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كلامه إمّا أن يراد بالتأكيد والتشديد اللزوم مقابل الجواز، فترجع دعواه إلى أنّ المعاطاة عقد غير لازم، والعقد اللازم ما عقد باللفظ، فدليله عين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بالتأكيد والتشديد المعهود منهما، 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المسبّبي لا يعقل فيه التأكيد؛ لأنّه مبادلة بين المالين مثلاً، وهي دائرة بين الوجود والعدم، لا المؤكّد وغيره، والعقد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فيه أيضاً التأكيد بما هو سبب؛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تأكيد فيه بوجه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البتّة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عدم وقوع العقود المتعارفة </w:t>
      </w:r>
      <w:bookmarkStart w:id="174" w:name="pg15195_150482"/>
    </w:p>
    <w:p>
      <w:pPr>
        <w:pStyle w:val="BookText"/>
        <w:rPr/>
      </w:pPr>
      <w:bookmarkEnd w:id="174"/>
      <w:r>
        <w:rPr>
          <w:rFonts w:ascii="Amiri" w:hAnsi="Amiri" w:eastAsia="Amiri" w:cs="Amiri"/>
          <w:color w:val="111111"/>
          <w:sz w:val="28"/>
          <w:sz w:val="28"/>
          <w:szCs w:val="28"/>
          <w:rtl w:val="true"/>
          <w:lang w:bidi="ar-SA"/>
        </w:rPr>
        <w:t>كذلك، لا يفيد من التأكيد شيئاً؛ إذ لا يحصل به شيء غير ما حصل بالأوّل،</w:t>
      </w:r>
    </w:p>
    <w:p>
      <w:pPr>
        <w:pStyle w:val="BookText"/>
        <w:rPr/>
      </w:pPr>
      <w:r>
        <w:rPr>
          <w:rFonts w:ascii="Amiri" w:hAnsi="Amiri" w:eastAsia="Amiri" w:cs="Amiri"/>
          <w:color w:val="111111"/>
          <w:sz w:val="28"/>
          <w:sz w:val="28"/>
          <w:szCs w:val="28"/>
          <w:rtl w:val="true"/>
          <w:lang w:bidi="ar-SA"/>
        </w:rPr>
        <w:t xml:space="preserve">فيكون التأكيد لغواً، فلو فرض كون العقد هو العهد المؤكّد، لا بدّ من إخراج مطلق العقود لفظاً ومعاطاة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بالعهود القابلة للتأكيد، كالعهد على إتيان عمل؛ فإنّه قابل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 أحياناً تأكيد بين المتعاقدين على عدم تخلّفهما عن مقتضى العقد، فهو خارج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تأكيد لمضمونه، كما هو واضح</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495285_2142443653"/>
      <w:bookmarkStart w:id="176" w:name="_Toc58"/>
      <w:bookmarkEnd w:id="175"/>
      <w:r>
        <w:rPr>
          <w:rtl w:val="true"/>
        </w:rPr>
        <w:t>تحديد المعنى الحقيقي للعقد وبيان المعنى المستعار منه</w:t>
      </w:r>
      <w:bookmarkEnd w:id="176"/>
    </w:p>
    <w:p>
      <w:pPr>
        <w:pStyle w:val="BookText"/>
        <w:rPr/>
      </w:pPr>
      <w:r>
        <w:rPr>
          <w:rFonts w:ascii="Amiri" w:hAnsi="Amiri" w:eastAsia="Amiri" w:cs="Amiri"/>
          <w:color w:val="111111"/>
          <w:sz w:val="28"/>
          <w:sz w:val="28"/>
          <w:szCs w:val="28"/>
          <w:rtl w:val="true"/>
          <w:lang w:bidi="ar-SA"/>
        </w:rPr>
        <w:t xml:space="preserve">ثمّ بعد ما تبيّن أنّ العقد بحسب المفهوم ليس بمعنى العهد، أو العهد المؤكّد، أو الموثّق،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الاستعمال في المعاني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عقد الحبل ونحوه، فيقع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الحقيقي منه؛ هل هو مطلق الربط بوجه حصلت منه العقدة أو الربط المشدّد والمستوثق؟</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الاستعارة من مطلقه، أو القسم الموثّق والمؤكّد منه، بناءً على أنّ المعنى الحقيقي مطلقه؟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المتبادر أنّ عقد الحبل ونحوه هو مطلق الربط الذي حصلت منه العقدة،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حَلّه،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 عقدة،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المشدودة وغيرها، كما ترى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 مثالها بنحو غير المشدّد، وكتب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العقدة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الإرب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بستنگاه</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وهو مطلق ما جعل في الحبل والخيط؛ بحكم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قد أقرّت باللقاح؛ لأنّها تعقد بذنبها</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أنّها لا تعقده مستوثقاً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العاقد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الحبل والبيع والعهد يعقده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هو مطلق الربط الخاصّ، لا تشديده وتوثيقه،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ذكرناه شعر الحُطيئة المتقدّم</w:t>
      </w:r>
      <w:r>
        <w:rPr>
          <w:rStyle w:val="FootnoteAnchor"/>
          <w:rtl w:val="true"/>
        </w:rPr>
        <w:footnoteReference w:id="202"/>
      </w:r>
      <w:r>
        <w:rPr>
          <w:rFonts w:ascii="Amiri" w:hAnsi="Amiri" w:eastAsia="Amiri" w:cs="Amiri"/>
          <w:color w:val="111111"/>
          <w:sz w:val="28"/>
          <w:sz w:val="28"/>
          <w:szCs w:val="28"/>
          <w:rtl w:val="true"/>
          <w:lang w:bidi="ar-SA"/>
        </w:rPr>
        <w:t>إذ لو كان العقد أوكد العهود أو الموثّق منها، لما صحّ قوله في مدح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إذا عقدوا شدّوا العناج وشدّوا الكرب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لعدم الاستيثاق والتوكيد في معناه قول من فسّره بمطلق العهود، كابن عبّاس، وجماعة من المفسّرين،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الأقوال التي حكاها فيه في معنى العقود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في المعنى الحقيقي من العقد اعتبار التوكيد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استعارة اللفظ الموضوع للطبيعة له ووجه الاستعارة ومصحّحها هو دعوى أنّ الربط الاعتباري هو الحبل، وتبادل الاعتبارين كتبادل طرفي الحبل، بنحو يرتبط وتحصل فيه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باستعارة اللفظ بمناسبة أحد مصاديق معناه، وهو العقد الموثّق؛ ضرورة أنّ العقد الموثّق ليس معنى العقد، واللفظ لم يوضع إلاّ لماهية المعنى، وخصوصيات المصاديق خارجة عن الموضوع له، فحينئذٍ لو اُريدت الاستعارة من قسم خاصّ، لا بدّ من ارتكاب تأوّل آخر، وادّعاء كون العقد المشدّد والمستوثق هو العقد دون غيره، حتّى يكون اللفظ مختصّاً به ادّعاءً، ثمّ استعارته للربط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سبك مجاز من مجاز، واستعارة من استعارة، وهو خلاف الأصل، وخلاف المعهود من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بالمعنى الاستعاري، هو مطلق المعاملة بلحاظ الربط الاعتباري المتبادل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مقولة المعنى لا اللفظ، وإنّما اللفظ آلة إيجاده، أو موضوعه، على احتمالين تقدّم الكلام فيهما </w:t>
      </w:r>
      <w:r>
        <w:rPr>
          <w:rStyle w:val="FootnoteAnchor"/>
          <w:rtl w:val="true"/>
        </w:rPr>
        <w:footnoteReference w:id="204"/>
      </w:r>
      <w:r>
        <w:rPr>
          <w:rFonts w:ascii="Amiri" w:hAnsi="Amiri" w:eastAsia="Amiri" w:cs="Amiri"/>
          <w:color w:val="111111"/>
          <w:sz w:val="28"/>
          <w:sz w:val="28"/>
          <w:szCs w:val="28"/>
          <w:rtl w:val="true"/>
          <w:lang w:bidi="ar-SA"/>
        </w:rPr>
        <w:t xml:space="preserve">، فعليه لا فرق بين اللفظ والفعل في تحقّقه الاعتباري، ولا دخالة للّفظ في معناه إلاّ إيجاداً لا تقويماً، والمعاطاة </w:t>
      </w:r>
    </w:p>
    <w:p>
      <w:pPr>
        <w:pStyle w:val="BookText"/>
        <w:rPr/>
      </w:pPr>
      <w:r>
        <w:rPr>
          <w:rFonts w:ascii="Amiri" w:hAnsi="Amiri" w:eastAsia="Amiri" w:cs="Amiri"/>
          <w:color w:val="111111"/>
          <w:sz w:val="28"/>
          <w:sz w:val="28"/>
          <w:szCs w:val="28"/>
          <w:rtl w:val="true"/>
          <w:lang w:bidi="ar-SA"/>
        </w:rPr>
        <w:t>كذلك عيناً، فيكون التعاطي كاللفظ آلة للإيجاد، أو موضوعاً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العقد على المعاطاة؛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به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بالمطابقة، وهو تبديل أحد طرفي الإضافة بمثله، وهو يحصل بالفعل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وهو التزام كلّ من المتعاقدين بما أوجداه من التبديل، ومن هذه الجهة يسمّى التبديل القولي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عقداً وعهداً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يمكن أن يتحقّق بالفعل؛ لأنّه ليس للفعل دلالة التزامية، نعم قد يوجد هذا المعنى بفعل آخر كالمصافقة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 من وجوه بعضها يظهر ممّا تقدّم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بما أوجداه ليس معنىً التزامياً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ألفاظ المعاملات، نعم بناء العقلاء على العمل بعقودهم وعهودهم، فإن كان المراد من المعنى الالتزامي ذلك، فمع عدم كونه مدلولاً التزامياً، لا يختصّ بالعقد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كون الالتزام بذلك معنى التزامياً، فلا شبهة في تحقّقه في المعاطاة أيضاً؛ لأنّ المدلول الالتزامي لازم المعنى، لا المعنى المفاد باللفظ، فإذا كانت المعاطاة كالبيع بالصيغة في إنشاء المعنى المطابقي؛ أي المبادلة، فلا محالة يكون لازم معناه منشأً بالتبع، سواء اُنشئ المعنى بالقول، أو الفعل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لازم قوله الأخير التفصيل بين المعاطاة المقارنة للتصفيق وغيره</w:t>
      </w:r>
      <w:r>
        <w:rPr>
          <w:rFonts w:eastAsia="Amiri" w:cs="Amiri" w:ascii="Amiri" w:hAnsi="Amiri"/>
          <w:color w:val="111111"/>
          <w:sz w:val="28"/>
          <w:szCs w:val="28"/>
          <w:rtl w:val="true"/>
          <w:lang w:bidi="ar-SA"/>
        </w:rPr>
        <w:t xml:space="preserve">. </w:t>
      </w:r>
      <w:bookmarkStart w:id="177" w:name="pg15195_150486"/>
    </w:p>
    <w:p>
      <w:pPr>
        <w:pStyle w:val="Heading4"/>
        <w:numPr>
          <w:ilvl w:val="3"/>
          <w:numId w:val="1"/>
        </w:numPr>
        <w:rPr/>
      </w:pPr>
      <w:bookmarkStart w:id="178" w:name="__RefHeading___Toc2495287_2142443653"/>
      <w:bookmarkStart w:id="179" w:name="_Toc59"/>
      <w:bookmarkEnd w:id="177"/>
      <w:bookmarkEnd w:id="178"/>
      <w:r>
        <w:rPr>
          <w:rtl w:val="true"/>
        </w:rPr>
        <w:t>معنى الوفاء بالعهد والعقد</w:t>
      </w:r>
      <w:bookmarkEnd w:id="179"/>
    </w:p>
    <w:p>
      <w:pPr>
        <w:pStyle w:val="BookText"/>
        <w:rPr/>
      </w:pPr>
      <w:r>
        <w:rPr>
          <w:rFonts w:ascii="Amiri" w:hAnsi="Amiri" w:eastAsia="Amiri" w:cs="Amiri"/>
          <w:color w:val="111111"/>
          <w:sz w:val="28"/>
          <w:sz w:val="28"/>
          <w:szCs w:val="28"/>
          <w:rtl w:val="true"/>
          <w:lang w:bidi="ar-SA"/>
        </w:rPr>
        <w:t xml:space="preserve">ثمّ إنّ معنى الوفاء بالعهد والنذر والعقد ونحوها، هو العمل على طبق مقتضياتها، فإن كان المقتضى العمل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نذر صوم وصلاة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وفاؤه بإتيان المنذور، لا عدم فكّ النذر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مقتضاها عرفاً تسليم العوضين، يكون الوفاء به، لا بعدم فسخها، فمن لم يفسخ عقد البيع ولم يعمل على مقتضاه بتسليم العين، لا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وفى بعقده؛ لأنّه لم يفسخه، وإن لم يعمل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وعدمه من لواحق العقد بعد مفروضية وجوده، فإعدام العقد خارج عن عدم الوفاء به، كما أنّ إيجاده غير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إبقاء العقد الحادث، وعدم الوفاء إعدامه،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المتفاهم عرفاً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على مقتضاها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يختلف معناه عرفاً في استعماله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الشائع المتعارف في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العقود، والعهود، والوعد، والنذر، وقلّما يتّفق استعماله فيها مجرّداً عن الباء</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مع استعماله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الْمِكْيَالَ وَالْمِيزَانَ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فإنّ الشائع استعماله في نحوه بغير 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يراد بالثاني الإتمام مقابل التنقيص والخسران، كما يظهر من موارد استعماله في الكتاب الكريم</w:t>
      </w:r>
      <w:r>
        <w:rPr>
          <w:rStyle w:val="FootnoteAnchor"/>
          <w:rtl w:val="true"/>
        </w:rPr>
        <w:footnoteReference w:id="209"/>
      </w:r>
      <w:r>
        <w:rPr>
          <w:rFonts w:ascii="Amiri" w:hAnsi="Amiri" w:eastAsia="Amiri" w:cs="Amiri"/>
          <w:color w:val="111111"/>
          <w:sz w:val="28"/>
          <w:sz w:val="28"/>
          <w:szCs w:val="28"/>
          <w:rtl w:val="true"/>
          <w:lang w:bidi="ar-SA"/>
        </w:rPr>
        <w:t>وغيره</w:t>
      </w:r>
      <w:r>
        <w:rPr>
          <w:rStyle w:val="FootnoteAnchor"/>
          <w:rtl w:val="true"/>
        </w:rPr>
        <w:footnoteReference w:id="210"/>
      </w:r>
      <w:r>
        <w:rPr>
          <w:rFonts w:ascii="Amiri" w:hAnsi="Amiri" w:eastAsia="Amiri" w:cs="Amiri"/>
          <w:color w:val="111111"/>
          <w:sz w:val="28"/>
          <w:sz w:val="28"/>
          <w:szCs w:val="28"/>
          <w:rtl w:val="true"/>
          <w:lang w:bidi="ar-SA"/>
        </w:rPr>
        <w:t>، وبالأوّل العمل بالمقتضى وافياً، والقيام بأمر الشيء بجميع مقتضياته، والمحافظة عليه، كما هو أحد معانيه</w:t>
      </w:r>
      <w:r>
        <w:rPr>
          <w:rStyle w:val="FootnoteAnchor"/>
          <w:rtl w:val="true"/>
        </w:rPr>
        <w:footnoteReference w:id="211"/>
      </w:r>
      <w:r>
        <w:rPr>
          <w:rFonts w:ascii="Amiri" w:hAnsi="Amiri" w:eastAsia="Amiri" w:cs="Amiri"/>
          <w:color w:val="111111"/>
          <w:sz w:val="28"/>
          <w:sz w:val="28"/>
          <w:szCs w:val="28"/>
          <w:rtl w:val="true"/>
          <w:lang w:bidi="ar-SA"/>
        </w:rPr>
        <w:t>، ويمكن إرجاع الأوّل إلى الثاني بوجه،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 العمل بالمقتضى بخصوص تسليم العوضين، فوجوبه في المعاطاة الحاصلة بالتعاطي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حصلت بإعطاء الثمن وأخذه كما في السلم، أو بإعطاء السلعة وأخذها، كما في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في كلّ مورد اُنشئ العقد بالأخذ والإعطاء في أحد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وفاؤه متصوّراً في غير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بعدم اختصاصه به، حتّى يشمل الرجوع إلى ما أعطاه، فيأتي وجوب الوفاء في المعاطاة الحاصلة بالتعاطي أيضاً، فمن أعطى ثمّ استرجع، لم يفِ بعقده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بالاسترجاع مطلق أخذ ما أعطى، بل المراد أخذه بعنوان إرجاع ما أعطى، فالإيفاء به العمل بمقتضاه وافياً، والمحافظة عليه، فمن لم يسلّم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سلّمها ثمّ استرجعها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موفٍ به، ولا محافظ عليه</w:t>
      </w:r>
      <w:r>
        <w:rPr>
          <w:rFonts w:eastAsia="Amiri" w:cs="Amiri" w:ascii="Amiri" w:hAnsi="Amiri"/>
          <w:color w:val="111111"/>
          <w:sz w:val="28"/>
          <w:szCs w:val="28"/>
          <w:rtl w:val="true"/>
          <w:lang w:bidi="ar-SA"/>
        </w:rPr>
        <w:t xml:space="preserve">. </w:t>
      </w:r>
      <w:bookmarkStart w:id="180" w:name="pg15195_150488"/>
    </w:p>
    <w:p>
      <w:pPr>
        <w:pStyle w:val="Heading4"/>
        <w:numPr>
          <w:ilvl w:val="3"/>
          <w:numId w:val="1"/>
        </w:numPr>
        <w:rPr/>
      </w:pPr>
      <w:bookmarkStart w:id="181" w:name="__RefHeading___Toc2495289_2142443653"/>
      <w:bookmarkStart w:id="182" w:name="_Toc60"/>
      <w:bookmarkEnd w:id="180"/>
      <w:bookmarkEnd w:id="181"/>
      <w:r>
        <w:rPr>
          <w:rtl w:val="true"/>
        </w:rPr>
        <w:t>اعتراضات المحقّق النراقي والجواب عنها</w:t>
      </w:r>
      <w:bookmarkEnd w:id="182"/>
    </w:p>
    <w:p>
      <w:pPr>
        <w:pStyle w:val="BookText"/>
        <w:rPr/>
      </w:pPr>
      <w:r>
        <w:rPr>
          <w:rFonts w:ascii="Amiri" w:hAnsi="Amiri" w:eastAsia="Amiri" w:cs="Amiri"/>
          <w:color w:val="111111"/>
          <w:sz w:val="28"/>
          <w:sz w:val="28"/>
          <w:szCs w:val="28"/>
          <w:rtl w:val="true"/>
          <w:lang w:bidi="ar-SA"/>
        </w:rPr>
        <w:t>ثمّ إنّه قد يستشكل في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مسبوقيتها بما علم من الشارع وجوب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كطائفة من العقود</w:t>
      </w:r>
    </w:p>
    <w:p>
      <w:pPr>
        <w:pStyle w:val="BookText"/>
        <w:rPr/>
      </w:pPr>
      <w:r>
        <w:rPr>
          <w:rFonts w:ascii="IRNazanin" w:hAnsi="IRNazanin" w:eastAsia="IRNazanin"/>
          <w:color w:val="111111"/>
          <w:sz w:val="28"/>
          <w:sz w:val="28"/>
          <w:szCs w:val="28"/>
          <w:rtl w:val="true"/>
          <w:lang w:bidi="fa-IR"/>
        </w:rPr>
        <w:t xml:space="preserve">التي بين اللّه وبين خلقه، كالإيمان به، وبكتبه، ورسله، وكالصلاة، والزكاة، وغيرهما، وكبعض العقود التي بين الناس، كالبيع، والنكاح،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عن الأخذ بأصالة العموم؛ لأنّها بمنزلة القرينة، أو ما يصلح للقرينية، فيظنّ أن يراد بها العقود المعهودة؛ لأنّ المائدة على ما قاله المفسّرون، أخيرة السور النازلة في أواخر عهد النبي صلی الله علیه و آله وسلم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إلى آخره تفصيل لبعض العقود على ما قيل</w:t>
      </w:r>
      <w:r>
        <w:rPr>
          <w:rStyle w:val="FootnoteAnchor"/>
          <w:rtl w:val="true"/>
        </w:rPr>
        <w:footnoteReference w:id="214"/>
      </w:r>
      <w:r>
        <w:rPr>
          <w:rFonts w:ascii="Amiri" w:hAnsi="Amiri" w:eastAsia="Amiri" w:cs="Amiri"/>
          <w:color w:val="111111"/>
          <w:sz w:val="28"/>
          <w:sz w:val="28"/>
          <w:szCs w:val="28"/>
          <w:rtl w:val="true"/>
          <w:lang w:bidi="ar-SA"/>
        </w:rPr>
        <w:t>وهذا أيضاً ممّا يوجب ضعف الحمل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مسبوقيتها بما ذكر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الحمل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الأمر في التأكيد والتأسيس معاً، وهو كاستعمال اللفظ المشترك في أكثر من معنىً واحد في الفساد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والحمل على التناسي خلاف الأصل، وترجيح أحد المعنيين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بالآية المعنى المجازي، ومعه تتّسع دائرة الكلام ومجال</w:t>
      </w:r>
    </w:p>
    <w:p>
      <w:pPr>
        <w:pStyle w:val="BookText"/>
        <w:rPr/>
      </w:pPr>
      <w:r>
        <w:rPr>
          <w:rFonts w:ascii="IRNazanin" w:hAnsi="IRNazanin" w:eastAsia="IRNazanin"/>
          <w:color w:val="111111"/>
          <w:sz w:val="28"/>
          <w:sz w:val="28"/>
          <w:szCs w:val="28"/>
          <w:rtl w:val="true"/>
          <w:lang w:bidi="fa-IR"/>
        </w:rPr>
        <w:t>الجدال</w:t>
      </w:r>
      <w:r>
        <w:rPr>
          <w:rStyle w:val="FootnoteAnchor"/>
          <w:rtl w:val="true"/>
        </w:rPr>
        <w:footnoteReference w:id="2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بعض الإشكالات المبتنية على كون العقد بمعنى العهد الموثّق</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مرّ</w:t>
      </w:r>
      <w:r>
        <w:rPr>
          <w:rStyle w:val="FootnoteAnchor"/>
          <w:rtl w:val="true"/>
        </w:rPr>
        <w:footnoteReference w:id="217"/>
      </w:r>
      <w:r>
        <w:rPr>
          <w:rFonts w:ascii="Amiri" w:hAnsi="Amiri" w:eastAsia="Amiri" w:cs="Amiri"/>
          <w:color w:val="111111"/>
          <w:sz w:val="28"/>
          <w:sz w:val="28"/>
          <w:szCs w:val="28"/>
          <w:rtl w:val="true"/>
          <w:lang w:bidi="ar-SA"/>
        </w:rPr>
        <w:t>فساد المبنى، لا يبقى مجال لإشكالاته المبنيّة عليه، فلنرجع إلى جواب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عن الأوّل بمنع القرينية في كلّ مسبوقية كيفما كانت، أو الصالحية لها، ففي نحو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إنفاذ بعض العقود في سنين طويلة، زائدة على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ذلك قرينة أو صالحة لها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كلّما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عمراً كلّما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بإكرام عدّة أشخاص، وكان كلّهم من العلماء، ثمّ بعد سنين عديدة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كلّما 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ترك إكرام غير العلماء المذكورين قبله؛ باعتذار احتمال كون المراد بالعموم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حجّة ظاهرة عند العقلاء، لا بدّ في رفع اليد عنها من ثبوت القرينة أو ما يصلح للقرينية؛ بنحو يتّكل عليها العقلاء، وهي غير ثابتة في المقام، بل الثابت خلافها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المستشكل؛ حيث مثّل بمثال ظاهر في العهد، وقاس المقام به</w:t>
      </w:r>
      <w:r>
        <w:rPr>
          <w:rStyle w:val="FootnoteAnchor"/>
          <w:rtl w:val="true"/>
        </w:rPr>
        <w:footnoteReference w:id="2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في ثبوت نزول المائدة بجميع آياتها في آخر عمره الشريف كلاماً، وإن كان وردت به رواية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المائدة آخر ما نزلت مؤيّد للعموم ومؤكّد له؛ لأنّ الوحي لمّا كان منقطعاً بعدها، فلا بدّ من تقنين قوانين كلّية، يرجع إليها البشر في سائر الأدوار إلى آخر الأبد، فتنزيل آية مجملة لا يصحّ الاتّكال عليها في شيء من الموارد والمحاوج في آخر العهد وآخر الوصيّة والتقنين، لا ينبغي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ذكره مبنيّ على أنّ جميع المحرّمات والواجبات التكليفية داخلة في</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كما تقدّم</w:t>
      </w:r>
      <w:r>
        <w:rPr>
          <w:rStyle w:val="FootnoteAnchor"/>
          <w:rtl w:val="true"/>
        </w:rPr>
        <w:footnoteReference w:id="220"/>
      </w:r>
      <w:r>
        <w:rPr>
          <w:rFonts w:ascii="Amiri" w:hAnsi="Amiri" w:eastAsia="Amiri" w:cs="Amiri"/>
          <w:color w:val="111111"/>
          <w:sz w:val="28"/>
          <w:sz w:val="28"/>
          <w:szCs w:val="28"/>
          <w:rtl w:val="true"/>
          <w:lang w:bidi="ar-SA"/>
        </w:rPr>
        <w:t>فحينئذٍ بقي بعض المعاملات التي ورد تنفيذها في الكتاب، ومن البعيد جدّاً أن يراد بذلك العموم خصوص تلك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بالعقود ما ذكر في الكتاب وما أنفذه النبي صلی الله علیه و آله وسلم ولو بالسكوت، وهو أبعد، 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وقع لهذا الإشكال رأساً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تفصيل الآية، مبنيّ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المحلّل والمحرّم، وقد عرفت ضعفه</w:t>
      </w:r>
      <w:r>
        <w:rPr>
          <w:rStyle w:val="FootnoteAnchor"/>
          <w:rtl w:val="true"/>
        </w:rPr>
        <w:footnoteReference w:id="222"/>
      </w:r>
      <w:r>
        <w:rPr>
          <w:rFonts w:ascii="IRNazanin" w:hAnsi="IRNazanin" w:eastAsia="IRNazanin"/>
          <w:color w:val="111111"/>
          <w:sz w:val="28"/>
          <w:sz w:val="28"/>
          <w:szCs w:val="28"/>
          <w:rtl w:val="true"/>
          <w:lang w:bidi="fa-IR"/>
        </w:rPr>
        <w:t>، ومعه لا موجب لضعف الحمل على العموم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لزوم استعمال الأمر في الأكثر؛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في التأسيس أو التأكيد، بل هو مستعمل في معناه؛ أي البعث، لكنّه ينتزع منه التأكيد إن كان مسبوقاً بأمر متعلّق بعين ما تعلّق به ثانياً وثالثاً، وإلاّ يكون تأسيساً، وفي المورد لم يستعمل الأمر إلاّ في البعث والإغراء، وهذا بمكان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اتّساع دائرة الكلام مع المجازية؛ لأنّ للمجازات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ظهوراتٍ عرفية عقلائية، وهي حجّة رافعة للاحتمالات المخالفة، وقد مرّ</w:t>
      </w:r>
      <w:r>
        <w:rPr>
          <w:rStyle w:val="FootnoteAnchor"/>
          <w:rtl w:val="true"/>
        </w:rPr>
        <w:footnoteReference w:id="223"/>
      </w:r>
      <w:r>
        <w:rPr>
          <w:rFonts w:ascii="IRNazanin" w:hAnsi="IRNazanin" w:eastAsia="IRNazanin"/>
          <w:color w:val="111111"/>
          <w:sz w:val="28"/>
          <w:sz w:val="28"/>
          <w:szCs w:val="28"/>
          <w:rtl w:val="true"/>
          <w:lang w:bidi="fa-IR"/>
        </w:rPr>
        <w:t>ما هو الظاهر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إن قلنا بأنّ العقد غير العهد مفهوماً، فضلاً عن كونه عهداً مستوثقاً، وقد مرّ أنّ الأمر كان مبنيّاً على الاستعارة</w:t>
      </w:r>
      <w:r>
        <w:rPr>
          <w:rStyle w:val="FootnoteAnchor"/>
          <w:rtl w:val="true"/>
        </w:rPr>
        <w:footnoteReference w:id="224"/>
      </w:r>
      <w:r>
        <w:rPr>
          <w:rFonts w:ascii="Amiri" w:hAnsi="Amiri" w:eastAsia="Amiri" w:cs="Amiri"/>
          <w:color w:val="111111"/>
          <w:sz w:val="28"/>
          <w:sz w:val="28"/>
          <w:szCs w:val="28"/>
          <w:rtl w:val="true"/>
          <w:lang w:bidi="ar-SA"/>
        </w:rPr>
        <w:t>فلا يعتبر قول أهل اللغة في مصحّح الدعوى؛ لأنّه أمر ذوقي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بنينا على تبعية أهل اللسان للّغوي وغيره، فالظاهر منهم إطلاق العقد على نحو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 البيع والحبل والعهد فانعقد</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باعتبار المعقود والعاقد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بينه وبين غيره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يقتضي كلّ عقد سوى ما كان تركه قربة أو واجباً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العهد الموثّق ثمّ حكى شعر الحُطيئة المتقدّم،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العقود التي عقدها اللّه وألزمها إيّاهم</w:t>
      </w:r>
    </w:p>
    <w:p>
      <w:pPr>
        <w:pStyle w:val="BookText"/>
        <w:rPr/>
      </w:pPr>
      <w:r>
        <w:rPr>
          <w:rFonts w:ascii="Amiri" w:hAnsi="Amiri" w:eastAsia="Amiri" w:cs="Amiri"/>
          <w:color w:val="111111"/>
          <w:sz w:val="28"/>
          <w:sz w:val="28"/>
          <w:szCs w:val="28"/>
          <w:rtl w:val="true"/>
          <w:lang w:bidi="ar-SA"/>
        </w:rPr>
        <w:t>من التكاليف، وما يعقدون بينهم من عقود الأمانات والمعاملات ونحوها؛ ممّا يجب الوفاء به، أو يحسن، إن حملنا الأمر على المشترك بين الوجوب والندب</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بالتوثيق مطلق الربط الخاصّ وإن لم يكن لازماً، ولهذا جمع بين التفسير بالعهد الموثّق، وبين حسن الوفاء به، وهو بمنزلة المفسّر لسائر كلمات أهل اللغة ممّن عبّر بالشدّ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البيع والحبل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أن يكون مرادهما أو مراد من عبّر بنحوهما من شدّ البيع وإحكامه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إيقاعه، كما هو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الحبل والبيع والعهد واليمين ونحوها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 وشدّه، وهو نقيض حلّه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العقدة حلاًّ نقضها وفتحها،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عاقد اذكر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اُترك سبيلاً لحلّ ما تعقد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واحتمال أن يكون المراد به غير البيع المتعارف بين الناس من المعاطاة ونحوها؛ ممّا لا يكون مفاده إلاّ التمليك والتملّك، بل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الصيغة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والإحكام بقول أو عمل، في غاية البعد، بل لعلّه مقطوع الخلاف، ولعلّ المراد بالشدّ ما يعبّر عنه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بستن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ونحوه بمصاديقه المتعارفة داخل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الفقهاء من المتقدّمين والمتأخّرين بالآية الكريمة لإثبات لزوم بعض العقود المتداولة، كالشيخ في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وابن زهرة</w:t>
      </w:r>
      <w:r>
        <w:rPr>
          <w:rStyle w:val="FootnoteAnchor"/>
          <w:rtl w:val="true"/>
        </w:rPr>
        <w:footnoteReference w:id="234"/>
      </w:r>
      <w:r>
        <w:rPr>
          <w:rFonts w:ascii="Amiri" w:hAnsi="Amiri" w:eastAsia="Amiri" w:cs="Amiri"/>
          <w:color w:val="111111"/>
          <w:sz w:val="28"/>
          <w:sz w:val="28"/>
          <w:szCs w:val="28"/>
          <w:rtl w:val="true"/>
          <w:lang w:bidi="ar-SA"/>
        </w:rPr>
        <w:t>والعلاّمة</w:t>
      </w:r>
      <w:r>
        <w:rPr>
          <w:rStyle w:val="FootnoteAnchor"/>
          <w:rtl w:val="true"/>
        </w:rPr>
        <w:footnoteReference w:id="235"/>
      </w:r>
      <w:r>
        <w:rPr>
          <w:rFonts w:ascii="Amiri" w:hAnsi="Amiri" w:eastAsia="Amiri" w:cs="Amiri"/>
          <w:color w:val="111111"/>
          <w:sz w:val="28"/>
          <w:sz w:val="28"/>
          <w:szCs w:val="28"/>
          <w:rtl w:val="true"/>
          <w:lang w:bidi="ar-SA"/>
        </w:rPr>
        <w:t>، والشهيد</w:t>
      </w:r>
      <w:r>
        <w:rPr>
          <w:rStyle w:val="FootnoteAnchor"/>
          <w:rtl w:val="true"/>
        </w:rPr>
        <w:footnoteReference w:id="236"/>
      </w:r>
      <w:r>
        <w:rPr>
          <w:rFonts w:ascii="IRNazanin" w:hAnsi="IRNazanin" w:eastAsia="IRNazanin"/>
          <w:color w:val="111111"/>
          <w:sz w:val="28"/>
          <w:sz w:val="28"/>
          <w:szCs w:val="28"/>
          <w:rtl w:val="true"/>
          <w:lang w:bidi="fa-IR"/>
        </w:rPr>
        <w:t>ومن تأخّر عنه</w:t>
      </w:r>
      <w:r>
        <w:rPr>
          <w:rStyle w:val="FootnoteAnchor"/>
          <w:rtl w:val="true"/>
        </w:rPr>
        <w:footnoteReference w:id="237"/>
      </w:r>
      <w:r>
        <w:rPr>
          <w:rFonts w:ascii="Amiri" w:hAnsi="Amiri" w:eastAsia="Amiri" w:cs="Amiri"/>
          <w:color w:val="111111"/>
          <w:sz w:val="28"/>
          <w:sz w:val="28"/>
          <w:szCs w:val="28"/>
          <w:rtl w:val="true"/>
          <w:lang w:bidi="ar-SA"/>
        </w:rPr>
        <w:t>بحيث يظهر منهم مفروغية دخولها في العقد، فلا ينبغي الإشكال في جواز التمسّك بالآية الكريمة لصحّة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يدفع إشكال النراقي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w:t>
      </w:r>
      <w:r>
        <w:rPr>
          <w:rStyle w:val="FootnoteAnchor"/>
          <w:rtl w:val="true"/>
        </w:rPr>
        <w:footnoteReference w:id="238"/>
      </w:r>
      <w:r>
        <w:rPr>
          <w:rFonts w:ascii="Amiri" w:hAnsi="Amiri" w:eastAsia="Amiri" w:cs="Amiri"/>
          <w:color w:val="111111"/>
          <w:sz w:val="28"/>
          <w:sz w:val="28"/>
          <w:szCs w:val="28"/>
          <w:rtl w:val="true"/>
          <w:lang w:bidi="ar-SA"/>
        </w:rPr>
        <w:t>الموثّق إمّا العقد اللازم شرعاً، فلا بدّ من إحرازه، ومعه لا حاجة إلى التمسّك بالآية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الموثّق العرفي، فلا بدّ من إثباته، وليس مجرّد بنائهم على الإبقاء على مقتضى العهد توثيقاً له؛ لأنّ ما لا يقصد فيه الإتيان البتّة ليس عهداً، </w:t>
      </w:r>
    </w:p>
    <w:p>
      <w:pPr>
        <w:pStyle w:val="BookText"/>
        <w:rPr/>
      </w:pPr>
      <w:r>
        <w:rPr>
          <w:rFonts w:ascii="Amiri" w:hAnsi="Amiri" w:eastAsia="Amiri" w:cs="Amiri"/>
          <w:color w:val="111111"/>
          <w:sz w:val="28"/>
          <w:sz w:val="28"/>
          <w:szCs w:val="28"/>
          <w:rtl w:val="true"/>
          <w:lang w:bidi="ar-SA"/>
        </w:rPr>
        <w:t xml:space="preserve">فحصول التوثيق يحتاج إلى أمر آخر، وعلى المستدلّ إثبات التوثيق عرفاً </w:t>
      </w:r>
      <w:r>
        <w:rPr>
          <w:rStyle w:val="FootnoteAnchor"/>
          <w:rtl w:val="true"/>
        </w:rPr>
        <w:footnoteReference w:id="2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 أهل اللسان من التوثيق في المقام ما يشمل اللزوم العرفي ومن الواضح أنّه 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اللازمة شرعاً، بل المراد ما هي لدى العرف كذلك، وليس المراد بالوثاقة أمراً زائداً على اللزوم أو الأعمّ منه على احتمال، فيصحّ التمسّك بالآية لصحّة كلّ معاملة على الثاني، ولصحّة المعاملات المبنيّة على اللزوم في محيط العرف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في الموضوع لا يصحّ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إشكاله الآخر، وهو احتمال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سائر معاني العهد، كالوصيّة، والأمر،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سلّمنا أنّ للعهد معنىً يلائم العقود الفقهية، فإرادة ذلك من الآية غير معلومة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المتسالم بين اللغويين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اللسان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العقد للعقود الفقهية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الغضّ عمّا تقدّم من أنّ العقد غير العهد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83" w:name="pg15195_150495"/>
    </w:p>
    <w:p>
      <w:pPr>
        <w:pStyle w:val="Heading4"/>
        <w:numPr>
          <w:ilvl w:val="3"/>
          <w:numId w:val="1"/>
        </w:numPr>
        <w:rPr/>
      </w:pPr>
      <w:bookmarkStart w:id="184" w:name="__RefHeading___Toc2495291_2142443653"/>
      <w:bookmarkStart w:id="185" w:name="_Toc61"/>
      <w:bookmarkEnd w:id="183"/>
      <w:bookmarkEnd w:id="184"/>
      <w:r>
        <w:rPr>
          <w:rtl w:val="true"/>
        </w:rPr>
        <w:t>إشكال تخصيص الأكثر وجوابه</w:t>
      </w:r>
      <w:bookmarkEnd w:id="185"/>
    </w:p>
    <w:p>
      <w:pPr>
        <w:pStyle w:val="BookText"/>
        <w:rPr/>
      </w:pPr>
      <w:r>
        <w:rPr>
          <w:rFonts w:ascii="Amiri" w:hAnsi="Amiri" w:eastAsia="Amiri" w:cs="Amiri"/>
          <w:color w:val="111111"/>
          <w:sz w:val="28"/>
          <w:sz w:val="28"/>
          <w:szCs w:val="28"/>
          <w:rtl w:val="true"/>
          <w:lang w:bidi="ar-SA"/>
        </w:rPr>
        <w:t>ثمّ إنّه قد يستشكل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تخصيص الأكثر</w:t>
      </w:r>
      <w:r>
        <w:rPr>
          <w:rStyle w:val="FootnoteAnchor"/>
          <w:rtl w:val="true"/>
        </w:rPr>
        <w:footnoteReference w:id="242"/>
      </w:r>
      <w:r>
        <w:rPr>
          <w:rFonts w:ascii="Amiri" w:hAnsi="Amiri" w:eastAsia="Amiri" w:cs="Amiri"/>
          <w:color w:val="111111"/>
          <w:sz w:val="28"/>
          <w:sz w:val="28"/>
          <w:szCs w:val="28"/>
          <w:rtl w:val="true"/>
          <w:lang w:bidi="ar-SA"/>
        </w:rPr>
        <w:t>لخروج المعاملات الجائزة، وهي أكثر من اللازمة، بل وخروج العقود الخيارية، فيخرج بخيار المجلس مطلق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الاحتمال المتقدّم؛ من مباينة مفهوم العقد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المراد به العهد أو الموثّق منه، وعلى فرض عمومه لكلّ جعل شرعي، يلزم ذلك أيضاً؛ لخروج المستحبّات، وهي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كلّ تخصيص أكثري ليس مستهجناً، بل الاستهجان إنّما يلزم لو كان الداخل قليلاً جدّاً، وأمّا مع كثرته إلى ما شاء اللّه كما في المقام، فلا يكون مستهجناً، ولو فرض أنّ الخارج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منها لا الأنواع؛ ضرورة أنّ الجمع المحلّى يدلّ على تكثير الطبيعة فرداً لا نوعاً، كما في جميع المقامات، فالكثرة النوعية تحتاج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القرينة في المقام على خلافها؛ لأنّ وجوب الوفاء يلحق العقد بوجوده، لا بطبيعته وماهيته النوعية، فتأمّل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الظاهر من الجمع المحلّى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هو </w:t>
      </w:r>
    </w:p>
    <w:p>
      <w:pPr>
        <w:pStyle w:val="BookText"/>
        <w:rPr/>
      </w:pPr>
      <w:r>
        <w:rPr>
          <w:rFonts w:ascii="Amiri" w:hAnsi="Amiri" w:eastAsia="Amiri" w:cs="Amiri"/>
          <w:color w:val="111111"/>
          <w:sz w:val="28"/>
          <w:sz w:val="28"/>
          <w:szCs w:val="28"/>
          <w:rtl w:val="true"/>
          <w:lang w:bidi="ar-SA"/>
        </w:rPr>
        <w:t>كثرة الأفراد، كما لا شبهة في أنّ أفراد العقود اللازمة ملأت الخافقين، وأفراد العقود الجائزة في جنبها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الخيارات كخيار المجلس وغيره، فليست من قبيل التخصيص في العموم، بل هي تقييد في الإطلاق، كما هو ظاهر لدى التأمّل، والبيع الربوي والغرري ونحوهما وإن خرجت بالتخصيص، لكن لم تكن في جنب غيرها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به العقد اللازم، فخروج العقود الجائزة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الأعمّ منها فلا يلزم ذلك أيضاً؛ لانصراف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w:t>
      </w:r>
    </w:p>
    <w:p>
      <w:pPr>
        <w:pStyle w:val="BookText"/>
        <w:rPr/>
      </w:pPr>
      <w:r>
        <w:rPr>
          <w:rFonts w:ascii="IRNazanin" w:hAnsi="IRNazanin" w:eastAsia="IRNazanin"/>
          <w:color w:val="111111"/>
          <w:sz w:val="28"/>
          <w:sz w:val="28"/>
          <w:szCs w:val="28"/>
          <w:rtl w:val="true"/>
          <w:lang w:bidi="fa-IR"/>
        </w:rPr>
        <w:t xml:space="preserve">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العقود الجائزة شرعاً، بعد فرض ورود المائدة في آخر عهد رسول اللّه صلی الله علیه و آله وسلم والعقود الجائزة عرفاً قليلة لو فرض خروجها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اُريد بالعهد مطلق المجعول الشرعي، فلا يلزم ذلك أيضاً؛ لأنّ المستحبّات خارجة انصرافاً بمناسبة الحكم والموضوع، كالعقود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مبنى إشكال تخصيص الأكثر، هو أنّ الآية كانت متكفّلة لإثبات الوجوب التكليفي أو اللزوم الوضعي، وأمّا على فرض كونها بصدد الإرشاد إلى الصحّة، فلا إشكال رأساً، فكان الأولى تأخير بيان هذا الإشكال والجواب إلى بحث إثبات اللزوم بالآية، والأمر سهل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دالّة على صحّة المعاطاة</w:t>
      </w:r>
      <w:r>
        <w:rPr>
          <w:rFonts w:eastAsia="Amiri" w:cs="Amiri" w:ascii="Amiri" w:hAnsi="Amiri"/>
          <w:color w:val="111111"/>
          <w:sz w:val="28"/>
          <w:szCs w:val="28"/>
          <w:rtl w:val="true"/>
          <w:lang w:bidi="ar-SA"/>
        </w:rPr>
        <w:t xml:space="preserve">. </w:t>
      </w:r>
      <w:bookmarkStart w:id="186" w:name="pg15195_150497"/>
    </w:p>
    <w:p>
      <w:pPr>
        <w:pStyle w:val="Heading3"/>
        <w:numPr>
          <w:ilvl w:val="2"/>
          <w:numId w:val="1"/>
        </w:numPr>
        <w:rPr/>
      </w:pPr>
      <w:bookmarkStart w:id="187" w:name="__RefHeading___Toc2495293_2142443653"/>
      <w:bookmarkStart w:id="188" w:name="_Toc62"/>
      <w:bookmarkEnd w:id="186"/>
      <w:bookmarkEnd w:id="187"/>
      <w:r>
        <w:rPr>
          <w:rtl w:val="true"/>
        </w:rPr>
        <w:t xml:space="preserve">الدليل الخامس </w:t>
      </w:r>
      <w:r>
        <w:rPr>
          <w:rtl w:val="true"/>
        </w:rPr>
        <w:t xml:space="preserve">: </w:t>
      </w:r>
      <w:r>
        <w:rPr>
          <w:rtl w:val="true"/>
        </w:rPr>
        <w:t>آية القنطار والإفضاء</w:t>
      </w:r>
      <w:bookmarkEnd w:id="188"/>
    </w:p>
    <w:p>
      <w:pPr>
        <w:pStyle w:val="BookText"/>
        <w:rPr/>
      </w:pPr>
      <w:r>
        <w:rPr>
          <w:rFonts w:ascii="Amiri" w:hAnsi="Amiri" w:eastAsia="Amiri" w:cs="Amiri"/>
          <w:color w:val="111111"/>
          <w:sz w:val="28"/>
          <w:sz w:val="28"/>
          <w:szCs w:val="28"/>
          <w:rtl w:val="true"/>
          <w:lang w:bidi="ar-SA"/>
        </w:rPr>
        <w:t>وربّما يستدلّ للمطلوب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كما حكي عن بعض أجلّة العصر قدّس سرّه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بالآية الاُولى لصحّة عقد النكاح ولزومه؛ بدعوى أنّ المراد بإيتاء القنطار إيتاؤه مهراً، وعدم جواز الأخذ لأجل صحّته ولزومه، ولازمهما صحّة العقد المشتمل عليه ولزومه، وبإ لغاء الخصوصية يسري الحكم إلى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وبالآية الثانية؛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كناية عن الجماع، كما قال به عدّة من المفسّرين</w:t>
      </w:r>
      <w:r>
        <w:rPr>
          <w:rStyle w:val="FootnoteAnchor"/>
          <w:rtl w:val="true"/>
        </w:rPr>
        <w:footnoteReference w:id="245"/>
      </w:r>
      <w:r>
        <w:rPr>
          <w:rFonts w:ascii="Amiri" w:hAnsi="Amiri" w:eastAsia="Amiri" w:cs="Amiri"/>
          <w:color w:val="111111"/>
          <w:sz w:val="28"/>
          <w:sz w:val="28"/>
          <w:szCs w:val="28"/>
          <w:rtl w:val="true"/>
          <w:lang w:bidi="ar-SA"/>
        </w:rPr>
        <w:t>ووردت به روايات</w:t>
      </w:r>
      <w:r>
        <w:rPr>
          <w:rStyle w:val="FootnoteAnchor"/>
          <w:rtl w:val="true"/>
        </w:rPr>
        <w:footnoteReference w:id="246"/>
      </w:r>
      <w:r>
        <w:rPr>
          <w:rFonts w:ascii="Amiri" w:hAnsi="Amiri" w:eastAsia="Amiri" w:cs="Amiri"/>
          <w:color w:val="111111"/>
          <w:sz w:val="28"/>
          <w:sz w:val="28"/>
          <w:szCs w:val="28"/>
          <w:rtl w:val="true"/>
          <w:lang w:bidi="ar-SA"/>
        </w:rPr>
        <w:t>أو عن الخلوة وإلقاء الستر كما عن بعض آخر</w:t>
      </w:r>
      <w:r>
        <w:rPr>
          <w:rStyle w:val="FootnoteAnchor"/>
          <w:rtl w:val="true"/>
        </w:rPr>
        <w:footnoteReference w:id="247"/>
      </w:r>
      <w:r>
        <w:rPr>
          <w:rFonts w:ascii="Amiri" w:hAnsi="Amiri" w:eastAsia="Amiri" w:cs="Amiri"/>
          <w:color w:val="111111"/>
          <w:sz w:val="28"/>
          <w:sz w:val="28"/>
          <w:szCs w:val="28"/>
          <w:rtl w:val="true"/>
          <w:lang w:bidi="ar-SA"/>
        </w:rPr>
        <w:t xml:space="preserve">ووردت به الرواية أيضاً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علّة مستقلّة للتعجّب من أخذ المهر، 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مستقلّة اُخرى، فتدلّ على أنّ أخذ الميثاق الغليظ علّة للصحّة واللزوم، فيسري الحكم إلى كلّ عقد؛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ألفاظ عقد النكاح، أو قرار النكاح وعقده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أَفْضَى 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المراودات والمواصلات التي تكون قبل عقد النكاح، ويكون ذلك توطئة لبيان العلّة وهي أخذ الميثاق الغليظ، فليس في المقام إلاّ علّة واحدة، فتتمّ الدلالة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الاستدلال به، لكنّك خبير بوهنه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إلغاء الخصوصية عن عقد النكاح والإسراء إلى كلّ عقد، فهي ممنوعة جدّاً؛ لأنّ لعقد النكاح في جميع الملل خصوصية ليست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الظاهر أنّ الآية الثانية مفسّرة للاُولى، ومبيّنة لوجه عدم جواز الأخذ، فلا تكون الاُولى مستقلّة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الجماع ويكون الظاهر منها أنّ علّة التعجّب الإفضاء وأخذ الميثاق الغليظ مجموعاً، لا كلّ مستقلاًّ، كما أنّ الأمر كذلك في الأشباه والنظائر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فاحتمال استقلال كلّ منهما مدفوع بالظهور المؤيّد بمناسبة الحكم والموضوع، وهي أنّ جعل المهر لأجل التمتّع، لا لمحض عقد الزواج،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تأخذون المهر مع أخذ الميثاق الغليظ والتمتّع بها، والتصرّف فيها ذلك التصرّف المهتمّ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الآية على أنّ كلّ واحد من الإفضاء، ومن أخذ الميثاق الغليظ، لا يكفي في عدم جواز الأخذ، فلا بدّ من اجتماعهما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الإسراء إلى غير النكاح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في حدّ نفسها لا توجب عدم جواز أخذ ما يعطى عوضاً، فتدلّ على عكس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نفس إيقاع النكاح غير صحيحة، بل 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يتعارف في خصوص النكاح، الذي هو في غاية الأهمّية عند عامّة الاُمم؛ من الإلزامات، والالتزامات، وأخذ العهدة والتغليظ في القرار والجعل كما هو واضح، فبيع باقة من الخضرة بدرهم ليس من الميثاق الغليظ، ولو اُطلق عليه لكان مضحكاً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الآية الكريمة واردة لبيان استقرار المهر بالدخول، كما عليه الأصحاب</w:t>
      </w:r>
      <w:r>
        <w:rPr>
          <w:rStyle w:val="FootnoteAnchor"/>
          <w:rtl w:val="true"/>
        </w:rPr>
        <w:footnoteReference w:id="249"/>
      </w:r>
      <w:r>
        <w:rPr>
          <w:rFonts w:ascii="Amiri" w:hAnsi="Amiri" w:eastAsia="Amiri" w:cs="Amiri"/>
          <w:color w:val="111111"/>
          <w:sz w:val="28"/>
          <w:sz w:val="28"/>
          <w:szCs w:val="28"/>
          <w:rtl w:val="true"/>
          <w:lang w:bidi="ar-SA"/>
        </w:rPr>
        <w:t>وتدلّ عليه الروايات</w:t>
      </w:r>
      <w:r>
        <w:rPr>
          <w:rStyle w:val="FootnoteAnchor"/>
          <w:rtl w:val="true"/>
        </w:rPr>
        <w:footnoteReference w:id="250"/>
      </w:r>
      <w:r>
        <w:rPr>
          <w:rFonts w:ascii="Amiri" w:hAnsi="Amiri" w:eastAsia="Amiri" w:cs="Amiri"/>
          <w:color w:val="111111"/>
          <w:sz w:val="28"/>
          <w:sz w:val="28"/>
          <w:szCs w:val="28"/>
          <w:rtl w:val="true"/>
          <w:lang w:bidi="ar-SA"/>
        </w:rPr>
        <w:t>المعمول بها وقد ورد في بعض الروايات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الميثاق هي الكلمة التي عقد بها النكاح،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الرجل يفضيه إلى امرأته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أنّ العقد صار غليظاً، والعهد مشدّداً بالإفضاء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دلالة لها في باب النكاح على المقصود، فضلاً عن غيره</w:t>
      </w:r>
      <w:r>
        <w:rPr>
          <w:rFonts w:eastAsia="Amiri" w:cs="Amiri" w:ascii="Amiri" w:hAnsi="Amiri"/>
          <w:color w:val="111111"/>
          <w:sz w:val="28"/>
          <w:szCs w:val="28"/>
          <w:rtl w:val="true"/>
          <w:lang w:bidi="ar-SA"/>
        </w:rPr>
        <w:t xml:space="preserve">. </w:t>
      </w:r>
      <w:bookmarkStart w:id="189" w:name="pg15195_150500"/>
    </w:p>
    <w:p>
      <w:pPr>
        <w:pStyle w:val="Heading3"/>
        <w:numPr>
          <w:ilvl w:val="2"/>
          <w:numId w:val="1"/>
        </w:numPr>
        <w:rPr/>
      </w:pPr>
      <w:bookmarkStart w:id="190" w:name="__RefHeading___Toc2495295_2142443653"/>
      <w:bookmarkStart w:id="191" w:name="_Toc63"/>
      <w:bookmarkEnd w:id="189"/>
      <w:bookmarkEnd w:id="190"/>
      <w:r>
        <w:rPr>
          <w:rtl w:val="true"/>
        </w:rPr>
        <w:t xml:space="preserve">الدليل السادس </w:t>
      </w:r>
      <w:r>
        <w:rPr>
          <w:rtl w:val="true"/>
        </w:rPr>
        <w:t xml:space="preserve">: </w:t>
      </w:r>
      <w:r>
        <w:rPr>
          <w:rtl w:val="true"/>
        </w:rPr>
        <w:t>حديث السلطنة</w:t>
      </w:r>
      <w:bookmarkEnd w:id="191"/>
    </w:p>
    <w:p>
      <w:pPr>
        <w:pStyle w:val="Heading4"/>
        <w:numPr>
          <w:ilvl w:val="3"/>
          <w:numId w:val="1"/>
        </w:numPr>
        <w:rPr/>
      </w:pPr>
      <w:bookmarkStart w:id="192" w:name="__RefHeading___Toc2495297_2142443653"/>
      <w:bookmarkStart w:id="193" w:name="_Toc64"/>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وربّما يستدلّ عليه بالمرسلة المشهورة؛ أي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إثبات السلطنة لهم بأنواعها، على النحو المتداول بين العرف، فإذا تداولت المعاطاة بينهم يشملها الحكم، ولازمه كون أسبابها العرفية أسباباً شرعية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لدى العرف في إنفاذ المعاملات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المالك على ماله، فمثل المجنون والطفل غير المميّز، ليس سلطاناً لدى العقلاء، فلا بدّ في إنفاذ المعاملة من السلطنة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المعاملة على طبق المقرّرات العقلائية، فبيع المجهول المطلق بمجهول مطلق ليس نافذاً لديهم، لا لقصور سلطنة المالك، بل لمخالفته للمقرّر العقلائي، فتسلّط الناس على أموالهم شيء، ولزوم تبعية العاقد للمقرّرات العقلائية شيء آخر، وليست المقرّرات العقلائية ناشئة عن السلطنة، وليست من شؤونها، بل هي قواعد لديهم لتنظيم الاُمور وسدّ باب الهرج</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إنفاذ 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المقرّر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إنفاذ المعاملات العقلائية؛ لأنّ السلطنة على الأموال أحد </w:t>
      </w:r>
      <w:bookmarkStart w:id="194" w:name="pg15195_150501"/>
    </w:p>
    <w:p>
      <w:pPr>
        <w:pStyle w:val="BookText"/>
        <w:rPr/>
      </w:pPr>
      <w:bookmarkEnd w:id="194"/>
      <w:r>
        <w:rPr>
          <w:rFonts w:ascii="Amiri" w:hAnsi="Amiri" w:eastAsia="Amiri" w:cs="Amiri"/>
          <w:color w:val="111111"/>
          <w:sz w:val="28"/>
          <w:sz w:val="28"/>
          <w:szCs w:val="28"/>
          <w:rtl w:val="true"/>
          <w:lang w:bidi="ar-SA"/>
        </w:rPr>
        <w:t>شرائط النفوذ لدى العقلاء، وليس في محيط العرف والعقلاء السلطنة على الأموال موجبةً للسلطنة على المقرّرات، فالناس مسلّطون على أموالهم، وتابعون للمقرّرات، لا مسلّطون عليها، فالسلطنة على الأموال شيء أجنبيّ عن نفوذها بالنسبة إلى الأسباب المقرّرة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ليس نوعاً من السلطنة على الأموال، ولا المعاطاة حصّة منها، أو نوعاً عرفياً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يقال في جواب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يقال إنّ المعاطاة أحد الأنواع؛ إذ ليس المراد منها النوع المنطقي، بل الأعمّ منه ومن الصنف</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كلام الشيخ</w:t>
      </w:r>
      <w:r>
        <w:rPr>
          <w:rStyle w:val="FootnoteAnchor"/>
          <w:rtl w:val="true"/>
        </w:rPr>
        <w:footnoteReference w:id="255"/>
      </w:r>
      <w:r>
        <w:rPr>
          <w:rFonts w:ascii="Amiri" w:hAnsi="Amiri" w:eastAsia="Amiri" w:cs="Amiri"/>
          <w:color w:val="111111"/>
          <w:sz w:val="28"/>
          <w:sz w:val="28"/>
          <w:szCs w:val="28"/>
          <w:rtl w:val="true"/>
          <w:lang w:bidi="ar-SA"/>
        </w:rPr>
        <w:t>أيضاً غير وجيه؛ لأنّ البيع والصلح ونحوهما ليست من أنواع السلطنة على الأموال، فالناس مسلّطون على أيّ نقل شاؤوا، لا على أسبابه؛ لأنّ أسبابه ليست من شؤون السلطنة على الأموال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495299_2142443653"/>
      <w:bookmarkStart w:id="196" w:name="_Toc65"/>
      <w:bookmarkEnd w:id="195"/>
      <w:r>
        <w:rPr>
          <w:rtl w:val="true"/>
        </w:rPr>
        <w:t>تقريب المحقّق الأصفهاني وجوابه</w:t>
      </w:r>
      <w:bookmarkEnd w:id="196"/>
    </w:p>
    <w:p>
      <w:pPr>
        <w:pStyle w:val="BookText"/>
        <w:rPr/>
      </w:pPr>
      <w:r>
        <w:rPr>
          <w:rFonts w:ascii="Amiri" w:hAnsi="Amiri" w:eastAsia="Amiri" w:cs="Amiri"/>
          <w:color w:val="111111"/>
          <w:sz w:val="28"/>
          <w:sz w:val="28"/>
          <w:szCs w:val="28"/>
          <w:rtl w:val="true"/>
          <w:lang w:bidi="ar-SA"/>
        </w:rPr>
        <w:t>كما أنّه ممّا ذكرنا ظهر ما في كلام بعض آخر في مقام التقريب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السلطنة ليست إلاّ القدرة على التصرّفات المعاملية هنا، المتحقّقة بترخيص الشارع تكليفاً ووضعاً، فتتحقّق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بالترخيص الوضعي، وإنفاذ ما يتصدّى له ذو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المعاملة بما هي مؤثّرة في مضمونها، </w:t>
      </w:r>
    </w:p>
    <w:p>
      <w:pPr>
        <w:pStyle w:val="BookText"/>
        <w:rPr/>
      </w:pPr>
      <w:r>
        <w:rPr>
          <w:rFonts w:ascii="Amiri" w:hAnsi="Amiri" w:eastAsia="Amiri" w:cs="Amiri"/>
          <w:color w:val="111111"/>
          <w:sz w:val="28"/>
          <w:sz w:val="28"/>
          <w:szCs w:val="28"/>
          <w:rtl w:val="true"/>
          <w:lang w:bidi="ar-SA"/>
        </w:rPr>
        <w:t>فالسلطنة على البيع وعلى المعاطاة حصّة من طبيعي السلطنة، فالإطلاق بلحاظ الكمّ والكيف جميعاً؛ لأنّ السلطنة منتزعة بلحاظ الترخيص التكليفي والوضعي، فلا محالة تكون الأسباب إمّا ملحوظة ابتداءً، أو بتبع لحاظ المسبّبات، وبهذا الاعتبار لها نفوذ ومضيّ بحسب الأسباب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المجعول بالرواية السلطنة على الأموال، من غير لحاظ الترخيص التكليفي أو الوضعي، ومن غير لحاظ الأسباب والمسبّبات، وليست السلطنة منتزعة منهما وبلحاظهما، بل هي حكم وضعي مجعول ابتداءً واستقلالاً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على البيع والمعاطاة ليست حصّة من طبيعي السلطنة على الأموال، ولا دليل على أنّ الجاعل في مقام إنفاذ الأسباب أو المسبّبات، بل الحصص لطبيعي السلطنة على الأموال السلطنة على كلّ نحو من أنحاء التصرّفات، كالتصرّف بالنقل مثلاً، من غير نظر إلى سببه، بل ومن غير لحاظ النقل وسببه والمسبّب منه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الملحوظ طبيعة السلطنة المجعولة على الأموال، وهي تصحّح أحد أركان نفوذ المعاملة، والركن الآخر هو أسباب النقل، ولا تعرّض للرواية له، بل هي مهملة من هذه الجهة، بل لا معنى لإطلاقها بالنسبة إلى ما ليس حصّة للطبيعي؛ ضرورة أنّ السلطنة على العقد ليست حصّة من طبيعي السلطنة على الأموال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والسلطنة على النقل وإن كانت حصّة منها، لكن لا تصحّح السلطنة على </w:t>
      </w:r>
      <w:bookmarkStart w:id="197" w:name="pg15195_150503"/>
    </w:p>
    <w:p>
      <w:pPr>
        <w:pStyle w:val="BookText"/>
        <w:rPr/>
      </w:pPr>
      <w:bookmarkEnd w:id="197"/>
      <w:r>
        <w:rPr>
          <w:rFonts w:ascii="Amiri" w:hAnsi="Amiri" w:eastAsia="Amiri" w:cs="Amiri"/>
          <w:color w:val="111111"/>
          <w:sz w:val="28"/>
          <w:sz w:val="28"/>
          <w:szCs w:val="28"/>
          <w:rtl w:val="true"/>
          <w:lang w:bidi="ar-SA"/>
        </w:rPr>
        <w:t>النقل السلطنة على العقد؛ للفرق بين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الذي موضوعه البيع والعقد، وبين جعل السلطنة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لحاظ الأسباب والمسبّبات في هذا الجعل، غير مرضيّة؛ ضرورة أنّ الإطلاق غير العموم، فليست الماهية المطلقة مرآة لمصاديقها وحصصها، فضلاً عمّا ليس بمصداقها ولا حصّتها، هذا كلّه لو سلّم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 بعدمه؛ وإنّما هو مسوق لجعل السلطنة في مقابل الحجر، واُريد به أنّ الناس مسلّطون، ولا محجورون عن التصرّفات</w:t>
      </w:r>
      <w:r>
        <w:rPr>
          <w:rStyle w:val="FootnoteAnchor"/>
          <w:rtl w:val="true"/>
        </w:rPr>
        <w:footnoteReference w:id="259"/>
      </w:r>
      <w:r>
        <w:rPr>
          <w:rFonts w:ascii="IRNazanin" w:hAnsi="IRNazanin" w:eastAsia="IRNazanin"/>
          <w:color w:val="111111"/>
          <w:sz w:val="28"/>
          <w:sz w:val="28"/>
          <w:szCs w:val="28"/>
          <w:rtl w:val="true"/>
          <w:lang w:bidi="fa-IR"/>
        </w:rPr>
        <w:t>، فالأمر أوضح</w:t>
      </w:r>
      <w:r>
        <w:rPr>
          <w:rFonts w:eastAsia="IRNazanin" w:cs="IRNazanin"/>
          <w:color w:val="111111"/>
          <w:sz w:val="28"/>
          <w:szCs w:val="28"/>
          <w:rtl w:val="true"/>
          <w:lang w:bidi="fa-IR"/>
        </w:rPr>
        <w:t>.</w:t>
      </w:r>
    </w:p>
    <w:p>
      <w:pPr>
        <w:pStyle w:val="Heading4"/>
        <w:numPr>
          <w:ilvl w:val="3"/>
          <w:numId w:val="1"/>
        </w:numPr>
        <w:rPr/>
      </w:pPr>
      <w:bookmarkStart w:id="198" w:name="__RefHeading___Toc2495301_2142443653"/>
      <w:bookmarkStart w:id="199" w:name="_Toc66"/>
      <w:bookmarkEnd w:id="198"/>
      <w:r>
        <w:rPr>
          <w:rtl w:val="true"/>
        </w:rPr>
        <w:t>اعتراض المحقّق الأصفهاني على اُستاذه والجواب عنه</w:t>
      </w:r>
      <w:bookmarkEnd w:id="1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ذكرناه هو منظور المحقّق الخراساني</w:t>
      </w:r>
      <w:r>
        <w:rPr>
          <w:rStyle w:val="FootnoteAnchor"/>
          <w:rtl w:val="true"/>
        </w:rPr>
        <w:footnoteReference w:id="260"/>
      </w:r>
      <w:r>
        <w:rPr>
          <w:rFonts w:ascii="Amiri" w:hAnsi="Amiri" w:eastAsia="Amiri" w:cs="Amiri"/>
          <w:color w:val="111111"/>
          <w:sz w:val="28"/>
          <w:sz w:val="28"/>
          <w:szCs w:val="28"/>
          <w:rtl w:val="true"/>
          <w:lang w:bidi="ar-SA"/>
        </w:rPr>
        <w:t>لا ما زعم تلميذه المحقّق؛ من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غير محجورين، فأورد عليه بأنّ الظاهر منه هو ثبوت السلطنة لهم من حيث إضافة المال إليهم، والحكم بالمقتضى استناداً إلى ثبوت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اقتضاءً، أو فعلاً؛ لعدم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لكنّ الحكم بعدم المانع استناداً إلى ثبوت المقتضي غير معقول، فلا معنى لحمل دليل السلطنة على أنّ المالك غير محجور في قبال المحجور</w:t>
      </w:r>
      <w:r>
        <w:rPr>
          <w:rStyle w:val="FootnoteAnchor"/>
          <w:rtl w:val="true"/>
        </w:rPr>
        <w:footnoteReference w:id="2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الخراساني بصدد بيان عدم الإطلاق في الرواية، ومراده من أنّه مسوق لعدم الحجر ليس أنّه نفي الحجر بقوله ذلك ابتداءً، بل الظاهر أنّ مراده أنّه جعل السلطنة في قبال الحجر، فلا إطلاق فيه من حيث العقد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بالمقتضى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غير وارد، ولو فرض أنّ الرواية بصدد بيان عدم الحجر؛ ضرورة أنّ الملكية ليست مقتضية للسلطنة بالمعنى المعهود للاقتضاء، بل السلطنة من الأحكام العقلائية للأموال، وليس في الرواية ما يشعر باستناد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المقتضي أو عدم المانع، فهل ترى أنّه لو ورد من الشارع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غير محجورين عن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ردّه؛ لعدم معقولية الاستناد إلى المقتضي في الحكم بعدم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السلطنة، لا رفع الحجر، وإن كان رفعه لازمه، لكنّه غير عدم المعقولية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بالمقتضى بعد كون مقتضيه مفروض التحقّق، إنّما هو لدفع توهّم الحجر، والمقام كذلك؛ لأنّ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المال مضافاً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فالمحتمل وجود الحجر، فلا بدّ من دفعه، فالقائل بصدد دفعه لا محالة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إهماله، وكونه في مقام بيان جعل السلطنة فعلاً، وإن لم يدفع بإطلاقه الشكّ في الأسباب المملّكة كما تقدّم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حكم حيثي، لا يدفع به الشكّ عن خصوصيات السبب المملّك، نظير حلّية البهيمة،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ليس حكماً فعلياً مطلقاً، حتّى يعارض دليل الغصب، ودليل حرمة الموطوءة، بل حكم بالحلّية الذاتية، مقابل حرمة لحم الخنزير والكلب، وهو لا ينافي حرمة الغصب والوط‌ء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جعل السلطنة حكم حيثي على نفس المال، فلا إطلاق فيه بالنسبة إلى الأسباب، ولا الطوارئ والعوارض، فلا يعارض أدلّة حرمة بعض المحرّمات التي بينها وبينه عموم من وجه، بل لا تكون أدلّة المحرّمات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بينها وبينه عموم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له، فتوهّم التعارض ساقط على هذا الاحتمال، كما أنّه ساقط على الاحتمال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الإطلاق فيه فلا يتعارض أيضاً معها؛ لأنّ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تأسيس حكم، بل الظاهر أنّه بصدد إنفاذ حكم العقلاء؛ لأنّ كافّة العقلاء يحكمون بثبوت سلطنة الناس على أموالهم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مستند الفقهاء والمسلمين في هذه القاعدة إلى هذا الحديث المرسل، فعليه يكون هذا الحكم على طبق حكم العقلاء، ولا ريب في أنّ حكمهم تعليقي على عدم ورود حكم من السلطان الحقيقي على النفوس والأموال، وهو اللّه تعالى، فإذا ورد حكم من الشارع الأقدس، يكون وارداً على هذا الحكم التعليقي</w:t>
      </w:r>
      <w:r>
        <w:rPr>
          <w:rFonts w:eastAsia="Amiri" w:cs="Amiri" w:ascii="Amiri" w:hAnsi="Amiri"/>
          <w:color w:val="111111"/>
          <w:sz w:val="28"/>
          <w:szCs w:val="28"/>
          <w:rtl w:val="true"/>
          <w:lang w:bidi="ar-SA"/>
        </w:rPr>
        <w:t xml:space="preserve">. </w:t>
      </w:r>
      <w:bookmarkStart w:id="200" w:name="pg15195_150506"/>
    </w:p>
    <w:p>
      <w:pPr>
        <w:pStyle w:val="BookText"/>
        <w:rPr/>
      </w:pPr>
      <w:bookmarkEnd w:id="200"/>
      <w:r>
        <w:rPr>
          <w:rFonts w:ascii="Amiri" w:hAnsi="Amiri" w:eastAsia="Amiri" w:cs="Amiri"/>
          <w:color w:val="111111"/>
          <w:sz w:val="28"/>
          <w:sz w:val="28"/>
          <w:szCs w:val="28"/>
          <w:rtl w:val="true"/>
          <w:lang w:bidi="ar-SA"/>
        </w:rPr>
        <w:t>فتحصّل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إطلاق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به الشكّ عن الأسباب</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495303_2142443653"/>
      <w:bookmarkStart w:id="202" w:name="_Toc67"/>
      <w:bookmarkEnd w:id="201"/>
      <w:r>
        <w:rPr>
          <w:rtl w:val="true"/>
        </w:rPr>
        <w:t>الإشكالات العقلية التي ذكرها المحقّق الأصفهاني وجوابها</w:t>
      </w:r>
      <w:bookmarkEnd w:id="202"/>
    </w:p>
    <w:p>
      <w:pPr>
        <w:pStyle w:val="BookText"/>
        <w:rPr/>
      </w:pPr>
      <w:r>
        <w:rPr>
          <w:rFonts w:ascii="Amiri" w:hAnsi="Amiri" w:eastAsia="Amiri" w:cs="Amiri"/>
          <w:color w:val="111111"/>
          <w:sz w:val="28"/>
          <w:sz w:val="28"/>
          <w:szCs w:val="28"/>
          <w:rtl w:val="true"/>
          <w:lang w:bidi="ar-SA"/>
        </w:rPr>
        <w:t>ثمّ إنّ هنا بعض إشكالات عقلية، أوردها بعض أهل التحقيق</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السلطنة معلولة للملكية، فمتأخّرة عنها وعن عدمها البديل، فكيف يعقل أن تكون علّة لزوال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تقدّم المتأخّر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علّة للسلطنة، فإذا كانت السلطنة علّة لزوالها، لزم علّية الشيء لعدم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أتعب نفسه في الجواب عنهما، وأبعد المسافة، مع أنّ الجواب عن نحوها سهل، وهو أنّ الملكية ليست علّة للسلطنة، بل ولا موضوعة لها كموضوعية الجواهر للأعراض؛ ضرورة أنّ السلطنة أمر اعتباري عقلائي،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 ذلك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السلطنة عبارة عن القدرة التي هي صفة نفسانية</w:t>
      </w:r>
      <w:r>
        <w:rPr>
          <w:rStyle w:val="FootnoteAnchor"/>
          <w:rtl w:val="true"/>
        </w:rPr>
        <w:footnoteReference w:id="265"/>
      </w:r>
      <w:r>
        <w:rPr>
          <w:rFonts w:ascii="Amiri" w:hAnsi="Amiri" w:eastAsia="Amiri" w:cs="Amiri"/>
          <w:color w:val="111111"/>
          <w:sz w:val="28"/>
          <w:sz w:val="28"/>
          <w:szCs w:val="28"/>
          <w:rtl w:val="true"/>
          <w:lang w:bidi="ar-SA"/>
        </w:rPr>
        <w:t>في غاية السقوط؛ إذ هي أمر اعتباري قابل للجعل ابتداءً، كجعل الحكومة والولاية ونحوهما من سائر الوضعيات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جعل السلطنة على الأموال المضافة إلى الناس، لا بدّ من تحقّق الملكية حالها؛ لكون السلطنة مضافة إليها، من غير أن يكون الملك علّة </w:t>
      </w:r>
    </w:p>
    <w:p>
      <w:pPr>
        <w:pStyle w:val="BookText"/>
        <w:rPr/>
      </w:pPr>
      <w:r>
        <w:rPr>
          <w:rFonts w:ascii="Amiri" w:hAnsi="Amiri" w:eastAsia="Amiri" w:cs="Amiri"/>
          <w:color w:val="111111"/>
          <w:sz w:val="28"/>
          <w:sz w:val="28"/>
          <w:szCs w:val="28"/>
          <w:rtl w:val="true"/>
          <w:lang w:bidi="ar-SA"/>
        </w:rPr>
        <w:t>لوجودها، فالسلطنة اعتبارية، كما أنّ الملكية اعتبارية، فلا علّية ولا معلولية، كما لا علّية للسلطنة على زوال الملكية، بل ولا علّية للعقد على زوالها، نحو علّية العلل التكوينية كما هو واضح، فالإشكا لات العقلية في غير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 إشكال آخر، وهو أنّ ظاهر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أنّ جميع التصرّفات في الأملاك إنّما هي في ظرف تحقّق الملكية، فلا تشمل التصرّفات المزيلة لها، كالبيع، والعتق، والإعراض، ونحوها، فلا بدّ من حملها على التصرّفات التي يبقى معها الملك</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بالنظر إلى محيط العقلاء وحكمهم بتسلّط الناس على أموالهم، فلا شبهة في أنّ التصرّفات المزيلة للملكية من أوضح أنحاء السلطنة على الأملاك، والرواية إنفاذ لما لدى العقلاء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عنه فلا إشكال أيضاً؛ لأنّ الظاهر لزوم انحفاظ الملك حال إعمال السلطنة، وإخراج المال عن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على الأملاك أوجبت نفوذ المعاملة عليها، وبإيقاع المعاملة خرجت الأملاك عن الملكية، وانتفى موضوع السلطنة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لازم ما ذكر عدم السلطنة على الأكل والشرب ونحوهما، وهو كما ترى، بل لازمه عدم صحّة البيع وسائر المعاملات رأساً؛ لأنّها لا تكون </w:t>
      </w:r>
      <w:bookmarkStart w:id="203" w:name="pg15195_150508"/>
    </w:p>
    <w:p>
      <w:pPr>
        <w:pStyle w:val="BookText"/>
        <w:rPr/>
      </w:pPr>
      <w:bookmarkEnd w:id="203"/>
      <w:r>
        <w:rPr>
          <w:rFonts w:ascii="Amiri" w:hAnsi="Amiri" w:eastAsia="Amiri" w:cs="Amiri"/>
          <w:color w:val="111111"/>
          <w:sz w:val="28"/>
          <w:sz w:val="28"/>
          <w:szCs w:val="28"/>
          <w:rtl w:val="true"/>
          <w:lang w:bidi="ar-SA"/>
        </w:rPr>
        <w:t>إلاّ في ملك، فلا بدّ على هذا الإشكال أن يكون الملك منحفظاً بعد البيع،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السلطنة مجعولة للمالك على المال، فليس المال موضوعاً لها، وسيأتي الكلام فيه في باب الاستدلال على اللزوم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495305_2142443653"/>
      <w:bookmarkStart w:id="205" w:name="_Toc68"/>
      <w:bookmarkEnd w:id="204"/>
      <w:r>
        <w:rPr>
          <w:rtl w:val="true"/>
        </w:rPr>
        <w:t xml:space="preserve">الدليل السابع </w:t>
      </w:r>
      <w:r>
        <w:rPr>
          <w:rtl w:val="true"/>
        </w:rPr>
        <w:t xml:space="preserve">: </w:t>
      </w:r>
      <w:r>
        <w:rPr>
          <w:rtl w:val="true"/>
        </w:rPr>
        <w:t>حديث الشرط</w:t>
      </w:r>
      <w:bookmarkEnd w:id="205"/>
    </w:p>
    <w:p>
      <w:pPr>
        <w:pStyle w:val="Heading4"/>
        <w:numPr>
          <w:ilvl w:val="3"/>
          <w:numId w:val="1"/>
        </w:numPr>
        <w:rPr/>
      </w:pPr>
      <w:bookmarkStart w:id="206" w:name="__RefHeading___Toc2495307_2142443653"/>
      <w:bookmarkStart w:id="207" w:name="_Toc69"/>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واستدلّ للمطلوب</w:t>
      </w:r>
      <w:r>
        <w:rPr>
          <w:rStyle w:val="FootnoteAnchor"/>
          <w:rtl w:val="true"/>
        </w:rPr>
        <w:footnoteReference w:id="268"/>
      </w:r>
      <w:r>
        <w:rPr>
          <w:rFonts w:ascii="IRNazanin" w:hAnsi="IRNazanin" w:eastAsia="IRNazanin"/>
          <w:color w:val="111111"/>
          <w:sz w:val="28"/>
          <w:sz w:val="28"/>
          <w:szCs w:val="28"/>
          <w:rtl w:val="true"/>
          <w:lang w:bidi="fa-IR"/>
        </w:rPr>
        <w:t>أيضاً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والمسلمون عند شروطهم</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بدعوى شمول الشروط للابتدائية منها، تمسّكاً بالتبادر، وجملة من الروايات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495309_2142443653"/>
      <w:bookmarkStart w:id="209" w:name="_Toc70"/>
      <w:bookmarkEnd w:id="208"/>
      <w:r>
        <w:rPr>
          <w:rtl w:val="true"/>
        </w:rPr>
        <w:t>بحث في معنى الشرط</w:t>
      </w:r>
      <w:bookmarkEnd w:id="209"/>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في العرف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الحدثي، ومنه المشتقّات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يلزم من عدمه العدم، من دون ملاحظة أنّه يلزم من وجوده </w:t>
      </w:r>
    </w:p>
    <w:p>
      <w:pPr>
        <w:pStyle w:val="BookText"/>
        <w:rPr/>
      </w:pPr>
      <w:r>
        <w:rPr>
          <w:rFonts w:ascii="Amiri" w:hAnsi="Amiri" w:eastAsia="Amiri" w:cs="Amiri"/>
          <w:color w:val="111111"/>
          <w:sz w:val="28"/>
          <w:sz w:val="28"/>
          <w:szCs w:val="28"/>
          <w:rtl w:val="true"/>
          <w:lang w:bidi="ar-SA"/>
        </w:rPr>
        <w:t xml:space="preserve">الوجود أو لا، وهو بهذا المعنى جامد، واشتقاق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ليس على الأصل، ولهذا ليسا بمتضايفين في الفعل والانفعال،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اصطلاح النحاة وأهل المعقول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تكلّف بعض المحشّين، وتصدّى لإرجاع الثاني إلى الأوّل، وجعله من المشتقّات</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لإرجاع جميع المعاني إلى معنىً واحد، وهو تقيّد أمر بآخر إمّا واقعاً، أو بجعل جاعل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كلمات اللغويين أنّ الإلزام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في 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معانيه، وأمّا المعنى الثاني فلم أرَ شاهداً عليه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إلزام الشيء والتزامه في البيع ونحوه، وجمعه الشروط</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أنّهما بصدد بيان ماهية المعنى اللغوي، لا بعض مصاديقها، ولو كان الشرط عندهما مطلق الإلزام والالتزام كان التقييد لغواً، بل مخلاًّ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الظاهر منهما أنّه الالتزام الذي ظرفه البيع، لا أنّ البيع معلّق عليه أو متقيّد به؛ ضرورة أنّ البيع المعلّق على الشرط لا يكون الشرط فيه، وكذا الحال في المتقيّد، فالظاهر منهما ما لدى الفقهاء من الشروط في ضمن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قولهما في خلال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كلّ منهما على صاحبه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الشرط عديّ بن جَبَلَة، شرط على قومه أن لا يدفن ميّت حتّى يخطّ هو موضع قبره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لا دلالة فيه على كونه بمعنى مطلق الإلزام، بل كلامهما في شرح الماهية قرينة على المراد منه في خلال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عليه كذا في البيع ونحوه ألزمه إيّاه، فالتزم هو لما اشترط عليه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أيضاً نحو ما تقدّم، وإن كان دونه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إلزام الشيء والتزامه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الإطلاق، وإن كان مسبوقاً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عليه في بيع ونحوه ألزمه شيئاً فيه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يشعر بكونه مطلق الإلزام أو العهد ما عن أصبغ بن نباتة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ضمنّا له الذبح، وضمن لنا الفتح</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ضعيف؛ لكونه مخالفاً لقول جلّ أهل اللغة في وجه التسمية، مع احتمال كون الضمان في عقد البيعة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الشرط بالمعنى الثاني، فهو معنىً عرفي كما ادّعاه الشيخ</w:t>
      </w:r>
      <w:r>
        <w:rPr>
          <w:rStyle w:val="FootnoteAnchor"/>
          <w:rtl w:val="true"/>
        </w:rPr>
        <w:footnoteReference w:id="282"/>
      </w:r>
      <w:r>
        <w:rPr>
          <w:rFonts w:ascii="Amiri" w:hAnsi="Amiri" w:eastAsia="Amiri" w:cs="Amiri"/>
          <w:color w:val="111111"/>
          <w:sz w:val="28"/>
          <w:sz w:val="28"/>
          <w:szCs w:val="28"/>
          <w:rtl w:val="true"/>
          <w:lang w:bidi="ar-SA"/>
        </w:rPr>
        <w:t>ولم يظهر من اللغة أنّه أحد معانيه، ولعلّه دعا بعض المحشّين إلى التكلّف بإرجاعه إلى الأوّل، وإلى المعنى الاشتقاقي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بعيداً أخذه من الشريط؛ بمعنى الخوص المفتول، يشرّط به السرير ونحوه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في المقام تحصيل المعنى الأوّل؛ هل هو في اللغة والعرف بمعنى الإلزام والالتزام في البيع ونحوه، أو مطلق الالتزام؟</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اللغويين مختلفة، لا يمكن الاتّكال عليها، ولا تصحّ تخطئة الطائفة الاُولى بمجرّد استعماله في الأخبار</w:t>
      </w:r>
      <w:r>
        <w:rPr>
          <w:rStyle w:val="FootnoteAnchor"/>
          <w:rtl w:val="true"/>
        </w:rPr>
        <w:footnoteReference w:id="285"/>
      </w:r>
      <w:r>
        <w:rPr>
          <w:rFonts w:ascii="Amiri" w:hAnsi="Amiri" w:eastAsia="Amiri" w:cs="Amiri"/>
          <w:color w:val="111111"/>
          <w:sz w:val="28"/>
          <w:sz w:val="28"/>
          <w:szCs w:val="28"/>
          <w:rtl w:val="true"/>
          <w:lang w:bidi="ar-SA"/>
        </w:rPr>
        <w:t>في الشرط الابتدائي؛ لأنّه أعمّ، ولا سيّما بعد قيام القرينة كما في بعض الروايات الآتية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متفرّد بذلك، بل فيما رأيت من اللغة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متفرّد فيما قال، كما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 في جعل الشرط في البيع بمعنى العلامة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الشرط ليس بمعنى مطلق الجعل والقرار، فلا يقال </w:t>
      </w:r>
    </w:p>
    <w:p>
      <w:pPr>
        <w:pStyle w:val="BookText"/>
        <w:rPr/>
      </w:pPr>
      <w:r>
        <w:rPr>
          <w:rFonts w:ascii="Amiri" w:hAnsi="Amiri" w:eastAsia="Amiri" w:cs="Amiri"/>
          <w:color w:val="111111"/>
          <w:sz w:val="28"/>
          <w:sz w:val="28"/>
          <w:szCs w:val="28"/>
          <w:rtl w:val="true"/>
          <w:lang w:bidi="ar-SA"/>
        </w:rPr>
        <w:t>لجعل النصب والإشارات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مطلق الجعل المستتبع للإلزام والضيق، كما ادّعاه بعض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الشيخ الأنصاري</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فلا يقال لجعل الأمارة الشرعية المستتبعة للضيق والإلزام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بمعنى لزوم شيء لشيءٍ كما ادّعاه بعض آخر</w:t>
      </w:r>
      <w:r>
        <w:rPr>
          <w:rStyle w:val="FootnoteAnchor"/>
          <w:rtl w:val="true"/>
        </w:rPr>
        <w:footnoteReference w:id="289"/>
      </w:r>
      <w:r>
        <w:rPr>
          <w:rFonts w:ascii="Amiri" w:hAnsi="Amiri" w:eastAsia="Amiri" w:cs="Amiri"/>
          <w:color w:val="111111"/>
          <w:sz w:val="28"/>
          <w:sz w:val="28"/>
          <w:szCs w:val="28"/>
          <w:rtl w:val="true"/>
          <w:lang w:bidi="ar-SA"/>
        </w:rPr>
        <w:t>فلا يقال للحجّية المجعولة لخبر الواحد مثلاً باعتبار لزومها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لجعل الوجوب للصلاة باعتبار لزومه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 للصلاة ليس باعتبار اللزوم، بل باعتبار تعليقها عليها، وعدمها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شبهة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على الإلزام والالتزام في ضمن المعاملات، سواء كان الإلزام أو الاشتراط بعنوانهما أو بالحمل الشائع، بل الظاهر أنّ مطلق الجعل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إلزاماً أم مستتبعاً له، أم كان الإلزام من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معنىً آخر في العرف، وهو ما علّق عليه شيء تشريعاً وجعلاً، أو تكويناً وخارجاً، فيصدق على نحو الجعالة، والسباق وسائر الشروط المتداولة بين الناس؛ ممّا جعل شيء معلّقاً على شيء، فيقال للمعلّق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الشرط المصطلح النحوي، فلا تغفل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يطلق بهذا المعنى أيضاً على ما يتوقّف عليه وجود شيء، ويلزم من عدمه العدم، فهل هذا معنىً جامد، فيكون الشرط هو ما يلزم 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الذوات الجامدة الكذائية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الشيخ</w:t>
      </w:r>
      <w:r>
        <w:rPr>
          <w:rStyle w:val="FootnoteAnchor"/>
          <w:rtl w:val="true"/>
        </w:rPr>
        <w:footnoteReference w:id="290"/>
      </w:r>
      <w:r>
        <w:rPr>
          <w:rFonts w:ascii="Amiri" w:hAnsi="Amiri" w:eastAsia="Amiri" w:cs="Amiri"/>
          <w:color w:val="111111"/>
          <w:sz w:val="28"/>
          <w:sz w:val="28"/>
          <w:szCs w:val="28"/>
          <w:rtl w:val="true"/>
          <w:lang w:bidi="ar-SA"/>
        </w:rPr>
        <w:t xml:space="preserve">، أو معنىً حدثي </w:t>
      </w:r>
    </w:p>
    <w:p>
      <w:pPr>
        <w:pStyle w:val="BookText"/>
        <w:rPr/>
      </w:pPr>
      <w:r>
        <w:rPr>
          <w:rFonts w:ascii="Amiri" w:hAnsi="Amiri" w:eastAsia="Amiri" w:cs="Amiri"/>
          <w:color w:val="111111"/>
          <w:sz w:val="28"/>
          <w:sz w:val="28"/>
          <w:szCs w:val="28"/>
          <w:rtl w:val="true"/>
          <w:lang w:bidi="ar-SA"/>
        </w:rPr>
        <w:t>اشتقاقي، كما تكلّف لإثباته بعض أهل التحقيق</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تبعد صحّة ما ذهب إليه الشيخ وكونه موافقاً للعرف؛ لأنّ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مثل الوضوء للصلاة وعلى مطلق الأسباب والعلل، إنّما هو لأجل أنّ عدمها يوجب عدم ما يتوقّف عليها، ولا ينقدح في الأذهان اللزوم والملازمة ونحوهما، وإن كان مثله لازم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ذلك معنىً حدثي اشتقاقي، لكن لا تنبغي الشبهة في أنّ هذا المعنى التعليقي غير ذلك 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فالإلزام والالتزام في ضمن المعاملات معنىً مخالف لكون الشيء موقوفاً عليه أو ملزوماً لشيء، ولا جامع بينهما؛ ضرورة أنّ المجعول في ضمن المعاملة في العرف واللغة ليست المعاملة معلّقة عليه، لعدم توقّف وجودها على وجوده، فهي معنىً تنجيزي، يشترط في ضمنها شيء على أحد المتعاملين مثلاً، فلا يكون قرارهما معلّقاً، بل من قبيل قرار في قرار، وإن كان حكمه العقلائي ثبوت الخيار للمشروط له لو لم يعمل المشروط عليه بالشرط، وهو أمر غير التعليق والتوقّف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 المشروط له بالعمل والوفاء بالعقد موقوف على عمل المشروط عليه بالشرط، فإنّ ذلك من الأحكام العقلائية للشرط، لا معنى الشرط في العقد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بينهما لزوم شيء لشيء</w:t>
      </w:r>
      <w:r>
        <w:rPr>
          <w:rStyle w:val="FootnoteAnchor"/>
          <w:rtl w:val="true"/>
        </w:rPr>
        <w:footnoteReference w:id="292"/>
      </w:r>
      <w:r>
        <w:rPr>
          <w:rFonts w:ascii="IRNazanin" w:hAnsi="IRNazanin" w:eastAsia="IRNazanin"/>
          <w:color w:val="111111"/>
          <w:sz w:val="28"/>
          <w:sz w:val="28"/>
          <w:szCs w:val="28"/>
          <w:rtl w:val="true"/>
          <w:lang w:bidi="fa-IR"/>
        </w:rPr>
        <w:t xml:space="preserve">،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عن أنّ هذا </w:t>
      </w:r>
    </w:p>
    <w:p>
      <w:pPr>
        <w:pStyle w:val="BookText"/>
        <w:rPr/>
      </w:pPr>
      <w:r>
        <w:rPr>
          <w:rFonts w:ascii="Amiri" w:hAnsi="Amiri" w:eastAsia="Amiri" w:cs="Amiri"/>
          <w:color w:val="111111"/>
          <w:sz w:val="28"/>
          <w:sz w:val="28"/>
          <w:szCs w:val="28"/>
          <w:rtl w:val="true"/>
          <w:lang w:bidi="ar-SA"/>
        </w:rPr>
        <w:t xml:space="preserve">معنىً عامّ لمطلق لزوم شيء لشيء، وهو أعمّ منهما، لا 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الشروط الضمنية ليس شيء لازماً لشيء؛ للفرق بين جعل شيء في ضمن شيء وجعله لازماً له، ولا ملازمة بينهما، ولو فرض تحقّق اللزوم أيضاً يكون ذلك لازم الجعل، لا عينه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كون شيء لازم شيء، ليس من الشرط بالمعنى الثاني أيضاً؛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حدثيته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المجعول الابتدائي والمعنى المطابقي هو تعليق شيء على شيء، فلا يكون ذلك جامعاً بينهما، ولا معنى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كون الجامع تقيّد شيء بشيء</w:t>
      </w:r>
      <w:r>
        <w:rPr>
          <w:rStyle w:val="FootnoteAnchor"/>
          <w:rtl w:val="true"/>
        </w:rPr>
        <w:footnoteReference w:id="293"/>
      </w:r>
      <w:r>
        <w:rPr>
          <w:rFonts w:ascii="Amiri" w:hAnsi="Amiri" w:eastAsia="Amiri" w:cs="Amiri"/>
          <w:color w:val="111111"/>
          <w:sz w:val="28"/>
          <w:sz w:val="28"/>
          <w:szCs w:val="28"/>
          <w:rtl w:val="true"/>
          <w:lang w:bidi="ar-SA"/>
        </w:rPr>
        <w:t>، ليس بشيء؛ لأنّ الشروط الضمنية ليست قيداً للبيع ولا المبيع، فإذا باع حماراً بدينار، وشرط عليه زيارة بيت اللّه، لا يكون بيعه مقيّداً بها، وهو واضح، وليس المبيع عبارة عن الحمار المقيّد بزيارة بيت اللّه، بل المبيع هو الحمار، والشرط أمر آخر جعل في ضمن البيع، ولهذا كان له خيار تخلّف الشرط لدى العقلاء، لا خيار تخلّف الوصف والقيد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مع عدم الجامع بينهما لا يحمل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على المعنيين؛ إمّا لعدم إمكانه كما قالوا </w:t>
      </w:r>
      <w:r>
        <w:rPr>
          <w:rStyle w:val="FootnoteAnchor"/>
          <w:rtl w:val="true"/>
        </w:rPr>
        <w:footnoteReference w:id="295"/>
      </w:r>
      <w:r>
        <w:rPr>
          <w:rFonts w:ascii="Amiri" w:hAnsi="Amiri" w:eastAsia="Amiri" w:cs="Amiri"/>
          <w:color w:val="111111"/>
          <w:sz w:val="28"/>
          <w:sz w:val="28"/>
          <w:szCs w:val="28"/>
          <w:rtl w:val="true"/>
          <w:lang w:bidi="ar-SA"/>
        </w:rPr>
        <w:t>، أو لعدم الحمل عليه إلاّ مع القرينة</w:t>
      </w:r>
      <w:r>
        <w:rPr>
          <w:rStyle w:val="FootnoteAnchor"/>
          <w:rtl w:val="true"/>
        </w:rPr>
        <w:footnoteReference w:id="296"/>
      </w:r>
      <w:r>
        <w:rPr>
          <w:rFonts w:ascii="Amiri" w:hAnsi="Amiri" w:eastAsia="Amiri" w:cs="Amiri"/>
          <w:color w:val="111111"/>
          <w:sz w:val="28"/>
          <w:sz w:val="28"/>
          <w:szCs w:val="28"/>
          <w:rtl w:val="true"/>
          <w:lang w:bidi="ar-SA"/>
        </w:rPr>
        <w:t xml:space="preserve">لكونه خلاف المتعارف، فلا بدّ وأن يراد منه أحد معنييه، وقد دلّت </w:t>
      </w:r>
      <w:bookmarkStart w:id="210" w:name="pg15195_150515"/>
    </w:p>
    <w:p>
      <w:pPr>
        <w:pStyle w:val="BookText"/>
        <w:rPr/>
      </w:pPr>
      <w:bookmarkEnd w:id="210"/>
      <w:r>
        <w:rPr>
          <w:rFonts w:ascii="Amiri" w:hAnsi="Amiri" w:eastAsia="Amiri" w:cs="Amiri"/>
          <w:color w:val="111111"/>
          <w:sz w:val="28"/>
          <w:sz w:val="28"/>
          <w:szCs w:val="28"/>
          <w:rtl w:val="true"/>
          <w:lang w:bidi="ar-SA"/>
        </w:rPr>
        <w:t xml:space="preserve">النصوص على إرادة المعنى الأوّل منه، ولا دلالة على إرادة الثاني إلاّ توهّم دلالة بعض الروايات عليها، وسيأتي الكلام فيها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2495311_2142443653"/>
      <w:bookmarkStart w:id="212" w:name="_Toc71"/>
      <w:bookmarkEnd w:id="211"/>
      <w:r>
        <w:rPr>
          <w:rtl w:val="true"/>
        </w:rPr>
        <w:t>في شمول الشرط بالمعنى الحدثي للالتزامات الابتدائية</w:t>
      </w:r>
      <w:bookmarkEnd w:id="212"/>
    </w:p>
    <w:p>
      <w:pPr>
        <w:pStyle w:val="BookText"/>
        <w:rPr/>
      </w:pPr>
      <w:r>
        <w:rPr>
          <w:rFonts w:ascii="Amiri" w:hAnsi="Amiri" w:eastAsia="Amiri" w:cs="Amiri"/>
          <w:color w:val="111111"/>
          <w:sz w:val="28"/>
          <w:sz w:val="28"/>
          <w:szCs w:val="28"/>
          <w:rtl w:val="true"/>
          <w:lang w:bidi="ar-SA"/>
        </w:rPr>
        <w:t>ثمّ على فرض إرادة المعنى الأوّل، فهل تشمل الالتزامات الابتدائية أو لا؟</w:t>
      </w:r>
    </w:p>
    <w:p>
      <w:pPr>
        <w:pStyle w:val="BookText"/>
        <w:rPr/>
      </w:pPr>
      <w:r>
        <w:rPr>
          <w:rFonts w:ascii="Amiri" w:hAnsi="Amiri" w:eastAsia="Amiri" w:cs="Amiri"/>
          <w:color w:val="111111"/>
          <w:sz w:val="28"/>
          <w:sz w:val="28"/>
          <w:szCs w:val="28"/>
          <w:rtl w:val="true"/>
          <w:lang w:bidi="ar-SA"/>
        </w:rPr>
        <w:t xml:space="preserve">الظاهر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الضمني، ولا يطلق على الابتدائي بنحو الحقيقة، فإذا التزم إتيان شيء،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في الشمول، ودعوى تبادر الأعمّ</w:t>
      </w:r>
      <w:r>
        <w:rPr>
          <w:rStyle w:val="FootnoteAnchor"/>
          <w:rtl w:val="true"/>
        </w:rPr>
        <w:footnoteReference w:id="298"/>
      </w:r>
      <w:r>
        <w:rPr>
          <w:rFonts w:ascii="Amiri" w:hAnsi="Amiri" w:eastAsia="Amiri" w:cs="Amiri"/>
          <w:color w:val="111111"/>
          <w:sz w:val="28"/>
          <w:sz w:val="28"/>
          <w:szCs w:val="28"/>
          <w:rtl w:val="true"/>
          <w:lang w:bidi="ar-SA"/>
        </w:rPr>
        <w:t>ضعيفة، واستعماله في الروايات أو غيرها في الابتدائي أعمّ من الحقيقة، مع إمكان التفصّي عن الجلّ أو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آكد</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فقرينة مجاز المشاكلة فيه موجودة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في الحيوان ثلاثة أيّام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 على الخيار لا يبعد أن يكون باعتبار أنّ جواز العقد وعدم لزومه معلّق عليه ومشروط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ينقضي الشرط ويصير المبيع للمشتري</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ثلاثة أيّام فقد وجب الشراء</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بعض فقرات دعاء التوبة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لي محبّتك كما شرطت، ولك يا ربِّ شرطي أن لا أعود</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فلأنّ الحبّ معلّق على التوبة، والشرط في الفقرة الثانية ضمني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إطلاقه على البيع في روايات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سلعة بثمن حالاًّ، وبأزيد منه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ينهاهم عن شرطين في بيع</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صلی الله علیه و آله وسلم عن بيعين في بيع</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والمراد منهما واحد ظاهراً، وهو بيع سلعة بثمنين حالاًّ ومؤجّلاً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لأجل كونه في قوّة الشرط، </w:t>
      </w:r>
    </w:p>
    <w:p>
      <w:p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حالاًّ فبكذا، وإن كان مؤجّلاً فبكذا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الاعتبار يكون شرطاً، وباعتبار التبادل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بيعان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الطعام وتغيّر السعر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Style w:val="FootnoteAnchor"/>
          <w:rtl w:val="true"/>
        </w:rPr>
        <w:footnoteReference w:id="308"/>
      </w:r>
      <w:r>
        <w:rPr>
          <w:rFonts w:ascii="Amiri" w:hAnsi="Amiri" w:eastAsia="Amiri" w:cs="Amiri"/>
          <w:color w:val="111111"/>
          <w:sz w:val="28"/>
          <w:sz w:val="28"/>
          <w:szCs w:val="28"/>
          <w:rtl w:val="true"/>
          <w:lang w:bidi="ar-SA"/>
        </w:rPr>
        <w:t>يظنّ منها إطلاقه على البيع</w:t>
      </w:r>
      <w:r>
        <w:rPr>
          <w:rStyle w:val="FootnoteAnchor"/>
          <w:rtl w:val="true"/>
        </w:rPr>
        <w:footnoteReference w:id="309"/>
      </w:r>
      <w:r>
        <w:rPr>
          <w:rFonts w:ascii="IRNazanin" w:hAnsi="IRNazanin" w:eastAsia="IRNazanin"/>
          <w:color w:val="111111"/>
          <w:sz w:val="28"/>
          <w:sz w:val="28"/>
          <w:szCs w:val="28"/>
          <w:rtl w:val="true"/>
          <w:lang w:bidi="fa-IR"/>
        </w:rPr>
        <w:t>أو مطلق القرار</w:t>
      </w:r>
      <w:r>
        <w:rPr>
          <w:rStyle w:val="FootnoteAnchor"/>
          <w:rtl w:val="true"/>
        </w:rPr>
        <w:footnoteReference w:id="310"/>
      </w:r>
      <w:r>
        <w:rPr>
          <w:rFonts w:ascii="Amiri" w:hAnsi="Amiri" w:eastAsia="Amiri" w:cs="Amiri"/>
          <w:color w:val="111111"/>
          <w:sz w:val="28"/>
          <w:sz w:val="28"/>
          <w:szCs w:val="28"/>
          <w:rtl w:val="true"/>
          <w:lang w:bidi="ar-SA"/>
        </w:rPr>
        <w:t>، وكذا في باب السلف</w:t>
      </w:r>
      <w:r>
        <w:rPr>
          <w:rStyle w:val="FootnoteAnchor"/>
          <w:rtl w:val="true"/>
        </w:rPr>
        <w:footnoteReference w:id="311"/>
      </w:r>
      <w:r>
        <w:rPr>
          <w:rFonts w:ascii="Amiri" w:hAnsi="Amiri" w:eastAsia="Amiri" w:cs="Amiri"/>
          <w:color w:val="111111"/>
          <w:sz w:val="28"/>
          <w:sz w:val="28"/>
          <w:szCs w:val="28"/>
          <w:rtl w:val="true"/>
          <w:lang w:bidi="ar-SA"/>
        </w:rPr>
        <w:t>وغيره</w:t>
      </w:r>
      <w:r>
        <w:rPr>
          <w:rStyle w:val="FootnoteAnchor"/>
          <w:rtl w:val="true"/>
        </w:rPr>
        <w:footnoteReference w:id="312"/>
      </w:r>
      <w:r>
        <w:rPr>
          <w:rFonts w:ascii="Amiri" w:hAnsi="Amiri" w:eastAsia="Amiri" w:cs="Amiri"/>
          <w:color w:val="111111"/>
          <w:sz w:val="28"/>
          <w:sz w:val="28"/>
          <w:szCs w:val="28"/>
          <w:rtl w:val="true"/>
          <w:lang w:bidi="ar-SA"/>
        </w:rPr>
        <w:t>، والكلّ قابلة للتوجيه والإرجاع إلى الشرط بمعنى التعليق، أو الشرط الضمني، فلا فائدة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الروايتان الواردتان 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بهما اللغة،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إجراء حكم الشروط في الابتدائية بهما ولو للإلحاق حكماً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منصور بزرج</w:t>
      </w:r>
      <w:r>
        <w:rPr>
          <w:rStyle w:val="FootnoteAnchor"/>
          <w:rtl w:val="true"/>
        </w:rPr>
        <w:footnoteReference w:id="313"/>
      </w:r>
      <w:r>
        <w:rPr>
          <w:rFonts w:ascii="IRNazanin" w:hAnsi="IRNazanin" w:eastAsia="IRNazanin"/>
          <w:color w:val="111111"/>
          <w:sz w:val="28"/>
          <w:sz w:val="28"/>
          <w:szCs w:val="28"/>
          <w:rtl w:val="true"/>
          <w:lang w:bidi="fa-IR"/>
        </w:rPr>
        <w:t>،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مواليك تزوّج امرأة، ثمّ طلّقها فبانت منه، فأراد أن يراجعها، فأبت عليه إلاّ أن يجعل للّه عليه أن لا يطلّقها، ولا يتزوّج عليها، فأعطاها ذلك، ثمّ بدا </w:t>
      </w:r>
    </w:p>
    <w:p>
      <w:pPr>
        <w:pStyle w:val="BookText"/>
        <w:rPr/>
      </w:pPr>
      <w:r>
        <w:rPr>
          <w:rFonts w:ascii="Amiri" w:hAnsi="Amiri" w:eastAsia="Amiri" w:cs="Amiri"/>
          <w:color w:val="111111"/>
          <w:sz w:val="28"/>
          <w:sz w:val="28"/>
          <w:szCs w:val="28"/>
          <w:rtl w:val="true"/>
          <w:lang w:bidi="ar-SA"/>
        </w:rPr>
        <w:t>له في التزويج بعد ذلك، فكيف يصنع؟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صنع، وما كان يُدريه ما يقع في قلبه بالليل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فليفِ للمرأة بشرطها؛ فإنَّ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منها كون عقد الزواج مبنيّاً على الشرط، إمّا في ضمنه صريحاً، أو بنحو يعدّ في ضمنه عرفاً، كما إذا كان إجراء العقد بعد المقاولة مبنيّاً عليه، ولا مضايقة في كون نحو هذه الشروط مشمولاً للأدلّة، وصادقاً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الإلحاق الحكمي إنّما يتمّ لو سلمت الرواية عن الإشكال، وهو معارضتها بما دلّت على بطلان هذا النحو من الشروط</w:t>
      </w:r>
      <w:r>
        <w:rPr>
          <w:rStyle w:val="FootnoteAnchor"/>
          <w:rtl w:val="true"/>
        </w:rPr>
        <w:footnoteReference w:id="315"/>
      </w:r>
      <w:r>
        <w:rPr>
          <w:rFonts w:ascii="Amiri" w:hAnsi="Amiri" w:eastAsia="Amiri" w:cs="Amiri"/>
          <w:color w:val="111111"/>
          <w:sz w:val="28"/>
          <w:sz w:val="28"/>
          <w:szCs w:val="28"/>
          <w:rtl w:val="true"/>
          <w:lang w:bidi="ar-SA"/>
        </w:rPr>
        <w:t>، ولهذا حملت على التقيّة أو الاستحباب</w:t>
      </w:r>
      <w:r>
        <w:rPr>
          <w:rStyle w:val="FootnoteAnchor"/>
          <w:rtl w:val="true"/>
        </w:rPr>
        <w:footnoteReference w:id="316"/>
      </w:r>
      <w:r>
        <w:rPr>
          <w:rFonts w:ascii="Amiri" w:hAnsi="Amiri" w:eastAsia="Amiri" w:cs="Amiri"/>
          <w:color w:val="111111"/>
          <w:sz w:val="28"/>
          <w:sz w:val="28"/>
          <w:szCs w:val="28"/>
          <w:rtl w:val="true"/>
          <w:lang w:bidi="ar-SA"/>
        </w:rPr>
        <w:t>، ومحلّ الكلام فيها باب الشروط</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ابن سنان،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نكحت عليك أو تسرّيت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بشيء؛ 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سوى كتاب اللّه فلا يجوز ذلك له ولا عليه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13" w:name="pg15195_150519"/>
    </w:p>
    <w:p>
      <w:pPr>
        <w:pStyle w:val="BookText"/>
        <w:rPr/>
      </w:pPr>
      <w:bookmarkEnd w:id="213"/>
      <w:r>
        <w:rPr>
          <w:rFonts w:ascii="Amiri" w:hAnsi="Amiri" w:eastAsia="Amiri" w:cs="Amiri"/>
          <w:color w:val="111111"/>
          <w:sz w:val="28"/>
          <w:sz w:val="28"/>
          <w:szCs w:val="28"/>
          <w:rtl w:val="true"/>
          <w:lang w:bidi="ar-SA"/>
        </w:rPr>
        <w:t>حيث يظهر من استدلاله أنّ شرطيته مفروغ عنها، وعدم الجواز لمخالفته لكتاب اللّه، ولا أقلّ من إثبات الإلحاق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قوّة احتمال أن يكون الشرط في ضمن العقد ولو بنحو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استدلاله مبنيّ على التقيّة؛ ضرورة أنّ الطلاق لا يقع بهذا النحو، سواء كان الشرط سائغاً أم لا، ولعلّ مبنى الناس دخول هذا النحو من الالتزام في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لقرائن عندهم، لا لاقتضاء العرف واللغة</w:t>
      </w:r>
      <w:r>
        <w:rPr>
          <w:rFonts w:eastAsia="IRNazanin" w:cs="IRNazanin"/>
          <w:color w:val="111111"/>
          <w:sz w:val="28"/>
          <w:szCs w:val="28"/>
          <w:rtl w:val="true"/>
          <w:lang w:bidi="fa-IR"/>
        </w:rPr>
        <w:t>.</w:t>
      </w:r>
    </w:p>
    <w:p>
      <w:pPr>
        <w:pStyle w:val="Heading4"/>
        <w:numPr>
          <w:ilvl w:val="3"/>
          <w:numId w:val="1"/>
        </w:numPr>
        <w:rPr/>
      </w:pPr>
      <w:bookmarkStart w:id="214" w:name="__RefHeading___Toc2495313_2142443653"/>
      <w:bookmarkStart w:id="215" w:name="_Toc72"/>
      <w:bookmarkEnd w:id="214"/>
      <w:r>
        <w:rPr>
          <w:rtl w:val="true"/>
        </w:rPr>
        <w:t>عدم شمول الشروط الابتدائية للمعاملات</w:t>
      </w:r>
      <w:bookmarkEnd w:id="215"/>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بنينا على أعمّية الشرط للشروط 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عرفاً ولغةً، أو إلحاقاً وتعبّداً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ذلك الالتزام بدخول البيع وغيره من المعاملات فيها؛ بداهة أنّه لا يكون الإلزام والالتزام معنىً مطابقياً للمعاملات، ولا التزامياً لها، لأنّ البيع مبادلة خاصّة، أو تمليك عين بعوض، وهو عنوان غير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على لزوم بعض المعاملات غير كونها الإلزام والالتزام، كما أنّ التزام المتعاملين بالعمل على المعاملة غير كونها إلزاماً والتزاماً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بأنّ الشرط مطلق الجعل والقرار، لكان البيع ونحوه داخلاً فيه، وكذا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مطلق القرار المستتبع للالتزام، ولو مع عدم الدلالة عليه حتّى الدلالة الالتزامية، لكنّهما ضعيفان كما تقدّم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16" w:name="pg15195_150520"/>
    </w:p>
    <w:p>
      <w:pPr>
        <w:pStyle w:val="BookText"/>
        <w:rPr/>
      </w:pPr>
      <w:bookmarkEnd w:id="216"/>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تسالمهم على أنّ الشرط لو شمل الابتدائي يكون البيع ونحوه داخلاً فيه، غير مرضيّ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يبعد إلغاء الخصوصية عرفاً من الشروط الضمنية إلى الابتدائية، بل إلى مطلق القرار والجعل؛ بمناسبة الحكم والموضوع،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يفهمون من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يكون المؤمن ملزماً به هو جعله وقراره، من غير دخالة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فالضمنية والابتدائية والشرط وسائر عهوده على السواء في ذلك، فتأمّل، وربّما تأتي تتمّة لذلك</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2495315_2142443653"/>
      <w:bookmarkStart w:id="218" w:name="_Toc73"/>
      <w:bookmarkEnd w:id="217"/>
      <w:r>
        <w:rPr>
          <w:rtl w:val="true"/>
        </w:rPr>
        <w:t>دلالة الحديث على نفوذ الشرط</w:t>
      </w:r>
      <w:bookmarkEnd w:id="218"/>
    </w:p>
    <w:p>
      <w:pPr>
        <w:pStyle w:val="BookText"/>
        <w:rPr/>
      </w:pPr>
      <w:r>
        <w:rPr>
          <w:rFonts w:ascii="Amiri" w:hAnsi="Amiri" w:eastAsia="Amiri" w:cs="Amiri"/>
          <w:color w:val="111111"/>
          <w:sz w:val="28"/>
          <w:sz w:val="28"/>
          <w:szCs w:val="28"/>
          <w:rtl w:val="true"/>
          <w:lang w:bidi="ar-SA"/>
        </w:rPr>
        <w:t xml:space="preserve">ثمّ إنّه لا شبهة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نفوذ الشرط،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التكليف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وإلى وجهه في الأدلّة السابقة فراجع</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الوضع منه؛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اُمور اعتبارية، لا معنى لكون المسلم عندها على الحقيقة، فيكون الكلام مبنيّاً على ادّعاء كون الشروط اُموراً متمثّلة حسّاً؛ بحيث يصحّ القيام عندها، ولا تصحّ الدعوى إلاّ إذا كانت الشروط معتبرة عند الشارع، فلو كانت ملغاة عنده وبحكم العدم كانت غير صحيحة، فصحّتها منوطة بإنفاذها واعتبارها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القضيّة جملة خبرية استعملت في معناها الإخباري، لكن </w:t>
      </w:r>
    </w:p>
    <w:p>
      <w:pPr>
        <w:pStyle w:val="BookText"/>
        <w:rPr/>
      </w:pPr>
      <w:r>
        <w:rPr>
          <w:rFonts w:ascii="Amiri" w:hAnsi="Amiri" w:eastAsia="Amiri" w:cs="Amiri"/>
          <w:color w:val="111111"/>
          <w:sz w:val="28"/>
          <w:sz w:val="28"/>
          <w:szCs w:val="28"/>
          <w:rtl w:val="true"/>
          <w:lang w:bidi="ar-SA"/>
        </w:rPr>
        <w:t>بداعي الإنشاء وجعل الداعي، كما في الأشباه والنظائر، فيستفاد منه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 وتكليفي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الحكم التكليفي تعبّدي مولوي إيجابي أو استحبابي، أم إرشاد إلى حكم العقلاء بلزوم العمل بها؟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كلام يأتي</w:t>
      </w:r>
      <w:r>
        <w:rPr>
          <w:rStyle w:val="FootnoteAnchor"/>
          <w:rtl w:val="true"/>
        </w:rPr>
        <w:footnoteReference w:id="322"/>
      </w:r>
      <w:r>
        <w:rPr>
          <w:rFonts w:ascii="Amiri" w:hAnsi="Amiri" w:eastAsia="Amiri" w:cs="Amiri"/>
          <w:color w:val="111111"/>
          <w:sz w:val="28"/>
          <w:sz w:val="28"/>
          <w:szCs w:val="28"/>
          <w:rtl w:val="true"/>
          <w:lang w:bidi="ar-SA"/>
        </w:rPr>
        <w:t>إن شاء اللّه تعالى في بحث الشروط مع سائر المباحث المربوطة بها</w:t>
      </w:r>
      <w:r>
        <w:rPr>
          <w:rFonts w:eastAsia="Amiri" w:cs="Amiri" w:ascii="Amiri" w:hAnsi="Amiri"/>
          <w:color w:val="111111"/>
          <w:sz w:val="28"/>
          <w:szCs w:val="28"/>
          <w:rtl w:val="true"/>
          <w:lang w:bidi="ar-SA"/>
        </w:rPr>
        <w:t xml:space="preserve">. </w:t>
      </w:r>
      <w:bookmarkStart w:id="219" w:name="pg15195_150522"/>
    </w:p>
    <w:p>
      <w:pPr>
        <w:pStyle w:val="Heading3"/>
        <w:numPr>
          <w:ilvl w:val="2"/>
          <w:numId w:val="1"/>
        </w:numPr>
        <w:rPr/>
      </w:pPr>
      <w:bookmarkStart w:id="220" w:name="__RefHeading___Toc2495317_2142443653"/>
      <w:bookmarkStart w:id="221" w:name="_Toc74"/>
      <w:bookmarkEnd w:id="219"/>
      <w:bookmarkEnd w:id="220"/>
      <w:r>
        <w:rPr>
          <w:rtl w:val="true"/>
        </w:rPr>
        <w:t>أدلّة لزوم المعاطاة</w:t>
      </w:r>
      <w:bookmarkEnd w:id="221"/>
    </w:p>
    <w:p>
      <w:pPr>
        <w:pStyle w:val="Heading4"/>
        <w:numPr>
          <w:ilvl w:val="3"/>
          <w:numId w:val="1"/>
        </w:numPr>
        <w:rPr/>
      </w:pPr>
      <w:bookmarkStart w:id="222" w:name="__RefHeading___Toc2495319_2142443653"/>
      <w:bookmarkStart w:id="223" w:name="_Toc75"/>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هذا كلّه فيما دلّت على صحّة المعاطاة وإفادتها للملكية، كما في البيع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فهل هي لازمة مطلقاً كما عن ظاهر المفيد</w:t>
      </w:r>
      <w:r>
        <w:rPr>
          <w:rStyle w:val="FootnoteAnchor"/>
          <w:rtl w:val="true"/>
        </w:rPr>
        <w:footnoteReference w:id="323"/>
      </w:r>
      <w:r>
        <w:rPr>
          <w:rFonts w:ascii="Amiri" w:hAnsi="Amiri" w:eastAsia="Amiri" w:cs="Amiri"/>
          <w:color w:val="111111"/>
          <w:sz w:val="28"/>
          <w:sz w:val="28"/>
          <w:szCs w:val="28"/>
          <w:rtl w:val="true"/>
          <w:lang w:bidi="ar-SA"/>
        </w:rPr>
        <w:t>؟ أو إذا كان الدالّ على التراضي لفظاً، كما عن بعض معاصري ثاني الشهيدين</w:t>
      </w:r>
      <w:r>
        <w:rPr>
          <w:rStyle w:val="FootnoteAnchor"/>
          <w:rtl w:val="true"/>
        </w:rPr>
        <w:footnoteReference w:id="324"/>
      </w:r>
      <w:r>
        <w:rPr>
          <w:rFonts w:ascii="Amiri" w:hAnsi="Amiri" w:eastAsia="Amiri" w:cs="Amiri"/>
          <w:color w:val="111111"/>
          <w:sz w:val="28"/>
          <w:sz w:val="28"/>
          <w:szCs w:val="28"/>
          <w:rtl w:val="true"/>
          <w:lang w:bidi="ar-SA"/>
        </w:rPr>
        <w:t>، وعن جماعة من متأخّري المحدّثين</w:t>
      </w:r>
      <w:r>
        <w:rPr>
          <w:rStyle w:val="FootnoteAnchor"/>
          <w:rtl w:val="true"/>
        </w:rPr>
        <w:footnoteReference w:id="325"/>
      </w:r>
      <w:r>
        <w:rPr>
          <w:rFonts w:ascii="Amiri" w:hAnsi="Amiri" w:eastAsia="Amiri" w:cs="Amiri"/>
          <w:color w:val="111111"/>
          <w:sz w:val="28"/>
          <w:sz w:val="28"/>
          <w:szCs w:val="28"/>
          <w:rtl w:val="true"/>
          <w:lang w:bidi="ar-SA"/>
        </w:rPr>
        <w:t>؟ أو غير لازمة مطلقاً كما عن أكثر القائلين بالملكية</w:t>
      </w:r>
      <w:r>
        <w:rPr>
          <w:rStyle w:val="FootnoteAnchor"/>
          <w:rtl w:val="true"/>
        </w:rPr>
        <w:footnoteReference w:id="326"/>
      </w:r>
      <w:r>
        <w:rPr>
          <w:rFonts w:ascii="IRNazanin" w:hAnsi="IRNazanin" w:eastAsia="IRNazanin"/>
          <w:color w:val="111111"/>
          <w:sz w:val="28"/>
          <w:sz w:val="28"/>
          <w:szCs w:val="28"/>
          <w:rtl w:val="true"/>
          <w:lang w:bidi="fa-IR"/>
        </w:rPr>
        <w:t>؟ مقتضى القواعد هو الأوّل</w:t>
      </w:r>
      <w:r>
        <w:rPr>
          <w:rFonts w:eastAsia="IRNazanin" w:cs="IRNazanin"/>
          <w:color w:val="111111"/>
          <w:sz w:val="28"/>
          <w:szCs w:val="28"/>
          <w:rtl w:val="true"/>
          <w:lang w:bidi="fa-IR"/>
        </w:rPr>
        <w:t>.</w:t>
      </w:r>
    </w:p>
    <w:p>
      <w:pPr>
        <w:pStyle w:val="Heading4"/>
        <w:numPr>
          <w:ilvl w:val="3"/>
          <w:numId w:val="1"/>
        </w:numPr>
        <w:rPr/>
      </w:pPr>
      <w:bookmarkStart w:id="224" w:name="__RefHeading___Toc2495321_2142443653"/>
      <w:bookmarkStart w:id="225" w:name="_Toc76"/>
      <w:bookmarkEnd w:id="224"/>
      <w:r>
        <w:rPr>
          <w:rtl w:val="true"/>
        </w:rPr>
        <w:t xml:space="preserve">الدليل الأوّل </w:t>
      </w:r>
      <w:r>
        <w:rPr>
          <w:rtl w:val="true"/>
        </w:rPr>
        <w:t xml:space="preserve">: </w:t>
      </w:r>
      <w:r>
        <w:rPr>
          <w:rtl w:val="true"/>
        </w:rPr>
        <w:t>الاستصحاب</w:t>
      </w:r>
      <w:bookmarkEnd w:id="225"/>
    </w:p>
    <w:p>
      <w:pPr>
        <w:pStyle w:val="Heading5"/>
        <w:numPr>
          <w:ilvl w:val="4"/>
          <w:numId w:val="1"/>
        </w:numPr>
        <w:rPr/>
      </w:pPr>
      <w:bookmarkStart w:id="226" w:name="__RefHeading___Toc2495323_2142443653"/>
      <w:bookmarkStart w:id="227" w:name="_Toc77"/>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واستدلّ عليه باستصحاب بقاء الملك بعد رجوع المالك الأصلي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الاستصحاب كلّي من القسم الثاني، أو شخصي؟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جارٍ في المقام على فرض جريانه في غيره؟ </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معارض بأصلٍ آخر أو لا؟</w:t>
      </w:r>
    </w:p>
    <w:p>
      <w:pPr>
        <w:pStyle w:val="BookText"/>
        <w:rPr/>
      </w:pPr>
      <w:r>
        <w:rPr>
          <w:rFonts w:ascii="Amiri" w:hAnsi="Amiri" w:eastAsia="Amiri" w:cs="Amiri"/>
          <w:color w:val="111111"/>
          <w:sz w:val="28"/>
          <w:sz w:val="28"/>
          <w:szCs w:val="28"/>
          <w:rtl w:val="true"/>
          <w:lang w:bidi="ar-SA"/>
        </w:rPr>
        <w:t>ربّما يقرّر كونه من الثاني بأنّ المعاطاة موجبة للملك، ويتردّد بين كونه متزلزلاً أو مستقرّاً، وبعد الفسخ يتردّد في بقاء الكلّي؛ للشكّ في كونه ما هو مقطوع الزوال، أو مقطوع البقاء، فالأصل على فرض جريانه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 كفاية تحقّق القدر المشترك في الاستصحاب، ثمّ أمر بالتأمّل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وجهه أنّ الكلّي الطبيعي متكثّر الوجود في الخارج، لا جامع بين أفراده خارجاً، بل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 الجامعية والاشتراك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عقلي، لا موجود خارجي، كما حقّق في محلّه</w:t>
      </w:r>
      <w:r>
        <w:rPr>
          <w:rStyle w:val="FootnoteAnchor"/>
          <w:rtl w:val="true"/>
        </w:rPr>
        <w:footnoteReference w:id="329"/>
      </w:r>
      <w:r>
        <w:rPr>
          <w:rFonts w:ascii="Amiri" w:hAnsi="Amiri" w:eastAsia="Amiri" w:cs="Amiri"/>
          <w:color w:val="111111"/>
          <w:sz w:val="28"/>
          <w:sz w:val="28"/>
          <w:szCs w:val="28"/>
          <w:rtl w:val="true"/>
          <w:lang w:bidi="ar-SA"/>
        </w:rPr>
        <w:t>، فالقدر المشترك لا تحقّق له حتّى يستصحب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بعيد عن مذاق الشيخ،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العرف في المقام مخالف لحكم العقل الدقيق البرهاني، فكأنّ قول الرجل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المصادف للشيخ الرئيس</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للحكم العرفي العقلائي، ولهذا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 يوجد بوجود فردٍ ما، وينعدم بعدم جميع أفراده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يكون وجهه ما قلنا في غير المقام</w:t>
      </w:r>
      <w:r>
        <w:rPr>
          <w:rStyle w:val="FootnoteAnchor"/>
          <w:rtl w:val="true"/>
        </w:rPr>
        <w:footnoteReference w:id="332"/>
      </w:r>
      <w:r>
        <w:rPr>
          <w:rFonts w:ascii="Amiri" w:hAnsi="Amiri" w:eastAsia="Amiri" w:cs="Amiri"/>
          <w:color w:val="111111"/>
          <w:sz w:val="28"/>
          <w:sz w:val="28"/>
          <w:szCs w:val="28"/>
          <w:rtl w:val="true"/>
          <w:lang w:bidi="ar-SA"/>
        </w:rPr>
        <w:t>، بأنّ جريان استصحاب الكلّي موقوف على أن يكون المستصحب حكماً شرعياً، أو موضوعاً له، وهما منتفيان في المقام؛ لأنّ المملوك لدى العقلاء والعرف هو الموجودات الخارجية المتكثّرة، والجامع الانتزاعي منها ليس مملوكاً ولا ملكاً في قبال الخصوصيات، فلا يقال لمن ملك بستاناً ودكّاناً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ملك ذاك، وذا، والجامع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ملكية هذا وهذا؛ فإنّ المجموع عين الجميع ذاتاً بنظر العرف، لكنّ الجامع غيرهما، فلو كان الجامع مملوكاً، يكون في المملوكين مملوكات ثلاثة، وهو كما ترى، والشارع أيضاً اعتبر ملكية هذا وذاك دون الجامع، فالمعنى الانتزاعي ليس ملكاً شرعاً ولا عرفاً، فلا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الملك في اعتبار العقلاء أمر كلّي، قابل للصدق على الكثيرين، والخصوصيات الخارجية مصاديقه؛ ضرورة عدم اعتبار العقلاء في كلّ مملوك ملكية مستقلّة باعتبار مستقلّ؛ يقابل الاعتبار الآخر، فالملكية الاعتبارية نظير الماهيات الأصيلة في هذا المعنى، فلا يكون الجامع في قبال المصاديق مملوكاً مستقلاًّ، حتّى تلزم مملوكات ثلاثة في صورة مملوكية المصداقين؛ لأنّ الجامع موجود بعين وجود المصاديق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المعنى الكلّي جامع بين الملكية المستقرّة والمتزلزلة، وموجود عرفاً سابقاً، وشكّ في بقائه، فيستصحب، ويترتّب عليه الحكم، وهو حرمة تصرّف </w:t>
      </w:r>
    </w:p>
    <w:p>
      <w:pPr>
        <w:pStyle w:val="BookText"/>
        <w:rPr/>
      </w:pPr>
      <w:r>
        <w:rPr>
          <w:rFonts w:ascii="Amiri" w:hAnsi="Amiri" w:eastAsia="Amiri" w:cs="Amiri"/>
          <w:color w:val="111111"/>
          <w:sz w:val="28"/>
          <w:sz w:val="28"/>
          <w:szCs w:val="28"/>
          <w:rtl w:val="true"/>
          <w:lang w:bidi="ar-SA"/>
        </w:rPr>
        <w:t>الغير فيه بلا إذنه، وجواز تصرّفاته الناقلة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الاستصحاب وحدة القضيّة المتيقّنة، والقضيّة المشكوك فيها، وليس في المقام كذلك؛ لأنّ المتيقّن هو وجود ملك قابل للصدق على المتزلزل والمستقرّ، وفي زمان الشكّ لا يكون احتمال البقاء إلاّ للملك المستقرّ، فلا يحتمل الصدق على المتزلزل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قابلية الصدق على الكثيرين، والصدق الفعلي، والكلّي هو القابل له وما لا يمتنع صدقه عليها، لا ما يصدق فعلاً، والكلّي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 قابل للصدق ولو لم يصدق فعلاً، والمناط في أشباه المقام حكم العرف، لا العقل البرهاني، والمفروض أنّه بنظر العرف تكون الطبيعة الجامعة موجودة معهما بوجود واحد، والاختلاف بينهما في الخصوصيات، وهذا حكم عقلائي قلّما يتّفق التنبّه لخلافه، ولهذا يقال بلا 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نوع الإنسان والحيوان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عرفي، مخالف للتحقيق الفلسفي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بحكومة استصحاب عدم تحقّق الفرد الطويل على الاستصحاب المذكور؛ لأنّ الشكّ في بقائه مسبّب عن الشكّ في حدوث الطويل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علّة لعدم الكلّي كما قيل</w:t>
      </w:r>
      <w:r>
        <w:rPr>
          <w:rStyle w:val="FootnoteAnchor"/>
          <w:rtl w:val="true"/>
        </w:rPr>
        <w:footnoteReference w:id="334"/>
      </w:r>
      <w:r>
        <w:rPr>
          <w:rFonts w:ascii="Amiri" w:hAnsi="Amiri" w:eastAsia="Amiri" w:cs="Amiri"/>
          <w:color w:val="111111"/>
          <w:sz w:val="28"/>
          <w:sz w:val="28"/>
          <w:szCs w:val="28"/>
          <w:rtl w:val="true"/>
          <w:lang w:bidi="ar-SA"/>
        </w:rPr>
        <w:t xml:space="preserve">، أم عين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استصحابه لرفع الشكّ عن بقاء الكلّي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فواضح؛ لأنّ عدم المعلول بعدم علّته عقلي لا شرعي ولو </w:t>
      </w:r>
    </w:p>
    <w:p>
      <w:pPr>
        <w:pStyle w:val="BookText"/>
        <w:rPr/>
      </w:pPr>
      <w:r>
        <w:rPr>
          <w:rFonts w:ascii="Amiri" w:hAnsi="Amiri" w:eastAsia="Amiri" w:cs="Amiri"/>
          <w:color w:val="111111"/>
          <w:sz w:val="28"/>
          <w:sz w:val="28"/>
          <w:szCs w:val="28"/>
          <w:rtl w:val="true"/>
          <w:lang w:bidi="ar-SA"/>
        </w:rPr>
        <w:t>كانت العلّية والسببية شرعية؛ لأنّ ترتّب المعلول على علّته ليس شرعياً مع جعل السببية والعلّية، فضلاً عمّا كانت تكوينية وغير 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المجعول شيئاً عقيب شيء، يمكن استصحاب الثاني لإثبات الأوّل، أو نفيه لنفيه على إشكال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وأشباهه ليس كذلك؛ لأنّ نفي الطبيعي بنفي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إثباته بإثباتها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لا شرعي، بناءً على علّيتها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قلنا بأنّ عدم الطبيعي بعدم أفراده، ووجوده بوجود فرد منه؛ وذلك لأنّ نفي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الفردين ليس شرعياً، والعينية إنّما هي في الخارج، لا في الماهية والاعتبار؛ فإنّ خصوصية الفرد غير الجامع بينهما عرفاً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زيد بالاستصحاب لا يثبت به نفي الإنسان، ولو بضمّ الوجدان إلى عدم فرد آخر منه؛ فإنّه عقلي، فنفي الملك المستقرّ بالاستصحاب لا يثبت نفي الملك الكلّي، ولو بضمّ القطع بعدم المتزلزل وعدم سبب آخر للملك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ذكرناه يظهر النظر في كلام السيّد الطباطبائي رحمه الله علیه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 استصحاب الكلّي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القسم الثاني قد يجري فيه استصحاب الشخصي كالكلّي، وقد لا يجري، فإذا شكّ في إيجاد رافع أحد الحادثين، يجري استصحاب الشخص الحادث، كما لو شكّ في إيجاد الوضوء أو الغسل بعد العلم بالحدث المردّد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شكّ بعد الوضوء في بقاء الحدث الشخصي، فلا يجري استصحاب الشخص؛ لأنّ الأمر دائر بين مقطوع الارتفاع، ومشكوك الحدوث، فلا مناص عن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فلا يجري استصحاب الكلّي أيضاً؛ لأنّ اختلاف الملك ليس إلاّ بنفس الارتفاع والبقاء، فينتفي أحد ركني الاستصحاب؛ لأنّ الجائز مقطوع الارتفاع، واللازم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أخذ ما في عقد المحمول في الاستصحاب في عقد موضوعه، بعد عدم الاختلاف بين الملكين إلاّ من جهة البقاء والارتفاع؛ لأنّ حاصله يرجع إلى استصحاب الملك الباقي، فيكون مفاده الحكم ببقاء الباقي،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الإشكال في الحقيقة إلى أنّ النوعين من الملك متباينان بتمام هويتهما </w:t>
      </w:r>
      <w:r>
        <w:rPr>
          <w:rStyle w:val="FootnoteAnchor"/>
          <w:rtl w:val="true"/>
        </w:rPr>
        <w:footnoteReference w:id="33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استصحاب الشخص فيما ذكره ممنوع؛ لأنّ الشخص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متيقّن؛ إذ لا علم بالوجود الشخصي بخصوصيته الشخصية مع التردد بين الشخصين، ولو اُريد بالشخصي والموجود الخارجي والجزئي الحقيقي هذه العناوين بالحمل الأوّلي، فهي كلّيات صادقات على الكثيرين ولو صدقاً عرضياً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كون الموجود هذا المصداق أو ذاك، لا يعقل </w:t>
      </w:r>
    </w:p>
    <w:p>
      <w:pPr>
        <w:pStyle w:val="BookText"/>
        <w:rPr/>
      </w:pPr>
      <w:r>
        <w:rPr>
          <w:rFonts w:ascii="Amiri" w:hAnsi="Amiri" w:eastAsia="Amiri" w:cs="Amiri"/>
          <w:color w:val="111111"/>
          <w:sz w:val="28"/>
          <w:sz w:val="28"/>
          <w:szCs w:val="28"/>
          <w:rtl w:val="true"/>
          <w:lang w:bidi="ar-SA"/>
        </w:rPr>
        <w:t>العلم بالشخص الحقيقي الخارجي بالحمل الشائع، والظاهر وقوع الخلط بين الشخصي والجزئي بالحمل الأوّلي والشائع، هذا إن اُريد به الشخصي الواقعي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الفرد المردّد، فإن اُريد المردّد الواقعي فلا يعقل وجوده وتحقّقه، بل وتعلّق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المردّد عندنا، والمعيّن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الأمر إلى العلم الإجمالي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فالمعلوم أيضاً كلّي قابل للصدق على كلّ من طرفي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لحكم، فالأحكام إمّا متعلّقة بالطبائع أو بأفرادها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 كلام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الإشكال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زعم أنّ الملك الجائز واللازم متباينان بتمام هويتهما، وهو بمكانٍ من الضعف؛ ضرورة أنّ المراد بتباينهما بتمام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التباين بحسب الوجود؛ أي يكون وجود أحدهما غير وجود الآخر،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سوء التعبير بل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وحدتهما نوعاً أو جنساً، ومعها يجري استصحاب الكلّي، ولا يرد عليه شيء ممّا زعمه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التباين بحسب الماهية، فلازمه مع سوء التعبير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الالتزام بأنّ أحدهما ملك، والآخر ليس بملك، فهو خروج عن محطّ البحث، بعد فساده في نفسه؛ ضرورة أنّ الكلام في اللزوم بعد الفراغ عن سببية المعاطاة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بعدم كون واحد منهما ملكاً، فهو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بأنّ الملك في البيع اللازم والجائز مشترك لفظي، وحقيقتيهما متباينتان بتمام الذات، فهو أيضاً ضروري الفساد، مع أنّه مخالف لتعبيراته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تنوّعه بنوعين، وأنّ الاختلاف بينهما ليس باختلاف الحقيقة والماهية من غير جهة الارتفاع بالفسخ، واللا ارتفاع به، وأنّ جهة تقسيمه إليهما منحصر بالبقاء والارتفاع ممّا ينادي بوجود ما به الاشتراك بينهما، وهو طبيعي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ينفسخ جميع ما نسج على زعم التباين؛ ضرورة جريان استصحاب الكلّي، وهو معلوم التحقّق، ومشكوك الارتفاع، من غير لزوم أخذ ما في عقد المحمول في الموضوع، ولا يدور أمر طبيعة بين ما هو مقطوع الارتفاع ومشكوك الحدوث، وبالجملة لا فرق بين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الشكّ في المقتضي</w:t>
      </w:r>
      <w:r>
        <w:rPr>
          <w:rStyle w:val="FootnoteAnchor"/>
          <w:rtl w:val="true"/>
        </w:rPr>
        <w:footnoteReference w:id="338"/>
      </w:r>
      <w:r>
        <w:rPr>
          <w:rFonts w:ascii="Amiri" w:hAnsi="Amiri" w:eastAsia="Amiri" w:cs="Amiri"/>
          <w:color w:val="111111"/>
          <w:sz w:val="28"/>
          <w:sz w:val="28"/>
          <w:szCs w:val="28"/>
          <w:rtl w:val="true"/>
          <w:lang w:bidi="ar-SA"/>
        </w:rPr>
        <w:t xml:space="preserve">، 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جريانه فيه كما حقّق في محلّه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منه؛ فإنّ العقد الجائز باقٍ ما لم يفسخ، والفسخ رافعه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يجري استصحاب الكلّي على أيّ حال، سواء كان الملك مختلفاً </w:t>
      </w:r>
    </w:p>
    <w:p>
      <w:pPr>
        <w:pStyle w:val="BookText"/>
        <w:rPr/>
      </w:pPr>
      <w:r>
        <w:rPr>
          <w:rFonts w:ascii="Amiri" w:hAnsi="Amiri" w:eastAsia="Amiri" w:cs="Amiri"/>
          <w:color w:val="111111"/>
          <w:sz w:val="28"/>
          <w:sz w:val="28"/>
          <w:szCs w:val="28"/>
          <w:rtl w:val="true"/>
          <w:lang w:bidi="ar-SA"/>
        </w:rPr>
        <w:t>في الجائز واللازم، أم غير مختلف؛ وعلى الأوّل، كان اختلافهما نوعياً، أو صنفياً، أو بالمراتب، غاية الأمر يتردّد المستصحب بين كونه من القسم الأوّل من الكلّي، أو الثاني منه؛ وسيأتي الكلام فيه؛ وأنّه بحكم القسم الثاني، فانتظر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الاستصحاب الشخصي، فلا بدّ فيه من إحراز عدم اختلاف الملك الجائز واللازم بأنحائه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في دفع احتمال اختلافهما نوعاً </w:t>
      </w:r>
      <w:r>
        <w:rPr>
          <w:rStyle w:val="FootnoteAnchor"/>
          <w:rtl w:val="true"/>
        </w:rPr>
        <w:footnoteReference w:id="341"/>
      </w:r>
      <w:r>
        <w:rPr>
          <w:rFonts w:ascii="IRNazanin" w:hAnsi="IRNazanin" w:eastAsia="IRNazanin"/>
          <w:color w:val="111111"/>
          <w:sz w:val="28"/>
          <w:sz w:val="28"/>
          <w:szCs w:val="28"/>
          <w:rtl w:val="true"/>
          <w:lang w:bidi="fa-IR"/>
        </w:rPr>
        <w:t>أو بالمراتب</w:t>
      </w:r>
      <w:r>
        <w:rPr>
          <w:rStyle w:val="FootnoteAnchor"/>
          <w:rtl w:val="true"/>
        </w:rPr>
        <w:footnoteReference w:id="342"/>
      </w:r>
      <w:r>
        <w:rPr>
          <w:rFonts w:ascii="Amiri" w:hAnsi="Amiri" w:eastAsia="Amiri" w:cs="Amiri"/>
          <w:color w:val="111111"/>
          <w:sz w:val="28"/>
          <w:sz w:val="28"/>
          <w:szCs w:val="28"/>
          <w:rtl w:val="true"/>
          <w:lang w:bidi="ar-SA"/>
        </w:rPr>
        <w:t xml:space="preserve">بأنّ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اعتبار معنىً مقولي، لا يخرج عن مقولة الجدة والإضافة، وليست الملكية المقولية نوعين، ولا مقولة الجدة ذات مراتب، فلا محالة لا يكون اعتبارها نوعين أو ذات مراتب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الاعتبارية وإن كانت شبيهة بمقولة الجدة أو الإضافة، لكن كون اعتبارها تبعاً للمقولة، أو اعتبار مقولة كذائية، غير ثابت، بل الثابت خلافه؛ ضرورة أن اعتبار الملكية كان بين طوائف في أوائل التمدّن في الجملة، ولم يكن من العلم بالمقولات واصطلاحات الفلسفة وكشف الحقائق عين ولا أثر، والآن أيضاً ليس في اعتبار العقلاء، الملكية أدنى تنبّه وتوجّه بالمقولات، جدة، أو إضافة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الاعتبارية شبيهة بمقولة الإضافة أو الجدة، لا أنّها مأخوذة منهما أو أنّها اعتبارهما، فكون الجدة غير متنوّعة بنوعين أو غير ذات مراتب أجنبيّ عن الملكية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كونها اعتبارهما أو مأخوذة منهما، لكن لا دليل على تبعيتها لهما في جميع الخصوصيات، فلعلّ الجدة الاعتبارية ذات مراتب دون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في دفع توهّم كونها ذات مراتب شدّة وضعفاً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كون شيء كذلك، أنّ لحقيقتها عرضاً عريضاً، كالنور الذي بعض مراتبه أشدّ في النورية من بعض، وكالبياض والسواد، وأمّا لو كان شيئان في درجة واحدة من الطبيعة، وكان صدقها عليهما متواطئاً، فلا تكون ذات مراتب وإن كان أحدهما غير زائل لبقاء علّته دون الآخر؛ إذ ليس ذلك مناط التشكيك،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لدى العقلاء ليست ذات مراتب، فلا يكون شخص بالنسبة إلى شيءٍ مالكاً، وبالنسبة إلى شيءٍ آخر أملك، ولا شيء مملوكاً، وشيء أشدّ مملوكية، ولو زالت الملكية في مورد بزوال سببها ولم تزل في مورد، فليس ذلك دليلاً على كونها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الجواز واللزوم أو الاستقرار والتزلزل، من منوّعات الملك وفصوله، أو مصنّفاته، وكونهما موجبين للتعدّد النوعي، أو الصنفي، أو الفردي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الضرورة قائمة على أنّ اختلاف الملك جوازاً ولزوماً، أو </w:t>
      </w:r>
    </w:p>
    <w:p>
      <w:pPr>
        <w:pStyle w:val="BookText"/>
        <w:rPr/>
      </w:pPr>
      <w:r>
        <w:rPr>
          <w:rFonts w:ascii="Amiri" w:hAnsi="Amiri" w:eastAsia="Amiri" w:cs="Amiri"/>
          <w:color w:val="111111"/>
          <w:sz w:val="28"/>
          <w:sz w:val="28"/>
          <w:szCs w:val="28"/>
          <w:rtl w:val="true"/>
          <w:lang w:bidi="ar-SA"/>
        </w:rPr>
        <w:t>مستقرّاً ومتزلزلاً ونحوهما، ليس بذاته مع قطع النظر عن الأسباب والعقود المملّكة، ولا أظنّ دعواه من أحدٍ، بل المدّعي يدّعي أنّ الاختلاف بسبب الأسباب والمملّكات، فلا بدّ له من تسليم أنّ الأسباب مختلفة لدى العقلاء؛ أي العقد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وجائز، وبتبعه يكون الملك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المتصوّر أنّ العقد اللازم إمّا سبب قهراً للملك اللازم، ويكون العقد واسطة للثبوت بالنسبة إلى الملك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واسطة للثبوت بمعنىً آخر غير اصطلاحي، وهو اعتبار اللزوم عقيب اعتبار اللزوم، أو عقيب العقد اللازم، واعتبار الجواز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من قبيل الواسطة في العروض؛ بمعنى أنّه ينسب اللزوم إلى الملك بالعرض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كون العقد سبباً قهراً؛ لأنّ السببية والمسبّبية الحقيقيتين غير معقولتين في الأسباب العقلائية أو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الوساطة 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لها، بل ولا تعقل؛ لأنّ اعتبار اللزوم والجواز في العقد يغني عن اعتبارهما في الملك، فيكون اعتبارهما لغواً محضاً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اعتبارهما في الملك لا العقد تدفعه الضرورة؛ بداهة عدم إمكان إنكار أنّ العقد على قسمين لدى العقلاء والشارع الأقدس، وإرجاع الملك إلى صاحبه الأوّل بفسخ العقد، لا بإرجاع العين مستقلاًّ وابتداءً، فلا محالة يكون العقد لازماً أو جائزاً في اعتباراتهم، ومع هذا الاعتبار لا معنى لاعتبار آخر لغو، يكون وجوده وعدمه على السواء</w:t>
      </w:r>
      <w:r>
        <w:rPr>
          <w:rFonts w:eastAsia="Amiri" w:cs="Amiri" w:ascii="Amiri" w:hAnsi="Amiri"/>
          <w:color w:val="111111"/>
          <w:sz w:val="28"/>
          <w:szCs w:val="28"/>
          <w:rtl w:val="true"/>
          <w:lang w:bidi="ar-SA"/>
        </w:rPr>
        <w:t xml:space="preserve">. </w:t>
      </w:r>
      <w:bookmarkStart w:id="228" w:name="pg15195_150533"/>
    </w:p>
    <w:p>
      <w:pPr>
        <w:pStyle w:val="BookText"/>
        <w:rPr/>
      </w:pPr>
      <w:bookmarkEnd w:id="228"/>
      <w:r>
        <w:rPr>
          <w:rFonts w:ascii="Amiri" w:hAnsi="Amiri" w:eastAsia="Amiri" w:cs="Amiri"/>
          <w:color w:val="111111"/>
          <w:sz w:val="28"/>
          <w:sz w:val="28"/>
          <w:szCs w:val="28"/>
          <w:rtl w:val="true"/>
          <w:lang w:bidi="ar-SA"/>
        </w:rPr>
        <w:t>فلا يبقى إلاّ الوجه الأخير؛ أي كون الوساطة في العروض، والاتّصاف بالعرض والمجاز، وهو لا يوجب الاختلاف نوعاً، أو صنفاً، أو فرداً،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جميع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ما أفاده الشيخ رحمه الله علیه </w:t>
      </w:r>
      <w:r>
        <w:rPr>
          <w:rStyle w:val="FootnoteAnchor"/>
          <w:rtl w:val="true"/>
        </w:rPr>
        <w:footnoteReference w:id="346"/>
      </w:r>
      <w:r>
        <w:rPr>
          <w:rFonts w:ascii="Amiri" w:hAnsi="Amiri" w:eastAsia="Amiri" w:cs="Amiri"/>
          <w:color w:val="111111"/>
          <w:sz w:val="28"/>
          <w:sz w:val="28"/>
          <w:szCs w:val="28"/>
          <w:rtl w:val="true"/>
          <w:lang w:bidi="ar-SA"/>
        </w:rPr>
        <w:t>، وإن كان في برهانه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الاستدلال باختلاف الأسباب لاختلاف المسبّبات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وأضعف منه الاستدلال بأنّ اختلاف الأسباب لو لم يكن موجباً لاختلاف المسبّبات، لا يقتضي اختلاف الأحكام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باختلاف الأحكام إن كان اختلاف أحكام الأسباب، فهو لا يقتضي إلاّ اختلاف الأسباب، لا اختلاف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اختلاف أحكام المسبّبات، ويكون المراد بالأحكام الجواز واللزوم، فهو مصادرة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أنّ الأسباب المختلفة تكشف عن المسبّبات المختلفة،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سوء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لما عرفت من عدم السببية والمسبّبية الحقيقية في أشباه المقام</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495325_2142443653"/>
      <w:bookmarkStart w:id="230" w:name="_Toc78"/>
      <w:bookmarkEnd w:id="229"/>
      <w:r>
        <w:rPr>
          <w:rtl w:val="true"/>
        </w:rPr>
        <w:t>حول معارض استصحاب بقاء الملك</w:t>
      </w:r>
      <w:bookmarkEnd w:id="2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أشار في المقام إلى ما ربّما يقال</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استصحاب بقاء علقة المالك الأوّل مقدّم على الاستصحاب المتقدّم، كلّياً كان أو </w:t>
      </w:r>
    </w:p>
    <w:p>
      <w:pPr>
        <w:pStyle w:val="BookText"/>
        <w:rPr/>
      </w:pPr>
      <w:r>
        <w:rPr>
          <w:rFonts w:ascii="Amiri" w:hAnsi="Amiri" w:eastAsia="Amiri" w:cs="Amiri"/>
          <w:color w:val="111111"/>
          <w:sz w:val="28"/>
          <w:sz w:val="28"/>
          <w:szCs w:val="28"/>
          <w:rtl w:val="true"/>
          <w:lang w:bidi="ar-SA"/>
        </w:rPr>
        <w:t xml:space="preserve">شخصياً </w:t>
      </w:r>
      <w:r>
        <w:rPr>
          <w:rStyle w:val="FootnoteAnchor"/>
          <w:rtl w:val="true"/>
        </w:rPr>
        <w:footnoteReference w:id="350"/>
      </w:r>
      <w:r>
        <w:rPr>
          <w:rFonts w:ascii="Amiri" w:hAnsi="Amiri" w:eastAsia="Amiri" w:cs="Amiri"/>
          <w:color w:val="111111"/>
          <w:sz w:val="28"/>
          <w:sz w:val="28"/>
          <w:szCs w:val="28"/>
          <w:rtl w:val="true"/>
          <w:lang w:bidi="ar-SA"/>
        </w:rPr>
        <w:t xml:space="preserve">وفصّله في أوّل الخيارات بما هو غير مرضيّ تقريباً ودفعاً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يقال في تقريبه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للمالك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علاقة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اُخرى، هي علاقة استرجاع العين إليه لو خرجت عن ملكه، خرجت منه العقود اللازمة، فمع الشكّ في لزوم المعاطاة يشكّ في بقاء العلقة الثانية، فتستصحب، ومع حصول المعلّق عليه تصير علاقة الاسترجاع فعلية، وهو حاكم على استصحاب الملكية؛ لأنّ الشكّ في بقاء الملك ناشٍ من الشكّ في تأثير فسخه ونفوذه، ومع حكم الشارع ببقاء علاقة استرجاع العين، يكون فسخه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المقام عقلي انتزاعي، لا شرعي؛ لأنّ الشارع حكم في العقود الجائزة بجواز الرجوع تنجيزاً، ولا دليل على هذا الحكم التعليقي شرعاً، وفي مثله لا يجري الاستصحاب، كما قرّر في محلّه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التعليقي غير متيقّن، والتعليقي العقلي المنتزع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لم يحكم إلاّ بجواز العقد، وأمّا جواز الاسترجاع فليس حكماً شرعياً، بل لازم حلّ العقد استرجاع العين، فجوازه لازمه العقلي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بعد خروج العقود اللازمة، يكون الحكم بحسب الواقع للعقود </w:t>
      </w:r>
    </w:p>
    <w:p>
      <w:pPr>
        <w:pStyle w:val="BookText"/>
        <w:rPr/>
      </w:pPr>
      <w:r>
        <w:rPr>
          <w:rFonts w:ascii="Amiri" w:hAnsi="Amiri" w:eastAsia="Amiri" w:cs="Amiri"/>
          <w:color w:val="111111"/>
          <w:sz w:val="28"/>
          <w:sz w:val="28"/>
          <w:szCs w:val="28"/>
          <w:rtl w:val="true"/>
          <w:lang w:bidi="ar-SA"/>
        </w:rPr>
        <w:t>الجائزة أو غير اللازمة، ومع الشكّ لا يمكن إحرازه بحصول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للمالك علاقة المالكية قبل البيع، ومن المحتمل حدوث علاقة اُخرى؛ هي علاقة جواز استرجاع العين عند زوال العلاقة الاُولى، فطبيعي العلاقة كان موجوداً، وشكّ في زواله، فيستصحب، وهو من القسم الثالث الجاري على الأقوى</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طبيعي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علاقة الملكية وعلاقة 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وإثبات العلاقة الثانية باستصحاب الكلّي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زمن خيار المجلس كان 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وبعد افتراقهما يحتمل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تعليق الموضوع، ولا يجري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زمن الخيار كان المحتمل وجود علاقة جواز استرجاع العين، فيستصحب طبيعي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الخيار من الحقوق، وجواز الاسترجاع حكم، ولا جامع بينهما إلاّ بعض العناوين العرضية الانتزاعية، التي هي ليست بحكم شرعي ولا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طبيعي تلك العلاقة لا أثر له، وإثبات القسم الخاصّ باستصحاب الكلّي مثبت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زمان الخيار جاز الفسخ وضعاً، ومن المحتمل وجود جواز وضعي آخر؛ لاحتمال كون المعاطاة جائزة، ومعه يجوز الفسخ وضعاً؛ أي </w:t>
      </w:r>
      <w:bookmarkStart w:id="231" w:name="pg15195_150536"/>
    </w:p>
    <w:p>
      <w:pPr>
        <w:pStyle w:val="BookText"/>
        <w:rPr/>
      </w:pPr>
      <w:bookmarkEnd w:id="231"/>
      <w:r>
        <w:rPr>
          <w:rFonts w:ascii="Amiri" w:hAnsi="Amiri" w:eastAsia="Amiri" w:cs="Amiri"/>
          <w:color w:val="111111"/>
          <w:sz w:val="28"/>
          <w:sz w:val="28"/>
          <w:szCs w:val="28"/>
          <w:rtl w:val="true"/>
          <w:lang w:bidi="ar-SA"/>
        </w:rPr>
        <w:t>يكون نافذاً، فيستصحب طبيعي الحكم الوضعي، ومع حكم الشارع في زمان الشكّ ببقاء الجواز الوضعي ونفوذ الفسخ، يرفع الشكّ في بقاء الملك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الوضعي في زمان الخيار ليس حكماً شرعياً، بل حكم عقلي مستفاد من جعل الخيار، وهو حقّ مجعول لذي الخيار، وليس للشارع في زمان الخيار مجعول إلاّ ذلك، نعم، لازم ذلك عقلاً نفوذ الفسخ، وهو ليس بحكم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الجامع بينه وبين الجواز في العقود الجائزة، ليس حكماً شرعياً، ولا موضوعاً له، وإن كان لازمه تحقّق الفسخ ورجوع العين، لكنّه ليس من قبيل الموضوع الذي يترتّب عليه الحكم حتّى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خيار المجلس ليس في جميع الموارد، فالدليل أخصّ من المدّعى</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495327_2142443653"/>
      <w:bookmarkStart w:id="233" w:name="_Toc79"/>
      <w:bookmarkEnd w:id="232"/>
      <w:r>
        <w:rPr>
          <w:rtl w:val="true"/>
        </w:rPr>
        <w:t>عدم جريان الاستصحاب عند الشكّ في منوّعية اللزوم والجواز للملك</w:t>
      </w:r>
      <w:bookmarkEnd w:id="233"/>
    </w:p>
    <w:p>
      <w:pPr>
        <w:pStyle w:val="BookText"/>
        <w:rPr/>
      </w:pPr>
      <w:r>
        <w:rPr>
          <w:rFonts w:ascii="Amiri" w:hAnsi="Amiri" w:eastAsia="Amiri" w:cs="Amiri"/>
          <w:color w:val="111111"/>
          <w:sz w:val="28"/>
          <w:sz w:val="28"/>
          <w:szCs w:val="28"/>
          <w:rtl w:val="true"/>
          <w:lang w:bidi="ar-SA"/>
        </w:rPr>
        <w:t>ثمّ لو شككنا في أنّ اللزوم والجواز من خصوصيات الملك أو مقوّماته، أو من خصوصيات السبب المملّك، فلا ينبغي الإشكال في عدم جريانه، بناءً على عدم جريانه في القسم الثاني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لأنّ الشبهة مصداقية</w:t>
      </w:r>
      <w:r>
        <w:rPr>
          <w:rStyle w:val="FootnoteAnchor"/>
          <w:rtl w:val="true"/>
        </w:rPr>
        <w:footnoteReference w:id="354"/>
      </w:r>
      <w:r>
        <w:rPr>
          <w:rFonts w:ascii="Amiri" w:hAnsi="Amiri" w:eastAsia="Amiri" w:cs="Amiri"/>
          <w:color w:val="111111"/>
          <w:sz w:val="28"/>
          <w:sz w:val="28"/>
          <w:szCs w:val="28"/>
          <w:rtl w:val="true"/>
          <w:lang w:bidi="ar-SA"/>
        </w:rPr>
        <w:t xml:space="preserve">ضرورة عدم معنىً لها في المقام، لأنّ الشبهة المصداقية في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لا بدّ أن تلاحظ بالنسبة إلى اليقين والشكّ، </w:t>
      </w:r>
    </w:p>
    <w:p>
      <w:pPr>
        <w:pStyle w:val="BookText"/>
        <w:rPr/>
      </w:pPr>
      <w:r>
        <w:rPr>
          <w:rFonts w:ascii="Amiri" w:hAnsi="Amiri" w:eastAsia="Amiri" w:cs="Amiri"/>
          <w:color w:val="111111"/>
          <w:sz w:val="28"/>
          <w:sz w:val="28"/>
          <w:szCs w:val="28"/>
          <w:rtl w:val="true"/>
          <w:lang w:bidi="ar-SA"/>
        </w:rPr>
        <w:t>لا إلى الواقع، ومن الواضح أنّ اليقين لم يتعلّق بالجزئي، بل بطبيعي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في القسم الثاني من الاستصحاب تكون أطراف الشبهة غالباً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العمر، وقصيره، ولا ثالث لهما، وفي المقام أطراف الشبهة اُمور ثلاثة؛ لعدم إحراز كون اللزوم من خصوصيات المسبّب أو السبب، ومعه يتردّد الموجود الخارجي الجزئي من الملك بين أن يكون ملكاً جائزاً بخصوصيته، أو لازماً بخصوصيته، بناءً على كونهما من خصوصيات المسبّب، أو شخصاً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خصوصيتهما، بناءً على كونهما من خصوصيات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هو طبيعي الملك الجامع بين الثلاثة، وكلّ منها مشكوك فيه، فالكلّي متعلّق لليقين بلا ريب، والخصوصيات الثلاث غير متعلّقة له بلا ريب، فأين الشبهة المصداقية، حتّى يقال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التمسّك بالعامّ في المخصّص اللبّي كما في المقام</w:t>
      </w:r>
      <w:r>
        <w:rPr>
          <w:rStyle w:val="FootnoteAnchor"/>
          <w:rtl w:val="true"/>
        </w:rPr>
        <w:footnoteReference w:id="3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والجواب أجنبيّان عن المقام، مع ما في الجواب من الإشكال أو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الاستصحاب في المقام من استصحاب الكلّي، نظير القسم الثاني، واشترك معه في الإشكالات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البقاء مسبّب عن الشكّ في حدوث الطويل، والأصل عدمه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34" w:name="pg15195_150538"/>
    </w:p>
    <w:p>
      <w:pPr>
        <w:pStyle w:val="BookText"/>
        <w:rPr/>
      </w:pPr>
      <w:bookmarkEnd w:id="234"/>
      <w:r>
        <w:rPr>
          <w:rFonts w:ascii="Amiri" w:hAnsi="Amiri" w:eastAsia="Amiri" w:cs="Amiri"/>
          <w:color w:val="111111"/>
          <w:sz w:val="28"/>
          <w:sz w:val="28"/>
          <w:szCs w:val="28"/>
          <w:rtl w:val="true"/>
          <w:lang w:bidi="ar-SA"/>
        </w:rPr>
        <w:t>ويقال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البقاء مسبّب عن الشكّ في حدوث الملك اللازم، أو الملك بلا تخصّص بخصوصية، والأصل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مقطوع الارتفاع، ومحتمل الحدوث</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حدوث الملك الجائز، وهو متيقّن الارتفاع، وما هو محتمل البقاء؛ أي الملك اللازم، أو الملك المتشخّص بلا خصوصية اللزوم والجواز، وهو محتمل الحدوث، فلو صحّت الإشكالات الواردة في القسم الثاني، صحّت في المقام أيضاً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495329_2142443653"/>
      <w:bookmarkStart w:id="236" w:name="_Toc80"/>
      <w:bookmarkEnd w:id="235"/>
      <w:r>
        <w:rPr>
          <w:rtl w:val="true"/>
        </w:rPr>
        <w:t xml:space="preserve">الدليل الثاني </w:t>
      </w:r>
      <w:r>
        <w:rPr>
          <w:rtl w:val="true"/>
        </w:rPr>
        <w:t xml:space="preserve">: </w:t>
      </w:r>
      <w:r>
        <w:rPr>
          <w:rtl w:val="true"/>
        </w:rPr>
        <w:t>حديث السلطنة</w:t>
      </w:r>
      <w:bookmarkEnd w:id="236"/>
    </w:p>
    <w:p>
      <w:pPr>
        <w:pStyle w:val="Heading5"/>
        <w:numPr>
          <w:ilvl w:val="4"/>
          <w:numId w:val="1"/>
        </w:numPr>
        <w:rPr/>
      </w:pPr>
      <w:bookmarkStart w:id="237" w:name="__RefHeading___Toc2495331_2142443653"/>
      <w:bookmarkStart w:id="238" w:name="_Toc81"/>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وممّا استدلّ به</w:t>
      </w:r>
      <w:r>
        <w:rPr>
          <w:rStyle w:val="FootnoteAnchor"/>
          <w:rtl w:val="true"/>
        </w:rPr>
        <w:footnoteReference w:id="359"/>
      </w:r>
      <w:r>
        <w:rPr>
          <w:rFonts w:ascii="Amiri" w:hAnsi="Amiri" w:eastAsia="Amiri" w:cs="Amiri"/>
          <w:color w:val="111111"/>
          <w:sz w:val="28"/>
          <w:sz w:val="28"/>
          <w:szCs w:val="28"/>
          <w:rtl w:val="true"/>
          <w:lang w:bidi="ar-SA"/>
        </w:rPr>
        <w:t>للّزوم، المرسلة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وقد قرّبها الشيخ قدّس سرّه بوجه لا يرد عليه الإشكال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السلطنة كما يقتضي السلطنة على جميع التصرّفات، كذلك يقتضي منع الغير عن المزاحمات، وتملّك مال الغير بالفسخ منافٍ لإطلاق سلطنته، فيدفع به، ويستكشف منه عدم نفوذ فسخه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السلطنة متفرّعة على مالية المال للشخص، تفرّع الحكم </w:t>
      </w:r>
    </w:p>
    <w:p>
      <w:pPr>
        <w:pStyle w:val="BookText"/>
        <w:rPr/>
      </w:pPr>
      <w:r>
        <w:rPr>
          <w:rFonts w:ascii="Amiri" w:hAnsi="Amiri" w:eastAsia="Amiri" w:cs="Amiri"/>
          <w:color w:val="111111"/>
          <w:sz w:val="28"/>
          <w:sz w:val="28"/>
          <w:szCs w:val="28"/>
          <w:rtl w:val="true"/>
          <w:lang w:bidi="ar-SA"/>
        </w:rPr>
        <w:t xml:space="preserve">على موضوعه، وكلّ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عن سعة موضوعه، فالإطلاق يقتضي ثبوت السلطنة في مرتبة متأخّرة عن انحفاظ المالية، فنفس انحفاظها لا يدخل في مدلول إثبات السلطنة، فلا يكون رفعها برفع المالية قصراً لإطلاقها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السلطنة مجعولة للمالك، مضافة إلى ماله، فيكون المالك مسلّطاً، وماله مسلّطاً عليه، ومقتضى ثبوت السلطنة على المال ليس إلاّ تحقّق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السلطنة؛ لعدم تعقّل الإضافة بلا مضاف إليه، لا لأنّ المال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بدّ من ملاحظة أنّ إبقاء المال واحتكاره لنفسه وإزالته عن نفسه، هل هما من حصص السلطنة على المال أو لا؟</w:t>
      </w:r>
    </w:p>
    <w:p>
      <w:pPr>
        <w:pStyle w:val="BookText"/>
        <w:rPr/>
      </w:pPr>
      <w:r>
        <w:rPr>
          <w:rFonts w:ascii="Amiri" w:hAnsi="Amiri" w:eastAsia="Amiri" w:cs="Amiri"/>
          <w:color w:val="111111"/>
          <w:sz w:val="28"/>
          <w:sz w:val="28"/>
          <w:szCs w:val="28"/>
          <w:rtl w:val="true"/>
          <w:lang w:bidi="ar-SA"/>
        </w:rPr>
        <w:t>وعلى فرض كونهما كذلك، لا وجه لخروجهما عن الإطلاق بعد فرض الإطلاق لدليلها، ومن الواضح أنّهما من حصصها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قرع سمع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لا يتجاوز عن سعة موضوعه، لا شبهة فيه، لكن ليس المقام كذلك؛ لأنّ السلطنة مجعولة للمالك، وهو سلطان على ماله، والفرض أنّ المال محفوظ في الإبقاء، وهو واضح، وفي الإزالة أيضاً؛ لأنّها تتعلّق بالمال، وزال المال بعد تعلّقها به، فالإعراض مثلاً متعلّق بالمال، وفي الرتبة المتأخّرة عنه يخرج المال عن كونه مالاً له، فإطلاق دليل السلطنة شامل لإبقاء المال وإزالته</w:t>
      </w:r>
      <w:r>
        <w:rPr>
          <w:rFonts w:eastAsia="Amiri" w:cs="Amiri" w:ascii="Amiri" w:hAnsi="Amiri"/>
          <w:color w:val="111111"/>
          <w:sz w:val="28"/>
          <w:szCs w:val="28"/>
          <w:rtl w:val="true"/>
          <w:lang w:bidi="ar-SA"/>
        </w:rPr>
        <w:t xml:space="preserve">. </w:t>
      </w:r>
      <w:bookmarkStart w:id="239" w:name="pg15195_150540"/>
    </w:p>
    <w:p>
      <w:pPr>
        <w:pStyle w:val="BookText"/>
        <w:rPr/>
      </w:pPr>
      <w:bookmarkEnd w:id="239"/>
      <w:r>
        <w:rPr>
          <w:rFonts w:ascii="Amiri" w:hAnsi="Amiri" w:eastAsia="Amiri" w:cs="Amiri"/>
          <w:color w:val="111111"/>
          <w:sz w:val="28"/>
          <w:sz w:val="28"/>
          <w:szCs w:val="28"/>
          <w:rtl w:val="true"/>
          <w:lang w:bidi="ar-SA"/>
        </w:rPr>
        <w:t>ولهذا لو صرّح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بأنّك سلطان على مالك إبقاءً وإزالة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منكراً ومنافياً لمقتضى الإطلاق، وأمّا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سلطان على مالك وإن خرج عن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ذلك منافياً لاقتضاء الإطلاق، وحكماً مستأنفاً، لا بياناً لإطلاق حكمه،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الإبقاء والإزالة من حالات الملك اعتباراً، ومن أنحاء التصرّفات فيه، فحفظ المال واحتكاره من أنحاء السلطنة، كما أنّ إخراج المال بالبيع والهبة والأكل والشرب وغيرها ممّا تزيل الملك من أنحائها، بل إعدام الملك وإزالته من أوضح مصاديق التسلّط ومراتب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الحكم موافق للحكم العقلائي في الأملاك؛ فإنّ السلطنة عليها ثابتة لدى العقلاء كافّة، وأنت إذا راجعت محيط العقلاء ترى أنّ إبقاء الملك وإزالته عندهم من شؤون سلطنته على أمواله، كلّ ذلك لأنّ السلطان هو المالك، والمسلّط عليه هو ماله، وهو محفوظ مع أنحاء التصرّف</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495333_2142443653"/>
      <w:bookmarkStart w:id="241" w:name="_Toc82"/>
      <w:bookmarkEnd w:id="240"/>
      <w:r>
        <w:rPr>
          <w:rtl w:val="true"/>
        </w:rPr>
        <w:t>مناقشة المحقّق الأصفهاني ودفعها</w:t>
      </w:r>
      <w:bookmarkEnd w:id="2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النظر في كلام بعض أهل التحقيق،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سلطنته على جميع التصرّفات وإن كان بنحو الالتزام نفي سلطنةٍ مزاحمةٍ لسلطنته، لكنّ المنفيّ بالالتزام ليس أنحاء السلطنة التي لا تنافي سلطنته، فمثل الاشتراء بدون اختيار البائع منافٍ لسلطنته على البيع، فالأخذ بالشفعة منافٍ لسلطنة المالك، لكنّ السلطنة على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الحقيقة سلطنة على إزالة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مزاحمة لسلطنته؛ لأنّ المالك له السلطنة على الملك، لا على </w:t>
      </w:r>
    </w:p>
    <w:p>
      <w:pPr>
        <w:pStyle w:val="BookText"/>
        <w:rPr/>
      </w:pPr>
      <w:r>
        <w:rPr>
          <w:rFonts w:ascii="Amiri" w:hAnsi="Amiri" w:eastAsia="Amiri" w:cs="Amiri"/>
          <w:color w:val="111111"/>
          <w:sz w:val="28"/>
          <w:sz w:val="28"/>
          <w:szCs w:val="28"/>
          <w:rtl w:val="true"/>
          <w:lang w:bidi="ar-SA"/>
        </w:rPr>
        <w:t>الملكية، فكما أنّه ليست له السلطنة على إزالة الملكية ابتداءً، كذلك ليست له السلطنة على إبقاء الملكية، حتّى تكون سلطنة الغير على إزالتها مزاحمة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قلنا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الإقالة والتفاسخ على خلاف القاعدة</w:t>
      </w:r>
      <w:r>
        <w:rPr>
          <w:rStyle w:val="FootnoteAnchor"/>
          <w:rtl w:val="true"/>
        </w:rPr>
        <w:footnoteReference w:id="364"/>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سلطنة المالك على ملكه تكفي في كونه سلطاناً على إبقائه وإزالته، من غير احتياج إلى السلطنة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السلطنة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على الملكية، فإزالة ملكيته من غير اختياره من أوضح مراتب المزاحمة لسلطنته، كما أنّ سلطنته على إزالة ملكه عن نفسه من أوضح مراتب السلطنة وأقواها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تكن له السلطنة على الإزالة، فلا ينبغي التفريق بين الإعراض عن ملكه، وهبته وتمليكه، فلا وجه لتفصيله بين الإزالة ابتداءً، أو بأسباب كالبيع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الإعراض أيضاً غير الإزالة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بالتفصيل فاسد، والالتزام بعدم السلطنة في جميعها أفسد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السلطنة ورد في مقابل الحجر، فهو في الحقيقة مثبت للسلطنة الإضافية لا مطلقها </w:t>
      </w:r>
      <w:r>
        <w:rPr>
          <w:rStyle w:val="FootnoteAnchor"/>
          <w:rtl w:val="true"/>
        </w:rPr>
        <w:footnoteReference w:id="365"/>
      </w:r>
      <w:r>
        <w:rPr>
          <w:rFonts w:ascii="Amiri" w:hAnsi="Amiri" w:eastAsia="Amiri" w:cs="Amiri"/>
          <w:color w:val="111111"/>
          <w:sz w:val="28"/>
          <w:sz w:val="28"/>
          <w:szCs w:val="28"/>
          <w:rtl w:val="true"/>
          <w:lang w:bidi="ar-SA"/>
        </w:rPr>
        <w:t xml:space="preserve">، كما مرّ تأييده سابقاً </w:t>
      </w:r>
      <w:r>
        <w:rPr>
          <w:rStyle w:val="FootnoteAnchor"/>
          <w:rtl w:val="true"/>
        </w:rPr>
        <w:footnoteReference w:id="366"/>
      </w:r>
      <w:r>
        <w:rPr>
          <w:rFonts w:ascii="Amiri" w:hAnsi="Amiri" w:eastAsia="Amiri" w:cs="Amiri"/>
          <w:color w:val="111111"/>
          <w:sz w:val="28"/>
          <w:sz w:val="28"/>
          <w:szCs w:val="28"/>
          <w:rtl w:val="true"/>
          <w:lang w:bidi="ar-SA"/>
        </w:rPr>
        <w:t xml:space="preserve">بأنّ أصل السلطنة حكم عقلائي ثابت للأموال، فدليل السلطنة لم يرد لإثبات المقتضي،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w:t>
      </w:r>
    </w:p>
    <w:p>
      <w:pPr>
        <w:pStyle w:val="BookText"/>
        <w:rPr/>
      </w:pPr>
      <w:r>
        <w:rPr>
          <w:rFonts w:ascii="Amiri" w:hAnsi="Amiri" w:eastAsia="Amiri" w:cs="Amiri"/>
          <w:color w:val="111111"/>
          <w:sz w:val="28"/>
          <w:sz w:val="28"/>
          <w:szCs w:val="28"/>
          <w:rtl w:val="true"/>
          <w:lang w:bidi="ar-SA"/>
        </w:rPr>
        <w:t xml:space="preserve">ثبوته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لدفع توهّم المانع؛ وهو حجر المالك عن التصرّف في ماله، لا بمعنى أنّ معنى إثبات السلطنة رفع الحجر، بل بمعنى ورود دليلها في مقابل الحجر، فلا إطلاق له بالنسبة إلى جميع أنحاء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إنكار إطلاقه؛ لأنّ الظاهر كونه بصدد بيان إثبات السلطنة، ومجرّد الاحتمال لا يوجب رفع اليد عن الدليل، وإحراز كون المتكلّم في مقام البيان، ليس المراد منه الإحراز القطعي، بل لو اقتضى ظاهر الكلام أنّ المتكلّم بصدد بيان حكم الموضوع لكفى، وإلاّ لانسدّ باب صحّة التمسّك بالإطلاق، ولا شبهة في أنّ ظاهر دليل السلطنة أنّ المتكلّم بصدد بيان تسلّط الناس على أموالهم، فإنكار إطلاقه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فيه بما مرّ</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دليل جعل السلطنة متعرّض لجعلها على الأموال، لا على الأحكام والقوانين، 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رفع الشبهة عن أسباب التمليك، كاعتبار اللفظ أو العربية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السلطنة على الأموال سلطنة عليها نقلاً وإبقاءً في مقابل النقل، وأمّا السلطنة على 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جعل الشارع جواز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الفسخ عن التأثير؛ لأنّ ذلك سلطنة على حكم الشارع، فكما لا يمكن التمسّك به لإثبات التشريع، لا يمكن لسلبه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ما ذكرناه سابقاً وبين المقام؛ لأنّ الكلام هناك في أنّ إطلاق دليل السلطنة على الأموال، لا يقتضي إلاّ كون المالك سلطاناً </w:t>
      </w:r>
    </w:p>
    <w:p>
      <w:pPr>
        <w:pStyle w:val="BookText"/>
        <w:rPr/>
      </w:pPr>
      <w:r>
        <w:rPr>
          <w:rFonts w:ascii="Amiri" w:hAnsi="Amiri" w:eastAsia="Amiri" w:cs="Amiri"/>
          <w:color w:val="111111"/>
          <w:sz w:val="28"/>
          <w:sz w:val="28"/>
          <w:szCs w:val="28"/>
          <w:rtl w:val="true"/>
          <w:lang w:bidi="ar-SA"/>
        </w:rPr>
        <w:t>على أيّ تصرّف في أمواله، وأمّا أنّ صيغة البيع كذلك، أو أنّه يحتاج إلى اللفظ، فليس تحديداً لسلطنته، بل هي من المقرّرات القانونية عرفاً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 المالك عن المبيع مثلاً، أو عن البيع من شخص أو أشخاص، أو في وقت كذا، يكون تحديداً لها، ومقتضى الإطلاق دفع احتمالها، فليس مقتضى دليل السلطنة جواز البيع بلفظ الهبة، أو جوازه بغير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هاهنا، فلمّا كان تملّك ملك المالك منه بغير اختياره تحديداً لسلطنته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السلطنة على إبقائه، وتملّكه كذلك مخالف لإطلاق سلطنته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يدفع ذلك بإطلاق الدليل، ويكشف منه عدم نفوذ الفسخ ولزوم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أنّ إيجاب إيقاع العقد عربياً ليس تحديداً للسلطنة على المال، وأمّا أخذ ماله بأيّ نحو كان فهو تحديد لها، فدليل السلطنة لا يكشف عن التشريع في الأوّل، ويكشف عن عدم التشريع في الثاني،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اعترفت سابقاً </w:t>
      </w:r>
      <w:r>
        <w:rPr>
          <w:rStyle w:val="FootnoteAnchor"/>
          <w:rtl w:val="true"/>
        </w:rPr>
        <w:footnoteReference w:id="368"/>
      </w:r>
      <w:r>
        <w:rPr>
          <w:rFonts w:ascii="Amiri" w:hAnsi="Amiri" w:eastAsia="Amiri" w:cs="Amiri"/>
          <w:color w:val="111111"/>
          <w:sz w:val="28"/>
          <w:sz w:val="28"/>
          <w:szCs w:val="28"/>
          <w:rtl w:val="true"/>
          <w:lang w:bidi="ar-SA"/>
        </w:rPr>
        <w:t>بأنّ دليل السلطنة ليس لبيان حكم تأسيسي، بل لإنفاذ ما لدى العقلاء، وما لديهم هو حكم معلّق على عدم ورود دليل يدلّ على إعمال السلطنة الإلهية، فلا سلطنة للعبد مقابل سلطنة مولاه، بل مع كونه تأسيسياً أيضاً كذلك؛ لعدم جعل سلطنة للعبد مزاحمة لسلطنة مولاه، فهي أيضاً معلّقة لبّاً، ومع احتمال ورود دليل يدلّ على إعمال سلطنته، تصير الشبهة في دليل السلطنة مصداقية، لا يصحّ التمسّك بالعامّ معها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ليس من قبيل التقييد بالمتّصل، بل نظير التقييد بالمنفصل </w:t>
      </w:r>
    </w:p>
    <w:p>
      <w:pPr>
        <w:pStyle w:val="BookText"/>
        <w:rPr/>
      </w:pPr>
      <w:r>
        <w:rPr>
          <w:rFonts w:ascii="Amiri" w:hAnsi="Amiri" w:eastAsia="Amiri" w:cs="Amiri"/>
          <w:color w:val="111111"/>
          <w:sz w:val="28"/>
          <w:sz w:val="28"/>
          <w:szCs w:val="28"/>
          <w:rtl w:val="true"/>
          <w:lang w:bidi="ar-SA"/>
        </w:rPr>
        <w:t>العقلي، ومعه يكون الشكّ في تحقّق المعلّق عليه نظير الشكّ في ورود المخصّص، فلا تكون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ورود دليل وارد على دليل آخر له إطلاق، لا يمكن رفع اليد عن الدليل المورود احتمالاً؛ باحتمال دليل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دليل السلطنة أو الدليل المورود احتمالاً، يكشف عن عدم حصول المعلّق عليه أو الوارد، فلو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مشكوك الحكم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أنّ التتن حلال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ورود أمارة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اليد عن الإطلاق؛ باحتمال ورود دليل حاكم أو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السلطنة معلّقة واقعاً ولبّاً على عدم إعمال اللّه تعالى السلطنة، لكن يكون التعليق بحكم المنفصل، واحتمل في موردٍ إعماله تعالى السلطنة، فلا يصحّ رفع اليد عن إطلاق دليل السلطنة، بل يدفع بإطلاقه احتمال 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بناء العقلاء وإن كان معلّقاً على عدم ورود ما يخالفهم من الشارع الأقدس، لكن لا يرفعون اليد عمّا لديهم من البناء بمجرّد احتمال ورود دليل مخالف، مع عدم منجّزية الاحتمال، ككونه قبل الفحص، فبناؤهم على العمل بخبر الثقة والظواهر واليد وأصالة الصحّة وغيرها، إلاّ أن يصل إليهم ما يمنعهم عنه بطريق متعارف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سلطنة الناس على أموالهم حيثي، فلا يدفع به احتمال نفوذ الفسخ، كما لا يدفع بدليل حلّ بهيمة الأنعام</w:t>
      </w:r>
      <w:r>
        <w:rPr>
          <w:rStyle w:val="FootnoteAnchor"/>
          <w:rtl w:val="true"/>
        </w:rPr>
        <w:footnoteReference w:id="369"/>
      </w:r>
      <w:r>
        <w:rPr>
          <w:rFonts w:ascii="IRNazanin" w:hAnsi="IRNazanin" w:eastAsia="IRNazanin"/>
          <w:color w:val="111111"/>
          <w:sz w:val="28"/>
          <w:sz w:val="28"/>
          <w:szCs w:val="28"/>
          <w:rtl w:val="true"/>
          <w:lang w:bidi="fa-IR"/>
        </w:rPr>
        <w:t>احتمال حرمتها بالوط‌ء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42" w:name="pg15195_150545"/>
    </w:p>
    <w:p>
      <w:pPr>
        <w:pStyle w:val="BookText"/>
        <w:rPr/>
      </w:pPr>
      <w:bookmarkEnd w:id="242"/>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الحكم الحيثي على موضوعه، يدفع الاحتمال المخالف لتلك الحيثية، فلو احتملنا خروج قسم من بهيمة الأنعام عن الحلّية الذاتية، يدفعه الإطلاق على فرضه، ففي المقام تملّك المال بلا إذن مالكه مخالف لحيثية سلطنته، فهو مدفوع بالإطلاق، ويكشف منه عدم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الغضّ عن ضعف سنده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2495335_2142443653"/>
      <w:bookmarkStart w:id="244" w:name="_Toc83"/>
      <w:bookmarkEnd w:id="243"/>
      <w:r>
        <w:rPr>
          <w:rtl w:val="true"/>
        </w:rPr>
        <w:t xml:space="preserve">الدليل الثالث </w:t>
      </w:r>
      <w:r>
        <w:rPr>
          <w:rtl w:val="true"/>
        </w:rPr>
        <w:t xml:space="preserve">: </w:t>
      </w:r>
      <w:r>
        <w:rPr>
          <w:rtl w:val="true"/>
        </w:rPr>
        <w:t xml:space="preserve">حديث </w:t>
      </w:r>
      <w:r>
        <w:rPr>
          <w:rtl w:val="true"/>
        </w:rPr>
        <w:t>«</w:t>
      </w:r>
      <w:r>
        <w:rPr>
          <w:rtl w:val="true"/>
        </w:rPr>
        <w:t xml:space="preserve">لا يحلّ </w:t>
      </w:r>
      <w:r>
        <w:rPr>
          <w:rtl w:val="true"/>
        </w:rPr>
        <w:t>. . .»</w:t>
      </w:r>
      <w:bookmarkEnd w:id="244"/>
    </w:p>
    <w:p>
      <w:pPr>
        <w:pStyle w:val="Heading5"/>
        <w:numPr>
          <w:ilvl w:val="4"/>
          <w:numId w:val="1"/>
        </w:numPr>
        <w:rPr/>
      </w:pPr>
      <w:bookmarkStart w:id="245" w:name="__RefHeading___Toc2495337_2142443653"/>
      <w:bookmarkStart w:id="246" w:name="_Toc84"/>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ومنه يظهر وجه الاستدلال بما عن أبي عبداللّه علیه السلام، في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دم امرئٍ مسلم ولا ماله إلاّ بطيبة نفسه</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فإنّ تملّك مال الغير بغير طيبة نفسه غير حلال، ويكشف منه عدم نفوذ الفسخ</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يتخيّل عدم إمكان إرادة الحكم التكليفي والوضعي منها، فلا بدّ من الحمل على التكليفي لأنّه أظهر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التكليف والوضع بمعنى واحد، ولا يستعمل شيء منها في الحكم التكليفي أو الوضعي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الأمر كذلك في الأوامر والنواهي؛ فإنّ هيئة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 وُجُوهَكُمْ</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إلى آخره، لا تستعمل إلاّ في البعث، وإن اختلف فهم العرف بحسب المتعلّقات، كما أشرنا إليه سابقاً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شيء يضطرّ إليه ابن آدم فقد أحلّه اللّه له</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لم يستعمل الحلّ إلاّ في معناه، وهو مقابل المنع، فإذا اضطرّ إلى شرب الفقّاع فقد</w:t>
      </w:r>
    </w:p>
    <w:p>
      <w:pPr>
        <w:pStyle w:val="BookText"/>
        <w:rPr/>
      </w:pPr>
      <w:r>
        <w:rPr>
          <w:rFonts w:ascii="Amiri" w:hAnsi="Amiri" w:eastAsia="Amiri" w:cs="Amiri"/>
          <w:color w:val="111111"/>
          <w:sz w:val="28"/>
          <w:sz w:val="28"/>
          <w:szCs w:val="28"/>
          <w:rtl w:val="true"/>
          <w:lang w:bidi="ar-SA"/>
        </w:rPr>
        <w:t>أحلّه اللّه، ورفع منعه هو الجواز تكليفاً، وإذا اضطرّ إلى غسل الرجلين في الوضوء، أو لبس الميتة في الصلاة، فقد أحلّه اللّه، ويفهم منه رفع المنع أيضاً، لكن رفع منع الميتة في الصلاة ظاهر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الممنوع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اُخرى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معناه، ويفهم منه التكليف في مورد، والوضع في آخر، من غير استعمال اللفظ في الحكم التكليفي أو الوضعي؛ فإنّ كلاًّ منهما غير الموضوع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المقام 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استعمل في معناه؛ أي مقابل المنع، ويفهم التكليف أو الوضع بحسب متعلّقه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انتساب نفي الحلّ إلى ذات المال مبنيّ على الادّعاء؛ لأنّ ذاته لا تكون حلالاً أو حراماً، والدعوى إنّما تصحّ إذا كان المال بجميع شؤونه غير حلال، فلو حلّ المال ببعض شؤونه البارزة الشائعة، لم تصحّ دعوى أنّ الذات غير حلال، </w:t>
      </w:r>
    </w:p>
    <w:p>
      <w:pPr>
        <w:pStyle w:val="BookText"/>
        <w:rPr/>
      </w:pPr>
      <w:r>
        <w:rPr>
          <w:rFonts w:ascii="Amiri" w:hAnsi="Amiri" w:eastAsia="Amiri" w:cs="Amiri"/>
          <w:color w:val="111111"/>
          <w:sz w:val="28"/>
          <w:sz w:val="28"/>
          <w:szCs w:val="28"/>
          <w:rtl w:val="true"/>
          <w:lang w:bidi="ar-SA"/>
        </w:rPr>
        <w:t xml:space="preserve">ومن الواضح أنّ من جملة شؤون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التصرّفات المعاملية، فلو حلّ للغير تلك التحوّلات التي هي من أشيع التحوّلات فيها، كانت دعوى عدم حلّية الذات مستهجنة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عدم حلّية الذات يقتضي عدم حلّية جميع تحوّلاتها، سواء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ولا وجه لتقدير في الكلام في أمثال تلك التراكيب كما قرّر في محلّه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لزوم التقدير، فلا وجه لتقدير شيء خاصّ، بل عدم ذكر شيء دليل العموم، بل مناسبة الحكم والموضوع تقتضي عموم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من أنّ المقدّر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الفسخ تصرّفاً </w:t>
      </w:r>
      <w:r>
        <w:rPr>
          <w:rStyle w:val="FootnoteAnchor"/>
          <w:rtl w:val="true"/>
        </w:rPr>
        <w:footnoteReference w:id="379"/>
      </w:r>
      <w:r>
        <w:rPr>
          <w:rFonts w:ascii="Amiri" w:hAnsi="Amiri" w:eastAsia="Amiri" w:cs="Amiri"/>
          <w:color w:val="111111"/>
          <w:sz w:val="28"/>
          <w:sz w:val="28"/>
          <w:szCs w:val="28"/>
          <w:rtl w:val="true"/>
          <w:lang w:bidi="ar-SA"/>
        </w:rPr>
        <w:t>، خيال في خيال، يظهر ضعفه ممّا مرّ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أنّ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يكون ذلك وزان قوله علیه السلام في التوقيع المبارك المحكيّ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يتصرّف في مال غيره بغير إذنه</w:t>
      </w:r>
      <w:r>
        <w:rPr>
          <w:rFonts w:eastAsia="IRNazanin" w:cs="IRNazanin"/>
          <w:color w:val="111111"/>
          <w:sz w:val="28"/>
          <w:szCs w:val="28"/>
          <w:rtl w:val="true"/>
          <w:lang w:bidi="fa-IR"/>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التصرّف مطلق التحوّل والتقلّب، حسّياً كان أم لا، كما يشهد به العرف؛ ضرورة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التصرّف في هذا الملك، تصرّف الملاّك في 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مطلق التصرّفات، معاملية كانت أم غيرها، وظاهر في مطلقها بلا شائبة مجاز وتأوّل، وتقسيم التصرّف إلى المعاملي وغيره صحيح، غير مجازٍ </w:t>
      </w:r>
    </w:p>
    <w:p>
      <w:pPr>
        <w:pStyle w:val="BookText"/>
        <w:rPr/>
      </w:pPr>
      <w:r>
        <w:rPr>
          <w:rFonts w:ascii="Amiri" w:hAnsi="Amiri" w:eastAsia="Amiri" w:cs="Amiri"/>
          <w:color w:val="111111"/>
          <w:sz w:val="28"/>
          <w:sz w:val="28"/>
          <w:szCs w:val="28"/>
          <w:rtl w:val="true"/>
          <w:lang w:bidi="ar-SA"/>
        </w:rPr>
        <w:t>بحكم التبادر، فالتصرّف إذا نسب إلى الأموال ظاهر في الأعمّ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التوقيع 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من يستحلّ ما في يده في أموالنا، ويتصرّف فيه تصرّفه في ماله من غير أمرنا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إلى آخره، ظاهر في الأعمّ، ولا ينبغي الريب في أنّ المراد منه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بمثل الأكل والشرب من التقلّبات الحسّية بعيد عن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علیه السلام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يحلّ لأحدٍ أن يتصرّف في مال غيره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ظاهر في الأعمّ واُريد منه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الظاهر من كلمات اللغويين التعميم،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صرف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بدراهم أو دنانير سواها،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صرّف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الأمر إليه، تصرّف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وتقلّب فيه، الصرّاف والصيرفي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النقود بنقود غيرها،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قطعة من المملكة</w:t>
      </w:r>
      <w:r>
        <w:rPr>
          <w:rStyle w:val="FootnoteAnchor"/>
          <w:rtl w:val="true"/>
        </w:rPr>
        <w:footnoteReference w:id="3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التبديل هو التبديل المعاطاتي؛ أي التصرّف الخارجي، كما ترى؛ ضرورة أنّ التبديل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السببي، لا الفعل الخارجي، فحينئذٍ يكون التوقيع أيضاً من أدلّة الباب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كل ما مرّ، والتسليم بأنّ المقدّر في الرواية المتقدّمة هو </w:t>
      </w:r>
      <w:bookmarkStart w:id="247" w:name="pg15195_150549"/>
    </w:p>
    <w:p>
      <w:pPr>
        <w:pStyle w:val="BookText"/>
        <w:rPr/>
      </w:pPr>
      <w:bookmarkEnd w:id="247"/>
      <w:r>
        <w:rPr>
          <w:rFonts w:ascii="Amiri" w:hAnsi="Amiri" w:eastAsia="Amiri" w:cs="Amiri"/>
          <w:color w:val="111111"/>
          <w:sz w:val="28"/>
          <w:sz w:val="28"/>
          <w:szCs w:val="28"/>
          <w:rtl w:val="true"/>
          <w:lang w:bidi="ar-SA"/>
        </w:rPr>
        <w:t>التصرّف، وهو عبارة عن التصرّفات الحسّية، يمكن إلغاء الخصوصية؛ بمناسبة الحكم والموضوع والتعميم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495339_2142443653"/>
      <w:bookmarkStart w:id="249" w:name="_Toc85"/>
      <w:bookmarkEnd w:id="248"/>
      <w:r>
        <w:rPr>
          <w:rtl w:val="true"/>
        </w:rPr>
        <w:t>اعتراضات وأجوبة</w:t>
      </w:r>
      <w:bookmarkEnd w:id="249"/>
    </w:p>
    <w:p>
      <w:pPr>
        <w:pStyle w:val="BookText"/>
        <w:rPr/>
      </w:pPr>
      <w:r>
        <w:rPr>
          <w:rFonts w:ascii="Amiri" w:hAnsi="Amiri" w:eastAsia="Amiri" w:cs="Amiri"/>
          <w:color w:val="111111"/>
          <w:sz w:val="28"/>
          <w:sz w:val="28"/>
          <w:szCs w:val="28"/>
          <w:rtl w:val="true"/>
          <w:lang w:bidi="ar-SA"/>
        </w:rPr>
        <w:t>كما يظهر ممّا مرّ الإشكال في مناقشاتهم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دون الوضعية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إنّ المقدّر هو التصرّف كما في التوقيع</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إنّ الجمع بين الحكم التكليفي والوضعي لا يجوز باستعمال واحد</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المنوطة بالرضا حلّية التصرّف في المال، لا حلّية إزالة إضافة المال إليه، كما مرّ نظيره في دليل السلطنة، بل هنا إشكال آخر، وهو أنّ ثبوت الحرمة المولوية لا ينافي الصحّة، والحلّية هنا تناسب التكليف؛ لانتسابها إلى الأعيان لا الأسباب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تسليم ورود الإشكال في دليل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الناس مسلّطون على الأموال، لا على الملكية، وأنّ المالك لا يسلّط على </w:t>
      </w:r>
    </w:p>
    <w:p>
      <w:pPr>
        <w:pStyle w:val="BookText"/>
        <w:rPr/>
      </w:pPr>
      <w:r>
        <w:rPr>
          <w:rFonts w:ascii="Amiri" w:hAnsi="Amiri" w:eastAsia="Amiri" w:cs="Amiri"/>
          <w:color w:val="111111"/>
          <w:sz w:val="28"/>
          <w:sz w:val="28"/>
          <w:szCs w:val="28"/>
          <w:rtl w:val="true"/>
          <w:lang w:bidi="ar-SA"/>
        </w:rPr>
        <w:t>الإبقاء والإزالة، كما تقدّم مع جوابه</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هاهنا؛ لأنّ عدم حلّية الأموال أعمّ من التصرّفات الحسّية كما مرّ، ولا شبهة في أنّ إزالة الإضافة عن المالك من التصرّفات الناقلة والمعاملية، وأمّا قضيّة الظهور في الحرمة المولوية، فقد مرّ</w:t>
      </w:r>
      <w:r>
        <w:rPr>
          <w:rStyle w:val="FootnoteAnchor"/>
          <w:rtl w:val="true"/>
        </w:rPr>
        <w:footnoteReference w:id="388"/>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فظهرت ممّا ذكر صحّة الاستدلال بالموثّقة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صدرها هو الحكم التكليفي، كما أنّ حرمة الدم أيضاً تكليفية، فصارا قرينة على المراد في الذيل، والحرمة التكليفية قرينة على خصوص التصرّفات الحسّية، ومع التعميم لا تنافي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النظر في هذا الإشكال بعد نقل الموثّقة، وهي ما عن سماعة، عن أبي عبداللّه علیه السلام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عنده أمانة فليؤدّها إلى من ائتمنه عليها؛ فإنّه لا يحلّ دم امرئٍ مسلم ولا ماله إلاّ بطيبة نفسه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تعليل للمقصود بإ لقاء كبرى كلّية، ولا معنى لتقييد الكبرى بالمورد، ولا قرينية له، كما يظهر في الأشباه والنظائر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علم بدخول الحرمة التكليفية في الكبرى، فحينئذٍ لو قلنا</w:t>
      </w:r>
      <w:r>
        <w:rPr>
          <w:rFonts w:eastAsia="Amiri" w:cs="Amiri" w:ascii="Amiri" w:hAnsi="Amiri"/>
          <w:color w:val="111111"/>
          <w:sz w:val="28"/>
          <w:szCs w:val="28"/>
          <w:rtl w:val="true"/>
          <w:lang w:bidi="ar-SA"/>
        </w:rPr>
        <w:t xml:space="preserve">: </w:t>
      </w:r>
      <w:bookmarkStart w:id="250" w:name="pg15195_150551"/>
    </w:p>
    <w:p>
      <w:pPr>
        <w:pStyle w:val="BookText"/>
        <w:rPr/>
      </w:pPr>
      <w:bookmarkEnd w:id="250"/>
      <w:r>
        <w:rPr>
          <w:rFonts w:ascii="Amiri" w:hAnsi="Amiri" w:eastAsia="Amiri" w:cs="Amiri"/>
          <w:color w:val="111111"/>
          <w:sz w:val="28"/>
          <w:sz w:val="28"/>
          <w:szCs w:val="28"/>
          <w:rtl w:val="true"/>
          <w:lang w:bidi="ar-SA"/>
        </w:rPr>
        <w:t>بأنّ الحرمة التكليفية والوضعية معنيان لعدم الحلّ، ويكون الاستعمال فيهما من قبيل استعمال اللفظ في الأكثر، كان لما ذكر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ما عرفت من أنّ التكليف والوضع من خصوصيات المورد، والمعنى المستعمل فيه شيء واحد</w:t>
      </w:r>
      <w:r>
        <w:rPr>
          <w:rStyle w:val="FootnoteAnchor"/>
          <w:rtl w:val="true"/>
        </w:rPr>
        <w:footnoteReference w:id="390"/>
      </w:r>
      <w:r>
        <w:rPr>
          <w:rFonts w:ascii="Amiri" w:hAnsi="Amiri" w:eastAsia="Amiri" w:cs="Amiri"/>
          <w:color w:val="111111"/>
          <w:sz w:val="28"/>
          <w:sz w:val="28"/>
          <w:szCs w:val="28"/>
          <w:rtl w:val="true"/>
          <w:lang w:bidi="ar-SA"/>
        </w:rPr>
        <w:t>، فلا يتّجه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الموثّقة أعمّية التصرّف من التصرّف الحسّي؛ لأنّ عدم ردّ الأمانة وحبسها، ليس تصرّفاً محسوساً كالأكل والشرب، فلو كان التصرّف منحصراً بالتحوّلات المحسوسة، لم تنطبق الكبرى الكلّية على المورد المستدلّ عليه، فتدبّر</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495341_2142443653"/>
      <w:bookmarkStart w:id="252" w:name="_Toc86"/>
      <w:bookmarkEnd w:id="251"/>
      <w:r>
        <w:rPr>
          <w:rtl w:val="true"/>
        </w:rPr>
        <w:t xml:space="preserve">الدليل الرابع </w:t>
      </w:r>
      <w:r>
        <w:rPr>
          <w:rtl w:val="true"/>
        </w:rPr>
        <w:t xml:space="preserve">: </w:t>
      </w:r>
      <w:r>
        <w:rPr>
          <w:rtl w:val="true"/>
        </w:rPr>
        <w:t>آية التجارة</w:t>
      </w:r>
      <w:bookmarkEnd w:id="252"/>
    </w:p>
    <w:p>
      <w:pPr>
        <w:pStyle w:val="Heading5"/>
        <w:numPr>
          <w:ilvl w:val="4"/>
          <w:numId w:val="1"/>
        </w:numPr>
        <w:rPr/>
      </w:pPr>
      <w:bookmarkStart w:id="253" w:name="__RefHeading___Toc2495343_2142443653"/>
      <w:bookmarkStart w:id="254" w:name="_Toc87"/>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391"/>
      </w:r>
      <w:r>
        <w:rPr>
          <w:rFonts w:ascii="Amiri" w:hAnsi="Amiri" w:eastAsia="Amiri" w:cs="Amiri"/>
          <w:color w:val="111111"/>
          <w:sz w:val="28"/>
          <w:sz w:val="28"/>
          <w:szCs w:val="28"/>
          <w:rtl w:val="true"/>
          <w:lang w:bidi="ar-SA"/>
        </w:rPr>
        <w:t>أيضاً للمطلوب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عليه بالمستثنى منه مع قطع النظر عن الاستثناء، وبالاستثناء مع الغضّ عن المستثنى منه، وبالحصر المستفاد من الجملتين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الاستدلال لمقصود واحد بالمستثنى والمستثنى منه؛ لأنّهما لا محالة متناقضان، فيؤول إلى كون المدّعى أمرين متناقضين</w:t>
      </w:r>
      <w:r>
        <w:rPr>
          <w:rStyle w:val="FootnoteAnchor"/>
          <w:rtl w:val="true"/>
        </w:rPr>
        <w:footnoteReference w:id="393"/>
      </w:r>
      <w:bookmarkStart w:id="255" w:name="pg15195_150552"/>
    </w:p>
    <w:p>
      <w:pPr>
        <w:pStyle w:val="BookText"/>
        <w:rPr/>
      </w:pPr>
      <w:bookmarkEnd w:id="255"/>
      <w:r>
        <w:rPr>
          <w:rFonts w:ascii="Amiri" w:hAnsi="Amiri" w:eastAsia="Amiri" w:cs="Amiri"/>
          <w:color w:val="111111"/>
          <w:sz w:val="28"/>
          <w:sz w:val="28"/>
          <w:szCs w:val="28"/>
          <w:rtl w:val="true"/>
          <w:lang w:bidi="ar-SA"/>
        </w:rPr>
        <w:t>كأنّه ناشٍ من عدم التأمّل في كيفية الاستدلال بهما، وسيتّضح كيفيته</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2495345_2142443653"/>
      <w:bookmarkStart w:id="257" w:name="_Toc88"/>
      <w:bookmarkEnd w:id="256"/>
      <w:r>
        <w:rPr>
          <w:rtl w:val="true"/>
        </w:rPr>
        <w:t>تقريب الاستدلال بالمستثنى منه</w:t>
      </w:r>
      <w:bookmarkEnd w:id="257"/>
    </w:p>
    <w:p>
      <w:pPr>
        <w:pStyle w:val="BookText"/>
        <w:rPr/>
      </w:pPr>
      <w:r>
        <w:rPr>
          <w:rFonts w:ascii="Amiri" w:hAnsi="Amiri" w:eastAsia="Amiri" w:cs="Amiri"/>
          <w:color w:val="111111"/>
          <w:sz w:val="28"/>
          <w:sz w:val="28"/>
          <w:szCs w:val="28"/>
          <w:rtl w:val="true"/>
          <w:lang w:bidi="ar-SA"/>
        </w:rPr>
        <w:t>أمّا الاستدلال بالمستثنى منه؛ فيمكن تقريبه بأنّ المحتمل فيه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بالنهي عن أكل المال بالباطل، سلب سببية الباطل للنقل والتمليك، فيكون النظر في المستثنى والمستثنى منه إلى عدم نفوذ الأسباب الباطلة، ونفوذ التجارة أو مطلق الأسباب غير الباطلة، فيكون المستثنى منه دالاًّ على بطلان الفسخ ابتداءً، لأنّه باطل ولغو عرفاً ولدى العقلاء، بعد كون المعاطاة عندهم لازمة، كما يظهر بالتأمّل في بناء العقلاء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بالنهي عن الأكل عنوان أكل المال الحاصل بسبب باطل، فيكون النظر ابتداءً إلى حرمة أكله، وإن كان لازمها بطلان السبب وعدم نفوذه، فيدلّ المستثنى منه على حرمة المال الحاصل بسبب باطل، والفسخ سبب باطل عرفاً، فأكل المال به حرام، فيكشف عن كون الفسخ غير نافذ؛ حيث لم يكن وجه لحرمته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تنفيذ الشارع ما هو باطل لدى العقلاء، إن كان من قبيل التخصيص مع حفظ الموضوع، فلا شبهة في جواز التمسّك بالآية مع احتمال ورود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في عدم جوازه لو كان حكم العقلاء بالبطلان واللغوية معلّقاً على عدم ورود التنفيذ والإجازة من الشارع الأقدس المالك للمال والمالك، إذا كان هذا الحكم كالقيد الحافّ بالكلام، ووجهه واضح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من التعليقات النظرية التي بحكم المنفصلات، فيقع الكلام في أنّ </w:t>
      </w:r>
    </w:p>
    <w:p>
      <w:pPr>
        <w:pStyle w:val="BookText"/>
        <w:rPr/>
      </w:pPr>
      <w:r>
        <w:rPr>
          <w:rFonts w:ascii="Amiri" w:hAnsi="Amiri" w:eastAsia="Amiri" w:cs="Amiri"/>
          <w:color w:val="111111"/>
          <w:sz w:val="28"/>
          <w:sz w:val="28"/>
          <w:szCs w:val="28"/>
          <w:rtl w:val="true"/>
          <w:lang w:bidi="ar-SA"/>
        </w:rPr>
        <w:t xml:space="preserve">المقام من قبيل ما قلنا </w:t>
      </w:r>
      <w:r>
        <w:rPr>
          <w:rStyle w:val="FootnoteAnchor"/>
          <w:rtl w:val="true"/>
        </w:rPr>
        <w:footnoteReference w:id="394"/>
      </w:r>
      <w:r>
        <w:rPr>
          <w:rFonts w:ascii="Amiri" w:hAnsi="Amiri" w:eastAsia="Amiri" w:cs="Amiri"/>
          <w:color w:val="111111"/>
          <w:sz w:val="28"/>
          <w:sz w:val="28"/>
          <w:szCs w:val="28"/>
          <w:rtl w:val="true"/>
          <w:lang w:bidi="ar-SA"/>
        </w:rPr>
        <w:t xml:space="preserve">في دليل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التعليق لمّا كان غير حافّ بالكلام، يصحّ التمسّك بالمطلق؛ لدفع شبهة إعماله تعالى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يكون من هذا القبيل، بل لا يصحّ التمسّك به مطلقاً؟</w:t>
      </w:r>
    </w:p>
    <w:p>
      <w:pPr>
        <w:pStyle w:val="BookText"/>
        <w:rPr/>
      </w:pPr>
      <w:r>
        <w:rPr>
          <w:rFonts w:ascii="Amiri" w:hAnsi="Amiri" w:eastAsia="Amiri" w:cs="Amiri"/>
          <w:color w:val="111111"/>
          <w:sz w:val="28"/>
          <w:sz w:val="28"/>
          <w:szCs w:val="28"/>
          <w:rtl w:val="true"/>
          <w:lang w:bidi="ar-SA"/>
        </w:rPr>
        <w:t>الأقوى هو الثاني؛ للفرق بين دليل السلطنة وبين المقام، لأنّ التعليق هناك</w:t>
      </w:r>
    </w:p>
    <w:p>
      <w:pPr>
        <w:pStyle w:val="BookText"/>
        <w:rPr/>
      </w:pPr>
      <w:r>
        <w:rPr>
          <w:rFonts w:ascii="Amiri" w:hAnsi="Amiri" w:eastAsia="Amiri" w:cs="Amiri"/>
          <w:color w:val="111111"/>
          <w:sz w:val="28"/>
          <w:sz w:val="28"/>
          <w:szCs w:val="28"/>
          <w:rtl w:val="true"/>
          <w:lang w:bidi="ar-SA"/>
        </w:rPr>
        <w:t>في الحكم مع حفظ الموضوع، فمع احتمال ورود مزاحم أقوى للسلطنة يتمسّك بإطلاقه كما مرّ</w:t>
      </w:r>
      <w:r>
        <w:rPr>
          <w:rStyle w:val="FootnoteAnchor"/>
          <w:rtl w:val="true"/>
        </w:rPr>
        <w:footnoteReference w:id="395"/>
      </w:r>
      <w:r>
        <w:rPr>
          <w:rFonts w:ascii="Amiri" w:hAnsi="Amiri" w:eastAsia="Amiri" w:cs="Amiri"/>
          <w:color w:val="111111"/>
          <w:sz w:val="28"/>
          <w:sz w:val="28"/>
          <w:szCs w:val="28"/>
          <w:rtl w:val="true"/>
          <w:lang w:bidi="ar-SA"/>
        </w:rPr>
        <w:t>، وأمّا في المقام فيكون التعليق في موضوع الحكم؛ لأنّ المفروض أنّه مع ورود دليل من الشارع يخرج الباطل عن كونه باطلاً، فهو من قيود موضوع الحكم، فيكون التمسّك بها نظير التمسّك في الشبهة المصداقية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كون الإخراج من قبيل التخصيص؛ لأنّ الآية آبية عن التخصيص الحكمي، فمن المستهجن عرفاً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ما حصل بالباطل إلاّ هذا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تجويز الباطل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حكم العقلاء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نحو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وعدم التأثير معلّق على عدم ورود التنفيذ من المالك الحقيقي، وبعد وروده لا يرون الفسخ لغواً وبلا أثر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بالعقلاء هم الخاضعون للّه تعالى، والذين يرونه مالكاً حقيقياً، له التصرّف في الأموال والنفوس، فيكون المحيط محيط التوحيد، لا الإلحاد وعدم الاعتناء بالمبادئ</w:t>
      </w:r>
      <w:r>
        <w:rPr>
          <w:rFonts w:eastAsia="Amiri" w:cs="Amiri" w:ascii="Amiri" w:hAnsi="Amiri"/>
          <w:color w:val="111111"/>
          <w:sz w:val="28"/>
          <w:szCs w:val="28"/>
          <w:rtl w:val="true"/>
          <w:lang w:bidi="ar-SA"/>
        </w:rPr>
        <w:t xml:space="preserve">. </w:t>
      </w:r>
      <w:bookmarkStart w:id="258" w:name="pg15195_150554"/>
    </w:p>
    <w:p>
      <w:pPr>
        <w:pStyle w:val="BookText"/>
        <w:rPr/>
      </w:pPr>
      <w:bookmarkEnd w:id="258"/>
      <w:r>
        <w:rPr>
          <w:rFonts w:ascii="Amiri" w:hAnsi="Amiri" w:eastAsia="Amiri" w:cs="Amiri"/>
          <w:color w:val="111111"/>
          <w:sz w:val="28"/>
          <w:sz w:val="28"/>
          <w:szCs w:val="28"/>
          <w:rtl w:val="true"/>
          <w:lang w:bidi="ar-SA"/>
        </w:rPr>
        <w:t>ولو شككنا في أنّ المقام من قبيل التخصيص، أو رفع الموضوع، لا يصحّ التمسّك بها أيضاً؛ بعين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صحيح لو كان الفسخ من الأسباب المفيدة للملك، 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شأنه رفع أثر السبب المملّك؛ فإنّ الأكل حينئذٍ بالسبب الأوّل لا الفسخ</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يتمّ لو قلنا بأنّ الآية تدلّ على الحرمة إن حصل المال بسبب باطل مستقلّ، لكنّه خلاف فهم العرف، بل الظاهر منها إلغاء تأثير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كان أو لا، والفسخ مؤثّر في دفع المانع عن تأثير السبب الأوّل، فيكون الأكل بالسبب الباطل ولو بنحو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 الكريمة أنّ الحاصل بالباطل مطلقاً محرّم والاختصاص بالسبب التامّ أو المقتضي خلاف فهم العرف ومناسبة الحكم والموضوع</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495347_2142443653"/>
      <w:bookmarkStart w:id="260" w:name="_Toc89"/>
      <w:bookmarkEnd w:id="259"/>
      <w:r>
        <w:rPr>
          <w:rtl w:val="true"/>
        </w:rPr>
        <w:t>تقريب الاستدلال بالمستثنى</w:t>
      </w:r>
      <w:bookmarkEnd w:id="260"/>
    </w:p>
    <w:p>
      <w:pPr>
        <w:pStyle w:val="BookText"/>
        <w:rPr/>
      </w:pPr>
      <w:r>
        <w:rPr>
          <w:rFonts w:ascii="Amiri" w:hAnsi="Amiri" w:eastAsia="Amiri" w:cs="Amiri"/>
          <w:color w:val="111111"/>
          <w:sz w:val="28"/>
          <w:sz w:val="28"/>
          <w:szCs w:val="28"/>
          <w:rtl w:val="true"/>
          <w:lang w:bidi="ar-SA"/>
        </w:rPr>
        <w:t>وأمّا الاستدلال بالمستثنى، فهو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تجويز الأكل من الحاصل بالتجارة، يقتضي جوازه بعد الفسخ أيضاً، وهو كاشف عن عدم نفوذه، وإلاّ لم يكن وجه لجوازه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مبنيّ على التقريب الثاني من التقريبين المتقدّمين، وهو أنّ النظر فيها إلى حرمة التصرّف وجوازه، وأمّا إن كان المراد تنفيذ التجارة، </w:t>
      </w:r>
    </w:p>
    <w:p>
      <w:pPr>
        <w:pStyle w:val="BookText"/>
        <w:rPr/>
      </w:pPr>
      <w:r>
        <w:rPr>
          <w:rFonts w:ascii="Amiri" w:hAnsi="Amiri" w:eastAsia="Amiri" w:cs="Amiri"/>
          <w:color w:val="111111"/>
          <w:sz w:val="28"/>
          <w:sz w:val="28"/>
          <w:szCs w:val="28"/>
          <w:rtl w:val="true"/>
          <w:lang w:bidi="ar-SA"/>
        </w:rPr>
        <w:t>وسلب تأثير الأسباب الباطلة عرفاً لدى الشارع أيضاً، فلا إطلاق فيها بالنسبة إلى حالات الأكل والتصرّف حتّى يشمل ما بعد الفسخ؛ لأنّها على الفرض بصدد تنفيذ البيع، لا 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الاحتمالين ثانيهما، فيصحّ التمسّك بالإطلاق،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من عدم الإطلاق</w:t>
      </w:r>
      <w:r>
        <w:rPr>
          <w:rStyle w:val="FootnoteAnchor"/>
          <w:rtl w:val="true"/>
        </w:rPr>
        <w:footnoteReference w:id="397"/>
      </w:r>
      <w:r>
        <w:rPr>
          <w:rFonts w:ascii="Amiri" w:hAnsi="Amiri" w:eastAsia="Amiri" w:cs="Amiri"/>
          <w:color w:val="111111"/>
          <w:sz w:val="28"/>
          <w:sz w:val="28"/>
          <w:szCs w:val="28"/>
          <w:rtl w:val="true"/>
          <w:lang w:bidi="ar-SA"/>
        </w:rPr>
        <w:t>غير وجيه، إلاّ أن يراد به ما يأتي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في المقام مصداقية؛ فإنّ حصر مجوّز الأكل في التجارة عن تراضٍ، إنّما يراد به أكله على أن يكون ملكاً للآكل؛ لئلاّ ينتقض بالإباحات، ولم يعلم بعد الرجوع بقاؤه على ملكه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الاستدلال بالمستثنى غير مبنيّ على إفادة الحصر، وسيأتي الكلام في عدم إفادة الآية للحصر، ويأتي أنّها لو دلّت على الحصر لا ينتقض بالإباحات ونحوها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الآية غير صحيح؛ لأنّ الملك بأيّ سبب حصل يجوز لمالكه أكله، فلا دخالة للتجارة في جوازه، بل تمام الموضوع له كونه ملكاً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الكريمة على الظاهر، بصدد بيان جواز أكل ما حصل بالتجارة من الأموال التي بين الناس، ولا تقييد فيما حصل بالتجارة بكونه ملكاً، وإن كان لازم جواز ما حصل بها كونه ملكاً، لكنّ هذا غير التقييد، والمضرّ بالتمسّك هو التقييد، وهو غير صحيح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هنا شبهة اُخرى، وهي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الأوّل من الاحتمالين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تنفيذ التجارة،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فيها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من الشكّ في الموضوع بعد الفسخ</w:t>
      </w:r>
      <w:r>
        <w:rPr>
          <w:rStyle w:val="FootnoteAnchor"/>
          <w:rtl w:val="true"/>
        </w:rPr>
        <w:footnoteReference w:id="401"/>
      </w:r>
      <w:r>
        <w:rPr>
          <w:rFonts w:ascii="Amiri" w:hAnsi="Amiri" w:eastAsia="Amiri" w:cs="Amiri"/>
          <w:color w:val="111111"/>
          <w:sz w:val="28"/>
          <w:sz w:val="28"/>
          <w:szCs w:val="28"/>
          <w:rtl w:val="true"/>
          <w:lang w:bidi="ar-SA"/>
        </w:rPr>
        <w:t>، وسيأتي الكلام فيه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الاحتمال الثاني، يكون الموضوع لحلّية الأكل هو المال الحاصل بالتجارة، فحينئذٍ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المال بكونه حاصلاً بالتجارة، فمع الفسخ يشكّ في الموضوع؛ لأنّ التجارة تنتفي مع فرض تأثير الفسخ، فلا يكون المال مال التجارة، ومع احتمال الانتفاء تصير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التقييد، لأنّ المعلول لا يتقيّد بعلّته، وإن كان لا مانع منه في مثل المقام، فلا إطلاق فيه؛ لعدم إمكان إطلاق المعلول حال عدم علّته، فلا محالة يكون موضوع الإطلاق مضيّقاً ذاتاً؛ أي يكون حصّة من المال التي تكون بحسب الواقع معلولة للتجارة، ولا يعقل إطلاق تلك الحصّة لحال فقد علّتها؛ لأنّ حال فقدها حال فقد المعلول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الحدوثي للتجارة كافٍ في جواز الأكل، ولا يتوقّف الحلّ على بقائها وبقاء العقد</w:t>
      </w:r>
      <w:r>
        <w:rPr>
          <w:rStyle w:val="FootnoteAnchor"/>
          <w:rtl w:val="true"/>
        </w:rPr>
        <w:footnoteReference w:id="403"/>
      </w:r>
      <w:r>
        <w:rPr>
          <w:rFonts w:ascii="Amiri" w:hAnsi="Amiri" w:eastAsia="Amiri" w:cs="Amiri"/>
          <w:color w:val="111111"/>
          <w:sz w:val="28"/>
          <w:sz w:val="28"/>
          <w:szCs w:val="28"/>
          <w:rtl w:val="true"/>
          <w:lang w:bidi="ar-SA"/>
        </w:rPr>
        <w:t xml:space="preserve">، فاسد؛ للزوم حلّية المال الحاصل بالبيع مع فرض مؤثّرية الفسخ واقعاً، وهو ضروري البطلان، فإذا كان مع العلم بمؤثّريته كذلك، </w:t>
      </w:r>
      <w:bookmarkStart w:id="261" w:name="pg15195_150557"/>
    </w:p>
    <w:p>
      <w:pPr>
        <w:pStyle w:val="BookText"/>
        <w:rPr/>
      </w:pPr>
      <w:bookmarkEnd w:id="261"/>
      <w:r>
        <w:rPr>
          <w:rFonts w:ascii="Amiri" w:hAnsi="Amiri" w:eastAsia="Amiri" w:cs="Amiri"/>
          <w:color w:val="111111"/>
          <w:sz w:val="28"/>
          <w:sz w:val="28"/>
          <w:szCs w:val="28"/>
          <w:rtl w:val="true"/>
          <w:lang w:bidi="ar-SA"/>
        </w:rPr>
        <w:t>يكشف هذا عن ضيق ذاتي أو قيد في المال؛ بحيث لا ينطبق إلاّ على المال الحاصل بالتجارة مع بقاء السبب فتدبّر جيّداً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495349_2142443653"/>
      <w:bookmarkStart w:id="263" w:name="_Toc90"/>
      <w:bookmarkEnd w:id="262"/>
      <w:r>
        <w:rPr>
          <w:rtl w:val="true"/>
        </w:rPr>
        <w:t>تقريب الاستدلال بالحصر المستفاد من مجموع الجملتين</w:t>
      </w:r>
      <w:bookmarkEnd w:id="263"/>
    </w:p>
    <w:p>
      <w:pPr>
        <w:pStyle w:val="BookText"/>
        <w:rPr/>
      </w:pPr>
      <w:r>
        <w:rPr>
          <w:rFonts w:ascii="Amiri" w:hAnsi="Amiri" w:eastAsia="Amiri" w:cs="Amiri"/>
          <w:color w:val="111111"/>
          <w:sz w:val="28"/>
          <w:sz w:val="28"/>
          <w:szCs w:val="28"/>
          <w:rtl w:val="true"/>
          <w:lang w:bidi="ar-SA"/>
        </w:rPr>
        <w:t>وأمّا الاستدلال بالحصر المستفاد من مجموع الجملتين، فمبنيّ على كون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ذكر لبيان علّة الحكم،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 الناس إلاّ أن تكون تجارة؛ فإنّ كلّ أكل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منه محذوف؛ أي لا تأكلوا أموالكم بوجه من الوجوه إلاّ بوجه التجارة؛ فإنّ الأكل بغير هذا الوجه باطل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ليس في إمكان كون الاستثناء متّصلاً، حتّى يوجّه تصوّره وإمكانه، بل في ظهور الكلام، ولا شبهة في أنّ ما ذكر لوجه الاتّصال خلاف الظاهر، وتأويل مخالف لفهم العقلاء، ولكلمات المفسّرين</w:t>
      </w:r>
      <w:r>
        <w:rPr>
          <w:rStyle w:val="FootnoteAnchor"/>
          <w:rtl w:val="true"/>
        </w:rPr>
        <w:footnoteReference w:id="405"/>
      </w:r>
      <w:r>
        <w:rPr>
          <w:rFonts w:ascii="Amiri" w:hAnsi="Amiri" w:eastAsia="Amiri" w:cs="Amiri"/>
          <w:color w:val="111111"/>
          <w:sz w:val="28"/>
          <w:sz w:val="28"/>
          <w:szCs w:val="28"/>
          <w:rtl w:val="true"/>
          <w:lang w:bidi="ar-SA"/>
        </w:rPr>
        <w:t>وللروايات الواردة في نزول الآية الكريمة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 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قريش يقامر الرجل </w:t>
      </w:r>
    </w:p>
    <w:p>
      <w:pPr>
        <w:pStyle w:val="BookText"/>
        <w:rPr/>
      </w:pPr>
      <w:r>
        <w:rPr>
          <w:rFonts w:ascii="Amiri" w:hAnsi="Amiri" w:eastAsia="Amiri" w:cs="Amiri"/>
          <w:color w:val="111111"/>
          <w:sz w:val="28"/>
          <w:sz w:val="28"/>
          <w:szCs w:val="28"/>
          <w:rtl w:val="true"/>
          <w:lang w:bidi="ar-SA"/>
        </w:rPr>
        <w:t xml:space="preserve">بأهله وماله، فنهاهم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 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غيرهما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منها كظاهر نفس الآية، أنّ النهي عن الأكل بالسبب الباطل، فالقيد احترازي لا توضيحي، والاستثناء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المنقطع خلاف الفصاحة</w:t>
      </w:r>
      <w:r>
        <w:rPr>
          <w:rStyle w:val="FootnoteAnchor"/>
          <w:rtl w:val="true"/>
        </w:rPr>
        <w:footnoteReference w:id="410"/>
      </w:r>
      <w:r>
        <w:rPr>
          <w:rFonts w:ascii="Amiri" w:hAnsi="Amiri" w:eastAsia="Amiri" w:cs="Amiri"/>
          <w:color w:val="111111"/>
          <w:sz w:val="28"/>
          <w:sz w:val="28"/>
          <w:szCs w:val="28"/>
          <w:rtl w:val="true"/>
          <w:lang w:bidi="ar-SA"/>
        </w:rPr>
        <w:t>باطل جدّاً، بل قد تقتضي الفصاحة الانقطاع، وقد ورد في الكتاب العزيز في غير المقام،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كون الاستثناء متّصلاً،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الآية على الحصر في التجارة؛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بمعنى أنّ المتفاهم العرفي منه أنّ البطلان موجب لذلك، والظاهر المتفاهم أنّ استثناء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p>
    <w:p>
      <w:pPr>
        <w:pStyle w:val="BookText"/>
        <w:rPr/>
      </w:pP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حقّاً والعلّة تعمّم وتخصّص، فيستفاد منه حلّية الأكل بكلّ حقّ، وعدمها بكلّ باطل، فيدخل في الحقّ ما لا يكون تجارة كالإباحات، والقرض، والتملّك في مجهول المالك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ينتقض الحصر بها حتّى نحتاج إلى ارتكاب بعض التكلّفات والتوجيهات، كما وقع من بعضهم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على فرض كونه منقطعاً، يفهم من الآية الكريمة التنويع بين الباطل والحقّ؛ بمناسبة الحكم والموضوع، فلا فرق بين الاتّصال والانقطاع في ذلك؛ أي في دلالة الآية عرفاً على أنّ الباطل لبطلانه سقط عن السببية، أو صار موجباً لحرمة الأكل ممّا حصل به، في مقابل الحقّ الثابتة 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يأتي الإشكال المتقدّم في التمسّك بالمستثنى منه، وهو أنّ الباطل العرفي لمّا كان معلّقاً على عدم تصرّف من الشارع الأقدس، تصير الشبهة مع احتمال تصرّفه موضوعية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بالآية لإثبات اللزوم، لا بالجملة المستثنى منها، ولا المستثنى، ولا الحصر المستفاد منهما على فرضه، إلاّ أن يتشبّث بالاستصحاب لإحراز الموضوع، وفيه كلام</w:t>
      </w:r>
      <w:r>
        <w:rPr>
          <w:rFonts w:eastAsia="Amiri" w:cs="Amiri" w:ascii="Amiri" w:hAnsi="Amiri"/>
          <w:color w:val="111111"/>
          <w:sz w:val="28"/>
          <w:szCs w:val="28"/>
          <w:rtl w:val="true"/>
          <w:lang w:bidi="ar-SA"/>
        </w:rPr>
        <w:t xml:space="preserve">. </w:t>
      </w:r>
      <w:bookmarkStart w:id="264" w:name="pg15195_150560"/>
    </w:p>
    <w:p>
      <w:pPr>
        <w:pStyle w:val="Heading4"/>
        <w:numPr>
          <w:ilvl w:val="3"/>
          <w:numId w:val="1"/>
        </w:numPr>
        <w:rPr/>
      </w:pPr>
      <w:bookmarkStart w:id="265" w:name="__RefHeading___Toc2495351_2142443653"/>
      <w:bookmarkStart w:id="266" w:name="_Toc91"/>
      <w:bookmarkEnd w:id="264"/>
      <w:bookmarkEnd w:id="265"/>
      <w:r>
        <w:rPr>
          <w:rtl w:val="true"/>
        </w:rPr>
        <w:t xml:space="preserve">الدليل الخامس </w:t>
      </w:r>
      <w:r>
        <w:rPr>
          <w:rtl w:val="true"/>
        </w:rPr>
        <w:t xml:space="preserve">: </w:t>
      </w:r>
      <w:r>
        <w:rPr>
          <w:rtl w:val="true"/>
        </w:rPr>
        <w:t>أخبار خيار المجلس</w:t>
      </w:r>
      <w:bookmarkEnd w:id="266"/>
    </w:p>
    <w:p>
      <w:pPr>
        <w:pStyle w:val="Heading5"/>
        <w:numPr>
          <w:ilvl w:val="4"/>
          <w:numId w:val="1"/>
        </w:numPr>
        <w:rPr/>
      </w:pPr>
      <w:bookmarkStart w:id="267" w:name="__RefHeading___Toc2495353_2142443653"/>
      <w:bookmarkStart w:id="268" w:name="_Toc92"/>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414"/>
      </w:r>
      <w:r>
        <w:rPr>
          <w:rFonts w:ascii="IRNazanin" w:hAnsi="IRNazanin" w:eastAsia="IRNazanin"/>
          <w:color w:val="111111"/>
          <w:sz w:val="28"/>
          <w:sz w:val="28"/>
          <w:szCs w:val="28"/>
          <w:rtl w:val="true"/>
          <w:lang w:bidi="fa-IR"/>
        </w:rPr>
        <w:t>في خصوص البيع بالأخبار المستفيضة في خيار المجلس،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اشترى من رجل بيعاً فهما بالخيار حتّى يفترقا، فإذا افترقا وجب البيع</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فإنّ المعاطاة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الخيار؛ إذ الخيار مختصّ بالبيع اللازم، ومقتضى الإطلاق وجود الخيار في بيع المعاطاة، فهو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الغاية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الخيار مغيّاة بعدم الافتراق، ومعه يسقط الخيار، وهو ملازم للّزوم، ومقتضى الإطلاق دخول البائع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يقتضي أن يكون واجباً فعلياً من جميع الجهات، وأدلّة سائر الخيارات مقيّدة له، لا حيثياً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جعل الخيار للبيع الجائز ذاتاً لا مانع منه، كجعل الخيارات المتعدّدة للبيع، فلا دلالة لجعل الخيار على لزومه؛ لأنّه كاللازم الأعمّ الذي بثبوته لا يحرز الملزوم الخاصّ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صحّة جعله للجائز ذاتاً بحسب حكم العقل أو العقلاء، فإن كان هذا الحكم كالقيد الحافّ بالكلام، فيكون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مقيّداً بكون بيعهما لازماً، ففي مورد الشكّ في كون بيع لازماً كالمعاطاة لا يصحّ التمسّك بإطلاقه؛ لأنّ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أو العقلاء كالمخصّص المنفصل، لا يوجب تقييد الموضوع عند صدوره، وكان القيد لبّياً منفصلاً،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التمسّك بالعامّ في الشبهة المصداقية في مثله كما قالوا </w:t>
      </w:r>
      <w:r>
        <w:rPr>
          <w:rStyle w:val="FootnoteAnchor"/>
          <w:rtl w:val="true"/>
        </w:rPr>
        <w:footnoteReference w:id="417"/>
      </w:r>
      <w:r>
        <w:rPr>
          <w:rFonts w:ascii="IRNazanin" w:hAnsi="IRNazanin" w:eastAsia="IRNazanin"/>
          <w:color w:val="111111"/>
          <w:sz w:val="28"/>
          <w:sz w:val="28"/>
          <w:szCs w:val="28"/>
          <w:rtl w:val="true"/>
          <w:lang w:bidi="fa-IR"/>
        </w:rPr>
        <w:t xml:space="preserve">، فيمكن التمسّك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الخيار في المعاطاة وكشف لزومها، نحو التمسّك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اُميّة قاطبةً</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في مورد الشكّ في إيمان واحد منهم لجواز لعنه، وكشف عدم إيمانه؛ إذ في المخصّص اللبّي المنفصل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المخصّصات اللبّية واللفظية في عدم جواز التمسّك في الشبهة المصداقية، كما اخترناه في محلّه</w:t>
      </w:r>
      <w:r>
        <w:rPr>
          <w:rStyle w:val="FootnoteAnchor"/>
          <w:rtl w:val="true"/>
        </w:rPr>
        <w:footnoteReference w:id="419"/>
      </w:r>
      <w:r>
        <w:rPr>
          <w:rFonts w:ascii="Amiri" w:hAnsi="Amiri" w:eastAsia="Amiri" w:cs="Amiri"/>
          <w:color w:val="111111"/>
          <w:sz w:val="28"/>
          <w:sz w:val="28"/>
          <w:szCs w:val="28"/>
          <w:rtl w:val="true"/>
          <w:lang w:bidi="ar-SA"/>
        </w:rPr>
        <w:t>، فلا يصحّ التمسّك بإطلاقه لكشف حال الموضوع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المصداقية للمخصّص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يجوز فيها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خرج من العامّ عنوان بحسب حكم العقل، وشكّ في مورد أنّه مصداق الخارج أو لا، وأمّا إذا شكّ في أصل الخروج ولو من جهة عدم إحراز مصداق للعنوان العقلي، كما فيما نحن بصدده؛ حيث لم يحرز أنّ للبيع مصداقاً جائزاً، فليس الشكّ فيه من قبيل الشبهة المصداقية للمخصّص المحرزة مخصّصيته، والتفصيل في محلّه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في عدم جواز التمسّك بين ما ثبت تحقّق أفراد من العنوان الخارج وشكّ في فرد آخر، وعدمه إذا كان المخصّص عقلياً؛ ضرورة أنّ تحقّق الفرد وعدمه لا دخالة له في الحكم، فحكم العقل بأنّ المؤمن لا يلعن ثابت، موجب لعدم دخول المؤمن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نظرٍ إلى خصوصيات المصاديق، وخروجها، ودخولها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شكّ في فرد أنّه مؤمن أو لا، مع العلم بعدم إيمان غيره منهم، يكون من الشبهة المصداقية للمخصّص، لا الشبهة في أصل التخصيص لأنّ التخصيص بحكم العقل، وهو على النحو الكلّي لا الجزئي، ولا شكّ في خروج المؤمن عن هذا العامّ، والشكّ في المصداق غير الشكّ في التخصيص، وما نحن فيه كذلك، بناءً على كون التخصيص أو عدم الدخول بحكم العقل،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بمفهوم الغاية،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الخيار غير الجواز الحكمي؛ ضرورة أنّ الخيار حقّ مجعول لذي الخيار، قابل للنقل، والإسقاط، والإرث، والجواز الحكمي بخلافه؛ فإنّه حكم للمعاملة كالهبة والوكالة، غير مجعول لأحد، ولا قابل لما ذكر، فنفي ماهية الخيار لا ينافي بقاء الجواز الحكمي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بذيل الرواية؛ أي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في أنّ الموضوع في صدرها وذيلها واحد، فلو كان الموضوع في الصدر مطلق البيع أو مقيّده، كان في الذيل كذلك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الإطلاق في الصدر تقتضي كون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وإطلاقه شامل للبيع بالصيغة والمعاطاة، سواء كانت لازمة واقعاً أم جائزة، وأصالة الإطلاق في الذيل تقتضي الوجوب مطلقاً، بعد الافتراق </w:t>
      </w:r>
      <w:bookmarkStart w:id="269" w:name="pg15195_150563"/>
    </w:p>
    <w:p>
      <w:pPr>
        <w:pStyle w:val="BookText"/>
        <w:rPr/>
      </w:pPr>
      <w:bookmarkEnd w:id="269"/>
      <w:r>
        <w:rPr>
          <w:rFonts w:ascii="Amiri" w:hAnsi="Amiri" w:eastAsia="Amiri" w:cs="Amiri"/>
          <w:color w:val="111111"/>
          <w:sz w:val="28"/>
          <w:sz w:val="28"/>
          <w:szCs w:val="28"/>
          <w:rtl w:val="true"/>
          <w:lang w:bidi="ar-SA"/>
        </w:rPr>
        <w:t>في الموضوع المأخوذ في الصدر، فيقع التعارض بينهما؛ لأنّ الوجوب المطلق يضادّ البيع الجائز، فلا بدّ إمّا من رفع اليد عن إطلاق الذيل أو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بالذيل لإثبات اللزوم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الحيثي لا ينافي الجواز،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الفعلي وارتكبنا التقييد بالنسبة إلى الجائز على فرضه، كان التمسّك به تمسّكاً في الشبهة المصداقية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البيع في الصدر إذا اختصّ بالبيع اللازم، يكون في الذيل كذلك، فتصير الشبهة مصداقية، لا يجوز التمسّك بالعامّ فيها، سواء كان التخصيص متّصلاً، أم منفصلاً،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بصحّة جعل الخيار لمطلق البيع ولو كان جائزاً،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صحّته، فلا بدّ أن يكون الموضوع في الصدر مقيّداً لبّاً، والذيل تابع له، فصارت الشبهة مصداقية أيضاً</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495355_2142443653"/>
      <w:bookmarkStart w:id="271" w:name="_Toc93"/>
      <w:bookmarkEnd w:id="270"/>
      <w:r>
        <w:rPr>
          <w:rtl w:val="true"/>
        </w:rPr>
        <w:t>نقل الأخبار الواردة في خيار المجلس</w:t>
      </w:r>
      <w:bookmarkEnd w:id="271"/>
    </w:p>
    <w:p>
      <w:pPr>
        <w:pStyle w:val="BookText"/>
        <w:rPr/>
      </w:pPr>
      <w:r>
        <w:rPr>
          <w:rFonts w:ascii="Amiri" w:hAnsi="Amiri" w:eastAsia="Amiri" w:cs="Amiri"/>
          <w:color w:val="111111"/>
          <w:sz w:val="28"/>
          <w:sz w:val="28"/>
          <w:szCs w:val="28"/>
          <w:rtl w:val="true"/>
          <w:lang w:bidi="ar-SA"/>
        </w:rPr>
        <w:t>هذا كلّه مع الغضّ عن الروايات، وأمّا بالنظر إليها فهي على طوائف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يصرّح فيها بالمفهوم، كقوله علیه السلام في صحيحة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حتّى يفترقا، وصاحب الحيوان بالخيار ثلاثة أيّام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في عدم ذكر المفهوم صحيحة زرارة</w:t>
      </w:r>
      <w:r>
        <w:rPr>
          <w:rStyle w:val="FootnoteAnchor"/>
          <w:rtl w:val="true"/>
        </w:rPr>
        <w:footnoteReference w:id="421"/>
      </w:r>
      <w:r>
        <w:rPr>
          <w:rFonts w:ascii="Amiri" w:hAnsi="Amiri" w:eastAsia="Amiri" w:cs="Amiri"/>
          <w:color w:val="111111"/>
          <w:sz w:val="28"/>
          <w:sz w:val="28"/>
          <w:szCs w:val="28"/>
          <w:rtl w:val="true"/>
          <w:lang w:bidi="ar-SA"/>
        </w:rPr>
        <w:t>ورواية علي بن أسباط</w:t>
      </w:r>
      <w:r>
        <w:rPr>
          <w:rStyle w:val="FootnoteAnchor"/>
          <w:rtl w:val="true"/>
        </w:rPr>
        <w:footnoteReference w:id="422"/>
      </w:r>
      <w:r>
        <w:rPr>
          <w:rFonts w:ascii="Amiri" w:hAnsi="Amiri" w:eastAsia="Amiri" w:cs="Amiri"/>
          <w:color w:val="111111"/>
          <w:sz w:val="28"/>
          <w:sz w:val="28"/>
          <w:szCs w:val="28"/>
          <w:rtl w:val="true"/>
          <w:lang w:bidi="ar-SA"/>
        </w:rPr>
        <w:t>والحسين بن عمر بن يزيد، عن أبيه</w:t>
      </w:r>
      <w:r>
        <w:rPr>
          <w:rStyle w:val="FootnoteAnchor"/>
          <w:rtl w:val="true"/>
        </w:rPr>
        <w:footnoteReference w:id="423"/>
      </w:r>
      <w:r>
        <w:rPr>
          <w:rFonts w:ascii="Amiri" w:hAnsi="Amiri" w:eastAsia="Amiri" w:cs="Amiri"/>
          <w:color w:val="111111"/>
          <w:sz w:val="28"/>
          <w:sz w:val="28"/>
          <w:szCs w:val="28"/>
          <w:rtl w:val="true"/>
          <w:lang w:bidi="ar-SA"/>
        </w:rPr>
        <w:t xml:space="preserve">وغيرها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وهي صحيحة الفضيل،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في الحيوان؟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أيّام للمشتري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الشرط في غير الحيوان؟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اشترى من رجل بيعاً فهما بالخيار حتّى يفترقا، فإذا افترقا وجب البيع</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فيها حكاية فعل أبي جعفر علیه السلام، كصحيحة الحلبي 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أبي اشترى أرضاً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272" w:name="pg15195_150565"/>
    </w:p>
    <w:p>
      <w:pPr>
        <w:pStyle w:val="BookText"/>
        <w:rPr/>
      </w:pPr>
      <w:bookmarkEnd w:id="272"/>
      <w:r>
        <w:rPr>
          <w:rFonts w:ascii="Amiri" w:hAnsi="Amiri" w:eastAsia="Amiri" w:cs="Amiri"/>
          <w:color w:val="111111"/>
          <w:sz w:val="28"/>
          <w:sz w:val="28"/>
          <w:szCs w:val="28"/>
          <w:rtl w:val="true"/>
          <w:lang w:bidi="ar-SA"/>
        </w:rPr>
        <w:t>استوجبها قام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عجّلت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أردت أن يجب البيع</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2495357_2142443653"/>
      <w:bookmarkStart w:id="274" w:name="_Toc94"/>
      <w:bookmarkEnd w:id="273"/>
      <w:r>
        <w:rPr>
          <w:rtl w:val="true"/>
        </w:rPr>
        <w:t>عدم دلالة الأخبار على اللزوم</w:t>
      </w:r>
      <w:bookmarkEnd w:id="274"/>
    </w:p>
    <w:p>
      <w:pPr>
        <w:pStyle w:val="BookText"/>
        <w:rPr/>
      </w:pPr>
      <w:r>
        <w:rPr>
          <w:rFonts w:ascii="Amiri" w:hAnsi="Amiri" w:eastAsia="Amiri" w:cs="Amiri"/>
          <w:color w:val="111111"/>
          <w:sz w:val="28"/>
          <w:sz w:val="28"/>
          <w:szCs w:val="28"/>
          <w:rtl w:val="true"/>
          <w:lang w:bidi="ar-SA"/>
        </w:rPr>
        <w:t>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عدم دلالتها على المقصود، مع الغضّ عمّا مرّ بيانه؛ فإنّ دلالتها مبنيّة على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ماهيته المطلقة، حتّى تدلّ الغاية على سلبها، فيدّعى أنّه ملازم للّزوم، وهو غير مراد بلا ريب؛ لأنّ جعل الغاية لماهية الخيار المطلقة مع كونها واقعاً لخيار واحد فقط، وسائر الخيارات على كثرتها غير مغيّاة بالافتراق، مستهجن، فلا بدّ من إرادة الخيار الخاصّ؛ أي خيار المجلس ولازمها سلبه خاصّاً، وهو غير ملازم 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يظهر الكلام في صحيحة الفضيل؛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الخيار المذكور في الصدر؛ لتبعية ذيلها لصدرها في ذلك، مع أنّ سلب ماهية الخيار مطلقاً مع ثبوت جميع الخيارات إلاّ واحداً منها، مستهجن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جميع الروايات بصدد بيان ثبوت خيار خاصّ، وسلب الخاصّ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المفهوم منها؛ ضرورة أنّ المفهوم الاصطلاحي إنّما هو فيما إذا علّق السنخ على الغاية لا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ظهور لرواية الحلبي في الإطلاق، ولا لبيان حكم آخر غير ما في سائر الروايات، فلا بدّ من حمله على الوجوب الحيثي</w:t>
      </w:r>
      <w:r>
        <w:rPr>
          <w:rFonts w:eastAsia="Amiri" w:cs="Amiri" w:ascii="Amiri" w:hAnsi="Amiri"/>
          <w:color w:val="111111"/>
          <w:sz w:val="28"/>
          <w:szCs w:val="28"/>
          <w:rtl w:val="true"/>
          <w:lang w:bidi="ar-SA"/>
        </w:rPr>
        <w:t xml:space="preserve">. </w:t>
      </w:r>
      <w:bookmarkStart w:id="275" w:name="pg15195_150566"/>
    </w:p>
    <w:p>
      <w:pPr>
        <w:pStyle w:val="BookText"/>
        <w:rPr/>
      </w:pPr>
      <w:bookmarkEnd w:id="275"/>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الحمل على الوجوب الفعلي المطلق، والالتزام بأنّها بصدد بيان أمر آخر غير ما في الروايات، وكذا الالتزام بخروج جميع الخيارات على كثرتها تقييداً، وبين الحمل على الوجوب الحيثي، فالترجيح للثاني، بل لو لم يكن إلاّ الإخراج الكثير لكفى في تعيّنه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الأخيرة، فمضافاً إلى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استوجبها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البيع بالصيغة، وإلى بعد اشتراء الأراضي والقرى معاطاة، وتعارف البيع بالصيغة فيها، أنّها قضيّة شخصية، لا يعلم الحال فيها، فلا إطلاق لها يشمل المعاطاة، فتدبّر جيّداً</w:t>
      </w:r>
      <w:r>
        <w:rPr>
          <w:rFonts w:eastAsia="IRNazanin" w:cs="IRNazanin"/>
          <w:color w:val="111111"/>
          <w:sz w:val="28"/>
          <w:szCs w:val="28"/>
          <w:rtl w:val="true"/>
          <w:lang w:bidi="fa-IR"/>
        </w:rPr>
        <w:t>.</w:t>
      </w:r>
    </w:p>
    <w:p>
      <w:pPr>
        <w:pStyle w:val="Heading4"/>
        <w:numPr>
          <w:ilvl w:val="3"/>
          <w:numId w:val="1"/>
        </w:numPr>
        <w:rPr/>
      </w:pPr>
      <w:bookmarkStart w:id="276" w:name="__RefHeading___Toc2495359_2142443653"/>
      <w:bookmarkStart w:id="277" w:name="_Toc95"/>
      <w:bookmarkEnd w:id="276"/>
      <w:r>
        <w:rPr>
          <w:rtl w:val="true"/>
        </w:rPr>
        <w:t xml:space="preserve">الدليل السادس </w:t>
      </w:r>
      <w:r>
        <w:rPr>
          <w:rtl w:val="true"/>
        </w:rPr>
        <w:t xml:space="preserve">: </w:t>
      </w:r>
      <w:r>
        <w:rPr>
          <w:rtl w:val="true"/>
        </w:rPr>
        <w:t>آية الوفاء بالعقود</w:t>
      </w:r>
      <w:bookmarkEnd w:id="277"/>
    </w:p>
    <w:p>
      <w:pPr>
        <w:pStyle w:val="Heading5"/>
        <w:numPr>
          <w:ilvl w:val="4"/>
          <w:numId w:val="1"/>
        </w:numPr>
        <w:rPr/>
      </w:pPr>
      <w:bookmarkStart w:id="278" w:name="__RefHeading___Toc2495361_2142443653"/>
      <w:bookmarkStart w:id="279" w:name="_Toc96"/>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429"/>
      </w:r>
      <w:r>
        <w:rPr>
          <w:rFonts w:ascii="Amiri" w:hAnsi="Amiri" w:eastAsia="Amiri" w:cs="Amiri"/>
          <w:color w:val="111111"/>
          <w:sz w:val="28"/>
          <w:sz w:val="28"/>
          <w:szCs w:val="28"/>
          <w:rtl w:val="true"/>
          <w:lang w:bidi="ar-SA"/>
        </w:rPr>
        <w:t>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وقد مرّ بعض الكلام فيه</w:t>
      </w:r>
      <w:r>
        <w:rPr>
          <w:rStyle w:val="FootnoteAnchor"/>
          <w:rtl w:val="true"/>
        </w:rPr>
        <w:footnoteReference w:id="431"/>
      </w:r>
      <w:r>
        <w:rPr>
          <w:rFonts w:ascii="Amiri" w:hAnsi="Amiri" w:eastAsia="Amiri" w:cs="Amiri"/>
          <w:color w:val="111111"/>
          <w:sz w:val="28"/>
          <w:sz w:val="28"/>
          <w:szCs w:val="28"/>
          <w:rtl w:val="true"/>
          <w:lang w:bidi="ar-SA"/>
        </w:rPr>
        <w:t xml:space="preserve">، ولا نعيد إلاّ التنبيه على أمر، وهو أنّ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العمل بمقتضى العقد أو العهد ونحوهما، ولا يكون إبقاء العقد وفاءً به عرفاً، ولهذا لو ترك العمل بمقتضاه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وفى بعقده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به من حيث عدم الفسخ</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المنظور إليه ليس العقد إبقاءً وإزالةً في وجوب الوفاء، بل </w:t>
      </w:r>
      <w:bookmarkStart w:id="280" w:name="pg15195_150567"/>
    </w:p>
    <w:p>
      <w:pPr>
        <w:pStyle w:val="BookText"/>
        <w:rPr/>
      </w:pPr>
      <w:bookmarkEnd w:id="280"/>
      <w:r>
        <w:rPr>
          <w:rFonts w:ascii="Amiri" w:hAnsi="Amiri" w:eastAsia="Amiri" w:cs="Amiri"/>
          <w:color w:val="111111"/>
          <w:sz w:val="28"/>
          <w:sz w:val="28"/>
          <w:szCs w:val="28"/>
          <w:rtl w:val="true"/>
          <w:lang w:bidi="ar-SA"/>
        </w:rPr>
        <w:t>المنظور إليه مفاد العقد ومقتضاه، ولا شبهة في أنّ مقتضى العقود والعهود مختلف، فالعهد على عمل مقتضاه لزوم إتيانه، والوفاء به 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والبيع وإن كان مقتضاه الأوّلي هو التمليك، لكنّ الوفاء به عرفاً عبارة عن تسليم المبيع لا في الجملة، بل مع البقاء عليه، فمن لم يسلّم مطلقاً أو سلّمه ورجع إليه بعنوان استرجاع المبيع، لم يكن موفياً بعقده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المعاطاة كان الوفاء في السلف معاطاة بإعطاء المبيع في وقته، والبقاء عليه، وعدم الاسترجاع بعنوانه، وبإعطاء الثمن في النسيئة كذلك، وفيما كان التعاطي من الطرفين يكون الوفاء بعدم الاسترجاع، وإبقاء مقتضى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تعلّق بالوفاء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على مقتضاها حسب اختلاف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بإبقائها وعدم فسخها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495363_2142443653"/>
      <w:bookmarkStart w:id="282" w:name="_Toc97"/>
      <w:bookmarkEnd w:id="281"/>
      <w:r>
        <w:rPr>
          <w:rtl w:val="true"/>
        </w:rPr>
        <w:t>التقريبات الثلاثة لإثبات اللزوم</w:t>
      </w:r>
      <w:bookmarkEnd w:id="282"/>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دلالة الآية الكريمة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الوفاء والإلزام بالعمل على مقتضاها كناية عن لزوم العقد، وإنّما اُمر به إرشاداً إلى ملزومه؛ بمعنى أنّه اُنشئ بهذا الكلام اللزوم</w:t>
      </w:r>
    </w:p>
    <w:p>
      <w:pPr>
        <w:pStyle w:val="BookText"/>
        <w:rPr/>
      </w:pPr>
      <w:r>
        <w:rPr>
          <w:rFonts w:ascii="Amiri" w:hAnsi="Amiri" w:eastAsia="Amiri" w:cs="Amiri"/>
          <w:color w:val="111111"/>
          <w:sz w:val="28"/>
          <w:sz w:val="28"/>
          <w:szCs w:val="28"/>
          <w:rtl w:val="true"/>
          <w:lang w:bidi="ar-SA"/>
        </w:rPr>
        <w:t>للعقود، كما في الإخبار عن الملزوم بإ لقاء اللازم في الكنايات، فكما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جوده الملزوم له عادة،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جعل اللزوم للعقود؛ لأنّ لزوم العمل بمقتضى العقد ملازم عرفاً لخروج زمامه عن يد المتبايعين، وإلاّ فمع كون زمامه بيدهما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وإزالةً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ملزمين بالعمل بمقتضاه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كان له عدم العمل على مقتضى عقده بمجرّد إنشاء كلمة، لا يكون ملزماً بالعمل على طبق عقده،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إلقاء اللازم وإرادة الملزوم، كسائر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العمل والوفاء بالعقود إلزام نحو إلزامات العقلاء لا إيجاب تعبّدي 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المتخلّف عن العمل بالعقود مستحقّاً لعقابين؛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غصب مال الغير،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الوفاء بعقده؛ فإنّه بعيد، فيكون قوله ذلك نظير إلزام العقلاء، أو نظير إلزام العقل بردّ مال الغير إلى صاحبه،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شرعاً، وإنّما غصبه وحبسه محرّم، لا ردّه واجب، ولازم هذا الإلزام والإيجاب لزوم العقد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التقريب الأوّل جعل اللازم كناية عن ملزومه وإرشاداً إليه، وفي الثاني يكون الإلزام ثابتاً للاّزم، ويثبت اللزوم بالملازمة؛ لعدم الانفكاك بين لزوم العمل بالمقتضى، ولزوم العقد، أو للتنافي بين لزوم العمل وجواز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مولوي شرعي؛ بحيث يعاقب المتخلّف على تركه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الوفاء بالعقد لأجل إيجاب مولوي آخر، متعلّق بإبقاء العقد، حتّى يدفع التنافي العقلائي بين إيجاب الوفاء، وجواز العقد وإباحة فسخه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غايته، ولا أظنّ التزامهم به؛ فإنّ لازمه وجوب إبقاء العقد والعمل بمقتضاه مع نفوذ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إيجاب الوفاء لزوم العقد وخروج زمام العقد عن يدهما؛ بالتقريب المتقدّم، والفرق بينه وبينهما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لزوم العقد معاطاة كغيرها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والأقرب بحسب الجمود على اللفظ، هو 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الأقرب بحسب الاعتبار، وبعد ثبوت العقابين مع حبس مال الغير تخلّفاً عن مقتضى العقد، هو الوجه الثاني، سيّما مع حكم العقلاء بلزوم الوفاء بالعقود والشروط، ولا أظنّ التزام القوم بالوجوب الشرعي المولوي في الوفاء بعقد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الأمر على ما ذكرناه في الاحتمالات الثلاثة؛ إذ على جميعها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ذكرنا لا يرد إشكال الشبهة المصداقية، الذي يرد على تقريب الشيخ الأنصاري قدّس سرّه على ما يأتي</w:t>
      </w:r>
      <w:r>
        <w:rPr>
          <w:rStyle w:val="FootnoteAnchor"/>
          <w:rtl w:val="true"/>
        </w:rPr>
        <w:footnoteReference w:id="433"/>
      </w:r>
      <w:r>
        <w:rPr>
          <w:rFonts w:ascii="Amiri" w:hAnsi="Amiri" w:eastAsia="Amiri" w:cs="Amiri"/>
          <w:color w:val="111111"/>
          <w:sz w:val="28"/>
          <w:sz w:val="28"/>
          <w:szCs w:val="28"/>
          <w:rtl w:val="true"/>
          <w:lang w:bidi="ar-SA"/>
        </w:rPr>
        <w:t>ضرورة أنّ المدّعى كون الآية مثبتة للزوم العقود،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لزومها سقوط الفسخ عن التأثير، ودفع احتمال حلّ العقد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عقد البيع أنّ المبيع ملك للمشتري بالعوض، والقيام بهذا المقتضى بالتحفّظ عليه بإبقائه وعدم إزالته، وأمّا مقتضى الملك فهو أجنبيّ عن مورد العقد، والوفاء هو العمل بمقتضى العقد، لا مقتضى مقتضاه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Style w:val="FootnoteAnchor"/>
          <w:rtl w:val="true"/>
        </w:rPr>
        <w:footnoteReference w:id="435"/>
      </w:r>
      <w:r>
        <w:rPr>
          <w:rFonts w:ascii="Amiri" w:hAnsi="Amiri" w:eastAsia="Amiri" w:cs="Amiri"/>
          <w:color w:val="111111"/>
          <w:sz w:val="28"/>
          <w:sz w:val="28"/>
          <w:szCs w:val="28"/>
          <w:rtl w:val="true"/>
          <w:lang w:bidi="ar-SA"/>
        </w:rPr>
        <w:t xml:space="preserve">من أنّ التسليم والتسلّم وعدم 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المقتضيات العرفية للعقد، فلو عقد البيع على عشرة أرطال، ولم يسلّمها خارجاً ولم يفسخ العقد،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كما يظهر بالمراجعة إلى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التصرّف في المبيع ونحوه أجنبيّ عن الوفاء بالعقد، فلزوم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للعقد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بالوفاء بالعقود والشروط إمّا إرشاد إلى حسنه ورجحانه عقلاً ولدى العقلاء أو موعظة حسنة يثبت بها الاستحباب، ولا سيّما مع اختصاص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الحجّة على ترك حجّة ظاهرة بلا قرينة معتمدة، ومجرّد كون شيء حسناً لا يوجب صرف الأمر عن الوجوب لو كان ظاهراً فيه كما هو المعروف، ولا صرفه عن الحجّية كما عندنا </w:t>
      </w:r>
      <w:r>
        <w:rPr>
          <w:rStyle w:val="FootnoteAnchor"/>
          <w:rtl w:val="true"/>
        </w:rPr>
        <w:footnoteReference w:id="437"/>
      </w:r>
      <w:r>
        <w:rPr>
          <w:rFonts w:ascii="Amiri" w:hAnsi="Amiri" w:eastAsia="Amiri" w:cs="Amiri"/>
          <w:color w:val="111111"/>
          <w:sz w:val="28"/>
          <w:sz w:val="28"/>
          <w:szCs w:val="28"/>
          <w:rtl w:val="true"/>
          <w:lang w:bidi="ar-SA"/>
        </w:rPr>
        <w:t xml:space="preserve">، وبالجملة لا يكون ذلك قرينة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التخلّف عن العهود والعقود قبيح لدى العقلاء أيضاً، والعمل بمقتضاها لازم، وبعض العقود الجائزة لديهم كالوكالة والعارية سنخها مناسب للجواز، ولعلّ سنخها خارج عن سنخ المعاقدة والمعاهدة، لا تخصيص في أمر قبيح</w:t>
      </w:r>
      <w:r>
        <w:rPr>
          <w:rFonts w:eastAsia="Amiri" w:cs="Amiri" w:ascii="Amiri" w:hAnsi="Amiri"/>
          <w:color w:val="111111"/>
          <w:sz w:val="28"/>
          <w:szCs w:val="28"/>
          <w:rtl w:val="true"/>
          <w:lang w:bidi="ar-SA"/>
        </w:rPr>
        <w:t xml:space="preserve">. </w:t>
      </w:r>
      <w:bookmarkStart w:id="283" w:name="pg15195_150571"/>
    </w:p>
    <w:p>
      <w:pPr>
        <w:pStyle w:val="BookText"/>
        <w:rPr/>
      </w:pPr>
      <w:bookmarkEnd w:id="283"/>
      <w:r>
        <w:rPr>
          <w:rFonts w:ascii="Amiri" w:hAnsi="Amiri" w:eastAsia="Amiri" w:cs="Amiri"/>
          <w:color w:val="111111"/>
          <w:sz w:val="28"/>
          <w:sz w:val="28"/>
          <w:szCs w:val="28"/>
          <w:rtl w:val="true"/>
          <w:lang w:bidi="ar-SA"/>
        </w:rPr>
        <w:t>نعم، لا يبعد أن يكون ذلك الارتكاز العقلائي موجباً لترجيح الاحتمال الثاني من الاحتمالات المتقدّمة، كما أشرنا إليه</w:t>
      </w:r>
      <w:r>
        <w:rPr>
          <w:rStyle w:val="FootnoteAnchor"/>
          <w:rtl w:val="true"/>
        </w:rPr>
        <w:footnoteReference w:id="438"/>
      </w:r>
      <w:r>
        <w:rPr>
          <w:rFonts w:ascii="Amiri" w:hAnsi="Amiri" w:eastAsia="Amiri" w:cs="Amiri"/>
          <w:color w:val="111111"/>
          <w:sz w:val="28"/>
          <w:sz w:val="28"/>
          <w:szCs w:val="28"/>
          <w:rtl w:val="true"/>
          <w:lang w:bidi="ar-SA"/>
        </w:rPr>
        <w:t>، واختصاص المؤمن والمسلم بالذكر، لا يدلّ على الترجيح الاستحبابي لو لم يكن مشعراً بالوجوب</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495365_2142443653"/>
      <w:bookmarkStart w:id="285" w:name="_Toc98"/>
      <w:bookmarkEnd w:id="284"/>
      <w:r>
        <w:rPr>
          <w:rtl w:val="true"/>
        </w:rPr>
        <w:t>تقرير اللزوم بناءً على كون مقتضى الوفاء بالعقود إبقاؤها</w:t>
      </w:r>
      <w:bookmarkEnd w:id="285"/>
    </w:p>
    <w:p>
      <w:pPr>
        <w:pStyle w:val="BookText"/>
        <w:rPr/>
      </w:pPr>
      <w:r>
        <w:rPr>
          <w:rFonts w:ascii="Amiri" w:hAnsi="Amiri" w:eastAsia="Amiri" w:cs="Amiri"/>
          <w:color w:val="111111"/>
          <w:sz w:val="28"/>
          <w:sz w:val="28"/>
          <w:szCs w:val="28"/>
          <w:rtl w:val="true"/>
          <w:lang w:bidi="ar-SA"/>
        </w:rPr>
        <w:t>هذا كلّه بناءً على ما هو التحقيق؛ من أنّ مقتضى العقود العمل بها أخذاً، وإعطاءً، وتسليماً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 مقتضاها هو إبقاؤها وعدم فسخها، فيمكن أن يقرّر اللزوم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المعاطاة مثلاً لو كان جائزاً بحسب بناء العقلاء، لم يكن مانع من إلزام الوفاء به وإيجابه، وكان إيجاب الوفاء وتحريم الهدم دالّين على بقائه على جوازه شرعاً؛ للزوم كون متعلّق التكليف مقدوراً للمكلّف، ولا منافاة بين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نفوذ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لازماً لديهم، فلا بدّ من جعله جائزاً شرعاً حتّى يصحّ التكليف به؛ فيرجع الأمر إلى أنّ الشارع جعل المعاطاة اللازمة جائزة، ثمّ جعل فسخها محرّماً، فأقدر المكلّف على التخلّف، ثمّ أوجب الوفاء، وهو ممّا لا تقبله الأذهان المستقيمة، ويردّه العقلاء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دار الأمر بينه وبين حمل الأمر بالوفاء على الإرشاد إلى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 بالعقد؛ لأنّه لا ينهدم بالفسخ، والتخلّف غير ممكن </w:t>
      </w:r>
    </w:p>
    <w:p>
      <w:pPr>
        <w:pStyle w:val="BookText"/>
        <w:rPr/>
      </w:pP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إرشاداً إلى عدم صحّتها، وعدم إمكان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الأمر بالوفاء إرشاداً إلى الجواز؛ فإنّ وجوب الوفاء وحرمة نقض العقد لا تعقل إلاّ بأن يكون العقد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شيءٍ بالاُحْجيّة ولا يقبله العقلاء؛ ضرورة أنّ بيان جواز العقود، أو جعله بلسان إيجاب الوفاء بها، من أقبح الكنايات وأفحش الأحاجيّ، ولا يصدر من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الإرشاد إلى الجواز لا يصحّ هاهنا؛ لأنّ الجواز لازم التحريم المولوي، ومع عدمه لا يصحّ الإرشاد إلى الجواز، ومع سوق الكلام للحرمة المولوية لا يمكن أن يكون إرشاداً إلى الجواز؛ لأنّ الجمع بين الإرشاد والتحريم المولوي بكلام واحد كأنّه غير ممكن، ولو أمكن لا يحمل الكلام عليه إلاّ مع قيام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يدفع به الإشكال المتقدّم؛ أي جعل غير المقدور مقدوراً، وجعل الحرمة له، ولا فرق في استبعاده وعدم قبول الأذهان له بين كونهما في كلام واحد، أو كلام متعدّد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الإرشاد إلى الجواز لا يمكن إلاّ مع كون الوجوب مولوياً، والجمع بين الإرشادية الطريقية، والمولوية النفسية، لعلّه غير جائز، ولو جاز لا يخرج الجعل عن القبح العقلائي</w:t>
      </w:r>
      <w:r>
        <w:rPr>
          <w:rFonts w:eastAsia="Amiri" w:cs="Amiri" w:ascii="Amiri" w:hAnsi="Amiri"/>
          <w:color w:val="111111"/>
          <w:sz w:val="28"/>
          <w:szCs w:val="28"/>
          <w:rtl w:val="true"/>
          <w:lang w:bidi="ar-SA"/>
        </w:rPr>
        <w:t xml:space="preserve">. </w:t>
      </w:r>
      <w:bookmarkStart w:id="286" w:name="pg15195_150573"/>
    </w:p>
    <w:p>
      <w:pPr>
        <w:pStyle w:val="Heading5"/>
        <w:numPr>
          <w:ilvl w:val="4"/>
          <w:numId w:val="1"/>
        </w:numPr>
        <w:rPr/>
      </w:pPr>
      <w:bookmarkStart w:id="287" w:name="__RefHeading___Toc2495367_2142443653"/>
      <w:bookmarkStart w:id="288" w:name="_Toc99"/>
      <w:bookmarkEnd w:id="286"/>
      <w:bookmarkEnd w:id="287"/>
      <w:r>
        <w:rPr>
          <w:rtl w:val="true"/>
        </w:rPr>
        <w:t>تقرير دلالة الآية على اللزوم بوجهين آخرين</w:t>
      </w:r>
      <w:bookmarkEnd w:id="288"/>
    </w:p>
    <w:p>
      <w:pPr>
        <w:pStyle w:val="BookText"/>
        <w:rPr/>
      </w:pPr>
      <w:r>
        <w:rPr>
          <w:rFonts w:ascii="Amiri" w:hAnsi="Amiri" w:eastAsia="Amiri" w:cs="Amiri"/>
          <w:color w:val="111111"/>
          <w:sz w:val="28"/>
          <w:sz w:val="28"/>
          <w:szCs w:val="28"/>
          <w:rtl w:val="true"/>
          <w:lang w:bidi="ar-SA"/>
        </w:rPr>
        <w:t>ويمكن أن تقرّر الدلالة على اللزوم بوجهٍ آخر، وهو أنّ وجوب الوفاء مقتضٍ لحرمة نقضه ونكثه، والأمر بالشيء وإن لم يقتضِ النهي عن نقيضه عقلاً، فضلاً عن الضدّ الذي كالنقيض، لكن لا يمكن إنكار الاقتضاء عرفاً؛ بمعنى أنّ لازم جعل الوجوب عرفاً تحريم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حرمته تختلف عرفاً بحسب اختلاف الموضوعات، فحرمة نقض العهد استعملت في معناها، وهو المنع، لكنّها تفيد التكليف عرفاً إن كان متعلّقها أمراً نفسياً، كحبس المبيع، وعدم تسليمه، واسترجاعه، والوضع إن كان المتعلّق مناسباً له كالفسخ، فكما أنّ النهي عن البيع ظاهر في الإرشاد إلى الفساد، كذلك النهي عن الفسخ، من غير استعمال اللفظ في غير ما وضع له، وسرّ الحمل على الوضع هو السرّ في حمل النواهي المتعلّقة بالمعاملات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تحريم النقض، وتحريم الفسخ ظاهر في سلب تأثيره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الوجه إنّما يصحّ إن قلنا بأنّ الوفاء أعمّ من إبقاء العقد، والعمل على سائر مقتضياته؛ من تسليم العوضين، وعدم الاسترجاع، دون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بإبقائه؛ بدعوى أنّه مقتضاه لا غير كما قيل</w:t>
      </w:r>
      <w:r>
        <w:rPr>
          <w:rStyle w:val="FootnoteAnchor"/>
          <w:rtl w:val="true"/>
        </w:rPr>
        <w:footnoteReference w:id="439"/>
      </w:r>
      <w:r>
        <w:rPr>
          <w:rFonts w:ascii="Amiri" w:hAnsi="Amiri" w:eastAsia="Amiri" w:cs="Amiri"/>
          <w:color w:val="111111"/>
          <w:sz w:val="28"/>
          <w:sz w:val="28"/>
          <w:szCs w:val="28"/>
          <w:rtl w:val="true"/>
          <w:lang w:bidi="ar-SA"/>
        </w:rPr>
        <w:t xml:space="preserve">، أو قلنا باختصاصه بغيره من الآثار؛ بدعوى أنّ الوفاء عرفاً هو العمل على مقتضاه؛ من التسليم </w:t>
      </w:r>
    </w:p>
    <w:p>
      <w:pPr>
        <w:pStyle w:val="BookText"/>
        <w:rPr/>
      </w:pPr>
      <w:r>
        <w:rPr>
          <w:rFonts w:ascii="Amiri" w:hAnsi="Amiri" w:eastAsia="Amiri" w:cs="Amiri"/>
          <w:color w:val="111111"/>
          <w:sz w:val="28"/>
          <w:sz w:val="28"/>
          <w:szCs w:val="28"/>
          <w:rtl w:val="true"/>
          <w:lang w:bidi="ar-SA"/>
        </w:rPr>
        <w:t>ونحوه، وإبقاؤه ليس من مقتضياته عرفاً كما قوّيناه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المفروض استفادة الوضع من تعلّق النهي بالفسخ، وهو فرع تعلّق الوجوب بالإبقاء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إفادة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تأثير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سيق لإفادة عدم تأثير الفسخ؛ بانتقال المخاطب من وجوب الوفاء إلى حرمة النقض، أي الفسخ، ومن حرمته إلى فساده وعدم تأثيره، كالأكل من القفا، وكالإلغاز لا يحمل عليه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الأعمّ، فلا يلزم ذلك وإن فهم منه، لكن مع ذلك فكون ذلك من الاستفادات العرفية محلّ إشكال ومنع، إلاّ أن يمنع الرجوع إلى العرف في الاستفادات العقلية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الدلالة بوجه آخر، وهو أنّ مقتضى إطلاق دليل وجوب الوفاء، حرمة التصرّفات الناقضة للعقد، لا مطلق التصرّفات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حرمتها ليست مقتضاه، بل مقتضى مقتضاه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فمن التصرّفات الناقضة الأخذ بعنوان التملّك وفسخ العقد، فإذا حرم هذا الأخذ، يستكشف منه عدم تأثير الفسخ العملي المبرز ببسط اليد للأخذ؛ إذ مع تأثيره لا وجه لحرمة الأخذ، لأنّه تصرّف في ملكه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كلامنا في المعاطاة، وتأثير الفسخ العملي المعاطاتي أوّل الكلام</w:t>
      </w:r>
      <w:r>
        <w:rPr>
          <w:rFonts w:eastAsia="Amiri" w:cs="Amiri" w:ascii="Amiri" w:hAnsi="Amiri"/>
          <w:color w:val="111111"/>
          <w:sz w:val="28"/>
          <w:szCs w:val="28"/>
          <w:rtl w:val="true"/>
          <w:lang w:bidi="ar-SA"/>
        </w:rPr>
        <w:t xml:space="preserve">. </w:t>
      </w:r>
      <w:bookmarkStart w:id="289" w:name="pg15195_150575"/>
    </w:p>
    <w:p>
      <w:pPr>
        <w:pStyle w:val="BookText"/>
        <w:rPr/>
      </w:pPr>
      <w:bookmarkEnd w:id="289"/>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اللزوم بعد الفراغ عن صحّة المعاطاة، مع أنّ مورد الشكّ هو البيع المعاطاتي الذي ادّعي الإجماع على بطلانه</w:t>
      </w:r>
      <w:r>
        <w:rPr>
          <w:rStyle w:val="FootnoteAnchor"/>
          <w:rtl w:val="true"/>
        </w:rPr>
        <w:footnoteReference w:id="442"/>
      </w:r>
      <w:r>
        <w:rPr>
          <w:rFonts w:ascii="IRNazanin" w:hAnsi="IRNazanin" w:eastAsia="IRNazanin"/>
          <w:color w:val="111111"/>
          <w:sz w:val="28"/>
          <w:sz w:val="28"/>
          <w:szCs w:val="28"/>
          <w:rtl w:val="true"/>
          <w:lang w:bidi="fa-IR"/>
        </w:rPr>
        <w:t>أو جوازه</w:t>
      </w:r>
      <w:r>
        <w:rPr>
          <w:rStyle w:val="FootnoteAnchor"/>
          <w:rtl w:val="true"/>
        </w:rPr>
        <w:footnoteReference w:id="443"/>
      </w:r>
      <w:r>
        <w:rPr>
          <w:rFonts w:ascii="Amiri" w:hAnsi="Amiri" w:eastAsia="Amiri" w:cs="Amiri"/>
          <w:color w:val="111111"/>
          <w:sz w:val="28"/>
          <w:sz w:val="28"/>
          <w:szCs w:val="28"/>
          <w:rtl w:val="true"/>
          <w:lang w:bidi="ar-SA"/>
        </w:rPr>
        <w:t>، ومثل الفسخ ليس داخلاً في معقده، فهو صحيح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إن حصل على فرض تأثيره بأوّل وجود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بسط اليد قبل وصولها إلى المال والتصرّف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حرمة التصرّف الواقع بعده غير ثابتة، ولا يمكن إثباتها بالآية؛ لاحتمال حصول الفسخ بأوّل وجود المبرز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بالتصرّف، فلا محالة وقع التصرّف في مال الغير، وإثبات حرمته بالآية إن أمكن، لكن لا تستلزم الحرمة قبل تحقّق الفسخ اللزوم، كما هو واضح</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495369_2142443653"/>
      <w:bookmarkStart w:id="291" w:name="_Toc100"/>
      <w:bookmarkEnd w:id="290"/>
      <w:r>
        <w:rPr>
          <w:rtl w:val="true"/>
        </w:rPr>
        <w:t>تقرير استدلال الشيخ الأعظم</w:t>
      </w:r>
      <w:bookmarkEnd w:id="2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الشيخ الأنصاري قدّس سرّه للمقصود بوجه</w:t>
      </w:r>
      <w:r>
        <w:rPr>
          <w:rStyle w:val="FootnoteAnchor"/>
          <w:rtl w:val="true"/>
        </w:rPr>
        <w:footnoteReference w:id="444"/>
      </w:r>
      <w:r>
        <w:rPr>
          <w:rFonts w:ascii="Amiri" w:hAnsi="Amiri" w:eastAsia="Amiri" w:cs="Amiri"/>
          <w:color w:val="111111"/>
          <w:sz w:val="28"/>
          <w:sz w:val="28"/>
          <w:szCs w:val="28"/>
          <w:rtl w:val="true"/>
          <w:lang w:bidi="ar-SA"/>
        </w:rPr>
        <w:t>، يمكن تقريره بما لا يرد عليه بعض الشبهات، وهو أنّ المراد بوجوب الوفاء العمل بمقتضى العقد، فتحرم التصرّفات الناقضة لمقتضاه، كالأخذ للتملّك، وسائر التصرّفات الناقضة للعهد، ومنها التصرّفات الواقعة بعد الفسخ، وكان هذا لازماً مساوياً لدى العرف والعقلاء للّزوم، وهو أمر يعتبره العقلاء عقيب الحكم التكليفي كسائر الوضعيات؛ فإنّها أيضاً معتبرة عقيب الأحكام التكليفية، لا مجعولة أو معتبرة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قرّرناه،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يقتضي حرمة التصرّف، بل هي مقتضى مقتضاه</w:t>
      </w:r>
      <w:r>
        <w:rPr>
          <w:rStyle w:val="FootnoteAnchor"/>
          <w:rtl w:val="true"/>
        </w:rPr>
        <w:footnoteReference w:id="445"/>
      </w:r>
      <w:r>
        <w:rPr>
          <w:rFonts w:ascii="Amiri" w:hAnsi="Amiri" w:eastAsia="Amiri" w:cs="Amiri"/>
          <w:color w:val="111111"/>
          <w:sz w:val="28"/>
          <w:sz w:val="28"/>
          <w:szCs w:val="28"/>
          <w:rtl w:val="true"/>
          <w:lang w:bidi="ar-SA"/>
        </w:rPr>
        <w:t xml:space="preserve">لما عرفت من أنّ المراد بالتصرّفات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استفادة 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التصرّفات الناقضة للعهد، كالتصرّف بعنوان الاسترجاع في المعاملة، وتملّك ماله، ونحو ذلك، لا بعنوان غصب مال الغير، والتصرّفات الناقضة منافية لمقتضى العقد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انتزاعية شيء من شيءٍ صحّة حمل المنتزع على المنتزع منه؛ إذ تحقّق الأمر الانتزاعي بتحقّق منشئه، ومع تحقّقه تجب صحّة الحمل، كحمل الفوق على ما انتزعت منه الفوقية، وفي المقام لا يصحّ انتزاع اللزوم من حرمة التصرّفات، وفي غير المقام أيضاً لا يصحّ انتزاع الملكية من جواز التصرّفات مطلقاً، أو انتزاع سلبها من منعها مطلقاً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صدره</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بالانتزاع ليس على نحو الانتزاعات المعروفة، بل المراد منه اعتبار العقلاء شيئاً عقيب شيء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لا يعتبرها العقلاء كيفما اتّفق وجزافاً، بل اعتبارها موقوف على أثر في الجملة، وما لا أثر له مطلقاً يسقط عنه اعتبارها، فإذا سلبت آثار الملكية مطلقاً عن مال، وحرم على المالك جميع التصرّفات الحالية وغيرها، </w:t>
      </w:r>
      <w:bookmarkStart w:id="292" w:name="pg15195_150577"/>
    </w:p>
    <w:p>
      <w:pPr>
        <w:pStyle w:val="BookText"/>
        <w:rPr/>
      </w:pPr>
      <w:bookmarkEnd w:id="292"/>
      <w:r>
        <w:rPr>
          <w:rFonts w:ascii="Amiri" w:hAnsi="Amiri" w:eastAsia="Amiri" w:cs="Amiri"/>
          <w:color w:val="111111"/>
          <w:sz w:val="28"/>
          <w:sz w:val="28"/>
          <w:szCs w:val="28"/>
          <w:rtl w:val="true"/>
          <w:lang w:bidi="ar-SA"/>
        </w:rPr>
        <w:t>يسقط لدى العقلاء اعتبار الملكية له، ولو اُجيز لشخصٍ في مالٍ جميع التصرّفات الوضعية والتكليفية، يعتبره العقلاء ملكاً له، لا أنّه تنتزع الملكية من</w:t>
      </w:r>
    </w:p>
    <w:p>
      <w:pPr>
        <w:pStyle w:val="BookText"/>
        <w:rPr/>
      </w:pPr>
      <w:r>
        <w:rPr>
          <w:rFonts w:ascii="Amiri" w:hAnsi="Amiri" w:eastAsia="Amiri" w:cs="Amiri"/>
          <w:color w:val="111111"/>
          <w:sz w:val="28"/>
          <w:sz w:val="28"/>
          <w:szCs w:val="28"/>
          <w:rtl w:val="true"/>
          <w:lang w:bidi="ar-SA"/>
        </w:rPr>
        <w:t>التصرّفات أو جوازها، كانتزاع الفوقية والتحتية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وإن كان مخالفاً لظاهر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الحكم الوضعي لا معنى له إلاّ ما انتزع من الحكم التكليفي</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التأمّل في صدره وشتات كلماتهم، لعلّه يعطي عدم إرادتهم المعنى المصطلح في الانتزاعيات</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495371_2142443653"/>
      <w:bookmarkStart w:id="294" w:name="_Toc101"/>
      <w:bookmarkEnd w:id="293"/>
      <w:r>
        <w:rPr>
          <w:rtl w:val="true"/>
        </w:rPr>
        <w:t>أجوبة المحقّقين عن إشكال الشبهة المصداقية في المقام</w:t>
      </w:r>
      <w:bookmarkEnd w:id="294"/>
    </w:p>
    <w:p>
      <w:pPr>
        <w:pStyle w:val="BookText"/>
        <w:rPr/>
      </w:pPr>
      <w:r>
        <w:rPr>
          <w:rFonts w:ascii="Amiri" w:hAnsi="Amiri" w:eastAsia="Amiri" w:cs="Amiri"/>
          <w:color w:val="111111"/>
          <w:sz w:val="28"/>
          <w:sz w:val="28"/>
          <w:szCs w:val="28"/>
          <w:rtl w:val="true"/>
          <w:lang w:bidi="ar-SA"/>
        </w:rPr>
        <w:t>فالعمدة في المقام هو الإشكال المعروف، وهو أنّ الشبهة مصداقية بعد الفسخ، فقد أجاب عنه المحقّقون بوجوه</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495373_2142443653"/>
      <w:bookmarkStart w:id="296" w:name="_Toc102"/>
      <w:bookmarkEnd w:id="295"/>
      <w:r>
        <w:rPr>
          <w:rtl w:val="true"/>
        </w:rPr>
        <w:t>جواب المحقّق النائيني</w:t>
      </w:r>
      <w:bookmarkEnd w:id="29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الأعاظم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تأصّل الحكم الوضعي في الجعل، يكون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لازم، فيكون الأمر إرشاداً إليه، وبناءً على انتزاعيته فمفاده وجوب الوفاء حتّى بعد الفسخ، ولازمه عدم تأثير الفسخ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بأنّه بناءً على الانتزاعية لا بدّ وأن يكون الحكم التكليفي المتأصّل على نحو يناسب الوضع، والمناسب أن يتعلّق الوفاء بالمعنى المصدري؛ أي الالتزام والتعقيد، فإذا كان الالتزام بما التزم به </w:t>
      </w:r>
    </w:p>
    <w:p>
      <w:pPr>
        <w:pStyle w:val="BookText"/>
        <w:rPr/>
      </w:pPr>
      <w:r>
        <w:rPr>
          <w:rFonts w:ascii="Amiri" w:hAnsi="Amiri" w:eastAsia="Amiri" w:cs="Amiri"/>
          <w:color w:val="111111"/>
          <w:sz w:val="28"/>
          <w:sz w:val="28"/>
          <w:szCs w:val="28"/>
          <w:rtl w:val="true"/>
          <w:lang w:bidi="ar-SA"/>
        </w:rPr>
        <w:t>واجباً، فمعناه أنّ كلّ واحدٍ من المتعاقدين ليس مالكاً لالتزامه الذي ملك</w:t>
      </w:r>
    </w:p>
    <w:p>
      <w:pPr>
        <w:pStyle w:val="BookText"/>
        <w:rPr/>
      </w:pPr>
      <w:r>
        <w:rPr>
          <w:rFonts w:ascii="IRNazanin" w:hAnsi="IRNazanin" w:eastAsia="IRNazanin"/>
          <w:color w:val="111111"/>
          <w:sz w:val="28"/>
          <w:sz w:val="28"/>
          <w:szCs w:val="28"/>
          <w:rtl w:val="true"/>
          <w:lang w:bidi="fa-IR"/>
        </w:rPr>
        <w:t>صاحبه</w:t>
      </w:r>
      <w:r>
        <w:rPr>
          <w:rStyle w:val="FootnoteAnchor"/>
          <w:rtl w:val="true"/>
        </w:rPr>
        <w:footnoteReference w:id="4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على تأصّل الوضع في الجعل، لا يوجب ظهور الآية في الإرشاد إليه، كما أنّه بناءً على عدم التأصّل لا ملزم لرفع اليد عن ظاهرها؛ وحملها على ما يناسب الوضع، فكأنّه رحمه الله علیه فرغ من لزوم حمل الآية على ما يفيد اللزوم، ثمّ تفحّص عن تأويلٍ موجبٍ لانطباقها على اللزوم، أو كأنّ مفاد الآية الكريمة وظهورها تابعان لبنائنا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أنّه على فرض تعلّق الأمر بالمعنى المصدري، لا يوجب ذلك سلب مالكية الطرفين عن المعنى الوضعي، والإلزام التكليفي لو لم يدلّ على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التكليف يكشف عن القدرة على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سلب القدرة وضعاً، مع أنّ وجوب الوفاء بالالتزام والتعقيد غير لزومهما، بل لازمه وجوب الوفاء بمقتضاهما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إن كان المراد كفاية حصول 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آني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الوفاء مطلقاً، لزم وجوبه حتّى بعد الفسخ المؤثّر، وهو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وجوبه ما دام باقياً،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بقائه ولو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ترجع الشبهة إلى المصداقية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ما ذكره غير ما ذكرناه في تقريب الآية بالوجوه المتقدّمة، فتدبّر</w:t>
      </w:r>
      <w:r>
        <w:rPr>
          <w:rFonts w:eastAsia="Amiri" w:cs="Amiri" w:ascii="Amiri" w:hAnsi="Amiri"/>
          <w:color w:val="111111"/>
          <w:sz w:val="28"/>
          <w:szCs w:val="28"/>
          <w:rtl w:val="true"/>
          <w:lang w:bidi="ar-SA"/>
        </w:rPr>
        <w:t xml:space="preserve">. </w:t>
      </w:r>
      <w:bookmarkStart w:id="297" w:name="pg15195_150579"/>
    </w:p>
    <w:p>
      <w:pPr>
        <w:pStyle w:val="Heading5"/>
        <w:numPr>
          <w:ilvl w:val="4"/>
          <w:numId w:val="1"/>
        </w:numPr>
        <w:rPr/>
      </w:pPr>
      <w:bookmarkStart w:id="298" w:name="__RefHeading___Toc2495375_2142443653"/>
      <w:bookmarkStart w:id="299" w:name="_Toc103"/>
      <w:bookmarkEnd w:id="297"/>
      <w:bookmarkEnd w:id="298"/>
      <w:r>
        <w:rPr>
          <w:rtl w:val="true"/>
        </w:rPr>
        <w:t>الأجوبة الأربعة للمحقّق الشيرازي قدّس سرّه</w:t>
      </w:r>
      <w:bookmarkEnd w:id="29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الذي يجب الوفاء به دائماً هو الإنشاء الذي أنشأه أوّلاً، وهو</w:t>
      </w:r>
    </w:p>
    <w:p>
      <w:pPr>
        <w:pStyle w:val="BookText"/>
        <w:rPr/>
      </w:pPr>
      <w:r>
        <w:rPr>
          <w:rFonts w:ascii="Amiri" w:hAnsi="Amiri" w:eastAsia="Amiri" w:cs="Amiri"/>
          <w:color w:val="111111"/>
          <w:sz w:val="28"/>
          <w:sz w:val="28"/>
          <w:szCs w:val="28"/>
          <w:rtl w:val="true"/>
          <w:lang w:bidi="ar-SA"/>
        </w:rPr>
        <w:t>أمر آني التحقّق، غير قابل الارتفاع، فيجب الوفاء به حتّى بعد بناء أحدهما على الانتقاض وعدم العمل بمقتضاه، وهو المراد من اللزوم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بالعقد هو سببه، وهو موجود تدريجي غير باقٍ، نظير إخبار العادل، فيجب الوفاء به والعمل على مقتضاه مطلقاً، وهو المراد باللزوم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الوجهين نظير ما ذكروا في جواب استدلال القائل بأنّ المشتقّ حقيقة في الأعمّ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وحدة ظرف الظلم وعدم النيل، فلا بدّ من صدق الظالم على من قضي عنه الظلم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المستمرّ إنْ تعلّق بموضوع آني الوجود، لا بدّ وأن يكون تحقّق موضوعه آناً ما كافياً لترتّب الحكم المستمرّ عليه، والظلم آني الوجود غالباً، وعدم النيل مستمرّ الوجود، فلا بدّ من رفع اليد عن </w:t>
      </w:r>
    </w:p>
    <w:p>
      <w:pPr>
        <w:pStyle w:val="BookText"/>
        <w:rPr/>
      </w:pPr>
      <w:r>
        <w:rPr>
          <w:rFonts w:ascii="Amiri" w:hAnsi="Amiri" w:eastAsia="Amiri" w:cs="Amiri"/>
          <w:color w:val="111111"/>
          <w:sz w:val="28"/>
          <w:sz w:val="28"/>
          <w:szCs w:val="28"/>
          <w:rtl w:val="true"/>
          <w:lang w:bidi="ar-SA"/>
        </w:rPr>
        <w:t>الظهور المذكور بالقرينة العقلية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أيضاً يكون الإنشاء آنيّاً، واللفظ متصرّماً غير قابل للبقاء، ووجوب الوفاء المترتّب على كلٍّ منهما مستمرّ، فالوجوب المستمرّ مترتّب على الموضوع الآني أو المتصرّم، فلا معنى لعدم الموضوع في ترتّب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ينبغي الإشكال في أنّ الظاهر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بالعقد المفروض التحقّق،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الثاني على تسليم ما ذكر فيه، قامت قرينة عقلية على صرف ذلك الظهور، وأمّا في المقام فلمّا كان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الإنشاء 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اعتباري آخر باقٍ في ظرف الاعتبار يرد عليه الفسخ والحلّ ونحوهما، وقد عبّر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الَّذِى بِيَدِهِ عُقْدَةُ النِّكَاحِ</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حيث اعتبر للنكاح عقدة كالعقدة التي في الحبل، كان زمام إبقائها وحلّها بيد شخص، وفي الروايات أيضاً ما يدلّ على هذا الاعتبار،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فلا محالة يجب الأخذ بالظهور المذكور؛ إذ لا مانع منه، ولا قرينة لصرفه عمّا هو المتفاهم عرفاً ولدى العقلاء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لا معنى لوجوب الوفاء باللفظ أو بالإنشاء، بل ما هو الواجب هو </w:t>
      </w:r>
    </w:p>
    <w:p>
      <w:pPr>
        <w:pStyle w:val="BookText"/>
        <w:rPr/>
      </w:pPr>
      <w:r>
        <w:rPr>
          <w:rFonts w:ascii="Amiri" w:hAnsi="Amiri" w:eastAsia="Amiri" w:cs="Amiri"/>
          <w:color w:val="111111"/>
          <w:sz w:val="28"/>
          <w:sz w:val="28"/>
          <w:szCs w:val="28"/>
          <w:rtl w:val="true"/>
          <w:lang w:bidi="ar-SA"/>
        </w:rPr>
        <w:t>الوفاء بالعقد الاعتباري الباقي، ومع الفسخ يحتمل عدم بقائه وتأثير فسخه، فتصير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أيضاً يحتاج إلى موافقة المتعاقدين كالعقد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باحتياج العقد في البقاء إلى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الالتزام السابق من الفاسخ، فيضمّ إلى الالتزام المستمرّ من الطرف</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احتياج الفسخ إلى الطرفين إنّما يمكن دعواه إذا كان الفسخ معاملة جديدة وتمليكاً مستأنفاً، وهو غير صحيح كما لا يخفى، وأمّا إذا كان عبارة عن حلّ المعاملة السابقة، فلا مجال لذلك؛ ضرورة أنّ رفع المعاهدة بعدم بقاء أحدهما أو كليهما على عهده، كما نرى في الروابط، والعهود بين الدول؛ حيث إنّ إيجاد الرابطة يحتاج إلى توافق الطرفين، وقطع أحد الطرفين يكفي في رفعها وفسخها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يرون الفرق بين العقد والربط، وبين الفسخ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احتمال الفرق بينهما في هذه الجهة يكفي في صيرورة الشبهة مصداقية، فلا بدّ من إثبات الاحتياج إلى الطرفين، وأنّى لنا به؟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احتمال تأثير الفسخ شرعاً يكفي في صيرورة الشبهة مصداقية، والتشبّث بحكم العرف في بقاء العقد أو عدم تأثير الفسخ، رجوع عن هذا الوجه </w:t>
      </w:r>
    </w:p>
    <w:p>
      <w:pPr>
        <w:pStyle w:val="BookText"/>
        <w:rPr/>
      </w:pPr>
      <w:r>
        <w:rPr>
          <w:rFonts w:ascii="Amiri" w:hAnsi="Amiri" w:eastAsia="Amiri" w:cs="Amiri"/>
          <w:color w:val="111111"/>
          <w:sz w:val="28"/>
          <w:sz w:val="28"/>
          <w:szCs w:val="28"/>
          <w:rtl w:val="true"/>
          <w:lang w:bidi="ar-SA"/>
        </w:rPr>
        <w:t xml:space="preserve">إلى وجه آخر آتٍ، وهو ما أشار إليه أيضاً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دعوى ربط الالتزام السابق بالالتزام المستمرّ، فممّا لا يقبلها العقلاء، لا لصيرورة مضمون الالتزامين مختلفاً </w:t>
      </w:r>
      <w:r>
        <w:rPr>
          <w:rStyle w:val="FootnoteAnchor"/>
          <w:rtl w:val="true"/>
        </w:rPr>
        <w:footnoteReference w:id="458"/>
      </w:r>
      <w:r>
        <w:rPr>
          <w:rFonts w:ascii="Amiri" w:hAnsi="Amiri" w:eastAsia="Amiri" w:cs="Amiri"/>
          <w:color w:val="111111"/>
          <w:sz w:val="28"/>
          <w:sz w:val="28"/>
          <w:szCs w:val="28"/>
          <w:rtl w:val="true"/>
          <w:lang w:bidi="ar-SA"/>
        </w:rPr>
        <w:t>، حتّى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الزمان غير دخيل في مضمون المعاملات، بل ظرف لوقوعها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لأنّ ربط الموجود بالمعدوم محال كما قيل</w:t>
      </w:r>
      <w:r>
        <w:rPr>
          <w:rStyle w:val="FootnoteAnchor"/>
          <w:rtl w:val="true"/>
        </w:rPr>
        <w:footnoteReference w:id="460"/>
      </w:r>
      <w:r>
        <w:rPr>
          <w:rFonts w:ascii="Amiri" w:hAnsi="Amiri" w:eastAsia="Amiri" w:cs="Amiri"/>
          <w:color w:val="111111"/>
          <w:sz w:val="28"/>
          <w:sz w:val="28"/>
          <w:szCs w:val="28"/>
          <w:rtl w:val="true"/>
          <w:lang w:bidi="ar-SA"/>
        </w:rPr>
        <w:t>، حتّى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من قبيله، بل من قبيل ربط موجود سابق اعتباري بموجود اعتباري آخر، ولا إشكال عقلي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الالتزام المعدول عنه لا يصلح أن يكون طرفاً للعقد والربط، وليس المراد في مثل المقام دفع الإشكال بأيّ نحو اتّفق، بل لا بدّ من مساعدة العرف والعقلاء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 عن الإشكال هو الوجه الآخر، وهو أنّ موضوع وجوب الوفاء العقد العرفي، وهو باقٍ مع الفسخ غير المؤثّر عرفاً، وإن كان مؤثّراً</w:t>
      </w:r>
    </w:p>
    <w:p>
      <w:pPr>
        <w:pStyle w:val="BookText"/>
        <w:rPr/>
      </w:pPr>
      <w:r>
        <w:rPr>
          <w:rFonts w:ascii="Amiri" w:hAnsi="Amiri" w:eastAsia="Amiri" w:cs="Amiri"/>
          <w:color w:val="111111"/>
          <w:sz w:val="28"/>
          <w:sz w:val="28"/>
          <w:szCs w:val="28"/>
          <w:rtl w:val="true"/>
          <w:lang w:bidi="ar-SA"/>
        </w:rPr>
        <w:t>في الشرع</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الموضوعات التكوينية المتعلّقة </w:t>
      </w:r>
    </w:p>
    <w:p>
      <w:pPr>
        <w:pStyle w:val="BookText"/>
        <w:rPr/>
      </w:pPr>
      <w:r>
        <w:rPr>
          <w:rFonts w:ascii="Amiri" w:hAnsi="Amiri" w:eastAsia="Amiri" w:cs="Amiri"/>
          <w:color w:val="111111"/>
          <w:sz w:val="28"/>
          <w:sz w:val="28"/>
          <w:szCs w:val="28"/>
          <w:rtl w:val="true"/>
          <w:lang w:bidi="ar-SA"/>
        </w:rPr>
        <w:t>للأحكام، لا تنقلب عمّا هي عليها مع تصرّف الشارع، فإذا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ذلك عن أنّ العالم هو العادل؛ لا شرعاً، ولا عرفاً، بل يكون ذلك تخصيصاً حكماً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الموضوعات المتعلّقة للحكم إذا تصرّف الشارع في حكمه انقلب موضوعه عرفاً، كالباطل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 كُلُوا أَمْوَالَكُمْ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إلى آخره، فإنّه وإن كان عرفياً، إلاّ أنّه ينقلب عرفاً إلى غير الباطل إذا جعله الشارع مؤثّراً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إذا كان في العرف غير مؤثّر يعدّ لغواً وباطلاً؛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لا أثر له، فإذا جعله الشارع مؤثّراً يخرجه بذلك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خروج الشيء عنه يكفي ترتّب أثر عليه في الجملة، ولا يجب أن يكون ذا أثر بجميع الاعتبارات؛ وفي جميع الأوعية، فالبطلان متقوّم بعدم كون شيء ذا أثر بوجه، ومقابله غير الباطل؛ وهو ما يكون مؤثّراً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في سلب المالية وثبوتها، فإنّ الأوّل متقوّم بسلب الأثر مطلقاً، وما لا رغبة فيه مطلقاً لا يعدّ مالاً، وثبوتها مقابل ذلك، ومتقوّم بثبوت</w:t>
      </w:r>
    </w:p>
    <w:p>
      <w:pPr>
        <w:pStyle w:val="BookText"/>
        <w:rPr/>
      </w:pPr>
      <w:r>
        <w:rPr>
          <w:rFonts w:ascii="Amiri" w:hAnsi="Amiri" w:eastAsia="Amiri" w:cs="Amiri"/>
          <w:color w:val="111111"/>
          <w:sz w:val="28"/>
          <w:sz w:val="28"/>
          <w:szCs w:val="28"/>
          <w:rtl w:val="true"/>
          <w:lang w:bidi="ar-SA"/>
        </w:rPr>
        <w:t>الأثر في الجملة، وتحقّق الرغبة فيه كذلك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أنّ الموضوعات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والعهد، </w:t>
      </w:r>
    </w:p>
    <w:p>
      <w:pPr>
        <w:pStyle w:val="BookText"/>
        <w:rPr/>
      </w:pPr>
      <w:r>
        <w:rPr>
          <w:rFonts w:ascii="Amiri" w:hAnsi="Amiri" w:eastAsia="Amiri" w:cs="Amiri"/>
          <w:color w:val="111111"/>
          <w:sz w:val="28"/>
          <w:sz w:val="28"/>
          <w:szCs w:val="28"/>
          <w:rtl w:val="true"/>
          <w:lang w:bidi="ar-SA"/>
        </w:rPr>
        <w:t xml:space="preserve">والملكية، والزوجية، وأمثالها ممّا اعتبرها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فيما ذكر بالموضوعات التكوينية، فلا يصير حكم الشارع موجباً لانقلابها، ويكون تصرّفه تخصيصا، أو ملحقة بالباطل ونحوه، ويكون تصرّفه موجباً للانقلاب، وخروج الأمر الاعتباري عمّا هو عليه،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الشارع عن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 عن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لأنّ سلب النقل شرعاً يوجب عدم اعتبار العقلاء النقل والتبادل، فصار موجباً لانقلاب الموضوع، لا التخصيص الحكمي؟</w:t>
      </w:r>
    </w:p>
    <w:p>
      <w:pPr>
        <w:pStyle w:val="BookText"/>
        <w:rPr/>
      </w:pPr>
      <w:r>
        <w:rPr>
          <w:rFonts w:ascii="Amiri" w:hAnsi="Amiri" w:eastAsia="Amiri" w:cs="Amiri"/>
          <w:color w:val="111111"/>
          <w:sz w:val="28"/>
          <w:sz w:val="28"/>
          <w:szCs w:val="28"/>
          <w:rtl w:val="true"/>
          <w:lang w:bidi="ar-SA"/>
        </w:rPr>
        <w:t>فحينئذٍ لو شككنا في اعتبار الشارع أمراً في المعاملات، أو في منعه عن معاملة، أو شككنا في أنّ الفسخ مؤثّر لدى الشارع؛ تصير الشكوك موضوعية، لا يصحّ معها التمسّك بعموم الأدلّة وإطلاقها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لو قلنا بأنّ البيع العرفي يصير بسبب الفسخ المؤثّر شرعاً منفسخاً، ويصير اعتبار البقاء وعدم الانفساخ به بواسطة حكم الشارع منقلباً إلى عدمه عرفاً، تصير الشبهة مع الشكّ في التأثير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ببقاء الاعتبار العرفي؛ وأنّ الفسخ على فرض تأثيره شرعاً من قبيل التخصيص الحكمي، خرجت الشبهة عن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كونه من أيّ القبيلين، تصير الشبهة أيضاً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تكون الاُمور الاعتبارية ملحقة بالتكوينية؛ فإنّ نهي الشارع وردعه عن معاملة لا يوجب سلب اعتبار العقلاء إيّاها، كما ترى أنّ بيع آلات اللهو والخمر والبيع الربوي بيع حقيقة لدى العقلاء، واعتبار النقل والانتقال حاصل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بينها وبين الباطل الذي رجّحنا خروجه عن عنوانه بالجعل الشرعي </w:t>
      </w:r>
      <w:bookmarkStart w:id="300" w:name="pg15195_150585"/>
    </w:p>
    <w:p>
      <w:pPr>
        <w:pStyle w:val="BookText"/>
        <w:rPr/>
      </w:pPr>
      <w:bookmarkEnd w:id="300"/>
      <w:r>
        <w:rPr>
          <w:rFonts w:ascii="Amiri" w:hAnsi="Amiri" w:eastAsia="Amiri" w:cs="Amiri"/>
          <w:color w:val="111111"/>
          <w:sz w:val="28"/>
          <w:sz w:val="28"/>
          <w:szCs w:val="28"/>
          <w:rtl w:val="true"/>
          <w:lang w:bidi="ar-SA"/>
        </w:rPr>
        <w:t xml:space="preserve">واضح؛ فإنّ الباطل هو ما لا أثر له مطلقاً، ومع جعله مؤثّراً تبدّلت اللا مؤثّرية إلى المؤثّرية، ولا سيّما مع تبعية اُمّة كبيرة للجاعل الشارع، فلا معنى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كونه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ونحوه من المعاملات العقلائية، فلا يتقوّم إلاّ باعتبار التبادل لدى العقلاء، وهو حاصل في محيط العقلاء، ولا يمكن للشارع سلب اعتبارهم المنوط بالمبادئ التكوينية، ومع عدم سلبه تصدق العناوين المطلوبة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الربوي بيع حتّى في بلاد المسلمين، وحكم الشارع بفساده لم يخْرجه عن التبادل العرفي، فلا محالة يكون ردع الشارع بمنزلة التخصيص، كالتخصيص في الأحكام المتعلّقة بالموضوعات التكوينية</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495377_2142443653"/>
      <w:bookmarkStart w:id="302" w:name="_Toc104"/>
      <w:bookmarkEnd w:id="301"/>
      <w:r>
        <w:rPr>
          <w:rtl w:val="true"/>
        </w:rPr>
        <w:t>جواب المحقّق الأصفهاني عن الشبهة</w:t>
      </w:r>
      <w:bookmarkEnd w:id="302"/>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فراراً عن التخصيص، وعن صيرورة الشبهة مصداقية، بعد بيان أنّ موضوع الحكم ليس أمراً واقعياً، حتّى تكون موارد الاستثناء من قبيل تخطئة العرف، بل هو اعتباري، والمراد بالاعتبار هو اعتبار العرف الذي لا واقع له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الكلام في كون تمام موضوع الحكم هو الشيء باعتبار العرف، أو باعتبار الشرع؟</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باعتبار العرف اُخذ بنحو الموضوعية للحكم، أو بنحو المعرّفية لما هو كذلك باعتبار الشرع؟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الثاني؛ إذ على الأوّل يلزم كون موارد الاستثناء تخصيصاً حكمياً، لا تقييد الموضوع وأخذ الموضوع العرفي في مقام الإثبات بنحو </w:t>
      </w:r>
    </w:p>
    <w:p>
      <w:pPr>
        <w:pStyle w:val="BookText"/>
        <w:rPr/>
      </w:pPr>
      <w:r>
        <w:rPr>
          <w:rFonts w:ascii="Amiri" w:hAnsi="Amiri" w:eastAsia="Amiri" w:cs="Amiri"/>
          <w:color w:val="111111"/>
          <w:sz w:val="28"/>
          <w:sz w:val="28"/>
          <w:szCs w:val="28"/>
          <w:rtl w:val="true"/>
          <w:lang w:bidi="ar-SA"/>
        </w:rPr>
        <w:t xml:space="preserve">المعرّفية للموضوع الشرعي؛ للتلازم الذي يراه الشارع بين العهد العرفي والشرعي، فيكون الاستثناء تخصيصاً في هذه الملازمة، لا تخطئة لنظر العرف، ولا تضييقاً لدائرة الموضوع الحقيقي، ولا تخصيصاً حكمياً </w:t>
      </w:r>
      <w:r>
        <w:rPr>
          <w:rStyle w:val="FootnoteAnchor"/>
          <w:rtl w:val="true"/>
        </w:rPr>
        <w:footnoteReference w:id="4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مجرّد تصوّر وتخيّل لا يساعده العرف والعقلاء، ولا تساعده ظواهر الأدلّة؛ ضرورة أنّ موضوعات الأحكام في المقام كموضوعاتها في سائر المقامات، فكما لا اصطلاح للشارع الأقدس في التكوينيات، لا اصطلاح له في الاعتباريات، فليست العقود الشرعية غير العقود العرفية ماهية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الأدلّة ترتّب الحكم على الموضوع العرفي في التكوينيات والاعتباريات، وأخذ الموضوع العرفي معرّفاً إلى الموضوع الشرعي مخالف للظواهر؛ لأنّ أخذ كلّ عنوان موضوعاً لحكم ظاهر في موضوعيته، والحمل على المعرّفية يحتاج إلى قرينة عقلية، أو لفظية، ومجرّد استبعاد التخصيص لا يصير قرينة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أخذ الموضوعات العرفية معرّفات إلى الموضوعات الشرعية، لازمه عدم تعلّق الحكم بالمعرّف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 بالمعرّف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الأمر بالأخرة إلى وجوب الوفاء بالعقد الشرعي، فعاد محذور التمسّك بالعامّ في الشبهة المصداقية؛ ضرورة حصول الشكّ في الموضوع من الشكّ في اعتبار أمر شرعي فيه، ومن الشكّ في نفوذ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التخصيص في الملازمة المذكورة يلازم التضييق في الموضوع الحقيقي؛ لأنّ الموضوع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موافق للموضوع العرفي، وهو خلف أو مخالف له، والمخالفة لا تمكن إلاّ بقيد موجب للامتياز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جعل الحكم للموضوع الواقعي بمعرّفية الموضوع العرفي، لا يجتمع مع كون النظر إلى جعل الملازمة؛ لعدم إمكان الجمع بين النظر الآلي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 إمكانه، لا بدّ من قيام قرينة عليه، وإلاّ لا يحمل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بما ذكر أنّ الشارع لمّا رأى الملازمة بين الموضوع العرفي والشرعي، علّق الحكم على العرفي؛ للتلازم المذكور، لصار الاستثناء تخصيصاً حكمياً، وقد فرّ منه، بل مع رؤية الملازمة واقعاً يكون الاستثناء نسخاً لا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كلامه إلى أنّ الأحكام متعلّقة بالموضوعات العرفية، ويستكشف منه أنّ الموضوع الشرعي عين العرفي، فهو صحيح معقول، موافق للظواهر والاعتبار، لكن لازمه التخصيص الحكمي، وهو يفرّ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الوجه لا تدّعى ملاحظة الشارع التلازم بينهما، وليست نكتة الجعل ذلك، بل الجعل القانوني فيه كسائر المجعولات القانونية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مفاد الأدلّة جعل نفس الملازمة المذكورة ابتداءً أو الإخبار </w:t>
      </w:r>
    </w:p>
    <w:p>
      <w:pPr>
        <w:pStyle w:val="BookText"/>
        <w:rPr/>
      </w:pPr>
      <w:r>
        <w:rPr>
          <w:rFonts w:ascii="Amiri" w:hAnsi="Amiri" w:eastAsia="Amiri" w:cs="Amiri"/>
          <w:color w:val="111111"/>
          <w:sz w:val="28"/>
          <w:sz w:val="28"/>
          <w:szCs w:val="28"/>
          <w:rtl w:val="true"/>
          <w:lang w:bidi="ar-SA"/>
        </w:rPr>
        <w:t>عنها، كان الاستثناء تخصيصاً في الملازمة، ويصحّ التمسّك بالعامّ في مورد احتمال التخصيص، لكنّه خلاف الظواهر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الاعتبارية ملحقة بالموضوعات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يفترقان من جهة اُخرى، وهي أنّ الخارجيات لا تختلف باختلاف الاعتبار، وأمّا الاعتباريات فيمكن اختلافها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يعتبر الشارع النقل والانتقال في خصوص البيع غير الربوي، فتكون تخصيصاته تخصّصات بملاحظة اعتباره، وهو لا ينافي أن يكون التخصيص حكمياً بلحاظ 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العامّ القانوني متعلّق بالعقود العرفية، وكانت الإرادة</w:t>
      </w:r>
    </w:p>
    <w:p>
      <w:pPr>
        <w:pStyle w:val="BookText"/>
        <w:rPr/>
      </w:pPr>
      <w:r>
        <w:rPr>
          <w:rFonts w:ascii="Amiri" w:hAnsi="Amiri" w:eastAsia="Amiri" w:cs="Amiri"/>
          <w:color w:val="111111"/>
          <w:sz w:val="28"/>
          <w:sz w:val="28"/>
          <w:szCs w:val="28"/>
          <w:rtl w:val="true"/>
          <w:lang w:bidi="ar-SA"/>
        </w:rPr>
        <w:t>الجدّية مخالفة للاستعمالية، كما في سائر التخصيصات، لكنّ إخراج العقود باعتبار عدم اعتبار النقل فيها شرعاً، فالاستثناء تخصيص حكمي بلحاظ محيط العرف، وتخصّص بلحاظ محيط الشرع واعتباره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سالم من الإشكالات المتقدّمة، من غير لزوم التخصيص المستنكر؛ أي تنفيذ اعتبار العرف موضوعاً، ثمّ التخصيص حكماً، وإن أمكن دفع الاستنكار بأنّ السكوت عن اعتبارات العرف وعدم الردع، غير الاعتبار المستقلّ موضوعاً والتخصيص حكماً، والمستبعد أو المستنكر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دون الأوّل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ذكرناه يصحّ التمسّك بالعامّ في مورد الشكّ في تأثير الفسخ؛ لأنّ </w:t>
      </w:r>
      <w:bookmarkStart w:id="303" w:name="pg15195_150589"/>
    </w:p>
    <w:p>
      <w:pPr>
        <w:pStyle w:val="BookText"/>
        <w:rPr/>
      </w:pPr>
      <w:bookmarkEnd w:id="303"/>
      <w:r>
        <w:rPr>
          <w:rFonts w:ascii="Amiri" w:hAnsi="Amiri" w:eastAsia="Amiri" w:cs="Amiri"/>
          <w:color w:val="111111"/>
          <w:sz w:val="28"/>
          <w:sz w:val="28"/>
          <w:szCs w:val="28"/>
          <w:rtl w:val="true"/>
          <w:lang w:bidi="ar-SA"/>
        </w:rPr>
        <w:t>ما يضرّ بالتمسّك به هو التخصّص العرفي لا الشرعي، فالعامّ متّبع مع الشكّ في التخصيص، وإن كانت نتيجة التخصيص التخصّص بلحاظ الشرع</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495379_2142443653"/>
      <w:bookmarkStart w:id="305" w:name="_Toc105"/>
      <w:bookmarkEnd w:id="304"/>
      <w:r>
        <w:rPr>
          <w:rtl w:val="true"/>
        </w:rPr>
        <w:t>الوجه الأخير في جواب الشبهة</w:t>
      </w:r>
      <w:bookmarkEnd w:id="305"/>
    </w:p>
    <w:p>
      <w:pPr>
        <w:pStyle w:val="BookText"/>
        <w:rPr/>
      </w:pPr>
      <w:r>
        <w:rPr>
          <w:rFonts w:ascii="Amiri" w:hAnsi="Amiri" w:eastAsia="Amiri" w:cs="Amiri"/>
          <w:color w:val="111111"/>
          <w:sz w:val="28"/>
          <w:sz w:val="28"/>
          <w:szCs w:val="28"/>
          <w:rtl w:val="true"/>
          <w:lang w:bidi="ar-SA"/>
        </w:rPr>
        <w:t>وهاهنا وجه آخر لدفع إشكال الشبهة المصداقية، وهو أنّه لا ريب في أنّ تلك الاُمور الاعتبارية لا واقعية لها إلاّ في اُفق الاعتبار، وإن كان اعتبارها اعتبار أمر في الخارج، فتعتبر الملكية والزوجية خارجاً للمالك والزوج، لكن لا يلزم منه كونها محقّقة مع قطع النظر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شبهة في أنّ ردع الشارع عن أمر اعتباري عقلائي، لا يكون مؤثّراً تكويناً في رفع اليد عن اعتبارهم، بل ربّما يكون ردعه مؤثّراً لأجل تحقّق مبادئ وخصوصيات، وربّما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بعض المحارم، الذي لولا ردع الشارع كان جائزاً لدى العرف، والطلاق بشرائطه المقرّرة، حيث تكون تلك الشرائط شرعية، واتّبع المسلمون الشريعة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الربوي، وبيع آلات اللهو والقمار ونحوها؛ ممّا يعتبرها العقلاء حتّى بعد ردع الشارع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ردع الشارع موجباً لانقلاب اعتبار العقلاء، ولو فرض تأثيره فلا إشكال في أنّ المؤثّر هو الردع الواصل لا الواقعي؛ فإنّه غير صالح لقطع اعتبارهم، فلو فرض أنّ الشارع بحسب الواقع جعل الفسخ مؤثّراً، ولم يصل إلى العقلاء، لا ينقطع اعتبارهم لبقاء العقد ولو مع احتمال تأثيره </w:t>
      </w:r>
    </w:p>
    <w:p>
      <w:pPr>
        <w:pStyle w:val="BookText"/>
        <w:rPr/>
      </w:pPr>
      <w:r>
        <w:rPr>
          <w:rFonts w:ascii="Amiri" w:hAnsi="Amiri" w:eastAsia="Amiri" w:cs="Amiri"/>
          <w:color w:val="111111"/>
          <w:sz w:val="28"/>
          <w:sz w:val="28"/>
          <w:szCs w:val="28"/>
          <w:rtl w:val="true"/>
          <w:lang w:bidi="ar-SA"/>
        </w:rPr>
        <w:t>شرعاً، فالموضوع العرفي باقٍ قطعاً، والشبهة ليست مصداقية، فيصحّ التمسّك بالعامّ لدفعها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المقام،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اعترفت</w:t>
      </w:r>
      <w:r>
        <w:rPr>
          <w:rStyle w:val="FootnoteAnchor"/>
          <w:rtl w:val="true"/>
        </w:rPr>
        <w:footnoteReference w:id="465"/>
      </w:r>
      <w:r>
        <w:rPr>
          <w:rFonts w:ascii="Amiri" w:hAnsi="Amiri" w:eastAsia="Amiri" w:cs="Amiri"/>
          <w:color w:val="111111"/>
          <w:sz w:val="28"/>
          <w:sz w:val="28"/>
          <w:szCs w:val="28"/>
          <w:rtl w:val="true"/>
          <w:lang w:bidi="ar-SA"/>
        </w:rPr>
        <w:t>بأنّه مع احتمال كون الفسخ مؤثّراً صارت الشبهة مصداقية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 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انتزاعي من منشأ واقعي، وعناوين المعاملات اُمور اعتبارية، لا انتزاعية، فللباطل واقعية بواقعية منشأ انتزاعه، وهو ما لا أثر له بحسب الواقع وبحسب جعل العقلاء والشارع، فإن كان شيء ذا أثر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بنظر طائفة من العقلاء، أو بحسب جعل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باطلاً ولغواً، بل يكون حقّاً، وهذا أمر واقعي، تصير الشبهة مع احتمال تحقّقه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ما هو مسلوب الأثر بالسلب الكلّي واقعاً، وما له أثر جزئي معتدّ به لا يكون باطلاً ولغواً، فللباطل وجود واقعي ولو بوجود منشئه، مع قطع النظر عن اعتبار العقلاء، بخلاف الاُمور المتقوّمة بالاعتبار؛ فإنّ واقعيتها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فلا يدفع الاعتبار العقلائي باحتمال الردع، بل لا يدفع كثيراً ما بوصول الردع أيضاً، كما أشرنا إليه</w:t>
      </w:r>
      <w:r>
        <w:rPr>
          <w:rFonts w:eastAsia="Amiri" w:cs="Amiri" w:ascii="Amiri" w:hAnsi="Amiri"/>
          <w:color w:val="111111"/>
          <w:sz w:val="28"/>
          <w:szCs w:val="28"/>
          <w:rtl w:val="true"/>
          <w:lang w:bidi="ar-SA"/>
        </w:rPr>
        <w:t xml:space="preserve">. </w:t>
      </w:r>
      <w:bookmarkStart w:id="306" w:name="pg15195_150591"/>
    </w:p>
    <w:p>
      <w:pPr>
        <w:pStyle w:val="Heading4"/>
        <w:numPr>
          <w:ilvl w:val="3"/>
          <w:numId w:val="1"/>
        </w:numPr>
        <w:rPr/>
      </w:pPr>
      <w:bookmarkStart w:id="307" w:name="__RefHeading___Toc2495381_2142443653"/>
      <w:bookmarkStart w:id="308" w:name="_Toc106"/>
      <w:bookmarkEnd w:id="306"/>
      <w:bookmarkEnd w:id="307"/>
      <w:r>
        <w:rPr>
          <w:rtl w:val="true"/>
        </w:rPr>
        <w:t xml:space="preserve">الدليل السابع </w:t>
      </w:r>
      <w:r>
        <w:rPr>
          <w:rtl w:val="true"/>
        </w:rPr>
        <w:t xml:space="preserve">: </w:t>
      </w:r>
      <w:r>
        <w:rPr>
          <w:rtl w:val="true"/>
        </w:rPr>
        <w:t>حديث الشرط</w:t>
      </w:r>
      <w:bookmarkEnd w:id="308"/>
    </w:p>
    <w:p>
      <w:pPr>
        <w:pStyle w:val="BookText"/>
        <w:rPr/>
      </w:pPr>
      <w:r>
        <w:rPr>
          <w:rFonts w:ascii="Amiri" w:hAnsi="Amiri" w:eastAsia="Amiri" w:cs="Amiri"/>
          <w:color w:val="111111"/>
          <w:sz w:val="28"/>
          <w:sz w:val="28"/>
          <w:szCs w:val="28"/>
          <w:rtl w:val="true"/>
          <w:lang w:bidi="ar-SA"/>
        </w:rPr>
        <w:t>وممّا استدلّ</w:t>
      </w:r>
      <w:r>
        <w:rPr>
          <w:rStyle w:val="FootnoteAnchor"/>
          <w:rtl w:val="true"/>
        </w:rPr>
        <w:footnoteReference w:id="467"/>
      </w:r>
      <w:r>
        <w:rPr>
          <w:rFonts w:ascii="IRNazanin" w:hAnsi="IRNazanin" w:eastAsia="IRNazanin"/>
          <w:color w:val="111111"/>
          <w:sz w:val="28"/>
          <w:sz w:val="28"/>
          <w:szCs w:val="28"/>
          <w:rtl w:val="true"/>
          <w:lang w:bidi="fa-IR"/>
        </w:rPr>
        <w:t>به للمطلوب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وقد مرّ البحث فيه من بعض الجهات، وتقدّم</w:t>
      </w:r>
      <w:r>
        <w:rPr>
          <w:rStyle w:val="FootnoteAnchor"/>
          <w:rtl w:val="true"/>
        </w:rPr>
        <w:footnoteReference w:id="469"/>
      </w:r>
      <w:r>
        <w:rPr>
          <w:rFonts w:ascii="Amiri" w:hAnsi="Amiri" w:eastAsia="Amiri" w:cs="Amiri"/>
          <w:color w:val="111111"/>
          <w:sz w:val="28"/>
          <w:sz w:val="28"/>
          <w:szCs w:val="28"/>
          <w:rtl w:val="true"/>
          <w:lang w:bidi="ar-SA"/>
        </w:rPr>
        <w:t xml:space="preserve">عدم ثبوت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القرار الابتدائي، وعلى فرض شموله له، فشموله لمثل البيع وسائر العقود محلّ إشكال، بل الظاهر عدم صدقه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القول بإ لغاء الخصوصية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الشروط الضمنية، وإسراء الحكم إلى البدوية، بل إلى مطلق القرار كما مرّ</w:t>
      </w:r>
      <w:r>
        <w:rPr>
          <w:rStyle w:val="FootnoteAnchor"/>
          <w:rtl w:val="true"/>
        </w:rPr>
        <w:footnoteReference w:id="470"/>
      </w:r>
      <w:r>
        <w:rPr>
          <w:rFonts w:ascii="Amiri" w:hAnsi="Amiri" w:eastAsia="Amiri" w:cs="Amiri"/>
          <w:color w:val="111111"/>
          <w:sz w:val="28"/>
          <w:sz w:val="28"/>
          <w:szCs w:val="28"/>
          <w:rtl w:val="true"/>
          <w:lang w:bidi="ar-SA"/>
        </w:rPr>
        <w:t>، فيشمل الحكم العقود والشروط الابتدائية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الجملة بداعي الإنشاء، والإخبار بالوقوع في مثل المقام لا يصحّ إلاّ مع دعوى عدم تخلّف المأمور عن الإيجاد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بالوقوع مبنيّ على دعوى الوقوع وأنّ المخبر به لا بدّ من تحقّقه؛ لسدّ الآمر جميع أنحاء عدمه، فكأنّه مدّعٍ بأنّ المؤمن لا يتخلّف عن قوله، وهذا الادّعاء لا يصحّ إلاّ مع كون المسلم ملزماً بإيقاعه، فيفهم منه لزوم الإيجاد بنحو أبلغ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نظير 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 إلى السوق وتشتري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إخبار بداعي البعث على نحو بليغ، ومبنيّ على دعوى التحقّق وعدم التخلّف؛ بدعوى أنّ مطلوبه غير قابل للمخالفة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لا يدلّ إلاّ على الرجحان</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قطع النظر عن تمسّك الأئمّة علیهم السلام به</w:t>
      </w:r>
      <w:r>
        <w:rPr>
          <w:rStyle w:val="FootnoteAnchor"/>
          <w:rtl w:val="true"/>
        </w:rPr>
        <w:footnoteReference w:id="472"/>
      </w:r>
      <w:r>
        <w:rPr>
          <w:rFonts w:ascii="IRNazanin" w:hAnsi="IRNazanin" w:eastAsia="IRNazanin"/>
          <w:color w:val="111111"/>
          <w:sz w:val="28"/>
          <w:sz w:val="28"/>
          <w:szCs w:val="28"/>
          <w:rtl w:val="true"/>
          <w:lang w:bidi="fa-IR"/>
        </w:rPr>
        <w:t>، وإلاّ فالأمر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الظاهر منه هو إيجاب العمل على طبق الشروط، لا إبقاؤها وعدم فسخها وعدم الرجوع عنها، كما قلنا </w:t>
      </w:r>
      <w:r>
        <w:rPr>
          <w:rStyle w:val="FootnoteAnchor"/>
          <w:rtl w:val="true"/>
        </w:rPr>
        <w:footnoteReference w:id="473"/>
      </w:r>
      <w:r>
        <w:rPr>
          <w:rFonts w:ascii="Amiri" w:hAnsi="Amiri" w:eastAsia="Amiri" w:cs="Amiri"/>
          <w:color w:val="111111"/>
          <w:sz w:val="28"/>
          <w:sz w:val="28"/>
          <w:szCs w:val="28"/>
          <w:rtl w:val="true"/>
          <w:lang w:bidi="ar-SA"/>
        </w:rPr>
        <w:t>في الوفاء بالعقود، فيكون مفاده كمفاده، وطريق الاستدلال به نحوه، على ما مرّ من الوجوه، فالإلزام على العمل على طبق الشرط، دليل على خروج زمام أمره من يده عرفاً، فراجع ما مرّ</w:t>
      </w:r>
      <w:r>
        <w:rPr>
          <w:rStyle w:val="FootnoteAnchor"/>
          <w:rtl w:val="true"/>
        </w:rPr>
        <w:footnoteReference w:id="474"/>
      </w:r>
      <w:r>
        <w:rPr>
          <w:rFonts w:ascii="Amiri" w:hAnsi="Amiri" w:eastAsia="Amiri" w:cs="Amiri"/>
          <w:color w:val="111111"/>
          <w:sz w:val="28"/>
          <w:sz w:val="28"/>
          <w:szCs w:val="28"/>
          <w:rtl w:val="true"/>
          <w:lang w:bidi="ar-SA"/>
        </w:rPr>
        <w:t>في الآية، حتّى يظهر وجه استفادة الحكم الوضعي؛ أي الصحّة والنفوذ، والتكليفي؛ أي وجوب الوفاء، واللزوم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الروايات الواردة في باب الشروط تلك الأحكام الثلاثة، كصحيحة عبداللّه بن سنان، عن أبي عبداللّه علیه السلام،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شرطاً مخالفاً لكتاب اللّه فلا يجوز له، ولا يجوز على الذي اشترط عليه، </w:t>
      </w:r>
      <w:bookmarkStart w:id="309" w:name="pg15195_150593"/>
    </w:p>
    <w:p>
      <w:pPr>
        <w:pStyle w:val="BookText"/>
        <w:rPr/>
      </w:pPr>
      <w:bookmarkEnd w:id="309"/>
      <w:r>
        <w:rPr>
          <w:rFonts w:ascii="Amiri" w:hAnsi="Amiri" w:eastAsia="Amiri" w:cs="Amiri"/>
          <w:color w:val="111111"/>
          <w:sz w:val="28"/>
          <w:sz w:val="28"/>
          <w:szCs w:val="28"/>
          <w:rtl w:val="true"/>
          <w:lang w:bidi="ar-SA"/>
        </w:rPr>
        <w:t>والمسلمون عند شروطهم فيما وافق كتاب اللّه عزّ وجلّ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تدلّ على الحكم الوضعي؛ أي النفوذ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وكموثّقة إسحاق بن عمّار، عن جعفر، عن أبيه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أبي طالب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فليفِ لها به؛ فإنّ المسلمين عند شروطهم، إلاّ شرطاً حرّم حلالاً، أو أحلّ حراماً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تدلّ على الحكم التكليفي والوضعي؛ أي الصحّة والنفوذ، وتدلاّن على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الوضع والتكليف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استفادة اللزوم من موثّقة منصور بن يونس، عن أبي الحسن علیه السلام في باب المهور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2495383_2142443653"/>
      <w:bookmarkStart w:id="311" w:name="_Toc107"/>
      <w:bookmarkEnd w:id="310"/>
      <w:r>
        <w:rPr>
          <w:rtl w:val="true"/>
        </w:rPr>
        <w:t xml:space="preserve">الدليل الثامن </w:t>
      </w:r>
      <w:r>
        <w:rPr>
          <w:rtl w:val="true"/>
        </w:rPr>
        <w:t xml:space="preserve">: </w:t>
      </w:r>
      <w:r>
        <w:rPr>
          <w:rtl w:val="true"/>
        </w:rPr>
        <w:t>آية حلّ البيع</w:t>
      </w:r>
      <w:bookmarkEnd w:id="31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478"/>
      </w:r>
      <w:r>
        <w:rPr>
          <w:rFonts w:ascii="Amiri" w:hAnsi="Amiri" w:eastAsia="Amiri" w:cs="Amiri"/>
          <w:color w:val="111111"/>
          <w:sz w:val="28"/>
          <w:sz w:val="28"/>
          <w:szCs w:val="28"/>
          <w:rtl w:val="true"/>
          <w:lang w:bidi="ar-SA"/>
        </w:rPr>
        <w:t>للمطلوب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479"/>
      </w:r>
      <w:r>
        <w:rPr>
          <w:rFonts w:ascii="Amiri" w:hAnsi="Amiri" w:eastAsia="Amiri" w:cs="Amiri"/>
          <w:color w:val="111111"/>
          <w:sz w:val="28"/>
          <w:sz w:val="28"/>
          <w:szCs w:val="28"/>
          <w:rtl w:val="true"/>
          <w:lang w:bidi="ar-SA"/>
        </w:rPr>
        <w:t>أنّ فيه 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حلّية 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الصدر والذيل، وعليه لا يبعد إطلاقه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 ما حصل باعتبار حلّ التصرّفات، وإطلاقه يقتضي حلّيتها حتّى بعد الفسخ، وهو مساوق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تحليل البيع غير الربوي، مقابل تحريم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w:t>
      </w:r>
      <w:r>
        <w:rPr>
          <w:rStyle w:val="FootnoteAnchor"/>
          <w:rtl w:val="true"/>
        </w:rPr>
        <w:footnoteReference w:id="480"/>
      </w:r>
      <w:r>
        <w:rPr>
          <w:rFonts w:ascii="Amiri" w:hAnsi="Amiri" w:eastAsia="Amiri" w:cs="Amiri"/>
          <w:color w:val="111111"/>
          <w:sz w:val="28"/>
          <w:sz w:val="28"/>
          <w:szCs w:val="28"/>
          <w:rtl w:val="true"/>
          <w:lang w:bidi="ar-SA"/>
        </w:rPr>
        <w:t>أنّه ليس منظور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الإنشاءين والبيعين بعنوانهما، بل المراد التسوية بينهما في حصول الربح والزيادة؛ دفعاً لعار أكل الربا، فنفي التسوية أيضاً بهذا اللحاظ، فيرجع المقصود إلى نفيها في حصول الربح، فتكون الآية بصدد بيان حلّية المال الحاصل، فيكون لها إطلاق من هذه الجهة، وهذا أيضاً غير بعيد، وإن كان لا يخلو من تأمّل وخدشة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الخدشة فيه بالشبهة المصداقية، كالخدشة في الآية المتقدّمة، 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w:t>
      </w:r>
      <w:r>
        <w:rPr>
          <w:rStyle w:val="FootnoteAnchor"/>
          <w:rtl w:val="true"/>
        </w:rPr>
        <w:footnoteReference w:id="481"/>
      </w:r>
      <w:r>
        <w:rPr>
          <w:rFonts w:ascii="Amiri" w:hAnsi="Amiri" w:eastAsia="Amiri" w:cs="Amiri"/>
          <w:color w:val="111111"/>
          <w:sz w:val="28"/>
          <w:sz w:val="28"/>
          <w:szCs w:val="28"/>
          <w:rtl w:val="true"/>
          <w:lang w:bidi="ar-SA"/>
        </w:rPr>
        <w:t xml:space="preserve">في تقرير الأصل في صدر المبحث هو استصحاب الملكية، وأمّا استصحاب بقاء العقد فلم نتعرّض له، وفي المقام يمكن إجراؤه لتنقيح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الأصل لزوم عقد المعاطاة حسب القواعد</w:t>
      </w:r>
      <w:r>
        <w:rPr>
          <w:rFonts w:eastAsia="Amiri" w:cs="Amiri" w:ascii="Amiri" w:hAnsi="Amiri"/>
          <w:color w:val="111111"/>
          <w:sz w:val="28"/>
          <w:szCs w:val="28"/>
          <w:rtl w:val="true"/>
          <w:lang w:bidi="ar-SA"/>
        </w:rPr>
        <w:t xml:space="preserve">. </w:t>
      </w:r>
      <w:bookmarkStart w:id="312" w:name="pg15195_150595"/>
    </w:p>
    <w:p>
      <w:pPr>
        <w:pStyle w:val="Heading3"/>
        <w:numPr>
          <w:ilvl w:val="2"/>
          <w:numId w:val="1"/>
        </w:numPr>
        <w:rPr/>
      </w:pPr>
      <w:bookmarkStart w:id="313" w:name="__RefHeading___Toc2495385_2142443653"/>
      <w:bookmarkStart w:id="314" w:name="_Toc108"/>
      <w:bookmarkEnd w:id="312"/>
      <w:bookmarkEnd w:id="313"/>
      <w:r>
        <w:rPr>
          <w:rtl w:val="true"/>
        </w:rPr>
        <w:t>فيما يتمسّك به على بطلان المعاطاة أو عدم لزومها</w:t>
      </w:r>
      <w:bookmarkEnd w:id="314"/>
    </w:p>
    <w:p>
      <w:pPr>
        <w:pStyle w:val="Heading4"/>
        <w:numPr>
          <w:ilvl w:val="3"/>
          <w:numId w:val="1"/>
        </w:numPr>
        <w:rPr/>
      </w:pPr>
      <w:bookmarkStart w:id="315" w:name="__RefHeading___Toc2495387_2142443653"/>
      <w:bookmarkStart w:id="316" w:name="_Toc109"/>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بقي الكلام في حال ما تمسّك به في الباب على خلاف القواعد والأدلّة المتقدّمة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495389_2142443653"/>
      <w:bookmarkStart w:id="318" w:name="_Toc110"/>
      <w:bookmarkEnd w:id="317"/>
      <w:r>
        <w:rPr>
          <w:rtl w:val="true"/>
        </w:rPr>
        <w:t>التمسّك بالأصل</w:t>
      </w:r>
      <w:bookmarkEnd w:id="318"/>
    </w:p>
    <w:p>
      <w:pPr>
        <w:pStyle w:val="BookText"/>
        <w:rPr/>
      </w:pPr>
      <w:r>
        <w:rPr>
          <w:rFonts w:ascii="Amiri" w:hAnsi="Amiri" w:eastAsia="Amiri" w:cs="Amiri"/>
          <w:color w:val="111111"/>
          <w:sz w:val="28"/>
          <w:sz w:val="28"/>
          <w:szCs w:val="28"/>
          <w:rtl w:val="true"/>
          <w:lang w:bidi="ar-SA"/>
        </w:rPr>
        <w:t xml:space="preserve">أمّا الأصل أو الاُصول التي تمسّك بها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فلا وقع لها في المقام بعد الأدلّة الاجتهادية، ولعلّ تمسّكهم بها مبنيّ على زعم عدم دلالة الأدلّة المتقدّمة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495391_2142443653"/>
      <w:bookmarkStart w:id="320" w:name="_Toc111"/>
      <w:bookmarkEnd w:id="319"/>
      <w:r>
        <w:rPr>
          <w:rtl w:val="true"/>
        </w:rPr>
        <w:t xml:space="preserve">التمسّك بحديث </w:t>
      </w:r>
      <w:r>
        <w:rPr>
          <w:rtl w:val="true"/>
        </w:rPr>
        <w:t>«</w:t>
      </w:r>
      <w:r>
        <w:rPr>
          <w:rtl w:val="true"/>
        </w:rPr>
        <w:t xml:space="preserve">إنّما يحلّل الكلام </w:t>
      </w:r>
      <w:r>
        <w:rPr>
          <w:rtl w:val="true"/>
        </w:rPr>
        <w:t>. . .»</w:t>
      </w:r>
      <w:bookmarkEnd w:id="32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خالد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واُربحك كذا وكذا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شاء ترك، وإن شاء 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الرجل يزرع الأرض، فيشترط للبذر ثلثاً، وللبقر ثلثاً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يسمّي شيئاً؛ فإنّما يحرّم الكلام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غيرها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يحلّل الكلام، ويحرّم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الغضّ عن صدره ومورده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طبيعة الكلام توجب الحلّية والحرمة، ومقتضى إطلاقه أعمّيتها من التكليفية والوضعية؛ لما ذكرنا سابقاً </w:t>
      </w:r>
      <w:r>
        <w:rPr>
          <w:rStyle w:val="FootnoteAnchor"/>
          <w:rtl w:val="true"/>
        </w:rPr>
        <w:footnoteReference w:id="487"/>
      </w:r>
      <w:r>
        <w:rPr>
          <w:rFonts w:ascii="Amiri" w:hAnsi="Amiri" w:eastAsia="Amiri" w:cs="Amiri"/>
          <w:color w:val="111111"/>
          <w:sz w:val="28"/>
          <w:sz w:val="28"/>
          <w:szCs w:val="28"/>
          <w:rtl w:val="true"/>
          <w:lang w:bidi="ar-SA"/>
        </w:rPr>
        <w:t xml:space="preserve">من عدم اختلاف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والوضع، كما أنّ مقتضى إطلاقه كونه محلّلاً </w:t>
      </w:r>
    </w:p>
    <w:p>
      <w:pPr>
        <w:pStyle w:val="BookText"/>
        <w:rPr/>
      </w:pPr>
      <w:r>
        <w:rPr>
          <w:rFonts w:ascii="IRNazanin" w:hAnsi="IRNazanin" w:eastAsia="IRNazanin"/>
          <w:color w:val="111111"/>
          <w:sz w:val="28"/>
          <w:sz w:val="28"/>
          <w:szCs w:val="28"/>
          <w:rtl w:val="true"/>
          <w:lang w:bidi="fa-IR"/>
        </w:rPr>
        <w:t>ومحرّماً، بلا وسط، ومع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فالمحلّل تكليفاً بلا وسط كتحليل صاحب الأمة إيّاها للغير وط‌ءاً أو غيره، ومع الوسط كعقد النكاح الذي يوجب تحقّق الزوجية، وبها تحلّ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بلا وسط كالظهار، ومع الوسط كالطلاق الذي يوجب قطع الزوجية، ومعه تحرم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والمحلّل الوضعي كالعقود الصحيحة التي توجب نفوذ المعاملات وتحقّق النقل، ومحرّمه كالشرط المفسد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الظاهر أنّ موضوع الحكم نفس طبيعة الكلام، كان مقتضى الإطلاق شموله للكلام الذي هو محلّل ومحرّم معاً، كالفسخ الذي يوجب ترادّ العينين، فيحرّم المثمن على المشتري، ويحلّله للبائع، وفي الثمن بالعكس، أو محلّل فقط، ومحرّم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إطلاقه شموله لكلام الشارع أيضاً، فحينئذٍ يكون نفوذ المعاطاة وصحّتها ومحلّليتها وضعاً بواسطة الكلام،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فكلامه في مقام التشريع تارةً يكون محلّلاً، وتارةً يكون محرّماً، مع الوسط، أو بلا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كلامه لم يكن سبباً لهما، بل كاشف عن إرادته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قياس اللّه تعالى بغيره من المخلوقات، ولو اُريدت الإرادة التشريعية فهي ملازمة للتشريع، ولم تكن نفسها محلّلة أو محرّمة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لإنكار المحلّلات والمحرّمات التشريعية، فعليه تكون المعاطاة نافذة لأجل الكلام المحلّل لها وضعاً، فعليه لا يلزم تخصيص الأكثر في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أفاد الشيخ الأعظم</w:t>
      </w:r>
      <w:r>
        <w:rPr>
          <w:rStyle w:val="FootnoteAnchor"/>
          <w:rtl w:val="true"/>
        </w:rPr>
        <w:footnoteReference w:id="488"/>
      </w:r>
      <w:r>
        <w:rPr>
          <w:rFonts w:ascii="Amiri" w:hAnsi="Amiri" w:eastAsia="Amiri" w:cs="Amiri"/>
          <w:color w:val="111111"/>
          <w:sz w:val="28"/>
          <w:sz w:val="28"/>
          <w:szCs w:val="28"/>
          <w:rtl w:val="true"/>
          <w:lang w:bidi="ar-SA"/>
        </w:rPr>
        <w:t>لأنّ كلّية المحرّمات والمحلّلات ترجع إلى سببية الكلام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معارض لمفهومه في نحو المعاطاة؛ لأنّ مقتضى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إطلاقه لما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المعاطاة، ولمّا كانت هي غير الكلام، لا تكون محلّلة، فالفعل لا يكون موجباً لتحقّق المعاملة ونفوذها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وارد على مسلك القوم أيضاً؛ فإنّ البيع لفظاً محلّل؛ أي ألفاظه سبب لحلّية المعاملة ونفوذها، وبعد تحقّق النقل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للحلّية التكليفية والحرمة التكليفية، دون البيع، فالبيع سبب للنقل، والنقل سبب لهما فيقع التعارض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المعارضة من قبيل المقتضي واللامقتضي؛ ضرورة أنّ مقتضى المفهوم عدم اقتضاء غير اللفظ للتحليل والتحريم، لا اقتضاؤه لنفي التحليل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الأمر بين رفع اليد عن الإطلاق، أو حمل المفهوم على أنّه لم يكن محلّلاً بذاته، وهو لا ينافي أن يكون كذلك لأجل الكلام الجاعل له محلّلاً، فالترجيح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 كون المحلّل والمحرّم راجعين إلى الكلام بالأخرة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المنافاة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الظهور اللفظي والسياقي، سببية كلّ من المحرّم والمحلّل </w:t>
      </w:r>
    </w:p>
    <w:p>
      <w:pPr>
        <w:pStyle w:val="BookText"/>
        <w:rPr/>
      </w:pPr>
      <w:r>
        <w:rPr>
          <w:rFonts w:ascii="Amiri" w:hAnsi="Amiri" w:eastAsia="Amiri" w:cs="Amiri"/>
          <w:color w:val="111111"/>
          <w:sz w:val="28"/>
          <w:sz w:val="28"/>
          <w:szCs w:val="28"/>
          <w:rtl w:val="true"/>
          <w:lang w:bidi="ar-SA"/>
        </w:rPr>
        <w:t>للتحريم والتحليل على نسق واحد؛ أي يكون كلّ منهما سبباً مؤثّراً في مسبّبه، على ما تتصوّر السببية والمسبّبية في مثل المقام، والتفكيك بينهما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الأنصاري قدّس سرّه من الاحتمالات الأربعة أو الخمسة</w:t>
      </w:r>
      <w:r>
        <w:rPr>
          <w:rStyle w:val="FootnoteAnchor"/>
          <w:rtl w:val="true"/>
        </w:rPr>
        <w:footnoteReference w:id="489"/>
      </w:r>
      <w:r>
        <w:rPr>
          <w:rFonts w:ascii="Amiri" w:hAnsi="Amiri" w:eastAsia="Amiri" w:cs="Amiri"/>
          <w:color w:val="111111"/>
          <w:sz w:val="28"/>
          <w:sz w:val="28"/>
          <w:szCs w:val="28"/>
          <w:rtl w:val="true"/>
          <w:lang w:bidi="ar-SA"/>
        </w:rPr>
        <w:t>، كلّها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إذ لازم الجميع ارتكاب خلاف الظاهر لفظاً وسياقاً، فإنّ الظاهر من محرّمية الكلام أن يكون مؤثّراً في التحريم، فالعقود الفاسدة كقولها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بضعي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محطّ الرواية؛ لأنّها لغو غير مؤثّرة، فلا تكون محلّلة ولا محرّمة، وحمل ما وردت في المزارعة على ذلك</w:t>
      </w:r>
      <w:r>
        <w:rPr>
          <w:rStyle w:val="FootnoteAnchor"/>
          <w:rtl w:val="true"/>
        </w:rPr>
        <w:footnoteReference w:id="490"/>
      </w:r>
      <w:r>
        <w:rPr>
          <w:rFonts w:ascii="Amiri" w:hAnsi="Amiri" w:eastAsia="Amiri" w:cs="Amiri"/>
          <w:color w:val="111111"/>
          <w:sz w:val="28"/>
          <w:sz w:val="28"/>
          <w:szCs w:val="28"/>
          <w:rtl w:val="true"/>
          <w:lang w:bidi="ar-SA"/>
        </w:rPr>
        <w:t>غير وجيه، كما يأتي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مقتضى وحدة السياق كون المحلّلية على وزان المحرّمية، فالتفكيك خلاف ظاهر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الكلام لا يؤثّر في شيء، لا أنّه يؤثّر في المحرّمية، مع أنّ حمل الكلام على عدمه من أغرب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المتقدّم وارد على الثالث والرابع، مع إشكال آخر في الأخير، وهو تفكيك لازم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ظاهره أنّ تقييد الكلام في الفقرتين باللفظ الدالّ </w:t>
      </w:r>
    </w:p>
    <w:p>
      <w:pPr>
        <w:pStyle w:val="BookText"/>
        <w:rPr/>
      </w:pPr>
      <w:r>
        <w:rPr>
          <w:rFonts w:ascii="Amiri" w:hAnsi="Amiri" w:eastAsia="Amiri" w:cs="Amiri"/>
          <w:color w:val="111111"/>
          <w:sz w:val="28"/>
          <w:sz w:val="28"/>
          <w:szCs w:val="28"/>
          <w:rtl w:val="true"/>
          <w:lang w:bidi="ar-SA"/>
        </w:rPr>
        <w:t xml:space="preserve">على التحليل والتحريم، الظاهر في الدلالة الوضعية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كحلّلت أو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 وخلاف ظاهر الرواية، إلاّ أن يراد به ما هو أعمّ من ذلك فلا كلام فيه، إلاّ أنّه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صدر الرواية، وأمّا بالنظر إليه، فالظاهر من قول السائل في</w:t>
      </w:r>
    </w:p>
    <w:p>
      <w:pPr>
        <w:pStyle w:val="BookText"/>
        <w:rPr/>
      </w:pPr>
      <w:r>
        <w:rPr>
          <w:rFonts w:ascii="Amiri" w:hAnsi="Amiri" w:eastAsia="Amiri" w:cs="Amiri"/>
          <w:color w:val="111111"/>
          <w:sz w:val="28"/>
          <w:sz w:val="28"/>
          <w:szCs w:val="28"/>
          <w:rtl w:val="true"/>
          <w:lang w:bidi="ar-SA"/>
        </w:rPr>
        <w:t>رواية خالد</w:t>
      </w:r>
      <w:r>
        <w:rPr>
          <w:rStyle w:val="FootnoteAnchor"/>
          <w:rtl w:val="true"/>
        </w:rPr>
        <w:footnoteReference w:id="492"/>
      </w:r>
      <w:r>
        <w:rPr>
          <w:rFonts w:ascii="Amiri" w:hAnsi="Amiri" w:eastAsia="Amiri" w:cs="Amiri"/>
          <w:color w:val="111111"/>
          <w:sz w:val="28"/>
          <w:sz w:val="28"/>
          <w:szCs w:val="28"/>
          <w:rtl w:val="true"/>
          <w:lang w:bidi="ar-SA"/>
        </w:rPr>
        <w:t>، أنّ سؤاله لم يكن من حيث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من حيثية اُخرى مفهومة من كلامه، وهي أنّ اشتراء الثوب وأخذ الربح المذكور جائز أو لا؟</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مع كونه مختاراً في الأخذ والترك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كناية عن عدم تحقّق البيع الملزم عرفاً، وفي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سلب الاختيار منه، والمراد به تحقّق البيع الذي هو ملزم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كناية عن البيع السالب للاختيار عرفاً، وليست العناية باللفظ مقابل المعاطاة، بل العناية بالبيع السالب له مقابل اختياره، ومعه لا يستفاد منه ما هو المدّعى؛ من اعتبار اللفظ في التحريم والتحليل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بجعل الكلام كناية عن مطلق البيع في المقام؛ لقلّة تحقّق المعاطاة في بيع ما ليس عنده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المراد بالكلام في المقام ليس نفس الطبيعة؛ ضرورة أنّها قد تحقّقت بالتقاول، فالمراد به كلام خاصّ، وبقرينة المقام يكون المراد هو البيع </w:t>
      </w:r>
    </w:p>
    <w:p>
      <w:pPr>
        <w:pStyle w:val="BookText"/>
        <w:rPr/>
      </w:pPr>
      <w:r>
        <w:rPr>
          <w:rFonts w:ascii="Amiri" w:hAnsi="Amiri" w:eastAsia="Amiri" w:cs="Amiri"/>
          <w:color w:val="111111"/>
          <w:sz w:val="28"/>
          <w:sz w:val="28"/>
          <w:szCs w:val="28"/>
          <w:rtl w:val="true"/>
          <w:lang w:bidi="ar-SA"/>
        </w:rPr>
        <w:t>الخاصّ؛ أي بيع ما ليس عنده،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 يقع البيع الخاصّ لا بأس بأخذ الربح؛ فإنّ البيع بعد الشراء، وما فيه بأس هو البيع قبل الشراء، وأخذ الربح، ثمّ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تكون الرواية دالّة على حصر المحلّل والمحرّم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 بعض الروايات في باب بيع ما ليس عنده، كصحيحة منصور</w:t>
      </w:r>
      <w:r>
        <w:rPr>
          <w:rStyle w:val="FootnoteAnchor"/>
          <w:rtl w:val="true"/>
        </w:rPr>
        <w:footnoteReference w:id="493"/>
      </w:r>
      <w:r>
        <w:rPr>
          <w:rFonts w:ascii="Amiri" w:hAnsi="Amiri" w:eastAsia="Amiri" w:cs="Amiri"/>
          <w:color w:val="111111"/>
          <w:sz w:val="28"/>
          <w:sz w:val="28"/>
          <w:szCs w:val="28"/>
          <w:rtl w:val="true"/>
          <w:lang w:bidi="ar-SA"/>
        </w:rPr>
        <w:t xml:space="preserve">وغيرها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سيأتي التحقيق في مفاد الحديث صدراً وذيلاً في الفضولي</w:t>
      </w:r>
      <w:r>
        <w:rPr>
          <w:rStyle w:val="FootnoteAnchor"/>
          <w:rtl w:val="true"/>
        </w:rPr>
        <w:footnoteReference w:id="495"/>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كلاماً وإشكالاً، تعرّضنا له في مقامه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الحلبي ونحوها، فظاهرها أنّ شبهة السائل كانت في جواز اشتراط الثلث للبذر، والثلث للبقر، من غير نظر إلى كون الاشتراط باللفظ أو بغيره، فتكون العناية في الجواب بمحرّمية الشرط الكذائي، لا عدم كون غير اللفظ محرّماً، فهي قرينة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الخاصّ؛ أي الاشتراط</w:t>
      </w:r>
      <w:r>
        <w:rPr>
          <w:rFonts w:eastAsia="Amiri" w:cs="Amiri" w:ascii="Amiri" w:hAnsi="Amiri"/>
          <w:color w:val="111111"/>
          <w:sz w:val="28"/>
          <w:szCs w:val="28"/>
          <w:rtl w:val="true"/>
          <w:lang w:bidi="ar-SA"/>
        </w:rPr>
        <w:t xml:space="preserve">. </w:t>
      </w:r>
      <w:bookmarkStart w:id="321" w:name="pg15195_150602"/>
    </w:p>
    <w:p>
      <w:pPr>
        <w:pStyle w:val="BookText"/>
        <w:rPr/>
      </w:pPr>
      <w:bookmarkEnd w:id="321"/>
      <w:r>
        <w:rPr>
          <w:rFonts w:ascii="Amiri" w:hAnsi="Amiri" w:eastAsia="Amiri" w:cs="Amiri"/>
          <w:color w:val="111111"/>
          <w:sz w:val="28"/>
          <w:sz w:val="28"/>
          <w:szCs w:val="28"/>
          <w:rtl w:val="true"/>
          <w:lang w:bidi="ar-SA"/>
        </w:rPr>
        <w:t>نعم، لو كان غرضه السؤال عن صحّة نيّة كون الثلث للبذر، كان المناسب في الجواب حصر المحرّم في اللفظ، على إشكال فيه أيضاً، وأمّا المناسب لشبهته فبيان أنّ الشرط محرّم، وهو لا يناسب الحصر</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2495393_2142443653"/>
      <w:bookmarkStart w:id="323" w:name="_Toc112"/>
      <w:bookmarkEnd w:id="322"/>
      <w:r>
        <w:rPr>
          <w:rtl w:val="true"/>
        </w:rPr>
        <w:t>التمسّك بروايات اُخر لاعتبار اللفظ</w:t>
      </w:r>
      <w:bookmarkEnd w:id="323"/>
    </w:p>
    <w:p>
      <w:pPr>
        <w:pStyle w:val="BookText"/>
        <w:rPr/>
      </w:pPr>
      <w:r>
        <w:rPr>
          <w:rFonts w:ascii="Amiri" w:hAnsi="Amiri" w:eastAsia="Amiri" w:cs="Amiri"/>
          <w:color w:val="111111"/>
          <w:sz w:val="28"/>
          <w:sz w:val="28"/>
          <w:szCs w:val="28"/>
          <w:rtl w:val="true"/>
          <w:lang w:bidi="ar-SA"/>
        </w:rPr>
        <w:t>وربّما يتمسّك بروايات اُخر لاعتبار اللفظ، لا دلالة في شيء منها بوجه، بل ولا إشعار فيها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بها الشيخ الأعظم قدّس سرّه، وادّعى إشعارها به</w:t>
      </w:r>
      <w:r>
        <w:rPr>
          <w:rStyle w:val="FootnoteAnchor"/>
          <w:rtl w:val="true"/>
        </w:rPr>
        <w:footnoteReference w:id="497"/>
      </w:r>
      <w:r>
        <w:rPr>
          <w:rFonts w:ascii="Amiri" w:hAnsi="Amiri" w:eastAsia="Amiri" w:cs="Amiri"/>
          <w:color w:val="111111"/>
          <w:sz w:val="28"/>
          <w:sz w:val="28"/>
          <w:szCs w:val="28"/>
          <w:rtl w:val="true"/>
          <w:lang w:bidi="ar-SA"/>
        </w:rPr>
        <w:t>، كرواية يحيى ابن الحجّاج الموثّقة على احتمال غير بعيد</w:t>
      </w:r>
      <w:r>
        <w:rPr>
          <w:rStyle w:val="FootnoteAnchor"/>
          <w:rtl w:val="true"/>
        </w:rPr>
        <w:footnoteReference w:id="4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وهذه الدابّة وبعنيها، اُربحك فيها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اشترها ولا تواجبه البيع قبل أن تستوجبها أو تشتريها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المراد من مواجبة البيع ليس مجرّد إعطاء العين للمشتري</w:t>
      </w:r>
      <w:r>
        <w:rPr>
          <w:rStyle w:val="FootnoteAnchor"/>
          <w:rtl w:val="true"/>
        </w:rPr>
        <w:footnoteReference w:id="5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حقّ، لكن لا يفيده شيئاً، ولا يوجب إشعارها باعتبار اللفظ؛ لأنّ </w:t>
      </w:r>
    </w:p>
    <w:p>
      <w:pPr>
        <w:pStyle w:val="BookText"/>
        <w:rPr/>
      </w:pPr>
      <w:r>
        <w:rPr>
          <w:rFonts w:ascii="Amiri" w:hAnsi="Amiri" w:eastAsia="Amiri" w:cs="Amiri"/>
          <w:color w:val="111111"/>
          <w:sz w:val="28"/>
          <w:sz w:val="28"/>
          <w:szCs w:val="28"/>
          <w:rtl w:val="true"/>
          <w:lang w:bidi="ar-SA"/>
        </w:rPr>
        <w:t xml:space="preserve">الإيجاب والاستيجاب لا يلزم أن يكونا باللفظ، فإنّ اللفظ لا يدلّ على الإيجاب بمفهومه وعنوانه، وإنّما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أنّ لفظ البيع علّة لثبوت معنىً اعتباري، أو باعتبار كونه علّة للإلزام، وبأيّهما يطلق على اللفظ يصحّ إطلاقه على المعاطاة، فلا إشعار فيها بأنّ الإيجاب والاستيجاب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أنّ إطلاقها يقتضي صحّة المعاطاة، لو كانت بصدد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تسليم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البيع بالصيغة، يكون مقتضى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الاشتراء معاطاة، فتدلّ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بعدم إيقاع البيع قبل اشترائه، من غير نظر إلى اللفظ وغيره، فلا دلالة ولا إشعار فيها لما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وكرواية العلاء، قال 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يبيع البيع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أبيعك بده دوازده، أو ده يازده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هذه المراوضة، فإذا جمع إليه البيع جعله جملة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إشعار فيها لما ذكره، إلاّ أن يراد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واحدة، على أن يراد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النحاة</w:t>
      </w:r>
      <w:r>
        <w:rPr>
          <w:rStyle w:val="FootnoteAnchor"/>
          <w:rtl w:val="true"/>
        </w:rPr>
        <w:footnoteReference w:id="502"/>
      </w:r>
      <w:r>
        <w:rPr>
          <w:rFonts w:ascii="Amiri" w:hAnsi="Amiri" w:eastAsia="Amiri" w:cs="Amiri"/>
          <w:color w:val="111111"/>
          <w:sz w:val="28"/>
          <w:sz w:val="28"/>
          <w:szCs w:val="28"/>
          <w:rtl w:val="true"/>
          <w:lang w:bidi="ar-SA"/>
        </w:rPr>
        <w:t xml:space="preserve">، وهو كما ترى؛ </w:t>
      </w:r>
    </w:p>
    <w:p>
      <w:pPr>
        <w:pStyle w:val="BookText"/>
        <w:rPr/>
      </w:pPr>
      <w:r>
        <w:rPr>
          <w:rFonts w:ascii="Amiri" w:hAnsi="Amiri" w:eastAsia="Amiri" w:cs="Amiri"/>
          <w:color w:val="111111"/>
          <w:sz w:val="28"/>
          <w:sz w:val="28"/>
          <w:szCs w:val="28"/>
          <w:rtl w:val="true"/>
          <w:lang w:bidi="ar-SA"/>
        </w:rPr>
        <w:t>ضرورة أنّ المراد به جعله مبيعاً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المقاولة لا بأس بها، لكن إذا عزم البيع باعه جملة واحدة؛ أي سلعة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العناية فيها بأمرٍ آخر غير اعتبار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وردت في بيع المصحف</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كرواية سماعة،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بيع المصاحف وشرائها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كتاب اللّه، ولكن اشتر الحديد والورق والدفّتين، وقُل أشتري منك هذا بكذا وكذا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تقريب الاستدلال بها بأنّ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ظاهر في الوجوب الوضعي الشرطي، فيدلّ على اعتبار اللفظ فيه، وبإ لغاء الخصوصية يسري الحكم إلى مطلق البيع، وسائر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لا دلالة فيه على أنّ المراد به الإيجاب وإيقاع المعاملة كذلك، بل لعلّه ظاهر في المقاولة قبل البيع، من غير نظر إلى إيقاعه باللفظ أو بالمعاطاة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مثل المجموع الذي يراد بيع بعضه، لا بدّ من ذكر ما يقع عليه البيع؛ لدفع الجهالة، ففي مثله لا تمكن أو تشكل المعاطاة، فاعتبار اللفظ في مثله لا يدلّ على اعتباره في غيره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العناية فيها بعدم بيع المصحف، وبيع الحديد ونحوه، وليست العناية </w:t>
      </w:r>
    </w:p>
    <w:p>
      <w:pPr>
        <w:pStyle w:val="BookText"/>
        <w:rPr/>
      </w:pPr>
      <w:r>
        <w:rPr>
          <w:rFonts w:ascii="IRNazanin" w:hAnsi="IRNazanin" w:eastAsia="IRNazanin"/>
          <w:color w:val="111111"/>
          <w:sz w:val="28"/>
          <w:sz w:val="28"/>
          <w:szCs w:val="28"/>
          <w:rtl w:val="true"/>
          <w:lang w:bidi="fa-IR"/>
        </w:rPr>
        <w:t>بإيقاعه باللفظ،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أشتري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كناية عن إيقاع البيع كذلك، أو بيان لذلك، ولا يراد به وجوب التلفّظ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الكلام فيما وردت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عبداللّه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وثلث للبذر، وثلث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يسمّي شيئاً من الحبّ والبقر،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فيها كذا وكذا، إن شئت نصفاً، وإن شئت ثلثاً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لأنّ تقريب الدلالة وردّه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وردت في جواز بيع الثمار قبل بدوّ الصلاح مع الضميمة، فراجع</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اشتراء الطنّ من القصب</w:t>
      </w:r>
      <w:r>
        <w:rPr>
          <w:rStyle w:val="FootnoteAnchor"/>
          <w:rtl w:val="true"/>
        </w:rPr>
        <w:footnoteReference w:id="507"/>
      </w:r>
      <w:r>
        <w:rPr>
          <w:rFonts w:ascii="Amiri" w:hAnsi="Amiri" w:eastAsia="Amiri" w:cs="Amiri"/>
          <w:color w:val="111111"/>
          <w:sz w:val="28"/>
          <w:sz w:val="28"/>
          <w:szCs w:val="28"/>
          <w:rtl w:val="true"/>
          <w:lang w:bidi="ar-SA"/>
        </w:rPr>
        <w:t>وغيرها، فلا ينبغي توهّم إشعارها</w:t>
      </w:r>
      <w:r>
        <w:rPr>
          <w:rFonts w:eastAsia="Amiri" w:cs="Amiri" w:ascii="Amiri" w:hAnsi="Amiri"/>
          <w:color w:val="111111"/>
          <w:sz w:val="28"/>
          <w:szCs w:val="28"/>
          <w:rtl w:val="true"/>
          <w:lang w:bidi="ar-SA"/>
        </w:rPr>
        <w:t xml:space="preserve">. </w:t>
      </w:r>
      <w:bookmarkStart w:id="324" w:name="pg15195_150606"/>
    </w:p>
    <w:p>
      <w:pPr>
        <w:pStyle w:val="Heading4"/>
        <w:numPr>
          <w:ilvl w:val="3"/>
          <w:numId w:val="1"/>
        </w:numPr>
        <w:rPr/>
      </w:pPr>
      <w:bookmarkStart w:id="325" w:name="__RefHeading___Toc2495395_2142443653"/>
      <w:bookmarkStart w:id="326" w:name="_Toc113"/>
      <w:bookmarkEnd w:id="324"/>
      <w:bookmarkEnd w:id="325"/>
      <w:r>
        <w:rPr>
          <w:rtl w:val="true"/>
        </w:rPr>
        <w:t>حول دعاوى الإجماع أو الشهرة في المقام</w:t>
      </w:r>
      <w:bookmarkEnd w:id="326"/>
    </w:p>
    <w:p>
      <w:pPr>
        <w:pStyle w:val="BookText"/>
        <w:rPr/>
      </w:pPr>
      <w:r>
        <w:rPr>
          <w:rFonts w:ascii="Amiri" w:hAnsi="Amiri" w:eastAsia="Amiri" w:cs="Amiri"/>
          <w:color w:val="111111"/>
          <w:sz w:val="28"/>
          <w:sz w:val="28"/>
          <w:szCs w:val="28"/>
          <w:rtl w:val="true"/>
          <w:lang w:bidi="ar-SA"/>
        </w:rPr>
        <w:t>بقي الكلام في دعاوى الإجماع أو الشهرة، فلا بدّ من ملاحظة كلمات القوم حتّى 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قطعة إلى البقلي أو إلى الشارب،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بقلاً أو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فإنّه لا يكون بيعاً، وكذلك سائر المحقّرات، وإنّما يكون إباحة له، يتصرّف كلّ واحد منهما فيما أخذه تصرّفاً مباحاً، من غير أن يكون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البقلي إذا أراد أن يسترجع البقل، أو أراد صاحب القطعة أن يسترجع قطعته، كان لهما ذلك؛ لأنّ الملك لم يحصل لهما،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بيعاً صحيحاً، وإن لم يوجد الإيجاب والقبول، قال ذلك في المحقّرات دون غيرها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حكم شرعي، ولا دلالة في الشرع على وجوده هاهنا، فيجب أن لا يثبت، فأمّا الاستباحة بذلك فهو مجمع عليه، لا يختلف العلماء فيها</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أنّه أراد نفي البيع شرعاً؛ لبعد إرادة نفي البيع العرفي، ضرورة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المعاطاة عرفاً؛ فإنّ بيع المعاطاة بأقسامها، كان متعارفاً شائعاً من</w:t>
      </w:r>
    </w:p>
    <w:p>
      <w:pPr>
        <w:pStyle w:val="BookText"/>
        <w:rPr/>
      </w:pPr>
      <w:r>
        <w:rPr>
          <w:rFonts w:ascii="Amiri" w:hAnsi="Amiri" w:eastAsia="Amiri" w:cs="Amiri"/>
          <w:color w:val="111111"/>
          <w:sz w:val="28"/>
          <w:sz w:val="28"/>
          <w:szCs w:val="28"/>
          <w:rtl w:val="true"/>
          <w:lang w:bidi="ar-SA"/>
        </w:rPr>
        <w:t>زمن قديم، وكان مقدّماً عهداً على البيع بالصيغة، فلا أظنّ بمثل الشيخ إنكار الصدق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ذيل كلامه لكان من المحتمل قريباً إرادة قسم خاصّ نادر من التعاطي؛ وهو ما اُريدت به الإباحة، بعد ظهور نفي البيع في نفيه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يكون إباحة له، يتصرّف كلّ واحدٍ منهما فيما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فيها من المبيح والمباح له، ولا سيّما مع 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يتصرّف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ذيل كلامه شاهد على إرادته سلب البيع الصحيح الشرعي،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بعقد صحيح هو بيع</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استدلاله على مطلوبه؛ أي عدم كونه بيعاً، بأنّ العقد حكم شرعي، ولا دلالة في الشرع على وجوده، وتخصيصه الإجماع بثبوت الإباحة عدم تحقّق الإجماع في الحكم الأوّل في عصره، وإلاّ لاستدلّ به، لا بفقد الدليل؛ ضرورة أنّه مع وجود دليل قطعي كالإجماع، أو دليل لفظي من طريق أصحابنا على البطلان، لا معنى للتمسّك بفقد الدليل للفساد، بل لو كان دليل على الفساد من طرق العامّة لأشار إليه، كما هو دأبه، مع أنّ من سيرته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بإجماع أصحابنا كلّما تحقّق، فعدم دعواه </w:t>
      </w:r>
    </w:p>
    <w:p>
      <w:pPr>
        <w:pStyle w:val="BookText"/>
        <w:rPr/>
      </w:pPr>
      <w:r>
        <w:rPr>
          <w:rFonts w:ascii="Amiri" w:hAnsi="Amiri" w:eastAsia="Amiri" w:cs="Amiri"/>
          <w:color w:val="111111"/>
          <w:sz w:val="28"/>
          <w:sz w:val="28"/>
          <w:szCs w:val="28"/>
          <w:rtl w:val="true"/>
          <w:lang w:bidi="ar-SA"/>
        </w:rPr>
        <w:t>في خصوص هذا الكتاب دليل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ترك دعوى الإجماع في نفي البيع الذي عقد البحث وعنون المسألة له، ودعواه فيما ذكره تطفّلاً وتفرّعاً، شاهد أيضاً على عدم الإجماع في عصره، ولم يقم دليل على بطلانه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الاتّكال على دعوى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فضلاً عن دعوى من تأخّر، مع ما في إجماعات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أعاظم الأصحاب كابن إدريس، والعلاّمة، بل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قدماء أصحابنا، لم يظهر منهم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العلاّمة أنّ القول بكفاية التعاطي في الحقير وغيره، كان قولاً معروفاً،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عندنا أنّه لا بدّ من الصيغة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يفيد الإباحة لا الملك عندنا </w:t>
      </w:r>
      <w:r>
        <w:rPr>
          <w:rStyle w:val="FootnoteAnchor"/>
          <w:rtl w:val="true"/>
        </w:rPr>
        <w:footnoteReference w:id="513"/>
      </w:r>
      <w:r>
        <w:rPr>
          <w:rFonts w:ascii="Amiri" w:hAnsi="Amiri" w:eastAsia="Amiri" w:cs="Amiri"/>
          <w:color w:val="111111"/>
          <w:sz w:val="28"/>
          <w:sz w:val="28"/>
          <w:szCs w:val="28"/>
          <w:rtl w:val="true"/>
          <w:lang w:bidi="ar-SA"/>
        </w:rPr>
        <w:t>غير معتمد بعد ما عرفت، مع أنّه إشعار بدعوى الإجماع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كانت من المسائل الاجتهادية منذ عصر المفيد والشيخ ومن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تراهم يستدلّون عليها بالأدلّة والاُصول، كفقد الدليل على الصحّة</w:t>
      </w:r>
      <w:r>
        <w:rPr>
          <w:rStyle w:val="FootnoteAnchor"/>
          <w:rtl w:val="true"/>
        </w:rPr>
        <w:footnoteReference w:id="514"/>
      </w:r>
      <w:r>
        <w:rPr>
          <w:rFonts w:ascii="Amiri" w:hAnsi="Amiri" w:eastAsia="Amiri" w:cs="Amiri"/>
          <w:color w:val="111111"/>
          <w:sz w:val="28"/>
          <w:sz w:val="28"/>
          <w:szCs w:val="28"/>
          <w:rtl w:val="true"/>
          <w:lang w:bidi="ar-SA"/>
        </w:rPr>
        <w:t>، وأصالة بقاء الملك</w:t>
      </w:r>
      <w:r>
        <w:rPr>
          <w:rStyle w:val="FootnoteAnchor"/>
          <w:rtl w:val="true"/>
        </w:rPr>
        <w:footnoteReference w:id="515"/>
      </w:r>
      <w:r>
        <w:rPr>
          <w:rFonts w:ascii="IRNazanin" w:hAnsi="IRNazanin" w:eastAsia="IRNazanin"/>
          <w:color w:val="111111"/>
          <w:sz w:val="28"/>
          <w:sz w:val="28"/>
          <w:szCs w:val="28"/>
          <w:rtl w:val="true"/>
          <w:lang w:bidi="fa-IR"/>
        </w:rPr>
        <w:t xml:space="preserve">، وقصور الأفعال عن </w:t>
      </w:r>
    </w:p>
    <w:p>
      <w:pPr>
        <w:pStyle w:val="BookText"/>
        <w:rPr/>
      </w:pPr>
      <w:r>
        <w:rPr>
          <w:rFonts w:ascii="Amiri" w:hAnsi="Amiri" w:eastAsia="Amiri" w:cs="Amiri"/>
          <w:color w:val="111111"/>
          <w:sz w:val="28"/>
          <w:sz w:val="28"/>
          <w:szCs w:val="28"/>
          <w:rtl w:val="true"/>
          <w:lang w:bidi="ar-SA"/>
        </w:rPr>
        <w:t>الدلالة على المقاصد</w:t>
      </w:r>
      <w:r>
        <w:rPr>
          <w:rStyle w:val="FootnoteAnchor"/>
          <w:rtl w:val="true"/>
        </w:rPr>
        <w:footnoteReference w:id="516"/>
      </w:r>
      <w:r>
        <w:rPr>
          <w:rFonts w:ascii="Amiri" w:hAnsi="Amiri" w:eastAsia="Amiri" w:cs="Amiri"/>
          <w:color w:val="111111"/>
          <w:sz w:val="28"/>
          <w:sz w:val="28"/>
          <w:szCs w:val="28"/>
          <w:rtl w:val="true"/>
          <w:lang w:bidi="ar-SA"/>
        </w:rPr>
        <w:t>، وأنّ الإيجاب والقبول ما حصلا، فما حصل البيع</w:t>
      </w:r>
      <w:r>
        <w:rPr>
          <w:rStyle w:val="FootnoteAnchor"/>
          <w:rtl w:val="true"/>
        </w:rPr>
        <w:footnoteReference w:id="517"/>
      </w:r>
      <w:r>
        <w:rPr>
          <w:rFonts w:ascii="Amiri" w:hAnsi="Amiri" w:eastAsia="Amiri" w:cs="Amiri"/>
          <w:color w:val="111111"/>
          <w:sz w:val="28"/>
          <w:sz w:val="28"/>
          <w:szCs w:val="28"/>
          <w:rtl w:val="true"/>
          <w:lang w:bidi="ar-SA"/>
        </w:rPr>
        <w:t>، إلى غير ذلك</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المحقّق الثاني قدّس سرّه ادّعى أنّ المعروف بين الأصحاب أنّ المعاطاة بيع، وإن لم تكن كالعقد في اللزوم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يقال بأنّ نظر شيخ الطائفة قدّس سرّه وغيره، ليس في بطلان المعاطاة مطلقاً، بل في بطلانها إن تأخّر الإيجاب عن القبول، كما يظهر من 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التأمّل في كلماتهم؛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مطلق المعاطاة، بدليل ذكر قول أبي حنيفة واستدلاله بعدم حصول الإيجاب والقبول، وهو ظاهر في عدم تحقّقه، لا عدم تحقّق شرطه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 كلام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العلاّمة كالصريح في ذلك، والأمر سهل</w:t>
      </w:r>
      <w:r>
        <w:rPr>
          <w:rFonts w:eastAsia="Amiri" w:cs="Amiri" w:ascii="Amiri" w:hAnsi="Amiri"/>
          <w:color w:val="111111"/>
          <w:sz w:val="28"/>
          <w:szCs w:val="28"/>
          <w:rtl w:val="true"/>
          <w:lang w:bidi="ar-SA"/>
        </w:rPr>
        <w:t xml:space="preserve">. </w:t>
      </w:r>
      <w:bookmarkStart w:id="327" w:name="pg15195_150610"/>
    </w:p>
    <w:p>
      <w:pPr>
        <w:pStyle w:val="Heading3"/>
        <w:numPr>
          <w:ilvl w:val="2"/>
          <w:numId w:val="1"/>
        </w:numPr>
        <w:rPr/>
      </w:pPr>
      <w:bookmarkStart w:id="328" w:name="__RefHeading___Toc2495397_2142443653"/>
      <w:bookmarkStart w:id="329" w:name="_Toc114"/>
      <w:bookmarkEnd w:id="327"/>
      <w:bookmarkEnd w:id="328"/>
      <w:r>
        <w:rPr>
          <w:rtl w:val="true"/>
        </w:rPr>
        <w:t xml:space="preserve">تنبيهات </w:t>
      </w:r>
      <w:r>
        <w:rPr>
          <w:rtl w:val="true"/>
        </w:rPr>
        <w:t>:</w:t>
      </w:r>
      <w:bookmarkEnd w:id="329"/>
    </w:p>
    <w:p>
      <w:pPr>
        <w:pStyle w:val="Heading4"/>
        <w:numPr>
          <w:ilvl w:val="3"/>
          <w:numId w:val="1"/>
        </w:numPr>
        <w:rPr/>
      </w:pPr>
      <w:bookmarkStart w:id="330" w:name="__RefHeading___Toc2495399_2142443653"/>
      <w:bookmarkStart w:id="331" w:name="_Toc115"/>
      <w:bookmarkEnd w:id="330"/>
      <w:r>
        <w:rPr>
          <w:rtl w:val="true"/>
        </w:rPr>
        <w:t xml:space="preserve">التنبيه الأوّل </w:t>
      </w:r>
      <w:r>
        <w:rPr>
          <w:rtl w:val="true"/>
        </w:rPr>
        <w:t xml:space="preserve">: </w:t>
      </w:r>
      <w:r>
        <w:rPr>
          <w:rtl w:val="true"/>
        </w:rPr>
        <w:t>في اعتبار شروط البيع بالصيغة في المعاطاة</w:t>
      </w:r>
      <w:bookmarkEnd w:id="331"/>
    </w:p>
    <w:p>
      <w:pPr>
        <w:pStyle w:val="Heading5"/>
        <w:numPr>
          <w:ilvl w:val="4"/>
          <w:numId w:val="1"/>
        </w:numPr>
        <w:rPr/>
      </w:pPr>
      <w:bookmarkStart w:id="332" w:name="__RefHeading___Toc2495401_2142443653"/>
      <w:bookmarkStart w:id="333" w:name="_Toc11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هل يعتبر في المعاطاة جميع ما يعتبر في البيع بالصيغة، وكذا الشرائط المعتبرة في العوضين وغيرهما، وتلحق بها الأحكام الملحقة بالبيع بالصيغة كالخيارات؟</w:t>
      </w:r>
    </w:p>
    <w:p>
      <w:pPr>
        <w:pStyle w:val="BookText"/>
        <w:rPr/>
      </w:pPr>
      <w:r>
        <w:rPr>
          <w:rFonts w:ascii="Amiri" w:hAnsi="Amiri" w:eastAsia="Amiri" w:cs="Amiri"/>
          <w:color w:val="111111"/>
          <w:sz w:val="28"/>
          <w:sz w:val="28"/>
          <w:szCs w:val="28"/>
          <w:rtl w:val="true"/>
          <w:lang w:bidi="ar-SA"/>
        </w:rPr>
        <w:t>أو لا يعتبر فيها شيء منها، ولا يلحق بها حكم من أحكامه؟</w:t>
      </w:r>
    </w:p>
    <w:p>
      <w:pPr>
        <w:pStyle w:val="BookText"/>
        <w:rPr/>
      </w:pPr>
      <w:r>
        <w:rPr>
          <w:rFonts w:ascii="Amiri" w:hAnsi="Amiri" w:eastAsia="Amiri" w:cs="Amiri"/>
          <w:color w:val="111111"/>
          <w:sz w:val="28"/>
          <w:sz w:val="28"/>
          <w:szCs w:val="28"/>
          <w:rtl w:val="true"/>
          <w:lang w:bidi="ar-SA"/>
        </w:rPr>
        <w:t>أو يفصّل بين الأقسام المتصوّرة في المعاطاة، وكذا بين الشرائط والأحكام؟</w:t>
      </w:r>
    </w:p>
    <w:p>
      <w:pPr>
        <w:pStyle w:val="BookText"/>
        <w:rPr/>
      </w:pPr>
      <w:r>
        <w:rPr>
          <w:rFonts w:ascii="Amiri" w:hAnsi="Amiri" w:eastAsia="Amiri" w:cs="Amiri"/>
          <w:color w:val="111111"/>
          <w:sz w:val="28"/>
          <w:sz w:val="28"/>
          <w:szCs w:val="28"/>
          <w:rtl w:val="true"/>
          <w:lang w:bidi="ar-SA"/>
        </w:rPr>
        <w:t>ولا بدّ في اتّضاح ذلك من البحث في الأقسام المتصوّرة فيها</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2495403_2142443653"/>
      <w:bookmarkStart w:id="335" w:name="_Toc117"/>
      <w:bookmarkEnd w:id="334"/>
      <w:r>
        <w:rPr>
          <w:rtl w:val="true"/>
        </w:rPr>
        <w:t>الكلام في المعاطاة التي اُريد منها الإباحة</w:t>
      </w:r>
      <w:bookmarkEnd w:id="33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التعاطي بعنوان إباحة التصرّفات، إمّا مطلقاً، أو التصرّف في الجملة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يد العقلاء من المعاطاة كذلك،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إيقاعها كذلك، هل يعتبر فيها ما يعتبر في البيع بالصيغة، ويلحقها ما يلحقه؟</w:t>
      </w:r>
    </w:p>
    <w:p>
      <w:pPr>
        <w:pStyle w:val="BookText"/>
        <w:rPr/>
      </w:pPr>
      <w:r>
        <w:rPr>
          <w:rFonts w:ascii="Amiri" w:hAnsi="Amiri" w:eastAsia="Amiri" w:cs="Amiri"/>
          <w:color w:val="111111"/>
          <w:sz w:val="28"/>
          <w:sz w:val="28"/>
          <w:szCs w:val="28"/>
          <w:rtl w:val="true"/>
          <w:lang w:bidi="ar-SA"/>
        </w:rPr>
        <w:t>لا بدّ مقدّمةً من بيان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هل تكون إباحة 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يكون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مستلزمة لانتزاع ملكيته؟</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في نظر العقلاء إنّما يعتبر بلحاظ الآثار، ولا يعتبره العقلاء فيما لا أثر له مطلقاً، فكما أنّ سلب مطلق الأثر عن شيءٍ بالنسبة إلى شخص، يوجب سلب ملكيته وعدم اعتبارها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اعتبارها بلحاظ الآثار، فما لا أثر له مطلقاً لا حالاً ولا استقبالاً، لا يكون ملكاً في اعتبارهم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إثبات جميع آثار الملكية لشخص، يوجب اعتبارها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أباح المالك 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يكون ذلك عبارة اُخرى من التمليك، بحيث لو صرّح مع ذلك بعدم التمليك، يعدّ تناقضاً، فترجع تلك الإباحة المطلقة في مقابل الإباحة كذلك إلى التمليك بالعوض، وهو عبارة اُخرى عن البيع، فيكون حالها حال بعض الأقسام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الإباحة لا ترجع إلى التمليك، ولا تنتزع الملكية منها عرفاً؛ فإنّ إباحته كذلك لا ترجع إلى سلب أنحاء التصرّفات عن المالك، ولهذا تصحّ الإباحة المطلقة لأشخاص متعدّدين، مع أنّ ملكية تمام الشيء لا تعقل لأكثر من واحد، كما أنّ إباحته كذلك لا توجب سلب جميع الآثار عن نفسه، فيجوز له المنع عن تصرّفاته والرجوع عن إباحته، ومعه لا تسلب علاقة ملكيته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بالفرق بين الإباحة بلا عوض، ومع العوض، فيلتزم بسلب </w:t>
      </w:r>
    </w:p>
    <w:p>
      <w:pPr>
        <w:pStyle w:val="BookText"/>
        <w:rPr/>
      </w:pPr>
      <w:r>
        <w:rPr>
          <w:rFonts w:ascii="Amiri" w:hAnsi="Amiri" w:eastAsia="Amiri" w:cs="Amiri"/>
          <w:color w:val="111111"/>
          <w:sz w:val="28"/>
          <w:sz w:val="28"/>
          <w:szCs w:val="28"/>
          <w:rtl w:val="true"/>
          <w:lang w:bidi="ar-SA"/>
        </w:rPr>
        <w:t xml:space="preserve">الملكية عن المبيح، وثبوتها للمباح له في الإباحة المطلقة المعوّضة، وسيأتي الكلام فيها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قلنا بأنّ الإباحة المطلقة وغيرها، لا تفيد إلاّ صيرورة الشيء مباحاً لا ملكاً، يقع الكلام في أنّه هل يعتبر في المعاطاة كذلك ما يعتبر في البيع بالصيغة من شرائط نفس البيع، فيما يمكن اعتباره في المعاطاة، كتقدّم الإيجاب على القبول، وكالتوالي بينهما؟</w:t>
      </w:r>
    </w:p>
    <w:p>
      <w:pPr>
        <w:pStyle w:val="BookText"/>
        <w:rPr/>
      </w:pPr>
      <w:r>
        <w:rPr>
          <w:rFonts w:ascii="Amiri" w:hAnsi="Amiri" w:eastAsia="Amiri" w:cs="Amiri"/>
          <w:color w:val="111111"/>
          <w:sz w:val="28"/>
          <w:sz w:val="28"/>
          <w:szCs w:val="28"/>
          <w:rtl w:val="true"/>
          <w:lang w:bidi="ar-SA"/>
        </w:rPr>
        <w:t>قد تمسّك الشيخ الأنصاري قدّس سرّه لنفي اعتبارها بدليل السلطنة</w:t>
      </w:r>
      <w:r>
        <w:rPr>
          <w:rStyle w:val="FootnoteAnchor"/>
          <w:rtl w:val="true"/>
        </w:rPr>
        <w:footnoteReference w:id="521"/>
      </w:r>
      <w:r>
        <w:rPr>
          <w:rFonts w:ascii="Amiri" w:hAnsi="Amiri" w:eastAsia="Amiri" w:cs="Amiri"/>
          <w:color w:val="111111"/>
          <w:sz w:val="28"/>
          <w:sz w:val="28"/>
          <w:szCs w:val="28"/>
          <w:rtl w:val="true"/>
          <w:lang w:bidi="ar-SA"/>
        </w:rPr>
        <w:t>وقد تقدّم في محلّه</w:t>
      </w:r>
      <w:r>
        <w:rPr>
          <w:rStyle w:val="FootnoteAnchor"/>
          <w:rtl w:val="true"/>
        </w:rPr>
        <w:footnoteReference w:id="522"/>
      </w:r>
      <w:r>
        <w:rPr>
          <w:rFonts w:ascii="Amiri" w:hAnsi="Amiri" w:eastAsia="Amiri" w:cs="Amiri"/>
          <w:color w:val="111111"/>
          <w:sz w:val="28"/>
          <w:sz w:val="28"/>
          <w:szCs w:val="28"/>
          <w:rtl w:val="true"/>
          <w:lang w:bidi="ar-SA"/>
        </w:rPr>
        <w:t>عدم صلاحية دليلها لنفي الشكوك الراجعة إلى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التمسّك له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وبالاستثناء في موثّقة سماعة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ولا ماله إلاّ بطيبة نفسه</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بناءً على إطلاق المفهوم والمستثنى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حينئذٍ أنّ تمام الموضوع لجواز التصرّف وحلّ مال الغير هو الإذن وطيب النفس، فإذا طابت نفسه يحلّ ماله، من غير دخالة شيءٍ آخر فيه، فإذا شكّ في توقّف الحلّية على شيءٍ آخر غير ذلك، يدفع بإطلاقهما، ولا يرد عليه </w:t>
      </w:r>
    </w:p>
    <w:p>
      <w:pPr>
        <w:pStyle w:val="BookText"/>
        <w:rPr/>
      </w:pPr>
      <w:r>
        <w:rPr>
          <w:rFonts w:ascii="Amiri" w:hAnsi="Amiri" w:eastAsia="Amiri" w:cs="Amiri"/>
          <w:color w:val="111111"/>
          <w:sz w:val="28"/>
          <w:sz w:val="28"/>
          <w:szCs w:val="28"/>
          <w:rtl w:val="true"/>
          <w:lang w:bidi="ar-SA"/>
        </w:rPr>
        <w:t>ما يرد على دليل السلطنة، كما هو واضح لدى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التشكيك في إطلاقهما؛ بدعوى أنّ القائل بصدد بيان المنطوق والمستثنى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بعدم جواز التصرّف في مال الغير بلا إذنه، وجوازه بإذنه، وكذا الحكم بعدم حلّيته بغير طيبة نفس منه، وحلّيته مع طيبتها، ليس من الأحكام التعبّدية، بل من الأحكام العقلائية، ولدى العقلاء أيضاً عدم الحلّ بلا طيب نفس المالك، والحلّ معه ثابت، من غير دخالة شيء آخر فيه، وعليه فلا ينقدح في ذهن العرف من الروايات إلاّ ما لديهم، فيستكشف منه أنّ طيب النفس تمام الموضوع للحلّ، من غير دخالة شيء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يدفع الشكّ في اعتبار الشرائط المعتبرة في البيع فيها، كتقدّم الإيجاب على القبول، وكذا ما يشكّ في اعتباره في المتعاملين أو العوضين، كعدم الجهالة بهما أو بأحدهما، وكاعتبار التقابض في الصرف، والتساوي في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اعتبارها في المعاطاة المذكورة؛ لأنّ دليل النهي عن بيع الغرر</w:t>
      </w:r>
      <w:r>
        <w:rPr>
          <w:rStyle w:val="FootnoteAnchor"/>
          <w:rtl w:val="true"/>
        </w:rPr>
        <w:footnoteReference w:id="525"/>
      </w:r>
      <w:r>
        <w:rPr>
          <w:rFonts w:ascii="Amiri" w:hAnsi="Amiri" w:eastAsia="Amiri" w:cs="Amiri"/>
          <w:color w:val="111111"/>
          <w:sz w:val="28"/>
          <w:sz w:val="28"/>
          <w:szCs w:val="28"/>
          <w:rtl w:val="true"/>
          <w:lang w:bidi="ar-SA"/>
        </w:rPr>
        <w:t>غير شامل لها موضوعاً، والنهي عن مطلق الغرر غير ثابت، مع أنّه منصرف إلى المعاوضة بين الأموال، ولا يشمل نحو الإباحة المقابلة للإباحة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وأدلّة اعتبار التقابض</w:t>
      </w:r>
      <w:r>
        <w:rPr>
          <w:rStyle w:val="FootnoteAnchor"/>
          <w:rtl w:val="true"/>
        </w:rPr>
        <w:footnoteReference w:id="526"/>
      </w:r>
      <w:r>
        <w:rPr>
          <w:rFonts w:ascii="Amiri" w:hAnsi="Amiri" w:eastAsia="Amiri" w:cs="Amiri"/>
          <w:color w:val="111111"/>
          <w:sz w:val="28"/>
          <w:sz w:val="28"/>
          <w:szCs w:val="28"/>
          <w:rtl w:val="true"/>
          <w:lang w:bidi="ar-SA"/>
        </w:rPr>
        <w:t xml:space="preserve">، مخصوصة ببيع الصرف، والمورد خارج عنها </w:t>
      </w:r>
      <w:bookmarkStart w:id="336" w:name="pg15195_150614"/>
    </w:p>
    <w:p>
      <w:pPr>
        <w:pStyle w:val="BookText"/>
        <w:rPr/>
      </w:pPr>
      <w:bookmarkEnd w:id="336"/>
      <w:r>
        <w:rPr>
          <w:rFonts w:ascii="Amiri" w:hAnsi="Amiri" w:eastAsia="Amiri" w:cs="Amiri"/>
          <w:color w:val="111111"/>
          <w:sz w:val="28"/>
          <w:sz w:val="28"/>
          <w:szCs w:val="28"/>
          <w:rtl w:val="true"/>
          <w:lang w:bidi="ar-SA"/>
        </w:rPr>
        <w:t>موضوعاً، ولو سلّم التعدّي إلى غير البيع، فلا وجه للتعدّي إلى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حرمة الربا مخصوص بالتقابل بين العينين،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بالذهب مثلاً بمثل</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ونحوه</w:t>
      </w:r>
      <w:r>
        <w:rPr>
          <w:rStyle w:val="FootnoteAnchor"/>
          <w:rtl w:val="true"/>
        </w:rPr>
        <w:footnoteReference w:id="528"/>
      </w:r>
      <w:r>
        <w:rPr>
          <w:rFonts w:ascii="Amiri" w:hAnsi="Amiri" w:eastAsia="Amiri" w:cs="Amiri"/>
          <w:color w:val="111111"/>
          <w:sz w:val="28"/>
          <w:sz w:val="28"/>
          <w:szCs w:val="28"/>
          <w:rtl w:val="true"/>
          <w:lang w:bidi="ar-SA"/>
        </w:rPr>
        <w:t xml:space="preserve">، والآيات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المربوطة بالربا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فيها حتّى يشمل غير البيع،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المتعلّقة بالبيع نحو الخيارات، فعدم شمولها للمقام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المعاطاة التي يراد بها الإباحة مطلقة أو غيرها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495405_2142443653"/>
      <w:bookmarkStart w:id="338" w:name="_Toc118"/>
      <w:bookmarkEnd w:id="337"/>
      <w:r>
        <w:rPr>
          <w:rtl w:val="true"/>
        </w:rPr>
        <w:t>الكلام في المعاطاة التي اُريد بها التمليك</w:t>
      </w:r>
      <w:bookmarkEnd w:id="338"/>
    </w:p>
    <w:p>
      <w:pPr>
        <w:pStyle w:val="BookText"/>
        <w:rPr/>
      </w:pPr>
      <w:r>
        <w:rPr>
          <w:rFonts w:ascii="Amiri" w:hAnsi="Amiri" w:eastAsia="Amiri" w:cs="Amiri"/>
          <w:color w:val="111111"/>
          <w:sz w:val="28"/>
          <w:sz w:val="28"/>
          <w:szCs w:val="28"/>
          <w:rtl w:val="true"/>
          <w:lang w:bidi="ar-SA"/>
        </w:rPr>
        <w:t>وأمّا ما يراد بها التمليك، فمع عدم حصول الملك بها وحصول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الإباحة الحاصلة إباحة مالكية متحقّقة في ضمن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كالصورة السابقة؛ لانصراف الأدلّة عن مثلها، لو لم نقل بخروجها موضوعاً عن البيع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بعدم الإباحة المالكية، 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إلغاء ما قصده المتبايعان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تعبّداً بالإباحة، فلا دليل على أنّ المعاطاة مع فقد الشرائط موضوعة </w:t>
      </w:r>
    </w:p>
    <w:p>
      <w:pPr>
        <w:pStyle w:val="BookText"/>
        <w:rPr/>
      </w:pPr>
      <w:r>
        <w:rPr>
          <w:rFonts w:ascii="Amiri" w:hAnsi="Amiri" w:eastAsia="Amiri" w:cs="Amiri"/>
          <w:color w:val="111111"/>
          <w:sz w:val="28"/>
          <w:sz w:val="28"/>
          <w:szCs w:val="28"/>
          <w:rtl w:val="true"/>
          <w:lang w:bidi="ar-SA"/>
        </w:rPr>
        <w:t xml:space="preserve">للحكم بها، فلا بدّ من الرجوع إلى السيرة، والأخذ بالقدر المتيقّن منها، وسيأتي الكلام فيها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دلّ على اعتبار شيءٍ في البيع، أو تعلّق حكم بعنوانه، فالظاهر انصرافه عن مثل هذه المعاطاة التي لا تؤثّر على طبق قصد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 أدلّة الخيارات غير مثلها، والأمر سهل في هذه الفروض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التي هي موافقة لعمل العقلاء وسيرتهم وكذا تكون مقتضى الأدلّة المتقدّمة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بيع صحيح شرعاً وعرفاً، سواء قلنا بلزومها أم جوازها، فالظاهر اعتبار الشرائط التي دلّ دليل لفظي على اعتبارها في البيع فيها، مع تمامية مقدّمات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ثبتت شرطيتها بالإجماع أو الشهرة، فلا يصحّ إثباتها للمعاطاة؛ ضرورة أنّ المجمعين كلماتهم مختلفة في المعاطاة، فكثير منهم نفوا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Style w:val="FootnoteAnchor"/>
          <w:rtl w:val="true"/>
        </w:rPr>
        <w:footnoteReference w:id="532"/>
      </w:r>
      <w:r>
        <w:rPr>
          <w:rFonts w:ascii="Amiri" w:hAnsi="Amiri" w:eastAsia="Amiri" w:cs="Amiri"/>
          <w:color w:val="111111"/>
          <w:sz w:val="28"/>
          <w:sz w:val="28"/>
          <w:szCs w:val="28"/>
          <w:rtl w:val="true"/>
          <w:lang w:bidi="ar-SA"/>
        </w:rPr>
        <w:t xml:space="preserve">ومعه كيف يمكن إثباتها بهما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ثبوتها بأدلّتها لها على القول بلزومها؛ لإطلاق أدلّتها، وعقلائية بعضها، إلاّ ما كان ثبوته بالدليل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عدم اللزوم فلا يبعد أيضاً ثبوتها؛ للإطلاق، ولا تلزم منه اللغوية، ولا سيّما مع صيرورتها لازمة بتلف أحد العوضين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جعل الخيارات المتعدّدة غير مستلزم للّغوية وتحصيل الحاصل، </w:t>
      </w:r>
      <w:bookmarkStart w:id="339" w:name="pg15195_150616"/>
    </w:p>
    <w:p>
      <w:pPr>
        <w:pStyle w:val="BookText"/>
        <w:rPr/>
      </w:pPr>
      <w:bookmarkEnd w:id="339"/>
      <w:r>
        <w:rPr>
          <w:rFonts w:ascii="Amiri" w:hAnsi="Amiri" w:eastAsia="Amiri" w:cs="Amiri"/>
          <w:color w:val="111111"/>
          <w:sz w:val="28"/>
          <w:sz w:val="28"/>
          <w:szCs w:val="28"/>
          <w:rtl w:val="true"/>
          <w:lang w:bidi="ar-SA"/>
        </w:rPr>
        <w:t>بعد إمكان سقوط بعض، وبقاء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مسلكنا من الفرق بين الأحكام والخطابات القانونية وغيرها </w:t>
      </w:r>
      <w:r>
        <w:rPr>
          <w:rStyle w:val="FootnoteAnchor"/>
          <w:rtl w:val="true"/>
        </w:rPr>
        <w:footnoteReference w:id="533"/>
      </w:r>
      <w:r>
        <w:rPr>
          <w:rFonts w:ascii="Amiri" w:hAnsi="Amiri" w:eastAsia="Amiri" w:cs="Amiri"/>
          <w:color w:val="111111"/>
          <w:sz w:val="28"/>
          <w:sz w:val="28"/>
          <w:szCs w:val="28"/>
          <w:rtl w:val="true"/>
          <w:lang w:bidi="ar-SA"/>
        </w:rPr>
        <w:t>، يدفع إشكال اللغوية في أمثال المقام، وأمّا قضيّة اجتماع المثلين فهي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ذكروا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جميع شرائط العقد في المعاطاة بناءً على لزومها، إلاّ الصيغة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وأرسلوه إرسال المسلّمات غير وجيه؛ ضرورة أنّ ما لدى العقلاء من المعاطاة، لا يعتبر فيها كثير من الشروط التي اعتبرها الفقهاء في البيع بالصيغة، كالتوالي بين الإيجاب والقبول، مع أنّ بناء العرف في المعاطاة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الشروط التي ثبتت بالإجماع لا يمكن إثباتها لها، ولو على القول بصحّتها ولزومها وكونها كسائر البيوع؛ لما أشرنا إليه آنفاً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495407_2142443653"/>
      <w:bookmarkStart w:id="341" w:name="_Toc119"/>
      <w:bookmarkEnd w:id="340"/>
      <w:r>
        <w:rPr>
          <w:rtl w:val="true"/>
        </w:rPr>
        <w:t xml:space="preserve">التنبيه الثاني </w:t>
      </w:r>
      <w:r>
        <w:rPr>
          <w:rtl w:val="true"/>
        </w:rPr>
        <w:t xml:space="preserve">: </w:t>
      </w:r>
      <w:r>
        <w:rPr>
          <w:rtl w:val="true"/>
        </w:rPr>
        <w:t>في تحقّق المعاطاة بإعطاء طرف واحد</w:t>
      </w:r>
      <w:bookmarkEnd w:id="341"/>
    </w:p>
    <w:p>
      <w:pPr>
        <w:pStyle w:val="Heading5"/>
        <w:numPr>
          <w:ilvl w:val="4"/>
          <w:numId w:val="1"/>
        </w:numPr>
        <w:rPr/>
      </w:pPr>
      <w:bookmarkStart w:id="342" w:name="__RefHeading___Toc2495409_2142443653"/>
      <w:bookmarkStart w:id="343" w:name="_Toc12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كما تتحقّق المعاطاة بتعاطي الطرفين، كذلك تتحقّق بإعطاء طرف واحد؛ بحيث يكون إعطاؤه وأخذه كالتعاطي موجبين لتحقّقها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بعدم تعقّل توقّف المعاطاة المقصود بها المبادلة على العطاء من </w:t>
      </w:r>
    </w:p>
    <w:p>
      <w:pPr>
        <w:pStyle w:val="BookText"/>
        <w:rPr/>
      </w:pPr>
      <w:r>
        <w:rPr>
          <w:rFonts w:ascii="Amiri" w:hAnsi="Amiri" w:eastAsia="Amiri" w:cs="Amiri"/>
          <w:color w:val="111111"/>
          <w:sz w:val="28"/>
          <w:sz w:val="28"/>
          <w:szCs w:val="28"/>
          <w:rtl w:val="true"/>
          <w:lang w:bidi="ar-SA"/>
        </w:rPr>
        <w:t xml:space="preserve">الطرفين، بل لا بدّ في تحقّقها من الإعطاء والأخذ لطرف واحد؛ لأنّ الآخذ إن أخذ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بإعطائها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به القبول لما ملّكه المعطي، تتمّ به المعاملة، ويكون إعطاء الثمن بعدها وفاءً، وإن لم يكن منشئاً لقبول ما ملّكه الأوّل، لم يُجد إعطاؤه ولو بقصد المعاوضة؛ لأنّ الإعطاءين المستقلّين كالإيجابين كذلك في عدم انعقاد المعاملة بهما، وكان كلّ منهما ناقصاً بلا قبول، فالعطاءان من الجانبين تمليكان مستقلاّن، لا تمليك واحد معاوضي</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البيع مبادلة مال بمال، وهي قد تتحقّق بالإيجاب والقبول، وقد تتحقّق بإنشاء المبادلة والمعاوضة بين المالين، من غير احتياج إلى القبول بعنوانه، فلو أنشأ وكيل المتعاملين التبادل بين المالين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المبادلة، وهي ماهية البيع المتحقّقة بسبب آخر أيضاً، وهو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الإيجاب والقبول بعنوانهما مقوّمين لماهية البيع، بل هما من أسباب تحقّقها، كما أنّ إنشاء المبادلة بما ذكر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قال أحد طرفي المعاملة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عيني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أيضاً عيني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تحقّق البيع وصحّته؛ لأنّ ماهية المبادلة تحقّقت عرفاً بإيقاعهما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البيع والشراء بالنحو المتعارف إنّما حدثا بعد تعارف الأثمان، وإلاّ فالتبادل بين الأعيان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والشراء، بل بالمعاوضة والمبادلة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ماهية البيع متقوّمة بالإيجاب والقبول</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ناشٍ من تعارف الأثمان في هذه الأعصار، مع أنّ المبادلة بين الأعيان شائعة، ولا سيّما في القرى والبلاد الصغار جدّاً، وليست تلك المبادلة إلاّ بيعاً،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آخر، فالبيع مبادلة مال بمال كما مرّ</w:t>
      </w:r>
      <w:r>
        <w:rPr>
          <w:rStyle w:val="FootnoteAnchor"/>
          <w:rtl w:val="true"/>
        </w:rPr>
        <w:footnoteReference w:id="537"/>
      </w:r>
      <w:r>
        <w:rPr>
          <w:rFonts w:ascii="Amiri" w:hAnsi="Amiri" w:eastAsia="Amiri" w:cs="Amiri"/>
          <w:color w:val="111111"/>
          <w:sz w:val="28"/>
          <w:sz w:val="28"/>
          <w:szCs w:val="28"/>
          <w:rtl w:val="true"/>
          <w:lang w:bidi="ar-SA"/>
        </w:rPr>
        <w:t>، بل يصدق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 العين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إعطاء شيءٍ في مقابل إعطاء آخر، ليس معاملة؛ لكونهما تمليكين مستقلّين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ليس على ما ينبغي؛ لأنّ إنشاء تمليك بإزاء تمليك إذا تحقّق من المتعاملين يكون كلّ منهما مربوطاً بالآخر، لا مستقلاًّ بلا ربط بينهما، ولو اُريد من الربط الربط المطاوعي، فلا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المعاوضة والمبادلة معاملةً مستقلّةً، وليست ببيع</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للشراء، وهو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فمضافاً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يمكن أن يقصد به القبول تارةً، فتتمّ المعاملة به، ويمكن أن يقصد به تحقّق الإيقاع العملي الخارجي، فلا يكون قبولاً، فكما يصحّ الإعطاء قاصداً به الإيجاب، يصحّ الإعطاء بعد الإعطاء قاصداً به قبول الإيجاب العملي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الإيجاب اللفظي في البيع بالصيغة إذا وقع عقيب </w:t>
      </w:r>
      <w:bookmarkStart w:id="344" w:name="pg15195_150619"/>
    </w:p>
    <w:p>
      <w:pPr>
        <w:pStyle w:val="BookText"/>
        <w:rPr/>
      </w:pPr>
      <w:bookmarkEnd w:id="344"/>
      <w:r>
        <w:rPr>
          <w:rFonts w:ascii="Amiri" w:hAnsi="Amiri" w:eastAsia="Amiri" w:cs="Amiri"/>
          <w:color w:val="111111"/>
          <w:sz w:val="28"/>
          <w:sz w:val="28"/>
          <w:szCs w:val="28"/>
          <w:rtl w:val="true"/>
          <w:lang w:bidi="ar-SA"/>
        </w:rPr>
        <w:t>إيجاب، فقال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داري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الألف بدارك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الإيجاب الثاني قبولاً بالحمل الشائع، فيصدق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الإيجاب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وكذا الحال في المعاطاة المقصود بالإعطاء الثاني قبول ما أوجبه الأوّل بإعطائه،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وقوع المعاطاة بإعطاء الطرفين، كما لا إشكال في وقوعها بإعطاء طرف واحد وأخذه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495411_2142443653"/>
      <w:bookmarkStart w:id="346" w:name="_Toc121"/>
      <w:bookmarkEnd w:id="345"/>
      <w:r>
        <w:rPr>
          <w:rtl w:val="true"/>
        </w:rPr>
        <w:t>إيرادات على الإعطاء من طرف واحد وأجوبتها</w:t>
      </w:r>
      <w:bookmarkEnd w:id="346"/>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القبول لا بدّ وأن يكون بعد تمامية الإيجاب، مع أنّ الأخذ متمّم الإعطاء الإيجابي، ولا يعقل أن يكون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مسلكنا فواضح، وأمّا على مسلك القوم؛ فلأنّ لزوم تأخّر القبول لأجل كونه مطاوعة ولا يلزم أن يكون ذلك بالتأخّر الزماني، بل يكفي التأخّر الرتبي، نظير الكسر والانكسار، فالعطاء فعل واحد، إذا نسب إلى الفاعل يكون إعطاءً، وإذا نسب إلى القابل يكون أخذاً وقبولاً ومطاوعاً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عدم لزوم التأخّر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المعاطاة في النسيئة والقرض عند العقلاء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لا يمكن أن يكون مشخّصاً للفعل، بعد ما كان نفس ذات الفعل مبهماً، غير معنون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لعدم إمكان تعلّق القصد بما يحتاج في عنوانه إليه، للزوم الدور، وهذا إشكال سارٍ فيما ذكروا في العناوين القصدية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إنّما تعلّق بإيقاع البيع مثلاً، ولمّا كان الإعطاء محقّقاً له إذا نشأ من القصد الكذائي، تعلّق قصد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الإعطاء الناشئ من قصد إيقاع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الواسطة وبقصد ثانوي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منه البيع المعاطاتي، من غير أن يتوقّف العنوان على قصده،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تحقّقها بإعطاء طرف واحد وأخذه؛ لأنّ المناط في تحقّق عنوان العقد بالفعل، هو كون الفعل مصداقاً لذلك العنوان، وأمّا مجرّد القصد من غير أن يكون كذلك،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الصلح، والهبة المعوّضة، والنكاح، والضمان، ونحوها، لا يمكن إيجادها بالفعل؛ لعدم وجود فعل يكون مصداقاً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الإشكال في المعاطاة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الإعطاء كذلك ليس مصداقاً لخصوص تبديل أحد طرفي الإضافة بمثله الذي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به التعويض، وأمّا التعاطي من الطرفين، فنفس هذا التبديل المكاني بطبعه الأصلي تبديل لأحد طرفي الإضافة الاعتبارية بإضافة اُخرى، والمفروض أنّهما قصدا به التبديل البيعي، فتحقّق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صدق عنوان المعاملة على الفعل وإن كان حقّاً، لكنّ الصدق إنّما هو بعد قصد المتعاملين، ومع القصد ينسلك الفعل تحت أحد العناوين، فلو فرض التعاطي بقصد تحقّق الصلح أو الهبة أو غيرهما، يصير الفعل مندرجاً تحت ما قصد، ولا وجه لدعوى عدم إمكان تحقّق الصلح والهبة والنكاح، بالمعاطاة</w:t>
      </w:r>
      <w:r>
        <w:rPr>
          <w:rFonts w:eastAsia="Amiri" w:cs="Amiri" w:ascii="Amiri" w:hAnsi="Amiri"/>
          <w:color w:val="111111"/>
          <w:sz w:val="28"/>
          <w:szCs w:val="28"/>
          <w:rtl w:val="true"/>
          <w:lang w:bidi="ar-SA"/>
        </w:rPr>
        <w:t xml:space="preserve">. </w:t>
      </w:r>
      <w:bookmarkStart w:id="347" w:name="pg15195_150621"/>
    </w:p>
    <w:p>
      <w:pPr>
        <w:pStyle w:val="BookText"/>
        <w:rPr/>
      </w:pPr>
      <w:bookmarkEnd w:id="347"/>
      <w:r>
        <w:rPr>
          <w:rFonts w:ascii="Amiri" w:hAnsi="Amiri" w:eastAsia="Amiri" w:cs="Amiri"/>
          <w:color w:val="111111"/>
          <w:sz w:val="28"/>
          <w:sz w:val="28"/>
          <w:szCs w:val="28"/>
          <w:rtl w:val="true"/>
          <w:lang w:bidi="ar-SA"/>
        </w:rPr>
        <w:t>بل لولا التعبّد الشرعي لكان النكاح والطلاق بالمعاطاة صحيحاً بحسب القواعد؛ لعدم الفرق بين العناوين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الإعطاء والأخذ من طرف واحد، بعنوان الإيجاب والقبول، فلا فرق بين الإعطاء من طرفين أو طرف واحد؛ في أنّه مع عدم القصد لا يكون واحد منهما بيعاً ولا غيره من سائر المعاملات، ومع القصد يتحقّق ما قصد بكلّ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وأعجب شيءٍ في المقام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التبديل المكاني بطبعه الأصلي تبديل لأحد طرفي الإضافة الاعتبارية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رحمه الله علیه رجع عمّا ذكره، في الهامش</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2495413_2142443653"/>
      <w:bookmarkStart w:id="349" w:name="_Toc122"/>
      <w:bookmarkEnd w:id="348"/>
      <w:r>
        <w:rPr>
          <w:rtl w:val="true"/>
        </w:rPr>
        <w:t>عدم تحقّق المعاطاة بلا إعطاء وأخذ</w:t>
      </w:r>
      <w:bookmarkEnd w:id="349"/>
    </w:p>
    <w:p>
      <w:pPr>
        <w:pStyle w:val="BookText"/>
        <w:rPr/>
      </w:pPr>
      <w:r>
        <w:rPr>
          <w:rFonts w:ascii="Amiri" w:hAnsi="Amiri" w:eastAsia="Amiri" w:cs="Amiri"/>
          <w:color w:val="111111"/>
          <w:sz w:val="28"/>
          <w:sz w:val="28"/>
          <w:szCs w:val="28"/>
          <w:rtl w:val="true"/>
          <w:lang w:bidi="ar-SA"/>
        </w:rPr>
        <w:t>ولو لم يتحقّق أخذ وإعطاء في الخارج مطلقاً، كما إذا تقاولا من غير إعطاء وأخذ، أو كان كلّ من العوضين بيد الطرف المقابل، أي يكون التعاطي حاصلاً من قبل باختيارهما أو غيره، فأرادا إيقاع المعاملة بصرف قصد كون كلّ من الثمن والمثمن بإزاء الآخر، فالظاهر عدم تحقّقها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إبقاء كلّ عين في يد الغير وإمساكه كافٍ في تحقّقها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غير وجيهة، لأنّ المعاملة لدى العرف تتوقّف على إيقاع فعلي بنحو من الأنحاء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الأمثلة التي ذكرها الشيخ الأعظم قدّس سرّه لتحقّق المعاطاة بلا إعطاء 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كأخذ الماء مع غيبة السقّاء، ووضع الفلس في المكان المعدّ له، وكذا غيره من </w:t>
      </w:r>
      <w:bookmarkStart w:id="350" w:name="pg15195_150622"/>
    </w:p>
    <w:p>
      <w:pPr>
        <w:pStyle w:val="BookText"/>
        <w:rPr/>
      </w:pPr>
      <w:bookmarkEnd w:id="350"/>
      <w:r>
        <w:rPr>
          <w:rFonts w:ascii="Amiri" w:hAnsi="Amiri" w:eastAsia="Amiri" w:cs="Amiri"/>
          <w:color w:val="111111"/>
          <w:sz w:val="28"/>
          <w:sz w:val="28"/>
          <w:szCs w:val="28"/>
          <w:rtl w:val="true"/>
          <w:lang w:bidi="ar-SA"/>
        </w:rPr>
        <w:t>المحقّرات كالخضر، ومن هذا القبيل دخول الحمّام ووضع الاُجرة في كوزه مع غيبته</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حصول المعاطاة بها لو فرض أنّها من المعاملات العقلائية؛ فإنّ الإعطاء لا يلزم أن يكون بالإقباض في يده، بل لو أعدّ محلاًّ لإلقاء الثمن يعدّ إلقاؤه فيه نحو إعطاء وتسليم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أنّ مثل دخول الحمّام معاملة، من إجارة، أو جعالة، أو هبة، ونحوها، بل الظاهر أنّه من قبيل الإباحة بالعوض، ولهذا لا ينقدح في ذهن أحد أنّ دخوله في الحمّام إجارة له، أو لبعضه، أو اتّهاب لمقدار من الماء، أو لمنافع الحمّام، ولعلّ ماء السقّاء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نحو الخضر المعلومة المقدار والعدد من قبيل البيع المعاطاتي، وتحقّق الإعطاء والأخذ فيه كما مرّ</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495415_2142443653"/>
      <w:bookmarkStart w:id="352" w:name="_Toc123"/>
      <w:bookmarkEnd w:id="351"/>
      <w:r>
        <w:rPr>
          <w:rtl w:val="true"/>
        </w:rPr>
        <w:t xml:space="preserve">التنبيه الثالث </w:t>
      </w:r>
      <w:r>
        <w:rPr>
          <w:rtl w:val="true"/>
        </w:rPr>
        <w:t xml:space="preserve">: </w:t>
      </w:r>
      <w:r>
        <w:rPr>
          <w:rtl w:val="true"/>
        </w:rPr>
        <w:t>في تمييز البائع من المشتري في المعاطاة</w:t>
      </w:r>
      <w:bookmarkEnd w:id="352"/>
    </w:p>
    <w:p>
      <w:pPr>
        <w:pStyle w:val="BookText"/>
        <w:rPr/>
      </w:pPr>
      <w:r>
        <w:rPr>
          <w:rFonts w:ascii="Amiri" w:hAnsi="Amiri" w:eastAsia="Amiri" w:cs="Amiri"/>
          <w:color w:val="111111"/>
          <w:sz w:val="28"/>
          <w:sz w:val="28"/>
          <w:szCs w:val="28"/>
          <w:rtl w:val="true"/>
          <w:lang w:bidi="ar-SA"/>
        </w:rPr>
        <w:t>والأولى تقديم كلام قد أشرنا إليه</w:t>
      </w:r>
      <w:r>
        <w:rPr>
          <w:rStyle w:val="FootnoteAnchor"/>
          <w:rtl w:val="true"/>
        </w:rPr>
        <w:footnoteReference w:id="544"/>
      </w:r>
      <w:r>
        <w:rPr>
          <w:rFonts w:ascii="Amiri" w:hAnsi="Amiri" w:eastAsia="Amiri" w:cs="Amiri"/>
          <w:color w:val="111111"/>
          <w:sz w:val="28"/>
          <w:sz w:val="28"/>
          <w:szCs w:val="28"/>
          <w:rtl w:val="true"/>
          <w:lang w:bidi="ar-SA"/>
        </w:rPr>
        <w:t xml:space="preserve">،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ويراد به مقابل الشراء، وقد يطلق ويراد به مقابل الصلح والإجارة ونحوهما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هو البيع المسبّبي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وهو مسبّب أو </w:t>
      </w:r>
    </w:p>
    <w:p>
      <w:pPr>
        <w:pStyle w:val="BookText"/>
        <w:rPr/>
      </w:pPr>
      <w:r>
        <w:rPr>
          <w:rFonts w:ascii="Amiri" w:hAnsi="Amiri" w:eastAsia="Amiri" w:cs="Amiri"/>
          <w:color w:val="111111"/>
          <w:sz w:val="28"/>
          <w:sz w:val="28"/>
          <w:szCs w:val="28"/>
          <w:rtl w:val="true"/>
          <w:lang w:bidi="ar-SA"/>
        </w:rPr>
        <w:t>معتبر من الأسباب الخاصّة، كالإيجاب والقبول، لكنّه غير متقوّم بهما، بل لا يعقل تقوّم المسبّب بسببه، أو الأمر الاعتباري بموضوع اعتباره، وكذا لا يعقل تقييد المسبّب أو الأمر الاعتباري بسببه، أو بموضوع اعتباره؛ للزوم تقدّم الشيء على نفسه، وهو محال حتّى في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ما هو ماهية البيع المسبّبي عبارة عن مبادلة مال بمال، من غير تقييد بسبب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يدّعى أنّ هذا الأمر الاعتباري لا يعتبر إلاّ من الإيجاب والقبول، أو أنّه متوقّف على الإيجاب ومطاوعته، فإذا فقدا ينتفي موضوع الاعتبار أو السبب، وبه ينتفي المسبّب أو الأمر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تحقّق المبادلة عرفاً بمعاوضة العينين، من غير اعتبار كون أحد الإعطاءين إيجاباً، والآخر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المبادلة كما تحصل بالإيجاب والقبول، تحصل بإيجابين؛ بأن يقول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هذه العين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الدرهم بعينك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تحقّقها بإيجاب واحدٍ بلا قبولٍ، فلو قال وكيل المتبايعين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بين ماليهما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هذه العين بثمن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مثله في تحقّق المبادلة؛ فإنّ القبول إنّما يحتاج إليه لإظهار الرضا بما أوقع الموجب، وهو غير محتاج إليه في المثال؛ لأنّ إيقاع المبادلة بين المالين، أو التمليك بالعوض مع إذن الطرفين، تمام السبب والموضوع للمبادلة العقلائية، وقد عرفت أنّ المبادلة بين المالين تمام حقيقة البيع، من غير تقييد بسبب خاصّ</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منشأ توهّم اعتبار القبول والمطاوعة في البيع وتوهّم تقوّمه </w:t>
      </w:r>
    </w:p>
    <w:p>
      <w:pPr>
        <w:pStyle w:val="BookText"/>
        <w:rPr/>
      </w:pPr>
      <w:r>
        <w:rPr>
          <w:rFonts w:ascii="IRNazanin" w:hAnsi="IRNazanin" w:eastAsia="IRNazanin"/>
          <w:color w:val="111111"/>
          <w:sz w:val="28"/>
          <w:sz w:val="28"/>
          <w:szCs w:val="28"/>
          <w:rtl w:val="true"/>
          <w:lang w:bidi="fa-IR"/>
        </w:rPr>
        <w:t xml:space="preserve">بهما </w:t>
      </w:r>
      <w:r>
        <w:rPr>
          <w:rStyle w:val="FootnoteAnchor"/>
          <w:rtl w:val="true"/>
        </w:rPr>
        <w:footnoteReference w:id="546"/>
      </w:r>
      <w:r>
        <w:rPr>
          <w:rFonts w:ascii="Amiri" w:hAnsi="Amiri" w:eastAsia="Amiri" w:cs="Amiri"/>
          <w:color w:val="111111"/>
          <w:sz w:val="28"/>
          <w:sz w:val="28"/>
          <w:szCs w:val="28"/>
          <w:rtl w:val="true"/>
          <w:lang w:bidi="ar-SA"/>
        </w:rPr>
        <w:t>، إنّما هو من شيوع إيقاع المعاملات بالإيجاب والقبول، فصار ذلك سبباً لزعم انحصار السبب فيهما، أو تقوّم الماهية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توهّم التقوّم نشأ من الخلط بين البيع السببي والمسبّبي أيضاً، مع أنّ المتأمّل لا يشكّ في أنّ البيع المسبّبي ليس إلاّ المبادلة المذكورة من أيّ سبب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النظر في كلام بعض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تتقوّم بتسبيبٍ من أحد الطرفين، ومطاوعته من الآخر، لا من تسبيبين، فالتسبيب من كلّ منهما إلى الملكية إيجابان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تعقّبهما قبول، وإلاّ لم يكونا هبة ولا بيعاً </w:t>
      </w:r>
      <w:r>
        <w:rPr>
          <w:rStyle w:val="FootnoteAnchor"/>
          <w:rtl w:val="true"/>
        </w:rPr>
        <w:footnoteReference w:id="5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يتقوّم بما ذكر، وكذا البيع المسبّبي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غالب العقود في الخارج كذلك، من غير دليلٍ على انحصار السبب بهما، بل الارتكاز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العقد بالصيغة يكون الموجب والقابل معلومين غالباً، فالموجب من أوقع تمليك شيءٍ بشيءٍ، والقابل مطاوعه، سواء كان الإيجاب من صاحب السلعة، أو صاحب الثمن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امتياز البائع من المشتري أمر واقعي، فالبائع من بذل خصوصيات ماله وأمسك على ماليته بأخذ البدل، والمشتري من رغب في خصوصيات الأعيان التي يتلقّاها من المأكول وغيره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العكس والطرد، كما لا يخفى؛ فإنّ صاحب الثمن لو أنشأ تمليك ثمنه بعوض من العروض، وقبل صاحب العروض، يكون الأوّل موجباً، والآخر قابلاً عرفاً، وبهما يتحقّق البيع العقلائي، كما أنّ تمليك دراهم بدينار وقبوله وبالعكس، بيع عرفي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يقع الكلام في مقام الثبوت، كما هو مورد البحث في المقام، فلو علم أنّ إعطاء الثمن يكون بقصد إيجاب المعاملة، وإعطاء المثمن أو أخذ الثمن بقصد القبول، يكون الموجب صاحب الثمن، والقابل صاحب السلعة، واُخرى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الأنصاري قدّس سرّه في امتياز البائع من المشتري</w:t>
      </w:r>
      <w:r>
        <w:rPr>
          <w:rStyle w:val="FootnoteAnchor"/>
          <w:rtl w:val="true"/>
        </w:rPr>
        <w:footnoteReference w:id="549"/>
      </w:r>
      <w:r>
        <w:rPr>
          <w:rFonts w:ascii="Amiri" w:hAnsi="Amiri" w:eastAsia="Amiri" w:cs="Amiri"/>
          <w:color w:val="111111"/>
          <w:sz w:val="28"/>
          <w:sz w:val="28"/>
          <w:szCs w:val="28"/>
          <w:rtl w:val="true"/>
          <w:lang w:bidi="ar-SA"/>
        </w:rPr>
        <w:t xml:space="preserve">، إنّما يصحّ في غير مقام الثبوت، وهو مقام الترافع، ولا يبعد البناء على ذلك في مقام الترافع وتشخيص المدّعي من المنكر؛ بدعوى أنّ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المثمن مبيعاً، والثمن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الواقع، فيحكم بالامتياز كذلك، وكذا الحال في الصورة الثانية في كلام الشيخ</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لكلٍّ منهما متاع أو نقد، وتبادلا بلا قصد إلى الإيجاب والقبول، فلا ينبغي الإشكال في كونه بيعاً عقلائياً ومبادلة بين المالين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تشخيص البائع من المشتري في مثله، فإنّما يلاحظ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وجود البائع والمشتري في جميع البيوع، وقد عرفت</w:t>
      </w:r>
      <w:r>
        <w:rPr>
          <w:rStyle w:val="FootnoteAnchor"/>
          <w:rtl w:val="true"/>
        </w:rPr>
        <w:footnoteReference w:id="551"/>
      </w:r>
      <w:r>
        <w:rPr>
          <w:rFonts w:ascii="Amiri" w:hAnsi="Amiri" w:eastAsia="Amiri" w:cs="Amiri"/>
          <w:color w:val="111111"/>
          <w:sz w:val="28"/>
          <w:sz w:val="28"/>
          <w:szCs w:val="28"/>
          <w:rtl w:val="true"/>
          <w:lang w:bidi="ar-SA"/>
        </w:rPr>
        <w:t xml:space="preserve">عدم لزومه، وإمكان </w:t>
      </w:r>
    </w:p>
    <w:p>
      <w:pPr>
        <w:pStyle w:val="BookText"/>
        <w:rPr/>
      </w:pPr>
      <w:r>
        <w:rPr>
          <w:rFonts w:ascii="Amiri" w:hAnsi="Amiri" w:eastAsia="Amiri" w:cs="Amiri"/>
          <w:color w:val="111111"/>
          <w:sz w:val="28"/>
          <w:sz w:val="28"/>
          <w:szCs w:val="28"/>
          <w:rtl w:val="true"/>
          <w:lang w:bidi="ar-SA"/>
        </w:rPr>
        <w:t>تحقّق المبادلة بإيجابين، بل بإيجابٍ واحدٍ،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منهما،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بصدقهما عليهما باعتبارين؛ إذ المشتري لا يلزم أن يكون منشئاً للقبول بعنوانه وبالحمل الأوّلي، بل القبول بالحمل الشائع هو الميزان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تعاطي كلّ منهما إيجاب باعتبار عطاء سلعته بعوض، وقبول باعتبار أخذ سلعة الغير بإزاء سلعته، ولا يلزم منه أن تكون جميع المعاملات كذلك؛ لأنّ ما تشخّص فيه الموجب والقابل بالإيجاب والقبول، لا يعتبر شيء آخر فيه، يعدّ باعتباره الموجب قابلاً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دعوى انصراف الأدلّة المثبتة للحكم على البائع والمشتري عن مثل المورد الذي يكون كلّ منهما بائعاً ومشترياً </w:t>
      </w:r>
      <w:r>
        <w:rPr>
          <w:rStyle w:val="FootnoteAnchor"/>
          <w:rtl w:val="true"/>
        </w:rPr>
        <w:footnoteReference w:id="552"/>
      </w:r>
      <w:r>
        <w:rPr>
          <w:rFonts w:ascii="IRNazanin" w:hAnsi="IRNazanin" w:eastAsia="IRNazanin"/>
          <w:color w:val="111111"/>
          <w:sz w:val="28"/>
          <w:sz w:val="28"/>
          <w:szCs w:val="28"/>
          <w:rtl w:val="true"/>
          <w:lang w:bidi="fa-IR"/>
        </w:rPr>
        <w:t>غير وجيهة؛ إذ أيّ انصراف في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الشيخ قدّس سرّه انصراف ما أثبت الحكم للبائع بحياله</w:t>
      </w:r>
      <w:r>
        <w:rPr>
          <w:rStyle w:val="FootnoteAnchor"/>
          <w:rtl w:val="true"/>
        </w:rPr>
        <w:footnoteReference w:id="554"/>
      </w:r>
      <w:r>
        <w:rPr>
          <w:rFonts w:ascii="IRNazanin" w:hAnsi="IRNazanin" w:eastAsia="IRNazanin"/>
          <w:color w:val="111111"/>
          <w:sz w:val="28"/>
          <w:sz w:val="28"/>
          <w:szCs w:val="28"/>
          <w:rtl w:val="true"/>
          <w:lang w:bidi="fa-IR"/>
        </w:rPr>
        <w:t xml:space="preserve">، </w:t>
      </w:r>
      <w:bookmarkStart w:id="353" w:name="pg15195_150627"/>
    </w:p>
    <w:p>
      <w:pPr>
        <w:pStyle w:val="BookText"/>
        <w:rPr/>
      </w:pPr>
      <w:bookmarkEnd w:id="353"/>
      <w:r>
        <w:rPr>
          <w:rFonts w:ascii="Amiri" w:hAnsi="Amiri" w:eastAsia="Amiri" w:cs="Amiri"/>
          <w:color w:val="111111"/>
          <w:sz w:val="28"/>
          <w:sz w:val="28"/>
          <w:szCs w:val="28"/>
          <w:rtl w:val="true"/>
          <w:lang w:bidi="ar-SA"/>
        </w:rPr>
        <w:t>وللمشتري كذلك</w:t>
      </w:r>
      <w:r>
        <w:rPr>
          <w:rStyle w:val="FootnoteAnchor"/>
          <w:rtl w:val="true"/>
        </w:rPr>
        <w:footnoteReference w:id="555"/>
      </w:r>
      <w:r>
        <w:rPr>
          <w:rFonts w:ascii="IRNazanin" w:hAnsi="IRNazanin" w:eastAsia="IRNazanin"/>
          <w:color w:val="111111"/>
          <w:sz w:val="28"/>
          <w:sz w:val="28"/>
          <w:szCs w:val="28"/>
          <w:rtl w:val="true"/>
          <w:lang w:bidi="fa-IR"/>
        </w:rPr>
        <w:t>، لا ما أثبته لهما،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جدّاً؛ إذ لا منشأ لهذا الافتراق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إيكال الأمر إلى أدلّة الأحكام، لا دعوى الانصراف وعدمه مطلقاً، وإن كان عدمه أوجه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495417_2142443653"/>
      <w:bookmarkStart w:id="355" w:name="_Toc124"/>
      <w:bookmarkEnd w:id="354"/>
      <w:r>
        <w:rPr>
          <w:rtl w:val="true"/>
        </w:rPr>
        <w:t xml:space="preserve">التنبيه الرابع </w:t>
      </w:r>
      <w:r>
        <w:rPr>
          <w:rtl w:val="true"/>
        </w:rPr>
        <w:t xml:space="preserve">: </w:t>
      </w:r>
      <w:r>
        <w:rPr>
          <w:rtl w:val="true"/>
        </w:rPr>
        <w:t>في أقسام المعاطاة بحسب قصد المتعاملين</w:t>
      </w:r>
      <w:bookmarkEnd w:id="355"/>
    </w:p>
    <w:p>
      <w:pPr>
        <w:pStyle w:val="Heading5"/>
        <w:numPr>
          <w:ilvl w:val="4"/>
          <w:numId w:val="1"/>
        </w:numPr>
        <w:rPr/>
      </w:pPr>
      <w:bookmarkStart w:id="356" w:name="__RefHeading___Toc2495419_2142443653"/>
      <w:bookmarkStart w:id="357" w:name="_Toc125"/>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إنّ أصل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وجوهٍ شتّى بحسب قصد المتعاملين، تعرّض لبعضها الشيخ الأعظم قدّس سرّه </w:t>
      </w:r>
      <w:r>
        <w:rPr>
          <w:rStyle w:val="FootnoteAnchor"/>
          <w:rtl w:val="true"/>
        </w:rPr>
        <w:footnoteReference w:id="556"/>
      </w:r>
      <w:r>
        <w:rPr>
          <w:rFonts w:ascii="Amiri" w:hAnsi="Amiri" w:eastAsia="Amiri" w:cs="Amiri"/>
          <w:color w:val="111111"/>
          <w:sz w:val="28"/>
          <w:sz w:val="28"/>
          <w:szCs w:val="28"/>
          <w:rtl w:val="true"/>
          <w:lang w:bidi="ar-SA"/>
        </w:rPr>
        <w:t>، ويظهر حكم البقيّة منها ظاهراً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495421_2142443653"/>
      <w:bookmarkStart w:id="359" w:name="_Toc126"/>
      <w:bookmarkEnd w:id="358"/>
      <w:r>
        <w:rPr/>
        <w:t>1</w:t>
      </w:r>
      <w:r>
        <w:rPr>
          <w:rtl w:val="true"/>
        </w:rPr>
        <w:t xml:space="preserve"> - </w:t>
      </w:r>
      <w:r>
        <w:rPr>
          <w:rtl w:val="true"/>
        </w:rPr>
        <w:t>تمليك المال بإزاء المال</w:t>
      </w:r>
      <w:bookmarkEnd w:id="35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تمليك ماله بمال صاحبه، ويكون هو في قبضه قابلاً ومتملّكاً بإزائه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360" w:name="pg15195_150628"/>
    </w:p>
    <w:p>
      <w:pPr>
        <w:pStyle w:val="BookText"/>
        <w:rPr/>
      </w:pPr>
      <w:bookmarkEnd w:id="360"/>
      <w:r>
        <w:rPr>
          <w:rFonts w:ascii="Amiri" w:hAnsi="Amiri" w:eastAsia="Amiri" w:cs="Amiri"/>
          <w:color w:val="111111"/>
          <w:sz w:val="28"/>
          <w:sz w:val="28"/>
          <w:szCs w:val="28"/>
          <w:rtl w:val="true"/>
          <w:lang w:bidi="ar-SA"/>
        </w:rPr>
        <w:t>وهذا لا إشكال فيه كما مرّ</w:t>
      </w:r>
      <w:r>
        <w:rPr>
          <w:rStyle w:val="FootnoteAnchor"/>
          <w:rtl w:val="true"/>
        </w:rPr>
        <w:footnoteReference w:id="558"/>
      </w:r>
      <w:r>
        <w:rPr>
          <w:rFonts w:ascii="Amiri" w:hAnsi="Amiri" w:eastAsia="Amiri" w:cs="Amiri"/>
          <w:color w:val="111111"/>
          <w:sz w:val="28"/>
          <w:sz w:val="28"/>
          <w:szCs w:val="28"/>
          <w:rtl w:val="true"/>
          <w:lang w:bidi="ar-SA"/>
        </w:rPr>
        <w:t>وليس مراد الشيخ من ذكر هذا القسم القصر عليه في معاطاة المالين، حتّى يتوهّم</w:t>
      </w:r>
      <w:r>
        <w:rPr>
          <w:rStyle w:val="FootnoteAnchor"/>
          <w:rtl w:val="true"/>
        </w:rPr>
        <w:footnoteReference w:id="559"/>
      </w:r>
      <w:r>
        <w:rPr>
          <w:rFonts w:ascii="Amiri" w:hAnsi="Amiri" w:eastAsia="Amiri" w:cs="Amiri"/>
          <w:color w:val="111111"/>
          <w:sz w:val="28"/>
          <w:sz w:val="28"/>
          <w:szCs w:val="28"/>
          <w:rtl w:val="true"/>
          <w:lang w:bidi="ar-SA"/>
        </w:rPr>
        <w:t>التدافع بين كلامه هنا، وما مرّ منه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2495423_2142443653"/>
      <w:bookmarkStart w:id="362" w:name="_Toc127"/>
      <w:bookmarkEnd w:id="361"/>
      <w:r>
        <w:rPr/>
        <w:t>2</w:t>
      </w:r>
      <w:r>
        <w:rPr>
          <w:rtl w:val="true"/>
        </w:rPr>
        <w:t xml:space="preserve"> - </w:t>
      </w:r>
      <w:r>
        <w:rPr>
          <w:rtl w:val="true"/>
        </w:rPr>
        <w:t>تمليك المال بإزاء التمليك</w:t>
      </w:r>
      <w:bookmarkEnd w:id="36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تمليك ماله لغيره بإزاء تمليكه له، فتكون المقابلة بين التمليكين لا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الشيخ أنّ هذه المعاملة متقوّمة بالعطاء من الطرفين، فلو مات الثاني قبل الدفع لم تتحقّق المعاطاة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2495425_2142443653"/>
      <w:bookmarkStart w:id="364" w:name="_Toc128"/>
      <w:bookmarkEnd w:id="363"/>
      <w:r>
        <w:rPr>
          <w:rtl w:val="true"/>
        </w:rPr>
        <w:t>إشكالات على القسم الثاني</w:t>
      </w:r>
      <w:bookmarkEnd w:id="364"/>
    </w:p>
    <w:p>
      <w:pPr>
        <w:pStyle w:val="BookText"/>
        <w:rPr/>
      </w:pPr>
      <w:r>
        <w:rPr>
          <w:rFonts w:ascii="Amiri" w:hAnsi="Amiri" w:eastAsia="Amiri" w:cs="Amiri"/>
          <w:color w:val="111111"/>
          <w:sz w:val="28"/>
          <w:sz w:val="28"/>
          <w:szCs w:val="28"/>
          <w:rtl w:val="true"/>
          <w:lang w:bidi="ar-SA"/>
        </w:rPr>
        <w:t>وأوردوا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يتصوّر على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أعطى أحدهما ماله بعنوان التمليك مقابل تمليكه، وأخذ الآخر بعنوان القبول، فيكون الأوّل مالكاً على عهدة الثاني تمليكه، وقد تحقّقت المعاطاة بالإعطاء والأخذ من غير احتياج إلى الإعطاء</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الإيراد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التعاوض بين الشيئين ربّما يكون </w:t>
      </w:r>
    </w:p>
    <w:p>
      <w:pPr>
        <w:pStyle w:val="BookText"/>
        <w:rPr/>
      </w:pPr>
      <w:r>
        <w:rPr>
          <w:rFonts w:ascii="Amiri" w:hAnsi="Amiri" w:eastAsia="Amiri" w:cs="Amiri"/>
          <w:color w:val="111111"/>
          <w:sz w:val="28"/>
          <w:sz w:val="28"/>
          <w:szCs w:val="28"/>
          <w:rtl w:val="true"/>
          <w:lang w:bidi="ar-SA"/>
        </w:rPr>
        <w:t>بلحاظ ذاتهما، لا بلحاظ إضافة اُخرى زائدة على الذات؛ لقبولهما بذاتهما للإضافة كالملكية؛ فإنّها مضافة بذاتها، فمرجع التمليك بإزاء التمليك إلى جعل إضافة الملكية بإزاء إضافة الملكية، ومقتضى التضايف بين العوضية والمعوّضية حصولهما معاً، وعدم انفكاك أحد المتضايفين عن الآخر</w:t>
      </w:r>
      <w:r>
        <w:rPr>
          <w:rStyle w:val="FootnoteAnchor"/>
          <w:rtl w:val="true"/>
        </w:rPr>
        <w:footnoteReference w:id="5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من الخلط بين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المفروض فيه مقابلة تمليك بتمليك، وهما من فعل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مقابلة إضافة بإضافة، وهي غير ما نحن بصدده، فلا بدّ في المقام من ملاحظة التضايف بين عوضية تمليك، ومعوّضية تمليك آخر، لا التضايف بين الملكيتين أو الإضافتين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حصول المتضايفين عند تمليك خارجي، وتمليك على عهدة الطرف، من غير أن يكون الإيجاد الخارجي دخيلاً في حصول التضايف أو ماهية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وارد على الشيخ قدّس سرّه، إن كان مراده انحصار هذا القسم بما ذكر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أصل المقابلة بين التمليكين غموضاً وخفاءً؛ فإنّ التمليك بالإعطاء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تعلّقه بمتعلّقه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آليّ، وفي جعل نفسه معوّضاً يحتاج إلى لحاظ استقلالي، ولا يعقل اجتماع اللحاظين المتباينين في ملحوظ واحد، فلا بدّ من أن تكون هذه المعاملة في ضمن معاملة اُخرى، كالصلح على التمليك بإزاء التمليك، فيستحقّ كلّ منهما التمليك من الآخر بإزاء تمليك نفسه</w:t>
      </w:r>
      <w:r>
        <w:rPr>
          <w:rStyle w:val="FootnoteAnchor"/>
          <w:rtl w:val="true"/>
        </w:rPr>
        <w:footnoteReference w:id="5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على فرض ورود الإشكال، لا يندفع بإيقاع هذه المعاملة في ضمن صلح ونحوه؛ فإنّ العمل بالصلح لا بدّ وأن يكون على طبق ما وقعت المصالحة عليه، وهو مقابلة تمليك بتمليك؛ أي إيقاع هذه المعاملة المعاطاتية، والمفروض أنّ إيقاعها غير معقول؛ للزوم الجمع بين اللحاظين المتنافيين، فيقع الصلح باطلاً؛ لعدم إمكان تحقّق متعلّقه، 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المصالحة التمليك الاستقلالي فاسد، وخروج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لزوم الجمع بين اللحاظين ممنوع، بل لا بدّ في هذه المعاملة من لحاظ التمليك استقلالاً، ولا يلزم لحاظ متعلّقه، ولازم التقابل بين التمليكين حصول الملكية،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يمكن الفرق بين إيقاع التمليك باللفظ والتزام الإشكال فيه وإيقاعه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آلات لمعانيها الإنشائية أو الإخبارية، ومع لحاظها آلة لا يعقل لحاظها مستقلاًّ، وأمّا الأفعال فليست بذاتها أو بالمواضعة آلات لشيءٍ، فيمكن لحاظ الإعطاء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ولهذا نرى بالوجدان إمكان الإخبار عن الإعطاء الخارجي المقصود به التمليك، فيقول عند إعطائه تمليكاً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إعطائي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لزوم اجتماع اللحاظين، اللازم في الإيقاع باللفظ</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التمليك بالمعنى المصدري مالاً، بل المال هو الحاصل من المصدر، وليس هذا الفعل إلاّ آلة لحصول اسم المصدر، فلا يمكن أن يقابل بالمال، فمقابلة التمليك بالمال باطلة، فضلاً عن مقابلة التمليك بالتمليك؛ لأنّ التمليك </w:t>
      </w:r>
    </w:p>
    <w:p>
      <w:pPr>
        <w:pStyle w:val="BookText"/>
        <w:rPr/>
      </w:pPr>
      <w:r>
        <w:rPr>
          <w:rFonts w:ascii="Amiri" w:hAnsi="Amiri" w:eastAsia="Amiri" w:cs="Amiri"/>
          <w:color w:val="111111"/>
          <w:sz w:val="28"/>
          <w:sz w:val="28"/>
          <w:szCs w:val="28"/>
          <w:rtl w:val="true"/>
          <w:lang w:bidi="ar-SA"/>
        </w:rPr>
        <w:t>ليس بمال، وفرق بين البيع بإزاء التمليك وبيع المال على أن يخيط له ثوباً؛ فإنّ الفعل في الأوّل آليّ، بخلاف الثاني فإنّه استقلالي، يبذل بإزائه المال</w:t>
      </w:r>
      <w:r>
        <w:rPr>
          <w:rStyle w:val="FootnoteAnchor"/>
          <w:rtl w:val="true"/>
        </w:rPr>
        <w:footnoteReference w:id="5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الاستقلالية والآلية أجنبيّتان عن مالية الأشياء وعدم ماليتها، بل المالية 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اعتبار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الرغبات بشيء، ومع تعلّقها تعتبر فيه المالية، ويبذل بإزائه المال سواء كان آليّاً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فالحيازة والخياطة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بالمعاني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ولو باعتبار الآثار المترتّبة عليها، فالآثار جهات تعليلية لتعلّق الرغبات بالأشياء وصيرورتها أموالاً، فلا الاستقلالية ميزان المالية، ولا الآلية ميزان سلبها أو مانعة عن اعتبارها، فالتمليك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متعلّقه وبالجهة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تتعلّق به الرغبات ويصير مالاً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بعض مناقشات، تركنا نقل تتمّة كلامه وما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الإعطاء الواحد لا يمكن أن يكون تمليكاً للعين وتمليكاً لتمليكها؛ فإنّ رتبة موضوع التمليك ومتعلّقه متقدّمة عليه، فلا يعقل أن يكون نفس التمليك تمليكاً لنفسه، فلا بدّ من تعلّق تمليك آخر به، فحينئذٍ إن كان تمليك العين تمليكاً لها فقط، خرج الكلام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بالإعطاء التمليك للعين وللتمليك، يلزم أن يكون التمليك مملّكاً لنفسه، وهو تقدّم الشيء على نفسه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اتّصاف الإعطاء بالتمليك، في الرتبة المتأخّرة عن تمليك </w:t>
      </w:r>
      <w:bookmarkStart w:id="365" w:name="pg15195_150632"/>
    </w:p>
    <w:p>
      <w:pPr>
        <w:pStyle w:val="BookText"/>
        <w:rPr/>
      </w:pPr>
      <w:bookmarkEnd w:id="365"/>
      <w:r>
        <w:rPr>
          <w:rFonts w:ascii="Amiri" w:hAnsi="Amiri" w:eastAsia="Amiri" w:cs="Amiri"/>
          <w:color w:val="111111"/>
          <w:sz w:val="28"/>
          <w:sz w:val="28"/>
          <w:szCs w:val="28"/>
          <w:rtl w:val="true"/>
          <w:lang w:bidi="ar-SA"/>
        </w:rPr>
        <w:t>العين، فلا يعقل أن يكون تمليكاً للتمليك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بالإعطاء تمليك العين، فلا يتّصف بالتمليك، فلا يصلح ذلك الإعطاء المجرّد لإبراز تمليك التمليك، ولا يعقل تعلّق القصد بكونه تمليكاً،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تمليك كلّي التمليك باللفظ،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تمليكي للعين الكذائية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فيتعلّق على ذمّته التمليك لها ملكاً للطرف، وفي مقام الإبراء لا بدّ من تمليك العين لحصول نفس التمليك، ولا يلزم في مقام الأداء أن يكون المؤدّى منظوراً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فلا يعقل في بعض الفروض المتقدّمة أن يكون تمليكاً للتمليك الكلّي، ولا يصلح لذلك في بعضها، فتدبّر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495427_2142443653"/>
      <w:bookmarkStart w:id="367" w:name="_Toc129"/>
      <w:bookmarkEnd w:id="366"/>
      <w:r>
        <w:rPr>
          <w:rtl w:val="true"/>
        </w:rPr>
        <w:t>حول صدق البيع على القسم الثاني</w:t>
      </w:r>
      <w:bookmarkEnd w:id="367"/>
    </w:p>
    <w:p>
      <w:pPr>
        <w:pStyle w:val="BookText"/>
        <w:rPr/>
      </w:pPr>
      <w:r>
        <w:rPr>
          <w:rFonts w:ascii="Amiri" w:hAnsi="Amiri" w:eastAsia="Amiri" w:cs="Amiri"/>
          <w:color w:val="111111"/>
          <w:sz w:val="28"/>
          <w:sz w:val="28"/>
          <w:szCs w:val="28"/>
          <w:rtl w:val="true"/>
          <w:lang w:bidi="ar-SA"/>
        </w:rPr>
        <w:t>ثمّ قال الشيخ الأعظم قدّس سرّه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التمليك بإزاء التمليك بعيد عن معنى البيع، وقريب إلى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مصالحة وتسالم على أمرٍ معيّن، أو معاوضة مستقلّة</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بيع؛ لما مرّ</w:t>
      </w:r>
      <w:r>
        <w:rPr>
          <w:rStyle w:val="FootnoteAnchor"/>
          <w:rtl w:val="true"/>
        </w:rPr>
        <w:footnoteReference w:id="567"/>
      </w:r>
      <w:r>
        <w:rPr>
          <w:rFonts w:ascii="Amiri" w:hAnsi="Amiri" w:eastAsia="Amiri" w:cs="Amiri"/>
          <w:color w:val="111111"/>
          <w:sz w:val="28"/>
          <w:sz w:val="28"/>
          <w:szCs w:val="28"/>
          <w:rtl w:val="true"/>
          <w:lang w:bidi="ar-SA"/>
        </w:rPr>
        <w:t>من أنّ التمليك مال يبذل بإزائه المال، لتعلّق غرض العقلاء به، وأنّ المبادلة بينهما مبادلة بين المالين، وقد مرّ فيما سلف</w:t>
      </w:r>
      <w:r>
        <w:rPr>
          <w:rStyle w:val="FootnoteAnchor"/>
          <w:rtl w:val="true"/>
        </w:rPr>
        <w:footnoteReference w:id="568"/>
      </w:r>
      <w:bookmarkStart w:id="368" w:name="pg15195_150633"/>
    </w:p>
    <w:p>
      <w:pPr>
        <w:pStyle w:val="BookText"/>
        <w:rPr/>
      </w:pPr>
      <w:bookmarkEnd w:id="368"/>
      <w:r>
        <w:rPr>
          <w:rFonts w:ascii="Amiri" w:hAnsi="Amiri" w:eastAsia="Amiri" w:cs="Amiri"/>
          <w:color w:val="111111"/>
          <w:sz w:val="28"/>
          <w:sz w:val="28"/>
          <w:szCs w:val="28"/>
          <w:rtl w:val="true"/>
          <w:lang w:bidi="ar-SA"/>
        </w:rPr>
        <w:t xml:space="preserve">عدم اعتبار كون المعوّض من الأعيان، ضرورة صدق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الحقوق والأعمال ونحوهما، ومجرّد عدم التعارف لا يوجب انصراف الأدلّة أو عدم شمولها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المعتبر في المعاملات كون كيفية إيقاعها متعارفة لدى العقلاء، فلا يصحّ إيقاع البيع بلفظ الإجارة، أو إيقاع المعاطاة بالعطاس مثلاً، وأمّا تعارف</w:t>
      </w:r>
    </w:p>
    <w:p>
      <w:pPr>
        <w:pStyle w:val="BookText"/>
        <w:rPr/>
      </w:pPr>
      <w:r>
        <w:rPr>
          <w:rFonts w:ascii="Amiri" w:hAnsi="Amiri" w:eastAsia="Amiri" w:cs="Amiri"/>
          <w:color w:val="111111"/>
          <w:sz w:val="28"/>
          <w:sz w:val="28"/>
          <w:szCs w:val="28"/>
          <w:rtl w:val="true"/>
          <w:lang w:bidi="ar-SA"/>
        </w:rPr>
        <w:t xml:space="preserve">المتعلّقات فغير معتبر، فإذا تعلّق غرض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فبذل بإزائه المال واشتراه بالمال،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متعلّق الغرض مالاً متعارفاً، كما لو تعلّق الغرض بدفع العقارب عن بيته، واشترى كلّ عقرب بعشرة دنانير، وكان غرضه الاشتراء لإفنائها، فإنّ ذلك بيع عرفاً ولغة، فلا ينبغي الإشكال في كون مبادلة التمليك بالتمليك بيعاً، لا صلحاً، ولا هبة، ولا معاملة مستقلّة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495429_2142443653"/>
      <w:bookmarkStart w:id="370" w:name="_Toc130"/>
      <w:bookmarkEnd w:id="369"/>
      <w:r>
        <w:rPr/>
        <w:t>3</w:t>
      </w:r>
      <w:r>
        <w:rPr>
          <w:rtl w:val="true"/>
        </w:rPr>
        <w:t xml:space="preserve"> - </w:t>
      </w:r>
      <w:r>
        <w:rPr>
          <w:rtl w:val="true"/>
        </w:rPr>
        <w:t>إباحة المال بإزاء العوض</w:t>
      </w:r>
      <w:bookmarkEnd w:id="370"/>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الأوّل إباحة ماله بعوض ويقبل الآخر بأخذه</w:t>
      </w:r>
      <w:r>
        <w:rPr>
          <w:rStyle w:val="FootnoteAnchor"/>
          <w:rtl w:val="true"/>
        </w:rPr>
        <w:footnoteReference w:id="569"/>
      </w:r>
      <w:r>
        <w:rPr>
          <w:rFonts w:ascii="Amiri" w:hAnsi="Amiri" w:eastAsia="Amiri" w:cs="Amiri"/>
          <w:color w:val="111111"/>
          <w:sz w:val="28"/>
          <w:sz w:val="28"/>
          <w:szCs w:val="28"/>
          <w:rtl w:val="true"/>
          <w:lang w:bidi="ar-SA"/>
        </w:rPr>
        <w:t>، فتكون المقابلة بين الإباحة والعوض عروضاً أو ثمناً</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2495431_2142443653"/>
      <w:bookmarkStart w:id="372" w:name="_Toc131"/>
      <w:bookmarkEnd w:id="371"/>
      <w:r>
        <w:rPr/>
        <w:t>4</w:t>
      </w:r>
      <w:r>
        <w:rPr>
          <w:rtl w:val="true"/>
        </w:rPr>
        <w:t xml:space="preserve"> - </w:t>
      </w:r>
      <w:r>
        <w:rPr>
          <w:rtl w:val="true"/>
        </w:rPr>
        <w:t>إباحة المال بإزاء الإباحة</w:t>
      </w:r>
      <w:bookmarkEnd w:id="37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الإباحة بإزاء الإباحة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373" w:name="pg15195_150634"/>
    </w:p>
    <w:p>
      <w:pPr>
        <w:pStyle w:val="Heading4"/>
        <w:numPr>
          <w:ilvl w:val="3"/>
          <w:numId w:val="1"/>
        </w:numPr>
        <w:rPr/>
      </w:pPr>
      <w:bookmarkStart w:id="374" w:name="__RefHeading___Toc2495433_2142443653"/>
      <w:bookmarkStart w:id="375" w:name="_Toc132"/>
      <w:bookmarkEnd w:id="373"/>
      <w:bookmarkEnd w:id="374"/>
      <w:r>
        <w:rPr>
          <w:rtl w:val="true"/>
        </w:rPr>
        <w:t>حول إشكالي الشيخ الأعظم على القسم الثالث والرابع</w:t>
      </w:r>
      <w:bookmarkEnd w:id="375"/>
    </w:p>
    <w:p>
      <w:pPr>
        <w:pStyle w:val="BookText"/>
        <w:rPr/>
      </w:pPr>
      <w:r>
        <w:rPr>
          <w:rFonts w:ascii="Amiri" w:hAnsi="Amiri" w:eastAsia="Amiri" w:cs="Amiri"/>
          <w:color w:val="111111"/>
          <w:sz w:val="28"/>
          <w:sz w:val="28"/>
          <w:szCs w:val="28"/>
          <w:rtl w:val="true"/>
          <w:lang w:bidi="ar-SA"/>
        </w:rPr>
        <w:t>ثمّ إنّ الشيخ تعرّض لإشكالين في هذين القسمين، مع عدم اختصاصهما بالمعاطاة؛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الإشكال في صحّة إباحة جميع التصرّفات حتّى المتوقّفة</w:t>
      </w:r>
    </w:p>
    <w:p>
      <w:pPr>
        <w:pStyle w:val="BookText"/>
        <w:rPr/>
      </w:pPr>
      <w:r>
        <w:rPr>
          <w:rFonts w:ascii="Amiri" w:hAnsi="Amiri" w:eastAsia="Amiri" w:cs="Amiri"/>
          <w:color w:val="111111"/>
          <w:sz w:val="28"/>
          <w:sz w:val="28"/>
          <w:szCs w:val="28"/>
          <w:rtl w:val="true"/>
          <w:lang w:bidi="ar-SA"/>
        </w:rPr>
        <w:t>على الملك</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بالبيع أو بمعاملة اُخرى، بل هو إشكال على الإباحة الكذائية، سواء كانت بدوية مستقلّة وبلا عوض، أم كانت مع العوض، في البيع بالصيغة، أو بغيرها، أو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الإشكال في صحّة العقد المركّب من الإباحة والتمليك</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بالمعاطاة، بل يشمل البيع بالصيغة أيضاً، لو لم نقل بشموله لسائر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الأوّل تارةً عقلي، واُخرى عقلائي وعرفي، وثالثة شرعي من ناحية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العقلي وكذا العقلائي إنّما هو من ناحية تشخيص ماهية البيع؛ بمعنى أنّه إشكال على فرض خاصّ، بحيث لو تبيّن بطلان الفرض ينتفي موضوع الإشكال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الإشكال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البيع عبارة عن تبادل إضافة المالكية والمملوكية في العوضين؛ بمعنى أنّ لصاحب السلعة إضافة إلى سلعته، وهي </w:t>
      </w:r>
    </w:p>
    <w:p>
      <w:pPr>
        <w:pStyle w:val="BookText"/>
        <w:rPr/>
      </w:pPr>
      <w:r>
        <w:rPr>
          <w:rFonts w:ascii="Amiri" w:hAnsi="Amiri" w:eastAsia="Amiri" w:cs="Amiri"/>
          <w:color w:val="111111"/>
          <w:sz w:val="28"/>
          <w:sz w:val="28"/>
          <w:szCs w:val="28"/>
          <w:rtl w:val="true"/>
          <w:lang w:bidi="ar-SA"/>
        </w:rPr>
        <w:t xml:space="preserve">إضافة المالكية والمملوكية، وكذا لصاحب الثمن إلى ثمنه، وحقيقة البيع عبارة عن تبديل الإضافة القائمة بالسلعة وصاحبها، بالإضافة القائمة بالثمن وصاحبه، فلا يعقل تحقّق الماهية بلا هذه المبادلة، فالإباحة بإزاء التمليك تضادّ التبادل المعتبر في ماهية البيع، وبهذا يظهر الإشكال العقلائي أيضاً؛ فإنّ ذلك لا يكون بيعاً عقلائياً أيضاً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ماهية البيع لدى العقلاء متقوّمة بما ذكر؛ أي بتبادل الإضافتين المذكورتين، بل قد عرفت سابقاً أنّ تبادل الإضافتين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للزوم استقلال الإضافة بلا مضاف ومضاف إليه ولو آناً ما، وهو محال حتّى لدى العرف والعقلاء، وحتّى في الاُمور الاعتبارية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على أنّ ماهية البيع غير متقوّمة بما ذكر، ما ذكرناه في أوائل هذه</w:t>
      </w:r>
    </w:p>
    <w:p>
      <w:pPr>
        <w:pStyle w:val="BookText"/>
        <w:rPr/>
      </w:pPr>
      <w:r>
        <w:rPr>
          <w:rFonts w:ascii="Amiri" w:hAnsi="Amiri" w:eastAsia="Amiri" w:cs="Amiri"/>
          <w:color w:val="111111"/>
          <w:sz w:val="28"/>
          <w:sz w:val="28"/>
          <w:szCs w:val="28"/>
          <w:rtl w:val="true"/>
          <w:lang w:bidi="ar-SA"/>
        </w:rPr>
        <w:t>الرسالة</w:t>
      </w:r>
      <w:r>
        <w:rPr>
          <w:rStyle w:val="FootnoteAnchor"/>
          <w:rtl w:val="true"/>
        </w:rPr>
        <w:footnoteReference w:id="575"/>
      </w:r>
      <w:r>
        <w:rPr>
          <w:rFonts w:ascii="Amiri" w:hAnsi="Amiri" w:eastAsia="Amiri" w:cs="Amiri"/>
          <w:color w:val="111111"/>
          <w:sz w:val="28"/>
          <w:sz w:val="28"/>
          <w:szCs w:val="28"/>
          <w:rtl w:val="true"/>
          <w:lang w:bidi="ar-SA"/>
        </w:rPr>
        <w:t xml:space="preserve">من أنّ بيع 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عرفاً وعقلاً وشرعاً، بلا شائبة إشكال، وكذا اشتراء وقف بثمن وقف آخر لأحد مسوّغاته بيع، مع أنّ تبديل الإضافة بما ذكر غير معقول في مثله؛ لعدم كونه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ومن أشباهه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البيع ليست ما ذكر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بيع الغاصب لنفسه، ولعلّ اشتراء العقلاء الثوب مثلاً للفقير من هذا القبيل، على تأمّل فيه بل إشكال، وليس ذلك إلاّ لأجل أنّ ماهية البيع أوسع نطاقاً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فبيع الوقف بالوقف، هوتبادل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حاكم عيناً زكوية بنقد زكوي من حاكم آخر، يكون هذا التبادل بيعاً، ولا تبادل في الملكية بناءً على عدم مالك للزكاة، كما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مالكها الفقراء أو الجهات، يخرج ما ذكر عن مورد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تقوّم ماهية البيع بتبادل الإضافتين، فانقطع الإشكال العقلي والعقلائي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الإشكال من ناحية الدليل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توهّم منافاة ذلك لما روي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فيما تملك</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فيما تملكه، ولا بيع إلاّ فيما تملكه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مثله أجنبيّ عمّا نحن بصدده؛ من لزوم دخول الثمن في كيس من يخرج المبيع من كيسه، بل الظاهر أنّه بصدد بيان عدم نفوذ بيع مال الغير بلا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التصرّف، لا الملك المعهود، وفي المقام يكون البيع بإذن مالكه، ويكون البائع مالكاً للتصرّف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أنّ البيع هو ما ذكر، وسلّمنا ورود الإشكالات المتقدّمة، يمكن </w:t>
      </w:r>
    </w:p>
    <w:p>
      <w:pPr>
        <w:pStyle w:val="BookText"/>
        <w:rPr/>
      </w:pPr>
      <w:r>
        <w:rPr>
          <w:rFonts w:ascii="Amiri" w:hAnsi="Amiri" w:eastAsia="Amiri" w:cs="Amiri"/>
          <w:color w:val="111111"/>
          <w:sz w:val="28"/>
          <w:sz w:val="28"/>
          <w:szCs w:val="28"/>
          <w:rtl w:val="true"/>
          <w:lang w:bidi="ar-SA"/>
        </w:rPr>
        <w:t>دفعها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بلا عوض، فلا تنافي جواز تصرّف المالك فيما أباحه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العوض، فهي تنافي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جواز التصرّف للمالك؛ لأنّ كلّ تصرّف إذا اُبيح بعوض، يصير متعلّقه متعلّقاً لحقّ المباح له؛ لأجل العقد المذكور والمعاملة المفروضة، فكان تصرّف غيره فيه تصرّفاً في متعلّق حقّ الغير بلا وجه، وهو غير جائز لدى العقلاء، ويرى العقلاء التنافي بين إباحة لبس عباء مطلقاً بعوض، ولبس المبيح بلا إذن المباح له، فتكون نتيجة المعاوضة قطع يد المالك الأوّل عن جميع التصرّفات، وثبوتها للمباح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العقلاء الملكية للمالك الأوّل؛ لأنّ اعتبارها بلحاظ أثر ولو في الجملة، والفرض سلب الآثار مطلقاً، ومع سلبها عنه تثبت للمباح له؛ لأنّ ثبوت جميع أنحاء التصرّفات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سلبها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عرفاً لاعتبار الملكية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المبيح لهذا اللازم العقلائي، لرجعت إباحته إلى التمليك، وإلاّ لتحقّق الملك بلا قصده، ولا مانع منه، وعلى ذلك تندفع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ببقاء جواز التصرّف للمبيح، لا تصير إباحته موجبة لسلب ملكيته، وكذا لو قلنا بجواز الرجوع عن إباحته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لكنّهما غير وجيهين؛ لأنّ جعل الإباحة بالعوض من العقود العقلائية على الفرض، فينسلك في عموم وجوب الوفاء بالعقد فيتعلّق حقّ من المباح له بالمال، ويجب على المالك تسليم العين لاستفادته وتصرّفاته فيها، ولا يجوز له التصرّف بوجهٍ بعد كون جميعها حقّ المباح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مقتضى القاعدة انتقال حقّ التصرّفات إلى وارثه؛ لأنّه حقّ وقد تركه، فهو لوارثه، فمع سقوط جميع أنحاء التصرّفات عن المبيح لا مأخذ لاعتبار الملكية له، ولمّا ثبتت التصرّفات بأجمعها للطرف بلا مزاحم، ثبتت الملكية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اُغمض البصر عمّا ذكرناه، أو نوقش فيه بمنع قطع ملكية المبيح،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الإشكالات غير واردة رأساً؛ لأنّ الإباحة المذكورة ليس لازمها دخول الثمن في ملك المباح له إذا باع، ولا خروج المثمن عن ملكه، بل لازمها جواز بيعه عن مالكه، وأخذ ثمنه له، والتصرّف فيه بمقتضى إباحته المطلقة لو فرض شمول نطاقها لذلك، وليس له بيعه لنفسه أو لمالكه وأخذ الثمن لنفسه تملّكاً بالبيع أو مستقلاًّ؛ لأنّ الإباحة ليس لازمها تملّك المباح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الإباحة المطلقة، إباحة التصرّف في الملك أو عوضه وثمنه، على فرض إطلاقها لذلك أيضاً، لا بيعه لنفسه، فعليه يندفع الإشكال من غير احتياج إلى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قدّس سرّه بعد إيراد الإشكال، تعرّض لدفعه بوجوه نذكر بعضها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المبيح أن يقصد بنفس هذه الإباحة تمليكاً للمباح له، فتكون إنشاء تمليك له، ويكون بيع المخاطب بمنزلة قبوله، نظير ما قال العلاّمة</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الرجل لمالك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لتمليكه، وإعتاق المولى </w:t>
      </w:r>
    </w:p>
    <w:p>
      <w:pPr>
        <w:pStyle w:val="BookText"/>
        <w:rPr/>
      </w:pPr>
      <w:r>
        <w:rPr>
          <w:rFonts w:ascii="Amiri" w:hAnsi="Amiri" w:eastAsia="Amiri" w:cs="Amiri"/>
          <w:color w:val="111111"/>
          <w:sz w:val="28"/>
          <w:sz w:val="28"/>
          <w:szCs w:val="28"/>
          <w:rtl w:val="true"/>
          <w:lang w:bidi="ar-SA"/>
        </w:rPr>
        <w:t>عنه جواب لذلك الاستدعاء، فيحصل النقل والانتقال بهذا الاستدعاء والجواب، ويقدّر وقوعه قبل العتق آناً ما، فيكون هذا بيعاً ضمنياً، لا يحتاج إلى الشروط المقرّرة لعقد البيع</w:t>
      </w:r>
      <w:r>
        <w:rPr>
          <w:rStyle w:val="FootnoteAnchor"/>
          <w:rtl w:val="true"/>
        </w:rPr>
        <w:footnoteReference w:id="5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منه رحمه الله علیه أنّ الإشكال فيه من ناحية عدم كون المقصود كذلك فيما نحن فيه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قد تكون في خصوص ما يتوقّف على الملك كالبيع مثلاً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الإعطاء بقصد الإباحة إنشاء تمليك، يكون الأخذ الخارجي قبولاً، لا بيع المخاطب، فلا يلزم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الإعطاء بقصد إباحة جميع التصرّفات حتّى الموقوفة على الملك، فحينئذٍ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إنشاء التمليك؛ لأجل اشتمال الإباحة على ما يتوقّف على الملك، فيرجع الأمر إلى التمليك المنجّز بصورة الإباحة، فيأتي فيه ما تقدّم؛ من أنّ الأخذ قبول، لا البيع، فيتملّك الشيء بالإعطاء والأخذ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المقام وما ذكره العلاّمة؛ لأنّ فيما ذكره يكون الاستدعاء من غير المالك من غير تعقّبه بشيءٍ غير العتق، وفي المقام يكون الإعطاء من المالك قاصداً به إنشاء التمليك للآخذ، والأخذ قبولاً، فالبيع محقّق قبل بيع المشتري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الإعطاء بقصد الإباحة في التصرّفات غير الموقوفة على الملك، وبقصد التمليك فيما يتوقّف عليه، ففي هذه الصورة لا يعقل أن يكون التمليك </w:t>
      </w:r>
    </w:p>
    <w:p>
      <w:pPr>
        <w:pStyle w:val="BookText"/>
        <w:rPr/>
      </w:pPr>
      <w:r>
        <w:rPr>
          <w:rFonts w:ascii="Amiri" w:hAnsi="Amiri" w:eastAsia="Amiri" w:cs="Amiri"/>
          <w:color w:val="111111"/>
          <w:sz w:val="28"/>
          <w:sz w:val="28"/>
          <w:szCs w:val="28"/>
          <w:rtl w:val="true"/>
          <w:lang w:bidi="ar-SA"/>
        </w:rPr>
        <w:t>تنجيزياً؛ للزوم تمليك شيءٍ واحد من حيث، وعدم تمليكه من حيث، وهو غير عقلائي، بل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الإعطاء إباحة تنجيزية فعلية بالنسبة إلى ما لا يتوقّف</w:t>
      </w:r>
    </w:p>
    <w:p>
      <w:pPr>
        <w:pStyle w:val="BookText"/>
        <w:rPr/>
      </w:pPr>
      <w:r>
        <w:rPr>
          <w:rFonts w:ascii="Amiri" w:hAnsi="Amiri" w:eastAsia="Amiri" w:cs="Amiri"/>
          <w:color w:val="111111"/>
          <w:sz w:val="28"/>
          <w:sz w:val="28"/>
          <w:szCs w:val="28"/>
          <w:rtl w:val="true"/>
          <w:lang w:bidi="ar-SA"/>
        </w:rPr>
        <w:t>على الملك، وتمليك تعليقي، ولمّا كان التعليق على البيع غير ممكن، لا بدّ من أن يكون معلّقاً على إرادته، فلزم منه إنشاء إباحة تنجيزية وإنشاء ملك تعليقي، بإعطاء واحد، وهو غير جائز على مسلكهم</w:t>
      </w:r>
      <w:r>
        <w:rPr>
          <w:rStyle w:val="FootnoteAnchor"/>
          <w:rtl w:val="true"/>
        </w:rPr>
        <w:footnoteReference w:id="581"/>
      </w:r>
      <w:r>
        <w:rPr>
          <w:rFonts w:ascii="Amiri" w:hAnsi="Amiri" w:eastAsia="Amiri" w:cs="Amiri"/>
          <w:color w:val="111111"/>
          <w:sz w:val="28"/>
          <w:sz w:val="28"/>
          <w:szCs w:val="28"/>
          <w:rtl w:val="true"/>
          <w:lang w:bidi="ar-SA"/>
        </w:rPr>
        <w:t>للزوم محذور استعمال اللفظ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بجوازه حتّى في مثل التعليق والتنجيز،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كون الفعل آلة للإنشاء، وبين كون القول كذلك، وجوّزنا في الأوّل لاندفع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التزامهم به، بل لعلّ استعماله في التعليق والتنجيز غير جائز، ولو جوّزنا في العرضيين التنجيزيين أو التعليقيين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إرادة البيع متحقّقة حال الإعطاء، يكون الأخذ قبولاً، من غير احتياج إلى أنّ البيع المتأخّر كذلك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إيجاب المباح له قبول،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محذور استعمال اللفظ في الأكثر؛ لعدم جامع بين القبول وتملّك المال من المبيح، وبين الإيجاب والتمليك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منه في المقام هو النقل والانتقال؛ بمعنى تبادل الإضافتين وخروج المبيع عن ملك البائع ودخول الثمن في ملكه بدلاً عنه، وهو مبنى الإشكال العقلي الذي تمسّك به قدّس سرّه </w:t>
      </w:r>
      <w:r>
        <w:rPr>
          <w:rStyle w:val="FootnoteAnchor"/>
          <w:rtl w:val="true"/>
        </w:rPr>
        <w:footnoteReference w:id="582"/>
      </w:r>
      <w:r>
        <w:rPr>
          <w:rFonts w:ascii="Amiri" w:hAnsi="Amiri" w:eastAsia="Amiri" w:cs="Amiri"/>
          <w:color w:val="111111"/>
          <w:sz w:val="28"/>
          <w:sz w:val="28"/>
          <w:szCs w:val="28"/>
          <w:rtl w:val="true"/>
          <w:lang w:bidi="ar-SA"/>
        </w:rPr>
        <w:t xml:space="preserve">، وفي المقام لا تكون </w:t>
      </w:r>
    </w:p>
    <w:p>
      <w:pPr>
        <w:pStyle w:val="BookText"/>
        <w:rPr/>
      </w:pPr>
      <w:r>
        <w:rPr>
          <w:rFonts w:ascii="Amiri" w:hAnsi="Amiri" w:eastAsia="Amiri" w:cs="Amiri"/>
          <w:color w:val="111111"/>
          <w:sz w:val="28"/>
          <w:sz w:val="28"/>
          <w:szCs w:val="28"/>
          <w:rtl w:val="true"/>
          <w:lang w:bidi="ar-SA"/>
        </w:rPr>
        <w:t>إضافة مالكية بين البائع والعين، وبالإيجاب تتحقّق الإضافة، فلا يمكن أن يكون ذلك الإيجاب محقّقاً للإضافة ومبادلاً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بمقالته كما تقدّم</w:t>
      </w:r>
      <w:r>
        <w:rPr>
          <w:rStyle w:val="FootnoteAnchor"/>
          <w:rtl w:val="true"/>
        </w:rPr>
        <w:footnoteReference w:id="583"/>
      </w:r>
      <w:r>
        <w:rPr>
          <w:rFonts w:ascii="Amiri" w:hAnsi="Amiri" w:eastAsia="Amiri" w:cs="Amiri"/>
          <w:color w:val="111111"/>
          <w:sz w:val="28"/>
          <w:sz w:val="28"/>
          <w:szCs w:val="28"/>
          <w:rtl w:val="true"/>
          <w:lang w:bidi="ar-SA"/>
        </w:rPr>
        <w:t>، لا يرد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الإشكال على مقالة العلاّمة</w:t>
      </w:r>
      <w:r>
        <w:rPr>
          <w:rStyle w:val="FootnoteAnchor"/>
          <w:rtl w:val="true"/>
        </w:rPr>
        <w:footnoteReference w:id="584"/>
      </w:r>
      <w:r>
        <w:rPr>
          <w:rFonts w:ascii="Amiri" w:hAnsi="Amiri" w:eastAsia="Amiri" w:cs="Amiri"/>
          <w:color w:val="111111"/>
          <w:sz w:val="28"/>
          <w:sz w:val="28"/>
          <w:szCs w:val="28"/>
          <w:rtl w:val="true"/>
          <w:lang w:bidi="ar-SA"/>
        </w:rPr>
        <w:t>فإنّه لو كان الإعتاق جواباً للاستدعاء، ويحصل النقل والانتقال به وبالاستدعاء، للزم أن تحصل الملكية مع العتق لو كان الإعتاق سبباً لهما عرضاً، وهو محال، ودخول المعتق الحرّ في ملك المالك بلا سبب لو كانت الملكية متأخّرة عنه، وحصول العتق بعد الملكية بلا سبب لو كان الإعتاق إنشاءً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تقدير وقوع النقل قبل العتق بلا وجه إن كان المراد به الإعتاق، وتأخّر العتق عن سببه آناً ما محال إن كان المراد به العتق المنشأ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دليل على عدم احتياج البيع الضمني إلى الشروط المقرّرة، بل القول ببطلان البيع الضمني أقرب إلى الواقع من الالتزام بعدم احتياجه إلى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 كلامه بأنّ الاستدعاء المذكور منحلّ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متقدّماً عليه،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بعد التمليك، وتدلّ على حصول التمليك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فأعتقته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بتقدير الملك آناً ما، تحقّق الملك في الرتبة المتقدّمة على العتق، فكأنّ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البيع متقدّماً على العتق، وعتق بعده، فتأمّل فإنّه مع ذلك لا يسلم عن الإشكال؛ لأنّ الإنشاء الواحد لا يصحّ أن يكون عتقاً وتمليكاً عرضاً، فضلاً عن كونه إنشاءين 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في القبول، بناءً على ما ذكرناه</w:t>
      </w:r>
      <w:r>
        <w:rPr>
          <w:rStyle w:val="FootnoteAnchor"/>
          <w:rtl w:val="true"/>
        </w:rPr>
        <w:footnoteReference w:id="585"/>
      </w:r>
      <w:r>
        <w:rPr>
          <w:rFonts w:ascii="Amiri" w:hAnsi="Amiri" w:eastAsia="Amiri" w:cs="Amiri"/>
          <w:color w:val="111111"/>
          <w:sz w:val="28"/>
          <w:sz w:val="28"/>
          <w:szCs w:val="28"/>
          <w:rtl w:val="true"/>
          <w:lang w:bidi="ar-SA"/>
        </w:rPr>
        <w:t>من أنّ تمام ماهية البيع تحصل بالإيجاب، والقبول كالإجازة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فيه الرضا الباطني ولو لم يكن له مبرز، فضلاً عن إبرازه ولو بأوّل كلمة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العبد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الملكية به، والعتق عنه بإتمام الكلام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دفعه بالملك التقديري؛ جمعاً بين دليل السلطنة وما دلّ على توقّف</w:t>
      </w:r>
    </w:p>
    <w:p>
      <w:pPr>
        <w:pStyle w:val="BookText"/>
        <w:rPr/>
      </w:pPr>
      <w:r>
        <w:rPr>
          <w:rFonts w:ascii="Amiri" w:hAnsi="Amiri" w:eastAsia="Amiri" w:cs="Amiri"/>
          <w:color w:val="111111"/>
          <w:sz w:val="28"/>
          <w:sz w:val="28"/>
          <w:szCs w:val="28"/>
          <w:rtl w:val="true"/>
          <w:lang w:bidi="ar-SA"/>
        </w:rPr>
        <w:t>البيع على الملك</w:t>
      </w:r>
      <w:r>
        <w:rPr>
          <w:rStyle w:val="FootnoteAnchor"/>
          <w:rtl w:val="true"/>
        </w:rPr>
        <w:footnoteReference w:id="586"/>
      </w:r>
      <w:r>
        <w:rPr>
          <w:rFonts w:ascii="Amiri" w:hAnsi="Amiri" w:eastAsia="Amiri" w:cs="Amiri"/>
          <w:color w:val="111111"/>
          <w:sz w:val="28"/>
          <w:sz w:val="28"/>
          <w:szCs w:val="28"/>
          <w:rtl w:val="true"/>
          <w:lang w:bidi="ar-SA"/>
        </w:rPr>
        <w:t xml:space="preserve">فغير وجيه؛ لما ذكره الشيخ قدّس سرّه </w:t>
      </w:r>
      <w:r>
        <w:rPr>
          <w:rStyle w:val="FootnoteAnchor"/>
          <w:rtl w:val="true"/>
        </w:rPr>
        <w:footnoteReference w:id="587"/>
      </w:r>
      <w:r>
        <w:rPr>
          <w:rFonts w:ascii="Amiri" w:hAnsi="Amiri" w:eastAsia="Amiri" w:cs="Amiri"/>
          <w:color w:val="111111"/>
          <w:sz w:val="28"/>
          <w:sz w:val="28"/>
          <w:szCs w:val="28"/>
          <w:rtl w:val="true"/>
          <w:lang w:bidi="ar-SA"/>
        </w:rPr>
        <w:t>، ولأنّ الملك التقديري لا يوجب التوفيق بين الدليلين؛ فإنّ ظاهر أدلّة اعتبار الملك هو الملك التحقيقي، إلاّ أن يراد بالتقديري التحقيقي آناً ما، ويكون الكاشف عنه هو الأدلّة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لظاهر القائل</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محذور تحقّق الملك رغماً لقصد المتبايعين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الإشكال الثاني</w:t>
      </w:r>
      <w:r>
        <w:rPr>
          <w:rStyle w:val="FootnoteAnchor"/>
          <w:rtl w:val="true"/>
        </w:rPr>
        <w:footnoteReference w:id="589"/>
      </w: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لم يكن مثله معهوداً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مبادلة مال بمال، والإباحة ليست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تبادل إضافة الملكية القائمة بالمالك، وهي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التبادل مفقود في المقام،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عدم ماليتها؛ فإنّ ميزان المالية تعلّق الرغبات بالشيء، ولا يلزم أن تكون لخاصية فيه، كما أنّ الأوراق النقدية مال، لا لخاصّية في ذاتها، بل لاعتبارها الحاصل من معتمدها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والإباحة المتعلّقة بما فيه الخاصّية المطلوبة مال بالجهة التعليلية، ولهذا يبذل بإزائها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تبادل الإضافة بما ذكر، فقد مرّ دفعه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أصل التبادل، فمعلوم الدفع؛ لتحقّقه بالضرورة، فإنّ الإباحة إذا كانت بعوض، فلا محالة تكون معوّضة، وهو كافٍ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تحقّق تبادل الإضافات أيضاً على فرض لزومه وعدم امتناعه، بل بوجه معقول مرّ بيانه ظاهراً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ينبغي الإشكال في صدق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وكذا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w:t>
      </w:r>
      <w:r>
        <w:rPr>
          <w:rStyle w:val="FootnoteAnchor"/>
          <w:rtl w:val="true"/>
        </w:rPr>
        <w:footnoteReference w:id="592"/>
      </w:r>
      <w:r>
        <w:rPr>
          <w:rFonts w:ascii="Amiri" w:hAnsi="Amiri" w:eastAsia="Amiri" w:cs="Amiri"/>
          <w:color w:val="111111"/>
          <w:sz w:val="28"/>
          <w:sz w:val="28"/>
          <w:szCs w:val="28"/>
          <w:rtl w:val="true"/>
          <w:lang w:bidi="ar-SA"/>
        </w:rPr>
        <w:t>صدقه على المعاطاة، فهو تجارة صحيحة وعقد لازم واجب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بأنّه معاوضة مستقلّة، يكفي في صحّتها ولزومها الأدلّة العامّة،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وأمّا دليل السلطنة فقد مرّ</w:t>
      </w:r>
      <w:r>
        <w:rPr>
          <w:rStyle w:val="FootnoteAnchor"/>
          <w:rtl w:val="true"/>
        </w:rPr>
        <w:footnoteReference w:id="593"/>
      </w:r>
      <w:r>
        <w:rPr>
          <w:rFonts w:ascii="Amiri" w:hAnsi="Amiri" w:eastAsia="Amiri" w:cs="Amiri"/>
          <w:color w:val="111111"/>
          <w:sz w:val="28"/>
          <w:sz w:val="28"/>
          <w:szCs w:val="28"/>
          <w:rtl w:val="true"/>
          <w:lang w:bidi="ar-SA"/>
        </w:rPr>
        <w:t>أنّه قاصر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 من الإشكال في شمول الأدلّة له؛ لعدم كونه معاوضة مالية ليدخل كلّ من العوضين في ملك الآخر، بل كلاهما ملك المبيح، فيخرج عن المعاوضات المعهودة شرعاً وعرفاً ثمّ جزم بكفاية دليل السلطنة والشروط لو كانت معاملة مستقلّة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أحد العوضين هنا الإباحة لا العين، فعدم خروج العين عن ملك المبيح، لا ينافي ماهية المعاوضة؛ لأنّها لم تكن عوضاً، كما هو الحال في الإجارة، وحديث عدم المالية وعدم المعهودية قد مرّ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الخروج عن المعاوضات المعهودة عرفاً وشرعاً، موجباً لقصور شمول الأدلّة لها، لم يفرّق بين كونها معاوضة مستقلّة، أو بيعاً واكتساباً وتجارة، والمعاملة المستقلّة إذا لم تكن معهودة خرجت عن دليل الشرط أيضاً؛ ضرورة أنّ القول بشمول دليل الشرط لها، مبنيّ على شمول الشرط للابتدائي، فالشرط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كان أو معاملة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 النسبة مع أدلّة الشروط، فلا وجه للاستشكال في مورد، والجزم بالشمول في آخر</w:t>
      </w:r>
      <w:r>
        <w:rPr>
          <w:rFonts w:eastAsia="Amiri" w:cs="Amiri" w:ascii="Amiri" w:hAnsi="Amiri"/>
          <w:color w:val="111111"/>
          <w:sz w:val="28"/>
          <w:szCs w:val="28"/>
          <w:rtl w:val="true"/>
          <w:lang w:bidi="ar-SA"/>
        </w:rPr>
        <w:t xml:space="preserve">. </w:t>
      </w:r>
      <w:bookmarkStart w:id="376" w:name="pg15195_150645"/>
    </w:p>
    <w:p>
      <w:pPr>
        <w:pStyle w:val="BookText"/>
        <w:rPr/>
      </w:pPr>
      <w:bookmarkEnd w:id="376"/>
      <w:r>
        <w:rPr>
          <w:rFonts w:ascii="Amiri" w:hAnsi="Amiri" w:eastAsia="Amiri" w:cs="Amiri"/>
          <w:color w:val="111111"/>
          <w:sz w:val="28"/>
          <w:sz w:val="28"/>
          <w:szCs w:val="28"/>
          <w:rtl w:val="true"/>
          <w:lang w:bidi="ar-SA"/>
        </w:rPr>
        <w:t>كما أنّ التمسّك في ذيل كلامه بأصالة التسلّط للجواز</w:t>
      </w:r>
      <w:r>
        <w:rPr>
          <w:rStyle w:val="FootnoteAnchor"/>
          <w:rtl w:val="true"/>
        </w:rPr>
        <w:footnoteReference w:id="595"/>
      </w:r>
      <w:r>
        <w:rPr>
          <w:rFonts w:ascii="Amiri" w:hAnsi="Amiri" w:eastAsia="Amiri" w:cs="Amiri"/>
          <w:color w:val="111111"/>
          <w:sz w:val="28"/>
          <w:sz w:val="28"/>
          <w:szCs w:val="28"/>
          <w:rtl w:val="true"/>
          <w:lang w:bidi="ar-SA"/>
        </w:rPr>
        <w:t xml:space="preserve">، ليس على ما ينبغي؛ فإنّ الناس مسلّطون على أموالهم لا على الأحكام والأسباب، كما ظهر منه أيضاً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2495435_2142443653"/>
      <w:bookmarkStart w:id="378" w:name="_Toc133"/>
      <w:bookmarkEnd w:id="377"/>
      <w:r>
        <w:rPr>
          <w:rtl w:val="true"/>
        </w:rPr>
        <w:t xml:space="preserve">التنبيه الخامس </w:t>
      </w:r>
      <w:r>
        <w:rPr>
          <w:rtl w:val="true"/>
        </w:rPr>
        <w:t xml:space="preserve">: </w:t>
      </w:r>
      <w:r>
        <w:rPr>
          <w:rtl w:val="true"/>
        </w:rPr>
        <w:t>في جريان المعاطاة في غير البيع</w:t>
      </w:r>
      <w:bookmarkEnd w:id="378"/>
    </w:p>
    <w:p>
      <w:pPr>
        <w:pStyle w:val="BookText"/>
        <w:rPr/>
      </w:pPr>
      <w:r>
        <w:rPr>
          <w:rFonts w:ascii="Amiri" w:hAnsi="Amiri" w:eastAsia="Amiri" w:cs="Amiri"/>
          <w:color w:val="111111"/>
          <w:sz w:val="28"/>
          <w:sz w:val="28"/>
          <w:szCs w:val="28"/>
          <w:rtl w:val="true"/>
          <w:lang w:bidi="ar-SA"/>
        </w:rPr>
        <w:t xml:space="preserve">مقتضى القاعدة جريان المعاطاة في كلّ عقد أو إيقاع يمكن إنشاؤه بالفعل؛ فإنّ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للإيجاد والإيقاع الاعتباري، ومع الإيقاع كذلك يصير المنشأ مصداقاً للعناوين العامّة والخاصّة، ودليل صحّتها ولزومها هو الأدلّة الخاصّة أو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لا يمكن إيقاعه بالفعل، فهو خارج عن البحث، ولعلّ الوصيّة أو بعض أقسامها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أنّه كذلك أيضاً؛ بتوهّم أنّ الفعل فيه ملازم لضدّه، وهو الزنا والسفاح</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ضرورة أنّ الزنا لدى العرف غير النكاح والزواج، سواء كان بالقول أو الفعل، فلو تقاول الزوجان وقصدا الزواج، ثمّ أنشأته المرأة بذهابها إلى بيت المرء بجهازها مثلاً، وقبل المرء ذلك؛ بتمكينها في البيت لذلك، تحقّقت </w:t>
      </w:r>
    </w:p>
    <w:p>
      <w:pPr>
        <w:pStyle w:val="BookText"/>
        <w:rPr/>
      </w:pPr>
      <w:r>
        <w:rPr>
          <w:rFonts w:ascii="Amiri" w:hAnsi="Amiri" w:eastAsia="Amiri" w:cs="Amiri"/>
          <w:color w:val="111111"/>
          <w:sz w:val="28"/>
          <w:sz w:val="28"/>
          <w:szCs w:val="28"/>
          <w:rtl w:val="true"/>
          <w:lang w:bidi="ar-SA"/>
        </w:rPr>
        <w:t>الزوجية المعاطاتية، وتترتّب عليها أحكامها؛ من جواز النظر، والوط‌ء، ووجوب</w:t>
      </w:r>
    </w:p>
    <w:p>
      <w:pPr>
        <w:pStyle w:val="BookText"/>
        <w:rPr/>
      </w:pPr>
      <w:r>
        <w:rPr>
          <w:rFonts w:ascii="Amiri" w:hAnsi="Amiri" w:eastAsia="Amiri" w:cs="Amiri"/>
          <w:color w:val="111111"/>
          <w:sz w:val="28"/>
          <w:sz w:val="28"/>
          <w:szCs w:val="28"/>
          <w:rtl w:val="true"/>
          <w:lang w:bidi="ar-SA"/>
        </w:rPr>
        <w:t>النفقة،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قصدا حصوله بنفس الوط‌ء، يكون ذلك الوط‌ء محرّماً، لكن لا مانع من ترتّب الزواج عليه؛ فإنّ السبب المحرّم يمكن أن يكون مؤثّراً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الوط‌ء الخارجي منطبق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عنوان، والمحلّل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سبب، وهما منطبقان على الخارج، نظير باب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المبغوض لا يكون سبباً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يقال على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المبعّد والمبغوض لا يكون مقرّباً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فرغنا عن جوابه في محلّه؛ من أنّ حيثية المبغوض بالذات غير المقرّب وغير السبب هاهنا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ليس من الأسباب العرفية والعقلائية للزواج، وما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القاعدة تقتضي أن تجري المعاطاة في مطلق المعاملات، ليس المراد منه أنّ كلّ فعل أو إشارة ونحوها يمكن أن يكون سبباً، بل لا بدّ في الأسباب أن تكون عقلائية، ففي مثل الوصيّة للعتق بعد الموت، أو التمليك بعده، وإن أمكن إفهامها بالإشارة ونحوها، لكن ليس مثل تلك الأفعال أسباباً عقلائية</w:t>
      </w:r>
      <w:r>
        <w:rPr>
          <w:rFonts w:eastAsia="Amiri" w:cs="Amiri" w:ascii="Amiri" w:hAnsi="Amiri"/>
          <w:color w:val="111111"/>
          <w:sz w:val="28"/>
          <w:szCs w:val="28"/>
          <w:rtl w:val="true"/>
          <w:lang w:bidi="ar-SA"/>
        </w:rPr>
        <w:t xml:space="preserve">. </w:t>
      </w:r>
      <w:bookmarkStart w:id="379" w:name="pg15195_150647"/>
    </w:p>
    <w:p>
      <w:pPr>
        <w:pStyle w:val="BookText"/>
        <w:rPr/>
      </w:pPr>
      <w:bookmarkEnd w:id="379"/>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غير محرّم؛ لعدم اقتضاء الحرمة فيه إذا كان مقارناً لحصول الزوجية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إذ الوط‌ء إذا لم يكن من زواج صحيح، فهو محرّم بضرورة الفقه ولدى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الزوجية متأخّرة عن الوط‌ء؛ فإنّه سببها، ولا تعقل حلّيته بسبب الزوجية، ومع عدم سببيتها يكون من وط‌ء الأجنبيّة المحرّم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إيقاع الطلاق بالفعل المفهم له، ولو بالقرائن والمقاولات السابقة، لكن جريان المعاطاة فيه خلاف الأدلّة الشرعية، بل إيقاع النكاح بها أيضاً مخالف لارتكاز المتشرّعة وتسالم الأصحاب، بل الظاهر عدم الخلاف في عدم جريانها فيهما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495437_2142443653"/>
      <w:bookmarkStart w:id="381" w:name="_Toc134"/>
      <w:bookmarkEnd w:id="380"/>
      <w:r>
        <w:rPr>
          <w:rtl w:val="true"/>
        </w:rPr>
        <w:t>الإشكال في ما تشترط صحّته بالقبض وجوابه</w:t>
      </w:r>
      <w:bookmarkEnd w:id="381"/>
    </w:p>
    <w:p>
      <w:pPr>
        <w:pStyle w:val="BookText"/>
        <w:rPr/>
      </w:pPr>
      <w:r>
        <w:rPr>
          <w:rFonts w:ascii="Amiri" w:hAnsi="Amiri" w:eastAsia="Amiri" w:cs="Amiri"/>
          <w:color w:val="111111"/>
          <w:sz w:val="28"/>
          <w:sz w:val="28"/>
          <w:szCs w:val="28"/>
          <w:rtl w:val="true"/>
          <w:lang w:bidi="ar-SA"/>
        </w:rPr>
        <w:t>وربّما يستشكل في مثل القرض والرهن والوقف؛ ممّا تشترط صحّته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المعاطاة فيه إن كانت بنفس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القبض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اتّحاد الشرط والمشروط، وهو محال؛ إذ الشيء لا يعقل أن يكون نفسه مصحّحاً لفاعلية نفسه، أو متمّماً لقابليتها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يجاب عن خصوص القرض بأنّه تمليك بالضمان، فالعقد مثلاً مؤثّر في الملك، والقبض الخارجي مؤثّر في خصوصيته، وهو الضمان بوضع اليد عليه، </w:t>
      </w:r>
    </w:p>
    <w:p>
      <w:pPr>
        <w:pStyle w:val="BookText"/>
        <w:rPr/>
      </w:pPr>
      <w:r>
        <w:rPr>
          <w:rFonts w:ascii="Amiri" w:hAnsi="Amiri" w:eastAsia="Amiri" w:cs="Amiri"/>
          <w:color w:val="111111"/>
          <w:sz w:val="28"/>
          <w:sz w:val="28"/>
          <w:szCs w:val="28"/>
          <w:rtl w:val="true"/>
          <w:lang w:bidi="ar-SA"/>
        </w:rPr>
        <w:t>وحيث إنّهما متلازمان في نظر الشارع، فلا يتحقّق الملك الملازم للضمان، إلاّ بعد تحقّق العقد المتعقّب بالقبض، فلا يلزم اتّحاد الشرط والمشروط في القرض المعاطاتي، بل اتّحاد السببين لأمرين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فالقبض بما هو فعل اُنشئ به الملك، سبب له، وبما هو استيلاء خارجي سبب للضمان، وسببية شيء واحد بحيثيتين حقيقيتين لأمرين لا محذور فيه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إذا كان سبباً تامّاً للملك، وكذا القبض للضمان، فلا بدّ مع ملازمة المسبّبين من ملازمتهما أيضاً، وإلاّ يلزم تفكيك المسبّب عن سببه التامّ، وهو محال، فلا بدّ من الالتزام بعدم صحّة القرض إلاّ معاطاة،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السبب للملك العقد المتعقّب بالضمان، فإن كان التعقّب بنحو الاشتراط، لزم المحذور المتقدّم الذي فرّ منه، وإن كان بنحو التقييد، لزم في القرض المعاطاتي تقييد الشيء بنفسه، وهو مستلزم للأثنينية، ومع عدمها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ذكره خروج عن ظاهر الفقهاء؛ من أنّ القبض شرط للصحّة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الخارجي الخاصّ له حيثيتان؛ من حيث الصدور من الراهن مثلاً إقباض، ومن حيث مساسه بالمرتهن القابض قبض، كالإعطاء والأخذ في المعاطاة البيعي، فهناك فعلان حقيقة، كلّ منهما قائم </w:t>
      </w:r>
    </w:p>
    <w:p>
      <w:pPr>
        <w:pStyle w:val="BookText"/>
        <w:rPr/>
      </w:pPr>
      <w:r>
        <w:rPr>
          <w:rFonts w:ascii="Amiri" w:hAnsi="Amiri" w:eastAsia="Amiri" w:cs="Amiri"/>
          <w:color w:val="111111"/>
          <w:sz w:val="28"/>
          <w:sz w:val="28"/>
          <w:szCs w:val="28"/>
          <w:rtl w:val="true"/>
          <w:lang w:bidi="ar-SA"/>
        </w:rPr>
        <w:t>بطرف، فلا مانع من كون أحدهما بمنزلة المقتضي، والآخر بمنزلة الشرط</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المعاطاتي عقد، يتمّ على مسلكهم بالإعطاء والأخذ، فالأخذ متمّم لتحقّق المعاطاة، فلا يمكن أن يكون شرطاً؛ للمحذور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الخارجي واحد ذو حيثيتين؛ حيثية الأخذ بالمعنى المصدري، وهي متمّمة للمعاملة، وحيثية الحصول في اليد، وهي شرط الصحّة، ولا مانع من كون إحدى الحيثيتين شرطاً لتأثير الاُخرى؛ فإنّ الشرط في أمثال الموارد المذكورة ليس القبض بالمعنى المصدري، ولهذا لو كان الشيء بيد المرتهن مثلاً قبل عقد الرهن، ثمّ انعقد، يكون الشرط حاصلاً، فالشرط هو كون العين في يد المرتهن، ومعلوم أنّ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ما هو حاصل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الحصول في يد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متأخّراً عن ذات الإقباض، لكن يصحّ أن يكون شرطاً لتأثيره، كما أنّ القبض شرط لصحّة العقد المتقدّم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على فرض كون الشرط في مثل المعاملات، كالشرط في التكوين، وإلاّ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ورود الإشكال المتقدّم، لا يلزم من ذلك بطلان المعاطاة في المعاملات المذكورة، وعدم جريانها فيها، بل لازمه أن يتعدّد الإعطاء والأخذ، فمرّة لانعقاد العقد، ومرّة اُخرى لحصول القبض</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الشرط القبض، وإلاّ فالقبض متمّم للمعاملة بوجوده الحدوثي، </w:t>
      </w:r>
      <w:bookmarkStart w:id="382" w:name="pg15195_150650"/>
    </w:p>
    <w:p>
      <w:pPr>
        <w:pStyle w:val="BookText"/>
        <w:rPr/>
      </w:pPr>
      <w:bookmarkEnd w:id="382"/>
      <w:r>
        <w:rPr>
          <w:rFonts w:ascii="Amiri" w:hAnsi="Amiri" w:eastAsia="Amiri" w:cs="Amiri"/>
          <w:color w:val="111111"/>
          <w:sz w:val="28"/>
          <w:sz w:val="28"/>
          <w:szCs w:val="28"/>
          <w:rtl w:val="true"/>
          <w:lang w:bidi="ar-SA"/>
        </w:rPr>
        <w:t>وبقاء المقبوض في يد الطرف آناً ما بعد المعاملة بمنزلة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 يمكن إيقاعه بالمعاطاة تصحّ فيه، إلاّ أن يدلّ دليل على عدم جريانها فيه</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495439_2142443653"/>
      <w:bookmarkStart w:id="384" w:name="_Toc135"/>
      <w:bookmarkEnd w:id="383"/>
      <w:r>
        <w:rPr>
          <w:rtl w:val="true"/>
        </w:rPr>
        <w:t xml:space="preserve">التنبيه السادس </w:t>
      </w:r>
      <w:r>
        <w:rPr>
          <w:rtl w:val="true"/>
        </w:rPr>
        <w:t xml:space="preserve">: </w:t>
      </w:r>
      <w:r>
        <w:rPr>
          <w:rtl w:val="true"/>
        </w:rPr>
        <w:t>في ملزمات المعاطاة</w:t>
      </w:r>
      <w:bookmarkEnd w:id="384"/>
    </w:p>
    <w:p>
      <w:pPr>
        <w:pStyle w:val="BookText"/>
        <w:rPr/>
      </w:pPr>
      <w:r>
        <w:rPr>
          <w:rFonts w:ascii="Amiri" w:hAnsi="Amiri" w:eastAsia="Amiri" w:cs="Amiri"/>
          <w:color w:val="111111"/>
          <w:sz w:val="28"/>
          <w:sz w:val="28"/>
          <w:szCs w:val="28"/>
          <w:rtl w:val="true"/>
          <w:lang w:bidi="ar-SA"/>
        </w:rPr>
        <w:t>وموضوع البحث فيها إنّما هو بعد البناء على عدم لزومها في الجملة، سواء قلنا بالملك أم الإباحة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495441_2142443653"/>
      <w:bookmarkStart w:id="386" w:name="_Toc136"/>
      <w:bookmarkEnd w:id="385"/>
      <w:r>
        <w:rPr>
          <w:rtl w:val="true"/>
        </w:rPr>
        <w:t>تأسيس الأصل على القول بالملك</w:t>
      </w:r>
      <w:bookmarkEnd w:id="386"/>
    </w:p>
    <w:p>
      <w:pPr>
        <w:pStyle w:val="BookText"/>
        <w:rPr/>
      </w:pPr>
      <w:r>
        <w:rPr>
          <w:rFonts w:ascii="Amiri" w:hAnsi="Amiri" w:eastAsia="Amiri" w:cs="Amiri"/>
          <w:color w:val="111111"/>
          <w:sz w:val="28"/>
          <w:sz w:val="28"/>
          <w:szCs w:val="28"/>
          <w:rtl w:val="true"/>
          <w:lang w:bidi="ar-SA"/>
        </w:rPr>
        <w:t>أمّا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فيها اللزوم بالأدلّة المتقدّمة؛ لما قرّر في محلّه من جواز التمسّك بإطلاق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مورد تيقّن الخروج</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عمومه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يستفاد منه ومن مقدّمات حكمة قرّرها المحقّق الكركي؛ من لزوم اللغوية</w:t>
      </w:r>
      <w:r>
        <w:rPr>
          <w:rStyle w:val="FootnoteAnchor"/>
          <w:rtl w:val="true"/>
        </w:rPr>
        <w:footnoteReference w:id="607"/>
      </w:r>
      <w:r>
        <w:rPr>
          <w:rFonts w:ascii="Amiri" w:hAnsi="Amiri" w:eastAsia="Amiri" w:cs="Amiri"/>
          <w:color w:val="111111"/>
          <w:sz w:val="28"/>
          <w:sz w:val="28"/>
          <w:szCs w:val="28"/>
          <w:rtl w:val="true"/>
          <w:lang w:bidi="ar-SA"/>
        </w:rPr>
        <w:t>، وتبعه غيره</w:t>
      </w:r>
      <w:r>
        <w:rPr>
          <w:rStyle w:val="FootnoteAnchor"/>
          <w:rtl w:val="true"/>
        </w:rPr>
        <w:footnoteReference w:id="608"/>
      </w:r>
      <w:r>
        <w:rPr>
          <w:rFonts w:ascii="Amiri" w:hAnsi="Amiri" w:eastAsia="Amiri" w:cs="Amiri"/>
          <w:color w:val="111111"/>
          <w:sz w:val="28"/>
          <w:sz w:val="28"/>
          <w:szCs w:val="28"/>
          <w:rtl w:val="true"/>
          <w:lang w:bidi="ar-SA"/>
        </w:rPr>
        <w:t>، استمرار الحكم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عموماً وإطلاقاً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بكلّ عقد </w:t>
      </w:r>
      <w:bookmarkStart w:id="387" w:name="pg15195_150651"/>
    </w:p>
    <w:p>
      <w:pPr>
        <w:pStyle w:val="BookText"/>
        <w:rPr/>
      </w:pPr>
      <w:bookmarkEnd w:id="387"/>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وجوب الوفاء به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متفرّع على العموم؛ فإنّ حكم العامّ موضوع الإطلاق، ولازم التفرّع أنّ تخصيص العامّ رافع لموضوع الإطلاق، لا مخالف لأصالة الإطلاق، وتقييد الإطلاق لا يوجب تخصيص العموم، فمع الشكّ في خروج فرد من العامّ، يكون المرجع لرفعه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خروج فرد في قطعة من الزمان، يكون المرجع أصالة الإطلاق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الأقلّ والأكثر من خروج القطعات، يدفع الشكّ في الزائد بأصالة الإطلاق</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495443_2142443653"/>
      <w:bookmarkStart w:id="389" w:name="_Toc137"/>
      <w:bookmarkEnd w:id="388"/>
      <w:r>
        <w:rPr>
          <w:rtl w:val="true"/>
        </w:rPr>
        <w:t>حكم تلف العينين أو إحداهما على القول بالملك</w:t>
      </w:r>
      <w:bookmarkEnd w:id="389"/>
    </w:p>
    <w:p>
      <w:pPr>
        <w:pStyle w:val="BookText"/>
        <w:rPr/>
      </w:pPr>
      <w:r>
        <w:rPr>
          <w:rFonts w:ascii="Amiri" w:hAnsi="Amiri" w:eastAsia="Amiri" w:cs="Amiri"/>
          <w:color w:val="111111"/>
          <w:sz w:val="28"/>
          <w:sz w:val="28"/>
          <w:szCs w:val="28"/>
          <w:rtl w:val="true"/>
          <w:lang w:bidi="ar-SA"/>
        </w:rPr>
        <w:t xml:space="preserve">ففي المقام لمّا قام الإجماع فرضاً </w:t>
      </w:r>
      <w:r>
        <w:rPr>
          <w:rStyle w:val="FootnoteAnchor"/>
          <w:rtl w:val="true"/>
        </w:rPr>
        <w:footnoteReference w:id="609"/>
      </w:r>
      <w:r>
        <w:rPr>
          <w:rFonts w:ascii="Amiri" w:hAnsi="Amiri" w:eastAsia="Amiri" w:cs="Amiri"/>
          <w:color w:val="111111"/>
          <w:sz w:val="28"/>
          <w:sz w:val="28"/>
          <w:szCs w:val="28"/>
          <w:rtl w:val="true"/>
          <w:lang w:bidi="ar-SA"/>
        </w:rPr>
        <w:t>على عدم لزوم المعاطاة، والمتيقّن منه عدم لزومها ما دام بقاء العينين، لا يكون الإجماع مخصّصاً للعموم، بل مقيّداً للإطلاق، وفي مقدار الزائد من المتيقّن تكون أصالة الإطلاق رافعة للشكّ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الشيخ الأنصاري قدّس سرّه هاهنا </w:t>
      </w:r>
      <w:r>
        <w:rPr>
          <w:rStyle w:val="FootnoteAnchor"/>
          <w:rtl w:val="true"/>
        </w:rPr>
        <w:footnoteReference w:id="610"/>
      </w:r>
      <w:r>
        <w:rPr>
          <w:rFonts w:ascii="Amiri" w:hAnsi="Amiri" w:eastAsia="Amiri" w:cs="Amiri"/>
          <w:color w:val="111111"/>
          <w:sz w:val="28"/>
          <w:sz w:val="28"/>
          <w:szCs w:val="28"/>
          <w:rtl w:val="true"/>
          <w:lang w:bidi="ar-SA"/>
        </w:rPr>
        <w:t>، موافق للتحقيق وإن لم يذكر وجهه، وأمّا ما ذكره في الخيارات</w:t>
      </w:r>
      <w:r>
        <w:rPr>
          <w:rStyle w:val="FootnoteAnchor"/>
          <w:rtl w:val="true"/>
        </w:rPr>
        <w:footnoteReference w:id="611"/>
      </w:r>
      <w:r>
        <w:rPr>
          <w:rFonts w:ascii="Amiri" w:hAnsi="Amiri" w:eastAsia="Amiri" w:cs="Amiri"/>
          <w:color w:val="111111"/>
          <w:sz w:val="28"/>
          <w:sz w:val="28"/>
          <w:szCs w:val="28"/>
          <w:rtl w:val="true"/>
          <w:lang w:bidi="ar-SA"/>
        </w:rPr>
        <w:t>فمنظور فيه والتفصيل يطلب من مظانّه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الظاهر عدم جواز التمسّك للّزوم بالوجوه الثمانية المتقدّمة في كلام الشيخ قدّس سرّه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المال كموضوعه، كقوله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أو موضوعه نحو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الملك موضوعه، كاستصحاب بقاء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مثلهما لا يصحّ التمسّك بعد تلف العينين بهما؛ لأنّ الحكم متعلّق بالموضوع المفروض الوجود، والمال المعدوم لا يحكم بأنّ الناس مسلّطون عليه، أو لا يحلّ التصرّف فيه بلا رضا صاحبه، والمعدوم لا يعتبر ملكاً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الاستصحاب من الإشكال الآخر، وهو معارضته باستصحاب جواز المعاملة، ولعلّه مقدّم على الاستصحاب المذكور بالحكومة، فتأمّل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بالملك، فمع تلف العينين 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الإطلاق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ولا يجري الاستصحاب مع إطلاق الدليل الاجتهادي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الشيخ الأعظم قدّس سرّه عدم جريانه في نفسه،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هنا غير متعلّق بالعقد، وليس ذلك على نحو جواز البيع الخياري؛ من عوارض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شكّ في كونه متعلّقاً بالعقد، أو بالعوضين، أو كان نحو جواز الرجوع الثابت في الهبة، لا يجري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الجواز بمعنى جواز ترادّ العينين، وارتفع مورد الترادّ، امتنع بقاؤه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بالترادّ هو الخارجي التكويني، فلا شبهة في أنّ الجواز في المعاطاة لا يتعلّق به؛ ضرورة نفوذ الفسخ اللفظي مع بقاء العينين، فلا بدّ وأن يراد به الترادّ الاعتباري، وهو تابع لفسخ العقد، ولا يعقل تحقّقه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الفسخ بالقول وبالفعل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فسخه، فالجواز متعلّق بالعقد المتعلّق بالعينين على نحو تعلّق الخيار؛ فإنّه حقّ متعلّق بالعقد المتعلّق بالعين، فحينئذٍ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بقاء حقّ الخيار مع تلف العينين، فلا مجال لإنكار إمكان بقاء الجواز في المقام، ومع الشكّ يكون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في المقام للدليل الاجتهادي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أفاد رحمه الله علیه من أنّه لا دليل في مقابل أصالة اللزوم على ثبوت أزيد من جواز ترادّ العينين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390" w:name="pg15195_150654"/>
    </w:p>
    <w:p>
      <w:pPr>
        <w:pStyle w:val="BookText"/>
        <w:rPr/>
      </w:pPr>
      <w:bookmarkEnd w:id="390"/>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من جوازه، أخذ العينين والتصرّف فيهما، من غير جواز فسخ المعاملة، فهو ليس في مقابل أصالة اللزوم التي لا شكّ في تعلّقها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جواز ردّهما في الملكية؛ أي تملّكهما من غير فسخ، فهو أيضاً كذلك؛ لأنّه تملّك جديد غير مقابل لأصالة اللزوم، كجواز التملّك تقاصّاً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الترادّ الاعتباري، الذي هو عبارة اُخرى عن فسخ المعاملة، فهو مقابل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 المتيقّن منه جوازه ما دام بقاء العينين، ومعه يمكن الاستصحاب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جوّزنا الفسخ في البيع الخياري بعد تلف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ترادّهما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اعتبار ترادّ المعدومين، لا مانع من ترادّهما في المقام أيضاً، فالمتيقّن وإن كان ثبوت جوازه حال وجودهما، لكن لا مانع من ترادّهما الاعتباري بعد التلف، فيجري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ذكرناه يظهر الكلام في تلف إحدى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بالملكية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495445_2142443653"/>
      <w:bookmarkStart w:id="392" w:name="_Toc138"/>
      <w:bookmarkEnd w:id="391"/>
      <w:r>
        <w:rPr>
          <w:rtl w:val="true"/>
        </w:rPr>
        <w:t>تأسيس الأصل على القول بالإباحة</w:t>
      </w:r>
      <w:bookmarkEnd w:id="392"/>
    </w:p>
    <w:p>
      <w:pPr>
        <w:pStyle w:val="BookText"/>
        <w:rPr/>
      </w:pPr>
      <w:r>
        <w:rPr>
          <w:rFonts w:ascii="Amiri" w:hAnsi="Amiri" w:eastAsia="Amiri" w:cs="Amiri"/>
          <w:color w:val="111111"/>
          <w:sz w:val="28"/>
          <w:sz w:val="28"/>
          <w:szCs w:val="28"/>
          <w:rtl w:val="true"/>
          <w:lang w:bidi="ar-SA"/>
        </w:rPr>
        <w:t>وأمّا على القول بالإباحة، فهل الأصل اللزوم، أو الجواز؟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وجوب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الالتزام بالملكية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كلّ منهما العوض، وتمكينه على جميع التصرّفات، وعدم المنع من قبله، وإلاّ لم يكن موفياً بالعقد، والمتيقّن من تصرّف الشارع هو حيثية </w:t>
      </w:r>
    </w:p>
    <w:p>
      <w:pPr>
        <w:pStyle w:val="BookText"/>
        <w:rPr/>
      </w:pPr>
      <w:r>
        <w:rPr>
          <w:rFonts w:ascii="Amiri" w:hAnsi="Amiri" w:eastAsia="Amiri" w:cs="Amiri"/>
          <w:color w:val="111111"/>
          <w:sz w:val="28"/>
          <w:sz w:val="28"/>
          <w:szCs w:val="28"/>
          <w:rtl w:val="true"/>
          <w:lang w:bidi="ar-SA"/>
        </w:rPr>
        <w:t>حصول الملك عنده لا عند العرف؛ فإنّه ليس في مجال التشريع، فالملكية العقلائية باقية بلوازمها، وتعبّد الشارع بعدم الملكية عنده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جواز تصرّف كلّ منهما فيما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الموقوفة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أبقى الإباحة اللازمة للملك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في المقام ليست مالكية؛ لأنّ المالك لم ينشئ الإباحة، وليس في وسعه بعد التمليك جعل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الإباحة الشرعية؛ بمعنى جعل ما ليس بسبب للإباحة سبباً لها، وسلب السببية العقلائية عنه؛ فإنّه بعيد، يحتاج إلى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بمعنى جعل الإباحة في موضوع المعاطاة؛ بحيث لا يرتبط بسببيتها،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السببية مطلقاً، وجعلها موضوعاً لأمر أجنبيّ، وهذا أيضاً التزام غريب، يحتاج إلى دليل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بمعنى جعل الإباحة تبعاً لرضا المالك بالتصرّف؛ ضرورة أنّ رضاه ليس إلاّ الرضا المعاملي، وليس له الرضا بتصرّف الغير في ملك نفسه؛ فإنّه ليس في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الإباحة الشرعية المسبّبة عن رضا الطرفين تقديراً؛ فإنّ الرضا التقديري لا يعتدّ به، مع أنّه لا يمكن كلّياً، وإحرازه في كلّ معاملةٍ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بعقده صار سبباً لحصول الملكية وتحقّق موضوع الإباحة الشرعية؛ ضرورة أنّ الناس مسلّطون على أموالهم عرفاً وشرعاً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المعنى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الإباحة مالكية؛ أي أنّ سبب تحقّقها المالك، </w:t>
      </w:r>
    </w:p>
    <w:p>
      <w:pPr>
        <w:pStyle w:val="BookText"/>
        <w:rPr/>
      </w:pPr>
      <w:r>
        <w:rPr>
          <w:rFonts w:ascii="Amiri" w:hAnsi="Amiri" w:eastAsia="Amiri" w:cs="Amiri"/>
          <w:color w:val="111111"/>
          <w:sz w:val="28"/>
          <w:sz w:val="28"/>
          <w:szCs w:val="28"/>
          <w:rtl w:val="true"/>
          <w:lang w:bidi="ar-SA"/>
        </w:rPr>
        <w:t>مع قطع النظر عن الإجماع في المعاطاة، وكذا شرعية، لأنّ الشارع أباح تصرّف كلّ شخص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فالمعاطاة سبب للملكية العقلائية والإباحة التابعة لها، والشارع لم يكن في وسعه التصرّف في الملكية العقلائية، وإنّما له عدم اعتبار الملكية، أو التعبّد بعدم ترتيب آثار الملكية العقلائية، وما ثبت بالإجماع هو الأوّل فقط، بل الظاهر من الإجماع فرضاً على جواز جميع التصرّفات وإباحته مع عدم الملكية شرعاً، هو التصرّف من جهة، دون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فالإباحة شرعية، ومالكية بمعنى، وليس بشيءٍ منهما بمعنى آخر، فحينئذٍ يتمسّك بالأدلّة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اللزوم إن قلنا بالإباحة المالكية؛ بدعوى أنّ المعاطاة تنحلّ إلى شيئين، التمليك مقابل التملّك، والإباحة بالعوض، وهي متحقّقة في ضمن الأوّل، فإذا قام الإجماع على عدم حصول الملك، بقيت الإباحة بالعوض، وعقدها لازم على القواعد، لكنّ المبنى فاسد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بالإباحة الشرعية،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أسقط سببية المعاطاة لحصول الملكية، وأثبت لها سببية للإباحة، يمكن القول باللزوم؛ بدليل وجوب الوفاء بالعقود، فإنّ السبب الشرعي كالسبب العقلائي في وجوب الوفاء بمقتضاه، ومجرّد عدم قصدها لا يوجب سلب العقدية أو سلب المقتضي، ومع وجود المقتضي يكون الوفاء به بالعمل بمقتضاه، ولو كان بسببية شرعية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منصرفة إلى المقتضيات العقلائية التي تكون مقصودة </w:t>
      </w:r>
    </w:p>
    <w:p>
      <w:pPr>
        <w:pStyle w:val="BookText"/>
        <w:rPr/>
      </w:pPr>
      <w:r>
        <w:rPr>
          <w:rFonts w:ascii="Amiri" w:hAnsi="Amiri" w:eastAsia="Amiri" w:cs="Amiri"/>
          <w:color w:val="111111"/>
          <w:sz w:val="28"/>
          <w:sz w:val="28"/>
          <w:szCs w:val="28"/>
          <w:rtl w:val="true"/>
          <w:lang w:bidi="ar-SA"/>
        </w:rPr>
        <w:t>للمتعاملين، وهو غير ظاهر، ولا سيّما مع التفات المتعاملين إلى السببية الشرعية،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الإباحة الشرعية حكم ثابت منه لموضوع هو المعاطاة، فلا يمكن إثبات اللزوم بالأدلّة؛ لأنّ ترتّب الأثر على الموضوع ليس مقتضاه، وترتيبه عليه ليس وفاءً به، فمثله خارج عن مفاد الأدلّة، فيمكن التمسّك بإطلاق دليل السلطنة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المعاطاتي متحقّق عرفاً، وهو موضوع لحكم شرعي، والشارع وإن أسقط التأثير في الملك، لكن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عقديته، ودليل لزوم الوفاء شامل له بالنسبة إلى إبقاء العقد بحاله، وما لم ينحلّ تبقى الإباحة الشرعية؛ لبقاء موضوعها، فدليل اللزوم موجب لإبقاء موضوع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منه؛ لأنّ دليل اللزوم كما يقتضي ترتيب الآثار، يقتضي إبقاء العقد، فتأمّل، ولا ترفع اليد عنه إلاّ بالدليل، أو التشبّث باللغوية، وليس في المقام شيء منهما، ولا صلاحية لدليل السلطنة لردّ العوض بعد دليل اللزوم؛ لأنّ السلطنة ليست على الأحكام الشرعية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بأصالة بقاء سلطنة المالك الثابتة قبل المعاطاة، وتحكيمها على أصالة بقاء الإباحة الثابتة قبل رجوع المالك</w:t>
      </w:r>
      <w:r>
        <w:rPr>
          <w:rStyle w:val="FootnoteAnchor"/>
          <w:rtl w:val="true"/>
        </w:rPr>
        <w:footnoteReference w:id="619"/>
      </w:r>
      <w:r>
        <w:rPr>
          <w:rFonts w:ascii="Amiri" w:hAnsi="Amiri" w:eastAsia="Amiri" w:cs="Amiri"/>
          <w:color w:val="111111"/>
          <w:sz w:val="28"/>
          <w:sz w:val="28"/>
          <w:szCs w:val="28"/>
          <w:rtl w:val="true"/>
          <w:lang w:bidi="ar-SA"/>
        </w:rPr>
        <w:t>، ففيه إشكال؛ لعدم كون الشكّ في بقاء الإباحة الشرعية مسبّباً عن الشكّ في بقاء السلطنة، بل هو مسبّب عن الشكّ في مقدار جعل الشارع، وليس نفي الإباحة من الآثار الشرعية لبقاء 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هما متضادّان، فإطلاق دليل السلطنة المثبت لجواز الترادّ، النافي لبقاء الإباحة بعد الرجوع والردّ، كافٍ في أصالة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وجه عدم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بالسلطنة إمّا القدرة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أو لازمها وهو عدم سلطنة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على الأوّل جارٍ، وغير منافٍ لجواز تصرّف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منهما التصرّف فيه، أحدهما بالملك، والآخر بالإباحة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ومرجعه إلى استصحاب محجورية غير المالك قبل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استصحاب المحجورية؛ ضرورة تبدّلها باللا محجورية بواسطة المعاطاة، فتستصحب اللا محجورية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إطلاق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السلطنة التامّة المطلقة على جميع التصرّفات، وعلى منع الغير عنها؛ ضرورة أنّ سلطنة الغير على تصرّف ما، منافية لإطلاق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جواز تصرّف المباح له، هو حال عدم منع المالك، والسلطنة على المنع كانت متحقّقة قبل المعاطاة، ولم يعلم بانقلابها بالمعاطاة، فمع الغضّ عن دليل السلطنة، والشكّ في البقاء، تستصحب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نشكّ في مقدار سقوط السلطنة بعد تحقّق المعاطاة، فكما يجري استصحاب بقاء الإباحة، يجري استصحاب بقاء السلطنة المتحقّقة قبل المعاطاة، المقتضية للسلطنة على منع المباح له عن التصرّف</w:t>
      </w:r>
      <w:r>
        <w:rPr>
          <w:rFonts w:eastAsia="Amiri" w:cs="Amiri" w:ascii="Amiri" w:hAnsi="Amiri"/>
          <w:color w:val="111111"/>
          <w:sz w:val="28"/>
          <w:szCs w:val="28"/>
          <w:rtl w:val="true"/>
          <w:lang w:bidi="ar-SA"/>
        </w:rPr>
        <w:t xml:space="preserve">. </w:t>
      </w:r>
      <w:bookmarkStart w:id="393" w:name="pg15195_150659"/>
    </w:p>
    <w:p>
      <w:pPr>
        <w:pStyle w:val="BookText"/>
        <w:rPr/>
      </w:pPr>
      <w:bookmarkEnd w:id="393"/>
      <w:r>
        <w:rPr>
          <w:rFonts w:ascii="Amiri" w:hAnsi="Amiri" w:eastAsia="Amiri" w:cs="Amiri"/>
          <w:color w:val="111111"/>
          <w:sz w:val="28"/>
          <w:sz w:val="28"/>
          <w:szCs w:val="28"/>
          <w:rtl w:val="true"/>
          <w:lang w:bidi="ar-SA"/>
        </w:rPr>
        <w:t>ثمّ قال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على جواز الرجوع في المأخوذ بالمعاطاة، واستصحابه حاكم على استصحاب الإباحة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قائم فرضاً على جواز العقد المعاطاتي، ولازمه العقلي أو العقلائي جواز الرجوع، ولا إجماع على جواز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النفوذ الوضعي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يستصحب، ولا أقلّ من الشكّ فيه، هذا إذا كانت العينان باقيتين</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495447_2142443653"/>
      <w:bookmarkStart w:id="395" w:name="_Toc139"/>
      <w:bookmarkEnd w:id="394"/>
      <w:r>
        <w:rPr>
          <w:rtl w:val="true"/>
        </w:rPr>
        <w:t>حكم تلف العينين على القول بالإباحة</w:t>
      </w:r>
      <w:bookmarkEnd w:id="395"/>
    </w:p>
    <w:p>
      <w:pPr>
        <w:pStyle w:val="BookText"/>
        <w:rPr/>
      </w:pPr>
      <w:r>
        <w:rPr>
          <w:rFonts w:ascii="Amiri" w:hAnsi="Amiri" w:eastAsia="Amiri" w:cs="Amiri"/>
          <w:color w:val="111111"/>
          <w:sz w:val="28"/>
          <w:sz w:val="28"/>
          <w:szCs w:val="28"/>
          <w:rtl w:val="true"/>
          <w:lang w:bidi="ar-SA"/>
        </w:rPr>
        <w:t>وأمّا مع تلفهما، فيمكن تقريب أصالة اللزوم؛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الشرعية مترتّبة على بيع المعاطاة؛ أي هذا البيع العقلائي الذي كان لدى العقلاء موجباً للملك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فالتعاطي في بيع المعاطاة سبب عقلائي لحصول النقل والانتقال، ولزوم المعاملة، وقد قام الإجماع فرضاً على عدم حصول الملك مع بقاء العينين، فمن إطلاق دليل سببية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اللازم وذلك الإجماع، نستكشف تصرّف الشارع في السبب، وجعل ما هو تمام السبب جزءه، وجزءه الآخر تلف العينين، فترفع اليد عنه في مورد القيد، ويؤخذ بالإطلاق في غير مورده، مع الغضّ عن عدم اعتبار ملكية المعدوم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بيع الصرف؛ حيث تصرّف الشارع في السبب، وأخرجه عن تمامية السبب إلى بعضه، ونظير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الأدلّة المقتضية للسببية المطلقة، مقيّد بمقدار ثبوت القيد، وفيما عداه كان محكّماً، ولازمه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الغضّ عنه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قاعدة الضمان باليد هو ضمان المتعاملين بالمثل، أو القيمة الواقعية؛ بدعوى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يقتضي الضمان مطلقاً، خرجت منه الأمانة المالكية بالدليل أو الانصراف، والأمانة الشرعية بالدليل، وبقي الباقي، والمقام ليس من الأمانة المالكية؛ ضرورة أنّ التمليك بالعوض ليس منها، ولهذا يكون المقبوض بالبيع الفاسد مضموناً، والمقام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الإباحة الشرعية الثابتة بالإجماع، فلا تلازم عدم الضمان، والمتيقّن منه ثبوت الإباحة، لا سلب الضمان، نظير إباحة أكل مال الغير لدى الضرورة؛ فإنّ مجرّدها لا يوجب نفي ضمان الإتلاف، ولا ضمان اليد، بل المقام أولى بذلك من الأكل في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ضمان اليد ضمانهما بالمثل أو القيمة الواقعية، وهو مشترك مع الجواز والفسخ في الأثر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عنه 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حكم الشارع بالإباحة لمّا كان العقد المعاطاتي العقلائي، فما دام بقاء العقد تبقى الإباحة، وبفسخه ترتفع، والعقد كان جائزاً قبل تلف العينين فرضاً، ولهذا لو فسخ أحدهما </w:t>
      </w:r>
      <w:bookmarkStart w:id="396" w:name="pg15195_150661"/>
    </w:p>
    <w:p>
      <w:pPr>
        <w:pStyle w:val="BookText"/>
        <w:rPr/>
      </w:pPr>
      <w:bookmarkEnd w:id="396"/>
      <w:r>
        <w:rPr>
          <w:rFonts w:ascii="Amiri" w:hAnsi="Amiri" w:eastAsia="Amiri" w:cs="Amiri"/>
          <w:color w:val="111111"/>
          <w:sz w:val="28"/>
          <w:sz w:val="28"/>
          <w:szCs w:val="28"/>
          <w:rtl w:val="true"/>
          <w:lang w:bidi="ar-SA"/>
        </w:rPr>
        <w:t>ارتفعت الإباحة عن الطرفين، وهذا الجواز لمّا كان متعلّقاً بالعقد العقلائي</w:t>
      </w:r>
    </w:p>
    <w:p>
      <w:pPr>
        <w:pStyle w:val="BookText"/>
        <w:rPr/>
      </w:pPr>
      <w:r>
        <w:rPr>
          <w:rFonts w:ascii="Amiri" w:hAnsi="Amiri" w:eastAsia="Amiri" w:cs="Amiri"/>
          <w:color w:val="111111"/>
          <w:sz w:val="28"/>
          <w:sz w:val="28"/>
          <w:szCs w:val="28"/>
          <w:rtl w:val="true"/>
          <w:lang w:bidi="ar-SA"/>
        </w:rPr>
        <w:t>الذي هو موضوع للأثر الشرعي، وبتلف العينين يشكّ في بقائه، فيجري استصحاب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وثمرته حلّ العقد بالفسخ وارتفاع الإباحة، فيكون تلف العين في يده مع استرداد الإباحة، وهو موجب للضمان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له وجه لو كان الفسخ من الأصل؛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 العقد من الأصل يوجب ارتفاع الإباحة ولو حكماً منه، وبعد ارتفاعها لا يبقى وجه لعدم الضمان بالمثل أو القيمة؛ فإنّ ما يتوهّم كونه سبباً لرفع الضمان هو الإباحة الشرعية، والفرض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المبنى فاسد، والفسخ إنّما يكون من حينه، لا من الأصل، ولهذا لا يضمن المباح له المنافع المستوفاة حال الإباحة، بالفسخ بالضرورة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495449_2142443653"/>
      <w:bookmarkStart w:id="398" w:name="_Toc140"/>
      <w:bookmarkEnd w:id="397"/>
      <w:r>
        <w:rPr>
          <w:rtl w:val="true"/>
        </w:rPr>
        <w:t>حكم تلف إحدى العينين على القول بالإباحة</w:t>
      </w:r>
      <w:bookmarkEnd w:id="398"/>
    </w:p>
    <w:p>
      <w:pPr>
        <w:pStyle w:val="BookText"/>
        <w:rPr/>
      </w:pPr>
      <w:r>
        <w:rPr>
          <w:rFonts w:ascii="Amiri" w:hAnsi="Amiri" w:eastAsia="Amiri" w:cs="Amiri"/>
          <w:color w:val="111111"/>
          <w:sz w:val="28"/>
          <w:sz w:val="28"/>
          <w:szCs w:val="28"/>
          <w:rtl w:val="true"/>
          <w:lang w:bidi="ar-SA"/>
        </w:rPr>
        <w:t>ولو تلفت إحدى العينين،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بالإباحة، فقد نقل عن الشهيد قدّس سرّه القول</w:t>
      </w:r>
    </w:p>
    <w:p>
      <w:pPr>
        <w:pStyle w:val="BookText"/>
        <w:rPr/>
      </w:pPr>
      <w:r>
        <w:rPr>
          <w:rFonts w:ascii="Amiri" w:hAnsi="Amiri" w:eastAsia="Amiri" w:cs="Amiri"/>
          <w:color w:val="111111"/>
          <w:sz w:val="28"/>
          <w:sz w:val="28"/>
          <w:szCs w:val="28"/>
          <w:rtl w:val="true"/>
          <w:lang w:bidi="ar-SA"/>
        </w:rPr>
        <w:t>بأصالة عدم اللزوم؛ لأصالة بقاء سلطنة مالك العين الموجودة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بأصالة براءة ذمّته عن مثل التالف أو قيمته، وأبطل التمسّك بقاعدة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بقاء السلطنة حاكمة على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تشبّث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بدعوى أنّ </w:t>
      </w:r>
    </w:p>
    <w:p>
      <w:pPr>
        <w:pStyle w:val="BookText"/>
        <w:rPr/>
      </w:pPr>
      <w:r>
        <w:rPr>
          <w:rFonts w:ascii="Amiri" w:hAnsi="Amiri" w:eastAsia="Amiri" w:cs="Amiri"/>
          <w:color w:val="111111"/>
          <w:sz w:val="28"/>
          <w:sz w:val="28"/>
          <w:szCs w:val="28"/>
          <w:rtl w:val="true"/>
          <w:lang w:bidi="ar-SA"/>
        </w:rPr>
        <w:t>السلطنة على المال الموجود بأخذه، وعلى التالف بأخذ بدله الحقيقي؛ أي المثل أو القيمة</w:t>
      </w:r>
      <w:r>
        <w:rPr>
          <w:rStyle w:val="FootnoteAnchor"/>
          <w:rtl w:val="true"/>
        </w:rPr>
        <w:footnoteReference w:id="6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على ردّ المال الموجود، لا تلازم ضمانه بالمثل أو القيمة، بعد كون المفروض تلف العين سماوياً؛ فإنّ الإباحة الشرعية الثابتة للطرفين مع رجوع إحدى العينين، لا تقتضي إلاّ سلب الإباحة عن الطرف المقابل، لا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الضمان بعد الاعتراف بأنّ اليد لا تقتضي الضمان؛ فإنّ الإباحة الشرعية لا تقتضي الضمان، وكذا السلطنة على استرجاع العين، فلا منافاة بين بقاء السلطنة، وبراءة الذمّة عن المثل والقيمة، حتّى 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يتّضح وجه حكومة أصالة بقاء السلطنة على أصالة براءة الذمّة، مع</w:t>
      </w:r>
    </w:p>
    <w:p>
      <w:pPr>
        <w:pStyle w:val="BookText"/>
        <w:rPr/>
      </w:pPr>
      <w:r>
        <w:rPr>
          <w:rFonts w:ascii="Amiri" w:hAnsi="Amiri" w:eastAsia="Amiri" w:cs="Amiri"/>
          <w:color w:val="111111"/>
          <w:sz w:val="28"/>
          <w:sz w:val="28"/>
          <w:szCs w:val="28"/>
          <w:rtl w:val="true"/>
          <w:lang w:bidi="ar-SA"/>
        </w:rPr>
        <w:t xml:space="preserve">أنّ ترتّبهما ليس شرعياً، بل لا ترتّب بينهما رأساً؛ فإنّ المنافي لبراءة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الردّ، لا أصالة بقاء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النظر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ضمان التالف ببدله معلوم</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إلى آخره؛ لما عرفت من عدم الدليل عليه بعد الغضّ عن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بقاعدة السلطنة على المال التالف لأخذ بدله الحقيقي، فغير وجيه؛ لأنّ موضوع دليل السلطنة المال المفروض التحقّق، لا هو في حال وجوده وعدمه؛ ضرورة أنّ المعدوم لا يكون موضوع السلطنة، ولا هو ومع عدمه بدله</w:t>
      </w:r>
      <w:r>
        <w:rPr>
          <w:rFonts w:eastAsia="Amiri" w:cs="Amiri" w:ascii="Amiri" w:hAnsi="Amiri"/>
          <w:color w:val="111111"/>
          <w:sz w:val="28"/>
          <w:szCs w:val="28"/>
          <w:rtl w:val="true"/>
          <w:lang w:bidi="ar-SA"/>
        </w:rPr>
        <w:t xml:space="preserve">. </w:t>
      </w:r>
      <w:bookmarkStart w:id="399" w:name="pg15195_150663"/>
    </w:p>
    <w:p>
      <w:pPr>
        <w:pStyle w:val="BookText"/>
        <w:rPr/>
      </w:pPr>
      <w:bookmarkEnd w:id="399"/>
      <w:r>
        <w:rPr>
          <w:rFonts w:ascii="Amiri" w:hAnsi="Amiri" w:eastAsia="Amiri" w:cs="Amiri"/>
          <w:color w:val="111111"/>
          <w:sz w:val="28"/>
          <w:sz w:val="28"/>
          <w:szCs w:val="28"/>
          <w:rtl w:val="true"/>
          <w:lang w:bidi="ar-SA"/>
        </w:rPr>
        <w:t>والقياس بدليل اليد؛ حيث إنّ مقتضاه على قولٍ ردّ العين، ومع عدمها ضمان المثل أو القيمة</w:t>
      </w:r>
      <w:r>
        <w:rPr>
          <w:rStyle w:val="FootnoteAnchor"/>
          <w:rtl w:val="true"/>
        </w:rPr>
        <w:footnoteReference w:id="627"/>
      </w:r>
      <w:r>
        <w:rPr>
          <w:rFonts w:ascii="Amiri" w:hAnsi="Amiri" w:eastAsia="Amiri" w:cs="Amiri"/>
          <w:color w:val="111111"/>
          <w:sz w:val="28"/>
          <w:sz w:val="28"/>
          <w:szCs w:val="28"/>
          <w:rtl w:val="true"/>
          <w:lang w:bidi="ar-SA"/>
        </w:rPr>
        <w:t>، في غير محلّه؛ لما يأتي في محلّه</w:t>
      </w:r>
      <w:r>
        <w:rPr>
          <w:rStyle w:val="FootnoteAnchor"/>
          <w:rtl w:val="true"/>
        </w:rPr>
        <w:footnoteReference w:id="628"/>
      </w:r>
      <w:r>
        <w:rPr>
          <w:rFonts w:ascii="Amiri" w:hAnsi="Amiri" w:eastAsia="Amiri" w:cs="Amiri"/>
          <w:color w:val="111111"/>
          <w:sz w:val="28"/>
          <w:sz w:val="28"/>
          <w:szCs w:val="28"/>
          <w:rtl w:val="true"/>
          <w:lang w:bidi="ar-SA"/>
        </w:rPr>
        <w:t>من أنّ قاعدة اليد تقتضي عهدة نفس العين فقط على هذا القول، لكنّ الخروج عن عهدتها يختلف لدى العقلاء؛ فمع تحقّق العين يكون الخروج عن عهدتها بتسليمها، ومع التعذّر عنها يكون بالمثل، ومع التعذّر بالقيمة، وليس مفاد قاعدة اليد ضمان المأخوذ بنفسه، ومع فقده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ما يظهر من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ملازمة بقاء السلطنة على العين لاشتغال ذمّته بالمثل أو القيمة</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 رحمه الله علیه التمسّك بدليل السلطنة الثابتة للعين الموجودة، وكشف اشتغال الذمّة بالعين التالفة، وهو حاكم على أصالة البراءة، لا التمسّك بالأصل أو السلطنة على العين التالفة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حصول الملك بتلف أحد العوضين، تصير الشبهة موضوعية، وعليه لا يصحّ التمسّك به في العين التالفة أيضاً؛ لاحتمال وقوعها عوضاً اعتباراً بعد التلف</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495451_2142443653"/>
      <w:bookmarkStart w:id="401" w:name="_Toc141"/>
      <w:bookmarkEnd w:id="400"/>
      <w:r>
        <w:rPr>
          <w:rtl w:val="true"/>
        </w:rPr>
        <w:t>حكم كون أحد العوضين ديناً على القول بالملك</w:t>
      </w:r>
      <w:bookmarkEnd w:id="40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أحد العوضين ديناً في ذمّة أحد المتعاطيين، فعلى القول بالملك يملكه من في ذمّته، فيسقط عنه، وهو في حكم التالف، لما مرّ من إطلاق أدلّة </w:t>
      </w:r>
    </w:p>
    <w:p>
      <w:pPr>
        <w:pStyle w:val="BookText"/>
        <w:rPr/>
      </w:pPr>
      <w:r>
        <w:rPr>
          <w:rFonts w:ascii="Amiri" w:hAnsi="Amiri" w:eastAsia="Amiri" w:cs="Amiri"/>
          <w:color w:val="111111"/>
          <w:sz w:val="28"/>
          <w:sz w:val="28"/>
          <w:szCs w:val="28"/>
          <w:rtl w:val="true"/>
          <w:lang w:bidi="ar-SA"/>
        </w:rPr>
        <w:t>اللزوم، والمتيقّن من الخروج عنه غير هذه الصورة</w:t>
      </w:r>
      <w:r>
        <w:rPr>
          <w:rStyle w:val="FootnoteAnchor"/>
          <w:rtl w:val="true"/>
        </w:rPr>
        <w:footnoteReference w:id="630"/>
      </w:r>
      <w:r>
        <w:rPr>
          <w:rFonts w:ascii="Amiri" w:hAnsi="Amiri" w:eastAsia="Amiri" w:cs="Amiri"/>
          <w:color w:val="111111"/>
          <w:sz w:val="28"/>
          <w:sz w:val="28"/>
          <w:szCs w:val="28"/>
          <w:rtl w:val="true"/>
          <w:lang w:bidi="ar-SA"/>
        </w:rPr>
        <w:t>، فبعد السقوط يكون العقد لازماً، لا يجوز لأحدهما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يتشبّث لعدم الرجوع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الذمّة يتشخّص بتشخّص الأطراف والإضافات، ومع سقوطه لا يعقل عوده؛ لأنّ المعدوم يمتنع أن يعود</w:t>
      </w:r>
      <w:r>
        <w:rPr>
          <w:rStyle w:val="FootnoteAnchor"/>
          <w:rtl w:val="true"/>
        </w:rPr>
        <w:footnoteReference w:id="631"/>
      </w:r>
      <w:r>
        <w:rPr>
          <w:rFonts w:ascii="Amiri" w:hAnsi="Amiri" w:eastAsia="Amiri" w:cs="Amiri"/>
          <w:color w:val="111111"/>
          <w:sz w:val="28"/>
          <w:sz w:val="28"/>
          <w:szCs w:val="28"/>
          <w:rtl w:val="true"/>
          <w:lang w:bidi="ar-SA"/>
        </w:rPr>
        <w:t>، ولعلّ نظر الشيخ الأعظم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الساقط لا يعود</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إلى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المورد للمعاملة، ما هو قابل للصدق على الخارج وعلى الكثيرين، وما هو متشخّص بقيد التشخّص لا يعقل أن يتحقّق في الخارج وينطبق على الكثيرين، فما في الذمّة نفس الطبيعة بلا خصوصية موجوديتها في الذمّة وتخصّصها بالإضافات، فعودها ليس من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بنفسها لا تتكثّر، وإنّما تتكثّر بالوجود والتشخّص، والمفروض في المقام أنّه ليس ما في الذمّة هو الموجود الشخصي المتخصّص بالخصوصيات، فمثل تلك الطبيعة لا كثرة فيها؛ إذ الشيء لا يتكثّر بنفسه، فإذا اعتبرت تلك الطبيعة في الذمّة، ثمّ سقطت واعتبرت ثانية وثالثة، لا تكون في تلك الاعتبارات الكثيرة إلاّ نفسها؛ لعدم لحوق ما يوجب التكثّر والغيرية بها، فمنّ من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وخصوصية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منها، ولو لوحظ ألف مرّة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 الاعتبار واللحاظ لا يوجب اختلاف المعتبر والملحوظ، فحديث </w:t>
      </w:r>
    </w:p>
    <w:p>
      <w:pPr>
        <w:pStyle w:val="BookText"/>
        <w:rPr/>
      </w:pPr>
      <w:r>
        <w:rPr>
          <w:rFonts w:ascii="Amiri" w:hAnsi="Amiri" w:eastAsia="Amiri" w:cs="Amiri"/>
          <w:color w:val="111111"/>
          <w:sz w:val="28"/>
          <w:sz w:val="28"/>
          <w:szCs w:val="28"/>
          <w:rtl w:val="true"/>
          <w:lang w:bidi="ar-SA"/>
        </w:rPr>
        <w:t>إعادة المعدوم ناشٍ من الخلط بين الطبيعة بلا قيد، والطبيعة الموجودة في الذمّة المتخصّصة بالخصوصيات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صاحب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بجواز الترادّ، الترادّ الملكي الباقي بعد التلف، ففي المقام لا يعقل؛ لأنّ تلف العين لا ينافي بقاء ملكية التالف اعتباراً قبل الرجوع، بخلاف السقوط؛ فإنّه لا معنى لاشتغال ذمّته بمثل الساقط للغير قبل الرجوع، فإنّ اعتبار سقوط ما في الذمّة وبقائه متنافيان، مع التسالم على عدم اشتغال ذمّته بشيءٍ للغير قبل الرجوع</w:t>
      </w:r>
      <w:r>
        <w:rPr>
          <w:rStyle w:val="FootnoteAnchor"/>
          <w:rtl w:val="true"/>
        </w:rPr>
        <w:footnoteReference w:id="633"/>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الترادّ الملكي إنّما هو تبع للفسخ؛ إذ لا يعقل بقاء العقد وترادّ العين ملكاً، فمع الفسخ ينحلّ العقد، وترجع ذمّة المديون مشتغلة بعين ما اشتغلت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بلزوم الردّ في الملكية، فاللازم اعتبار الكلّي في ذمّة المديون قبل الرجوع ملكاً له، لا للغير، وبالرجوع صار ملكاً للدائن، كما في الفسخ في العين التالفة، وعدم مالكية الشخص لما في ذمّته في المقام ونظائره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أنّه لا يعقل مالكية الشخص لما في ذمّته</w:t>
      </w:r>
      <w:r>
        <w:rPr>
          <w:rStyle w:val="FootnoteAnchor"/>
          <w:rtl w:val="true"/>
        </w:rPr>
        <w:footnoteReference w:id="634"/>
      </w:r>
      <w:r>
        <w:rPr>
          <w:rFonts w:ascii="Amiri" w:hAnsi="Amiri" w:eastAsia="Amiri" w:cs="Amiri"/>
          <w:color w:val="111111"/>
          <w:sz w:val="28"/>
          <w:sz w:val="28"/>
          <w:szCs w:val="28"/>
          <w:rtl w:val="true"/>
          <w:lang w:bidi="ar-SA"/>
        </w:rPr>
        <w:t>لعلّه خلط بين المالكية والدائنية؛ فإنّه لا يعقل أن يكون الشخص دائناً لنفسه، وأمّا مالكيته لما في ذمّته فهو أمر معقول، ولعلّ في بيع الكلّيات يكون الاعتبار بملكية الكلّي أوّلاً، ونقله إلى الغير بعده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الخيار أو جواز الرجوع، يسقط بسقوط ما في الذمّة؛ لأنّ </w:t>
      </w:r>
    </w:p>
    <w:p>
      <w:pPr>
        <w:pStyle w:val="BookText"/>
        <w:rPr/>
      </w:pPr>
      <w:r>
        <w:rPr>
          <w:rFonts w:ascii="Amiri" w:hAnsi="Amiri" w:eastAsia="Amiri" w:cs="Amiri"/>
          <w:color w:val="111111"/>
          <w:sz w:val="28"/>
          <w:sz w:val="28"/>
          <w:szCs w:val="28"/>
          <w:rtl w:val="true"/>
          <w:lang w:bidi="ar-SA"/>
        </w:rPr>
        <w:t>موضوعهما يرتفع بالسقوط، فلا يبقى لهما متعلّق</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الحقّ أو جواز الفسخ هو العقد لا العين، كما تقدّم الكلام فيه، ومعه يكون متعلّقه وموضوعه هو الأمر الاعتباري الباقي، كمافيسائرالخيارات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الحكمي لا حقّ الخيار، يكون موضوعه أيضاً العقد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الذمّة مشغولة بعد الفسخ، لا يصحّح تعلّق حقّ الخيار؛ فإنّه لا بدّ من أن يكون متعلّق الحقّ في رتبة سابقة على الفسخ وجوداً حتّى يتعلّق به، فيفسخ ويأخذ بحقّه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رتبة سابقة، ولازم حلّه لدى العقلاء، رجوع الذمّة مشغولة بما اشتغلت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ظهر النظر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عود الذمّة اشتغال جديد غير الاشتغال الأوّل، والذي ذهب لا يعود، والعائد شخص آخر</w:t>
      </w:r>
      <w:r>
        <w:rPr>
          <w:rStyle w:val="FootnoteAnchor"/>
          <w:rtl w:val="true"/>
        </w:rPr>
        <w:footnoteReference w:id="637"/>
      </w:r>
      <w:r>
        <w:rPr>
          <w:rFonts w:ascii="Amiri" w:hAnsi="Amiri" w:eastAsia="Amiri" w:cs="Amiri"/>
          <w:color w:val="111111"/>
          <w:sz w:val="28"/>
          <w:sz w:val="28"/>
          <w:szCs w:val="28"/>
          <w:rtl w:val="true"/>
          <w:lang w:bidi="ar-SA"/>
        </w:rPr>
        <w:t>، فإنّ تجدّد الاشتغال بتجدّد المشتغل به وتكثّره، وقد عرفت عدم تجدّده وتكثّره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جواز الرجوع خروج الملك عن ملك من انتقل إليه إلى ملك من انتقل عنه، وهذا ممتنع في المقام؛ لأنّه إذا ردّ المشتري العين الموجودة إلى المديون، فلا بدّ من أن يخرج الدين عن ملكه، ويدخل في ملك المشتري، ودخول الدين في ملك المديون نتيجته السقوط دائماً، </w:t>
      </w:r>
      <w:bookmarkStart w:id="402" w:name="pg15195_150667"/>
    </w:p>
    <w:p>
      <w:pPr>
        <w:pStyle w:val="BookText"/>
        <w:rPr/>
      </w:pPr>
      <w:bookmarkEnd w:id="402"/>
      <w:r>
        <w:rPr>
          <w:rFonts w:ascii="Amiri" w:hAnsi="Amiri" w:eastAsia="Amiri" w:cs="Amiri"/>
          <w:color w:val="111111"/>
          <w:sz w:val="28"/>
          <w:sz w:val="28"/>
          <w:szCs w:val="28"/>
          <w:rtl w:val="true"/>
          <w:lang w:bidi="ar-SA"/>
        </w:rPr>
        <w:t>نظير انعتاق العمودين، فيمتنع الرجوع</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منع تقوّم الفسخ بخروج الملك عن ملك شخص، ودخوله في ملك الآخر، كما تقدّم نظيره في البيع،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يتقوّم بتبادل الإضافات كذلك</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ملازمة ملكية الشخص لما في ذمّته للسقوط عنها، وقياس المقام بالعمودين مع الفارق، بعد قيام الدليل فيهما دون المقام، بل لا يخلو المقيس عليه من المناقشة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مالكية الشخص لما في ذمّته وانتقاله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اللازم في مثل المقام الرجوع إلى بناء العقلاء وعملهم، لا إلى مناقشات عقلية لا ترجع إلى محصّل، ولا شبهة في أنّ العقلاء يبيعون بما في الذمم، وتكون نتيجته سقوط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لهم خيار في البيع الكذائي وفسخوا، يصحّ الفسخ عندهم بلا ريب، ولازمه رجوعهم إلى من عليه الدين بدينهم، كما هو بناؤهم جزماً، فالمناقشات المذكورة كالشبهة في مقابل البداهة، هذا على القول بالملك</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495453_2142443653"/>
      <w:bookmarkStart w:id="404" w:name="_Toc142"/>
      <w:bookmarkEnd w:id="403"/>
      <w:r>
        <w:rPr>
          <w:rtl w:val="true"/>
        </w:rPr>
        <w:t>حكم كون أحد العوضين دينا على القول بالإباحة</w:t>
      </w:r>
      <w:bookmarkEnd w:id="404"/>
    </w:p>
    <w:p>
      <w:pPr>
        <w:pStyle w:val="BookText"/>
        <w:rPr/>
      </w:pPr>
      <w:r>
        <w:rPr>
          <w:rFonts w:ascii="Amiri" w:hAnsi="Amiri" w:eastAsia="Amiri" w:cs="Amiri"/>
          <w:color w:val="111111"/>
          <w:sz w:val="28"/>
          <w:sz w:val="28"/>
          <w:szCs w:val="28"/>
          <w:rtl w:val="true"/>
          <w:lang w:bidi="ar-SA"/>
        </w:rPr>
        <w:t>وأمّا على القول بالإباحة،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باطلة؛ لفقد الأثر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لكفاية الأثر في الجملة في الصحّة، وتترتّب على الإباحة </w:t>
      </w:r>
    </w:p>
    <w:p>
      <w:pPr>
        <w:pStyle w:val="BookText"/>
        <w:rPr/>
      </w:pPr>
      <w:r>
        <w:rPr>
          <w:rFonts w:ascii="Amiri" w:hAnsi="Amiri" w:eastAsia="Amiri" w:cs="Amiri"/>
          <w:color w:val="111111"/>
          <w:sz w:val="28"/>
          <w:sz w:val="28"/>
          <w:szCs w:val="28"/>
          <w:rtl w:val="true"/>
          <w:lang w:bidi="ar-SA"/>
        </w:rPr>
        <w:t>صحّة التصرّفات الاعتبارية؛ من البيع، والصلح، والإسقاط،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على ما في الذمّة تلازم السقوط؛ لأنّ التحقيق أنّ بيع المعاطاة المفيد للإباحة، هو ما قصد المتبايعان به التمليك لا الإباحة، ولازم ذلك تسليط كلّ منهما صاحبه على ماله؛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المتعاملين أوجدا مصداق التسليط المذكور، ولازمه الإباحة المالكية، ولازم ذلك التسليط سقوط ما في الذمّة؛ لعدم تعقّل تسلّط الشخص على ما في ذمّته، كما لا تعقل ملكيته لما في ذمّته</w:t>
      </w:r>
      <w:r>
        <w:rPr>
          <w:rStyle w:val="FootnoteAnchor"/>
          <w:rtl w:val="true"/>
        </w:rPr>
        <w:footnoteReference w:id="641"/>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المبنى والبناء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المتبايعين في المعاطاة وغيرها لا ينشئان إلاّ التمليك بالعوض وقبوله، أو التبادل بين المالين، والتسليط الخارجي ليس موضوعاً لحكم، والتسليط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قاعدة تسلّط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البيع ونحوه من منشآت المتعاملين، وإنّما هو حكم عقلائي أو شرعي مترتّب على مال الناس، والمتعاملان يحقّقان موضوع السلطنة لا نفسها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سابقاً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المالكية في البيع ونحوه غير صحيحة، بل غير معقولة، وطيب نفسهما في المعاملات طيب نفس معاملي، أو طيب نفس بالمعاملة، لا طيب مطلق،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بالبيع الفاسد كالمأخوذ غصباً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405" w:name="pg15195_150669"/>
    </w:p>
    <w:p>
      <w:pPr>
        <w:pStyle w:val="BookText"/>
        <w:rPr/>
      </w:pPr>
      <w:bookmarkEnd w:id="405"/>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دعوى امتناع تسلّط الناس على ما في ذممهم، بل صحّة المعاملات على الكلّي، موقوفة على تسلّطهم على ما في ذممهم؛ لأنّ صحّة المعاملة موقوفة على تسلّط الشخص على ما أوقع المعاملة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ما ذكره، بل الدليل على خلافه، بل لو سلّم الامتناع في غير المقام لا يسلّم فيه؛ لأنّ الكلّي على ذمّته للغير، ولا مانع من تسلّطه على مال الغير في ذمّته بتسليطه، فيصحّ بيعه وصلحه، كما لو وكّله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بسقوط الدين عن الذمّة، فلا بدّ وأن يقال بلزوم المعاطاة، لا لما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الترادّ</w:t>
      </w:r>
      <w:r>
        <w:rPr>
          <w:rStyle w:val="FootnoteAnchor"/>
          <w:rtl w:val="true"/>
        </w:rPr>
        <w:footnoteReference w:id="644"/>
      </w:r>
      <w:r>
        <w:rPr>
          <w:rFonts w:ascii="Amiri" w:hAnsi="Amiri" w:eastAsia="Amiri" w:cs="Amiri"/>
          <w:color w:val="111111"/>
          <w:sz w:val="28"/>
          <w:sz w:val="28"/>
          <w:szCs w:val="28"/>
          <w:rtl w:val="true"/>
          <w:lang w:bidi="ar-SA"/>
        </w:rPr>
        <w:t xml:space="preserve">، بل لما ذكرناه سابقاً </w:t>
      </w:r>
      <w:r>
        <w:rPr>
          <w:rStyle w:val="FootnoteAnchor"/>
          <w:rtl w:val="true"/>
        </w:rPr>
        <w:footnoteReference w:id="645"/>
      </w:r>
      <w:r>
        <w:rPr>
          <w:rFonts w:ascii="Amiri" w:hAnsi="Amiri" w:eastAsia="Amiri" w:cs="Amiri"/>
          <w:color w:val="111111"/>
          <w:sz w:val="28"/>
          <w:sz w:val="28"/>
          <w:szCs w:val="28"/>
          <w:rtl w:val="true"/>
          <w:lang w:bidi="ar-SA"/>
        </w:rPr>
        <w:t>من أنّ مقتضى أدلّة لزوم المعاملات تمامية الأسباب العقلائية في التأثير، ومع قيام الإجماع على عدم اللزوم في ظرف بقاء العينين، يستفاد منه ومن إطلاق الأدلّة أنّ تأثير السبب مشروط بعدم بقاء العينين على ما هما عليه، ومع سقوط إحداهما يؤثّر السبب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القول بعدم السقوط، فإن قام الإجماع على الجواز حتّى في مثل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المعاطاة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فالأصل اللزوم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495455_2142443653"/>
      <w:bookmarkStart w:id="407" w:name="_Toc143"/>
      <w:bookmarkEnd w:id="406"/>
      <w:r>
        <w:rPr>
          <w:rtl w:val="true"/>
        </w:rPr>
        <w:t>حكم انتقال العوضين على القول بالملك</w:t>
      </w:r>
      <w:bookmarkEnd w:id="40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نقلت العينان أو إحداهما بعقد جائز أو لازم، فمقتضى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أصالة اللزوم في غير مورد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لزومها؛ لعدم ثبوته على فرض تحقّقه في 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مّا التشبّث بامتناع الترادّ،</w:t>
      </w:r>
      <w:r>
        <w:rPr>
          <w:rStyle w:val="FootnoteAnchor"/>
          <w:rtl w:val="true"/>
        </w:rPr>
        <w:footnoteReference w:id="646"/>
      </w:r>
      <w:r>
        <w:rPr>
          <w:rFonts w:ascii="Amiri" w:hAnsi="Amiri" w:eastAsia="Amiri" w:cs="Amiri"/>
          <w:color w:val="111111"/>
          <w:sz w:val="28"/>
          <w:sz w:val="28"/>
          <w:szCs w:val="28"/>
          <w:rtl w:val="true"/>
          <w:lang w:bidi="ar-SA"/>
        </w:rPr>
        <w:t>فغير وجيه؛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بالترادّ ليس الخارجي منه، والترادّ الاعتباري تبع للفسخ، وهو ممكن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الخيار والجواز في المقام قائمان بالعقد، ومع حلّه ترجع العين إلى محلّها الأوّل اعتباراً، حتّى في مورد تلفها حقيقة أو حكماً كالنقل لازماً، ولازم رجوع العين استحقاق الطرف نفس العين، لكن مع فقدها يكون حكمه العقلائي ردّ ما هو الأقرب إليها من المثل أو القيمة، نظير ما قد يقال في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رجوع العين إلى الفاسخ صيرورتها مملوكة له، مع أنّها مملوكة للمشتري الثاني، ولا تعقل مملوكية شيءٍ واحد بتمامه لشخصين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التالفة أو ما بحكمها تعتبر بالفسخ على عهدة الطرف، ولا محذور في كون شيء واحد ملك شخص وعلى عهدة أشخاص متعدّدين، كالأيادي المتعاقبة على عين مغصوبة، فإنّ كلاًّ منهم على عهدته العين على قول</w:t>
      </w:r>
      <w:r>
        <w:rPr>
          <w:rStyle w:val="FootnoteAnchor"/>
          <w:rtl w:val="true"/>
        </w:rPr>
        <w:footnoteReference w:id="648"/>
      </w:r>
      <w:r>
        <w:rPr>
          <w:rFonts w:ascii="Amiri" w:hAnsi="Amiri" w:eastAsia="Amiri" w:cs="Amiri"/>
          <w:color w:val="111111"/>
          <w:sz w:val="28"/>
          <w:sz w:val="28"/>
          <w:szCs w:val="28"/>
          <w:rtl w:val="true"/>
          <w:lang w:bidi="ar-SA"/>
        </w:rPr>
        <w:t>فيجب عليه ردّها أو ردّ مثلها أو قيمتها، مع أنّها مملوكة للمالك المغصوب منه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للعقلاء أحكاماً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عبارة عن حلّ العقد، ومقتضاه رجوع كلّ ما وقعت عليه المعاقدة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الخيارات العقلائية لا تسقط بالتلف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 الخيار حقّ قائم بالعقد، وهو حكم ثالث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تلك الأحكام أنّه مع تلف العين أو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انفسخ العقد بفسخ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العين اعتباراً إلى مالكها الأصلي بنحو ما مرّ؛ لأنّ رجوع المثل أو القيمة ليس حلاًّ للعقد، أو لازم حلّه؛ لعدم وقوعه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رجوع التالف أو ما بحكمه إلى المالك الأوّلي بالفسخ، استحقاقه لنفس العين، ولهذا لو رجع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خرق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للمالك الرجوع إليه لدى العقلاء، وليس ذلك إلاّ لأنّ الفسخ يوجب الهدم، وهو يوجب استرجاع العين، ومع فقدها يكون إعطاء المثل أو القيمة بدلاً؛ لكونهما بمنزلتها وأقرب إليها، لا لرجوع المثل أو القيمة عند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للبيع لازماً عقلائياً، هو عهدة تسليم العوضين؛ بحيث لو تعذّر التسليم من الأوّل، كان العقد باطلاً أو كان خيارياً، ولو تعذّر بعد ما لم يكن في زمان العقد متعذّراً، صار خيارياً، ومع التعذّر لا يرجع إلى المثل أو القيمة؛ لعدم وقوع العقد عليهما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والفسخ ليس له شأن إلاّ هدم العقد، ومع هدمه يكون لكلّ من الطرفين عهدة إرجاع العين إلى صاحبها؛ لأنّ التسليم مقتضى المعاوضة، ومع هدمها فاللازم عند العقلاء عهدة تسليم العين، ومع التعذّر يرجع إلى الأقرب إليها؛ من المثل أو القيمة، ولا معنى للخيار هاهنا</w:t>
      </w:r>
      <w:r>
        <w:rPr>
          <w:rFonts w:eastAsia="Amiri" w:cs="Amiri" w:ascii="Amiri" w:hAnsi="Amiri"/>
          <w:color w:val="111111"/>
          <w:sz w:val="28"/>
          <w:szCs w:val="28"/>
          <w:rtl w:val="true"/>
          <w:lang w:bidi="ar-SA"/>
        </w:rPr>
        <w:t xml:space="preserve">. </w:t>
      </w:r>
      <w:bookmarkStart w:id="408" w:name="pg15195_150672"/>
    </w:p>
    <w:p>
      <w:pPr>
        <w:pStyle w:val="BookText"/>
        <w:rPr/>
      </w:pPr>
      <w:bookmarkEnd w:id="408"/>
      <w:r>
        <w:rPr>
          <w:rFonts w:ascii="Amiri" w:hAnsi="Amiri" w:eastAsia="Amiri" w:cs="Amiri"/>
          <w:color w:val="111111"/>
          <w:sz w:val="28"/>
          <w:sz w:val="28"/>
          <w:szCs w:val="28"/>
          <w:rtl w:val="true"/>
          <w:lang w:bidi="ar-SA"/>
        </w:rPr>
        <w:t>والفرق بين هذا والذي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السابق مبنيّ على كون العين على العهدة، نظير ضمان اليد على قول</w:t>
      </w:r>
      <w:r>
        <w:rPr>
          <w:rStyle w:val="FootnoteAnchor"/>
          <w:rtl w:val="true"/>
        </w:rPr>
        <w:footnoteReference w:id="649"/>
      </w:r>
      <w:r>
        <w:rPr>
          <w:rFonts w:ascii="Amiri" w:hAnsi="Amiri" w:eastAsia="Amiri" w:cs="Amiri"/>
          <w:color w:val="111111"/>
          <w:sz w:val="28"/>
          <w:sz w:val="28"/>
          <w:szCs w:val="28"/>
          <w:rtl w:val="true"/>
          <w:lang w:bidi="ar-SA"/>
        </w:rPr>
        <w:t>وهذا مبنيّ على عهدة التسليم، نظير الكفالة والضمان على قول العامّة فإنّه عهدة أداء ما في ذمّة الغير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تصحيح ذلك 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الواقع على عين خارجية وقع على شخصها، ونوعها، وماليتها، التي هي من أعراضها الاعتبارية، ومع فقد الشخص تبقى نوعيتها وماليتها، وردّ المثل ردّهما، ومع فقد المثل تبقى قيمتها، فيجب ردّها </w:t>
      </w:r>
      <w:r>
        <w:rPr>
          <w:rStyle w:val="FootnoteAnchor"/>
          <w:rtl w:val="true"/>
        </w:rPr>
        <w:footnoteReference w:id="651"/>
      </w:r>
      <w:r>
        <w:rPr>
          <w:rFonts w:ascii="Amiri" w:hAnsi="Amiri" w:eastAsia="Amiri" w:cs="Amiri"/>
          <w:color w:val="111111"/>
          <w:sz w:val="28"/>
          <w:sz w:val="28"/>
          <w:szCs w:val="28"/>
          <w:rtl w:val="true"/>
          <w:lang w:bidi="ar-SA"/>
        </w:rPr>
        <w:t>، فغير مرضيّ؛ لأنّ النوع الموجود بوجود الشخص غير قابل للصدق على غيره، وما هو قابل له لم يقع عليه العقد؛ ضرورة عدم وقوع العقد على جزئي وكلّي، ويأتي ما ذكر، في القيمة أيضاً، هذا على القول بالملك</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495457_2142443653"/>
      <w:bookmarkStart w:id="410" w:name="_Toc144"/>
      <w:bookmarkEnd w:id="409"/>
      <w:r>
        <w:rPr>
          <w:rtl w:val="true"/>
        </w:rPr>
        <w:t>حكم انتقال العوضين على القول بالإباحة</w:t>
      </w:r>
      <w:bookmarkEnd w:id="410"/>
    </w:p>
    <w:p>
      <w:pPr>
        <w:pStyle w:val="BookText"/>
        <w:rPr/>
      </w:pPr>
      <w:r>
        <w:rPr>
          <w:rFonts w:ascii="Amiri" w:hAnsi="Amiri" w:eastAsia="Amiri" w:cs="Amiri"/>
          <w:color w:val="111111"/>
          <w:sz w:val="28"/>
          <w:sz w:val="28"/>
          <w:szCs w:val="28"/>
          <w:rtl w:val="true"/>
          <w:lang w:bidi="ar-SA"/>
        </w:rPr>
        <w:t>وأمّا على الإباحة،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التصرّف الموقوف على الملك، هو صيرورة ذلك ملكاً للناقل آناً ما، فمقتضى أصالة اللزوم صيرورة المعاطاة لازمة بعد النقل، بعد ما كان للّزوم أثر، وهو عدم صحّة حلّ العقد، اللازم منه الرجوع بالمثل أو القيمة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بعدم ملكيته له آناً ما، فالتمسّك بأصالة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الملك بعد </w:t>
      </w:r>
    </w:p>
    <w:p>
      <w:pPr>
        <w:pStyle w:val="BookText"/>
        <w:rPr/>
      </w:pPr>
      <w:r>
        <w:rPr>
          <w:rFonts w:ascii="Amiri" w:hAnsi="Amiri" w:eastAsia="Amiri" w:cs="Amiri"/>
          <w:color w:val="111111"/>
          <w:sz w:val="28"/>
          <w:sz w:val="28"/>
          <w:szCs w:val="28"/>
          <w:rtl w:val="true"/>
          <w:lang w:bidi="ar-SA"/>
        </w:rPr>
        <w:t xml:space="preserve">النقل والتمليك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لازمها سببية العقد لملكية ما هو ملك للغير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الإجماع على عدم تأثير السبب، غير المورد، فمقتضى إطلاق السببية حصول الملك قبل النقل آناً ما، فيتحقّق به موضوع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عادت العين فإمّا أن يكون بفسخ، أو إقالة، أو سبب جديد من إرث،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بالفسخ أو الإقالة، فعلى ما ذكرناه من أصالة اللزوم، وأصالة استقلال السبب، فلا كلام، ومع الغضّ عنه والتشبّث بعدم إمكان الردّ،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والإقالة عند العقلاء هو حلّ العقد، وإرجاع العين إلى الحالة الاُولى، ورجوع الملكية الاُولى، لا ملكية جديدة، فهي من قبيل إعادة المعدوم عرفاً، وليست المسألة عقلية،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العقلاء في الفسخ هو استرجاع الملكية الاُولى، فعليه لا يمتنع الردّ والاسترداد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عادت بملكية حادثة، يمكن أن يلتزم بجواز الردّ؛ لأنّ الفسخ عبارة عن حلّ العقد، وبحلّه لدى العقلاء ترجع نفس العين إلى من انتقلت عنه، حتّى مع تلفها كما تقدّم، فحينئذٍ لو فسخ العقد والعين موجودة في ملكه ولو بملك جديد، يكون مقتضى حلّ العقد رجوعها بنفسها، لا بمثلها أو قيمتها؛ إذ لم يتعلّق العقد بهما حتّى يكون مقتضى حلّه رجوعهما،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الترادّ، غير وجيه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شأن للفسخ إلاّ حلّ العقد، وأمّا رجوع العين فليس مقتضى الفسخ، بل مع حلّ العقد تصير العين ملكاً للبائع </w:t>
      </w:r>
    </w:p>
    <w:p>
      <w:pPr>
        <w:pStyle w:val="BookText"/>
        <w:rPr/>
      </w:pPr>
      <w:r>
        <w:rPr>
          <w:rFonts w:ascii="Amiri" w:hAnsi="Amiri" w:eastAsia="Amiri" w:cs="Amiri"/>
          <w:color w:val="111111"/>
          <w:sz w:val="28"/>
          <w:sz w:val="28"/>
          <w:szCs w:val="28"/>
          <w:rtl w:val="true"/>
          <w:lang w:bidi="ar-SA"/>
        </w:rPr>
        <w:t xml:space="preserve">بالسبب السابق، وإنّما تصير ملكاً له لولا المانع، ومعه لا ترجع إليه، كما إذا كانت تالفة حقيقة أو حكماً، لكن لازم الفسخ كون الطرفين ملزمين بردّ العوضين إلى صاحبهما، فيكون لهما عهدة الردّ، كما تكون عهدة التسليم في البيع، ولزوم التسليم إنّما هو مع بقاء العين، ومع تلفها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هو الأقرب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غير فرق بين حصول الملك الجديد وعدمه، فلو عادت بفسخ أو ملك جديد يكون مقتضى عهدة الردّ ردّها، والاحتمالات الاُخر مبنيّة على مبنى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فسخ في حالٍ كانت العين للمفسوخ عليه بفسخ أو ملك جديد، فمقتضى فسخه حلّ المعاوضة، فحينئذٍ ترجع العين إلى ملك الفاسخ بالسبب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بينه وبين عروض ملكٍ للغير؛ لأنّ العقد باقٍ عرفاً واعتباراً، ولم تسلب من العوضين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المنافاة بينها وبين المعاوضة الاُخرى عليهما، فبعد حلّ العقد ترجع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المملوكة للمفسوخ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الفاسخ بالسبب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التصرّفات الناقلة أو الموقوفة على الملك، موجبة لسقوط الردّ مطلقاً؛ لأنّ العين تخرج بها عمّا هي عليها، ولا بدّ في الردّ من بقائها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هي عليها، كما في خيار العيب، والجواز هاهنا كخيار العيب</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كما ترى مصادرة ظاهرة؛ لأنّ المدّعى أنّه بالنقل يسقط الردّ، والدليل المذكور أنّ العين لمّا خرجت عمّا هي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انتقلت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ردّها، وهو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بالجواز هو ردّ العين في هذه المعاوضة، ومع تخلّل معاوضة اُخرى ينتفي موضوع الجواز، فالموضوع معلوم الارتفاع</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العقد، وهو معلوم البقاء اعتباراً مع ترتّب الأثر عليه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المعاوضة الثانية موجبة لانعدام المعاوضة الاُولى، فاسد؛ لعدم التزاحم والتضادّ بينهما، ولهذا يكون النقل بالبيع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الخياري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الموضوع هو العين، فهي أيضاً باقية ذاتاً وصفة؛ أي بما هي متعلّقة للمعاوضة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بالفرق بين المقام والخيار؛ بأنّ في الخيار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الزائل العائد كالذي لم يزل، وفي المقام يكون الزائل العائد كالذي لم يعد</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شعري لم يصحّ حتّى في مقام الخطابة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قدّس سرّه تعرّض لفروع في ذيل كلامه</w:t>
      </w:r>
      <w:r>
        <w:rPr>
          <w:rStyle w:val="FootnoteAnchor"/>
          <w:rtl w:val="true"/>
        </w:rPr>
        <w:footnoteReference w:id="655"/>
      </w:r>
      <w:r>
        <w:rPr>
          <w:rFonts w:ascii="Amiri" w:hAnsi="Amiri" w:eastAsia="Amiri" w:cs="Amiri"/>
          <w:color w:val="111111"/>
          <w:sz w:val="28"/>
          <w:sz w:val="28"/>
          <w:szCs w:val="28"/>
          <w:rtl w:val="true"/>
          <w:lang w:bidi="ar-SA"/>
        </w:rPr>
        <w:t>لا ثمرة فيها، ولهذا أعرضنا عنها وعن بعض التنبيهات غير المفيدة</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5195_150677"/>
      <w:bookmarkStart w:id="412" w:name="pg15195_150677"/>
      <w:bookmarkEnd w:id="412"/>
    </w:p>
    <w:p>
      <w:pPr>
        <w:pStyle w:val="Heading3"/>
        <w:numPr>
          <w:ilvl w:val="2"/>
          <w:numId w:val="1"/>
        </w:numPr>
        <w:rPr/>
      </w:pPr>
      <w:bookmarkStart w:id="413" w:name="pg15195_150677"/>
      <w:bookmarkStart w:id="414" w:name="__RefHeading___Toc2495459_2142443653"/>
      <w:bookmarkStart w:id="415" w:name="_Toc145"/>
      <w:bookmarkEnd w:id="413"/>
      <w:bookmarkEnd w:id="414"/>
      <w:r>
        <w:rPr>
          <w:rtl w:val="true"/>
        </w:rPr>
        <w:t>القسم الثاني</w:t>
      </w:r>
      <w:bookmarkEnd w:id="415"/>
    </w:p>
    <w:p>
      <w:pPr>
        <w:pStyle w:val="Heading4"/>
        <w:numPr>
          <w:ilvl w:val="3"/>
          <w:numId w:val="1"/>
        </w:numPr>
        <w:rPr/>
      </w:pPr>
      <w:bookmarkStart w:id="416" w:name="__RefHeading___Toc2495461_2142443653"/>
      <w:bookmarkStart w:id="417" w:name="_Toc146"/>
      <w:bookmarkEnd w:id="416"/>
      <w:r>
        <w:rPr>
          <w:rtl w:val="true"/>
        </w:rPr>
        <w:t>اشارة</w:t>
      </w:r>
      <w:bookmarkEnd w:id="41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البيع بالصيغة وما يتعلّق به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5195_150679"/>
      <w:bookmarkStart w:id="419" w:name="pg15195_150679"/>
      <w:bookmarkEnd w:id="419"/>
    </w:p>
    <w:p>
      <w:pPr>
        <w:pStyle w:val="Heading4"/>
        <w:numPr>
          <w:ilvl w:val="3"/>
          <w:numId w:val="1"/>
        </w:numPr>
        <w:rPr/>
      </w:pPr>
      <w:bookmarkStart w:id="420" w:name="pg15195_150679"/>
      <w:bookmarkStart w:id="421" w:name="__RefHeading___Toc2495463_2142443653"/>
      <w:bookmarkStart w:id="422" w:name="_Toc147"/>
      <w:bookmarkEnd w:id="420"/>
      <w:bookmarkEnd w:id="421"/>
      <w:r>
        <w:rPr>
          <w:rtl w:val="true"/>
        </w:rPr>
        <w:t>فصل في ألفاظ عقد البيع</w:t>
      </w:r>
      <w:bookmarkEnd w:id="422"/>
    </w:p>
    <w:p>
      <w:pPr>
        <w:pStyle w:val="Heading5"/>
        <w:numPr>
          <w:ilvl w:val="4"/>
          <w:numId w:val="1"/>
        </w:numPr>
        <w:rPr/>
      </w:pPr>
      <w:bookmarkStart w:id="423" w:name="__RefHeading___Toc2495465_2142443653"/>
      <w:bookmarkStart w:id="424" w:name="_Toc148"/>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قد مرّ في بحث المعاطاة أنّها بيع صحيح لازم كسائر البيوع، وهي متعارفة بين العقلاء</w:t>
      </w:r>
      <w:r>
        <w:rPr>
          <w:rStyle w:val="FootnoteAnchor"/>
          <w:rtl w:val="true"/>
        </w:rPr>
        <w:footnoteReference w:id="656"/>
      </w:r>
      <w:r>
        <w:rPr>
          <w:rFonts w:ascii="Amiri" w:hAnsi="Amiri" w:eastAsia="Amiri" w:cs="Amiri"/>
          <w:color w:val="111111"/>
          <w:sz w:val="28"/>
          <w:sz w:val="28"/>
          <w:szCs w:val="28"/>
          <w:rtl w:val="true"/>
          <w:lang w:bidi="ar-SA"/>
        </w:rPr>
        <w:t xml:space="preserve">، كما أنّ البيع بالصيغة أيضاً متعارف، فالتعاطي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أسباب إنشاء البيع، ولولا دليل على الخلاف كان مقتضى القواعد صحّة البيع بالصيغة ولزومه، بلا شرط وعلى نحو الإطلاق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ما مرّ من لزوم المعاطاة وصحّتها، مع البحث عن شرائط الصيغة؛ لاحتمال اعتبار الشارع في خصوص صيغة البيع شرائط للصحّة أو اللزوم، ومع فقدها يقع البيع فاسداً؛ لأنّ ما وقع هي الصيغة الفاقدة لشرط التأثير، وهي غير صحيحة ولا مؤثّرة، ولم يقع سبب آخر كفعل؛ من إعطاء وأخذ، أو إشارة، أو نحوهما، ومع فقد السبب الفعلي مطلقاً، والسبب القولي الصحيح، لا وجه لوقوع البيع؛ لا معاطاة، ولا بالصيغة</w:t>
      </w:r>
      <w:r>
        <w:rPr>
          <w:rFonts w:eastAsia="Amiri" w:cs="Amiri" w:ascii="Amiri" w:hAnsi="Amiri"/>
          <w:color w:val="111111"/>
          <w:sz w:val="28"/>
          <w:szCs w:val="28"/>
          <w:rtl w:val="true"/>
          <w:lang w:bidi="ar-SA"/>
        </w:rPr>
        <w:t xml:space="preserve">. </w:t>
      </w:r>
      <w:bookmarkStart w:id="425" w:name="pg15195_150680"/>
    </w:p>
    <w:p>
      <w:pPr>
        <w:pStyle w:val="BookText"/>
        <w:rPr/>
      </w:pPr>
      <w:bookmarkEnd w:id="425"/>
      <w:r>
        <w:rPr>
          <w:rFonts w:ascii="Amiri" w:hAnsi="Amiri" w:eastAsia="Amiri" w:cs="Amiri"/>
          <w:color w:val="111111"/>
          <w:sz w:val="28"/>
          <w:sz w:val="28"/>
          <w:szCs w:val="28"/>
          <w:rtl w:val="true"/>
          <w:lang w:bidi="ar-SA"/>
        </w:rPr>
        <w:t>ولا دليل على أنّه لو لم يراعَ شرائط صحّة الصيغة يقع البيع معاطاة، بل الدليل على خلافه، سيّما مع القول بلزوم المعاطاة، كما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اعتبر في العقد بالصيغة شرائط للّزوم، فمع عدم مراعاتها يقع صحيحاً غير لازم، فحينئذٍ يكون للبيع المعاطاتي مصداق واحد، وهو الصحيح اللازم، وللبيع بالصيغة مصداقان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روعيت فيه شرائط اللزوم، فيقع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تراعَ فيه، فيقع صحيحاً غير لازم؛ بمقتضى دليل الصحّة، ودليل اعتبار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الفاسد منهما فلا كلام فيه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495467_2142443653"/>
      <w:bookmarkStart w:id="427" w:name="_Toc149"/>
      <w:bookmarkEnd w:id="426"/>
      <w:r>
        <w:rPr>
          <w:rtl w:val="true"/>
        </w:rPr>
        <w:t>تحقّق البيع بالإشارة والكتابة وغيرهما</w:t>
      </w:r>
      <w:bookmarkEnd w:id="427"/>
    </w:p>
    <w:p>
      <w:pPr>
        <w:pStyle w:val="BookText"/>
        <w:rPr/>
      </w:pPr>
      <w:r>
        <w:rPr>
          <w:rFonts w:ascii="Amiri" w:hAnsi="Amiri" w:eastAsia="Amiri" w:cs="Amiri"/>
          <w:color w:val="111111"/>
          <w:sz w:val="28"/>
          <w:sz w:val="28"/>
          <w:szCs w:val="28"/>
          <w:rtl w:val="true"/>
          <w:lang w:bidi="ar-SA"/>
        </w:rPr>
        <w:t xml:space="preserve">ثمّ إنّ هاهنا كلاماً آخر، وهو أنّه لا إشكال في تعارف العقد المعاطاتي بالإعطاء والأخذ، وكذا في تعارف العقد بالصيغة، كما لا شبهة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بل قد مرّ 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عليهما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البيع عرفاً ولدى العقلاء منحصر بهما؟ أو يكون البيع بالإشارة، بل بكلّ مظهر؛ كتابةً، أو إشارةً، أو غيرهما، بيعاً عقلائياً؛ بدعوى أنّ البيع ليس إلاّ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المبادلة بين المالين، أو تمليك عين بعوض، فالإشارة المفهمة والكتابة وغيرهما، آلات لإنشاء المعنى الاعتباري، وليس للفظ ولا لعمل خاصّ، خصوصية في </w:t>
      </w:r>
    </w:p>
    <w:p>
      <w:pPr>
        <w:pStyle w:val="BookText"/>
        <w:rPr/>
      </w:pPr>
      <w:r>
        <w:rPr>
          <w:rFonts w:ascii="Amiri" w:hAnsi="Amiri" w:eastAsia="Amiri" w:cs="Amiri"/>
          <w:color w:val="111111"/>
          <w:sz w:val="28"/>
          <w:sz w:val="28"/>
          <w:szCs w:val="28"/>
          <w:rtl w:val="true"/>
          <w:lang w:bidi="ar-SA"/>
        </w:rPr>
        <w:t>ذلك، فالإشارة وسائر المبرزات آلات للإنشاء في عرض واحد، وكلّ منها سبب مستقلّ لإيقاع المعاملة؟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البيع وإن كانت المبادلة، لكن لا بدّ في تحقّقها من سبب عقلائي، واللفظ والتعاطي سببان عقلائيان بلا شبهة، وأمّا سائر المبرزات فليست من الأسباب العقلائية لإيجاد الطبيعة، وإن كانت بواسطة القرائن مفهمة للمقصود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المتعاملين لو تقاولا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إيجابي هو العطسة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وقبولك وضع الكفّ على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على ما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والإشارة بالحاجب والسبلة لا تقصر عن ذلك، فهي وأمثالها ليست أسباباً عقلائية، ولا تتحقّق الماهية بها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قلنا بأنّ إشارة الأخرس سبب عقلائي في عرض سائر الأسباب، لا تكون قائمة مقام اللفظ، بل هي سبب كاللفظ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الإشارة إذا لم تكن سبباً عقلائياً، فلا بدّ من الالتزام بأنّ العجز شرط في السبب، فيكون المؤثّر الإشارة الصادرة من الأخرس؛ بحيث يكون السبب مركّباً من الإشارة، وقيد الخرس،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إشارته قائمة مقام السبب، فلا بدّ في الصحّة والنفوذ من دليل خاصّ، غير الأدلّة العامّة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يمكن المناقشة في إطلاق أدلّة التنفيذ وعمومها لمثل هذا الفرد النادر الوقوع جدّاً، بدعوى انصرافها عن مثله، وصرف ندرة الوجود وإن لم توجب الانصراف، لكن تعارف القسمين المتقدّمين، وعدم تعارف غيرهما، </w:t>
      </w:r>
    </w:p>
    <w:p>
      <w:pPr>
        <w:pStyle w:val="BookText"/>
        <w:rPr/>
      </w:pPr>
      <w:r>
        <w:rPr>
          <w:rFonts w:ascii="Amiri" w:hAnsi="Amiri" w:eastAsia="Amiri" w:cs="Amiri"/>
          <w:color w:val="111111"/>
          <w:sz w:val="28"/>
          <w:sz w:val="28"/>
          <w:szCs w:val="28"/>
          <w:rtl w:val="true"/>
          <w:lang w:bidi="ar-SA"/>
        </w:rPr>
        <w:t>وندرة وجوده بحيث يلحق بالعدم، ربّما يوجب صرف الأذهان عنه، وانصراف الأدلّة، وفي مثله لا بدّ في نفوذه من دليل؛ لعدم تعارفه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متعارف، ولم يردع عنه الشارع، فهو ممضى، ولولا دليل خاصّ، لم يسعنا الحكم بصحّته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ينكر عدم التعارف؛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متعارف في بعض الظروف والحالات، وهو كافٍ في عدم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لأنّ ما هو المتعارف هو بيع الأخرس ومعاملته؛ بنحو المعاطاة والإشارات القبلية، كالمقاولات لتعيين المبيع والقيمة مثلاً، وأمّا كون إشارته لإيقاع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الأخرس مستثنى من سائر العقلاء الذين تكون مبايعتهم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مسلّم، بل مسلّم الخلاف، فالشائع في الظرف الخاصّ هو معاملة الأخرس، لا بيعه بالإشارة في مقام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يوقع بالإشارة حقيقة، لا محيص عن القول بعدم صدقه بالنسبة إلى بيع الأخرس بها؛ لأنّ ماهية البيع لا تختلف بالنسبة إلى الناطق وغيره، إلاّ أن يلتزم بالاشتراك اللفظي، وهو كما ترى،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إشارة الأخرس سبب عقلائي، دون إشارة غيره، وهو أيضاً غير مرضيّ،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بأنّ بيع الأخرس ملحق بالبيع، وهو يحتاج إلى الدليل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صادق على البيع بالإشارة حتّى من غير الأخرس، فلازمه أنّ بيعه يقع بالفعل، ولا يكون قائماً مقام البيع بالصيغة؛ لأنّ المفروض أنّ الإشارة أحد الأسباب في قبال اللفظ وسائر الأفعال، فلا فرق بين </w:t>
      </w:r>
      <w:bookmarkStart w:id="428" w:name="pg15195_150683"/>
    </w:p>
    <w:p>
      <w:pPr>
        <w:pStyle w:val="BookText"/>
        <w:rPr/>
      </w:pPr>
      <w:bookmarkEnd w:id="428"/>
      <w:r>
        <w:rPr>
          <w:rFonts w:ascii="Amiri" w:hAnsi="Amiri" w:eastAsia="Amiri" w:cs="Amiri"/>
          <w:color w:val="111111"/>
          <w:sz w:val="28"/>
          <w:sz w:val="28"/>
          <w:szCs w:val="28"/>
          <w:rtl w:val="true"/>
          <w:lang w:bidi="ar-SA"/>
        </w:rPr>
        <w:t>إشارة الأخرس وغيره؛ في أنّها آلة لإيجاد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إشارة غير الأخرس لا تقوم مقام لفظه، كذلك إشارة الأخرس،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قادر على إيجاد البيع باللفظ والإشارة وسائر الأفعال، والأخرس عاجز عن إيقاعه باللفظ، فكما أنّ العاجز عن الكتابة لا تقوم إشارته مقام كتبه أو لفظه، كذلك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إشارة الأخرس كإشارة غيره، آلة لإيقاع البيع بلا وسط وابتداءً في عرض اللفظ، ولا تكون إشارته إشارة إلى اللفظ والإيقاع باللفظ المشار إليه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495469_2142443653"/>
      <w:bookmarkStart w:id="430" w:name="_Toc150"/>
      <w:bookmarkEnd w:id="429"/>
      <w:r>
        <w:rPr>
          <w:rtl w:val="true"/>
        </w:rPr>
        <w:t>تفصيل المحقّق الأصفهاني بالنسبة إلى الأخرس</w:t>
      </w:r>
      <w:bookmarkEnd w:id="430"/>
    </w:p>
    <w:p>
      <w:pPr>
        <w:pStyle w:val="BookText"/>
        <w:rPr/>
      </w:pPr>
      <w:r>
        <w:rPr>
          <w:rFonts w:ascii="Amiri" w:hAnsi="Amiri" w:eastAsia="Amiri" w:cs="Amiri"/>
          <w:color w:val="111111"/>
          <w:sz w:val="28"/>
          <w:sz w:val="28"/>
          <w:szCs w:val="28"/>
          <w:rtl w:val="true"/>
          <w:lang w:bidi="ar-SA"/>
        </w:rPr>
        <w:t>فما قال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الأخرس كغيره له عهد مؤكّد، وعهد غير مؤكّد، والإشارة منه عهد مؤكّد، كاللفظ من غيره، فليس مجرّد كون الإشارة فعلاً، موجباً لكون معاملة الأخرس معاطاةً دائماً، أو أنّ فعله منزّل منزلة القول من غيره دائماً، بل له سنخان من العهد كما في غيره؛ بلحاظ قوّة الدلالة على مقصده، وضعفها نوعاً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لأنّ إشارته إن كانت باعتبار قوّة دلالتها عهداً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الغضّ عن عدم صحّة المبنى، وعدم الفرق بين الإشارة وسائر الأفعال، والغضّ عن عدم الاختلاف لدى العقلاء في عقد المعاطاة وغيرها في الصحّة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أن تقوم إشارة غير الأخرس أيضاً مقام لفظه في ذلك، ولازمه الالتزام بأنّ </w:t>
      </w:r>
      <w:bookmarkStart w:id="431" w:name="pg15195_150684"/>
    </w:p>
    <w:p>
      <w:pPr>
        <w:pStyle w:val="BookText"/>
        <w:rPr/>
      </w:pPr>
      <w:bookmarkEnd w:id="431"/>
      <w:r>
        <w:rPr>
          <w:rFonts w:ascii="Amiri" w:hAnsi="Amiri" w:eastAsia="Amiri" w:cs="Amiri"/>
          <w:color w:val="111111"/>
          <w:sz w:val="28"/>
          <w:sz w:val="28"/>
          <w:szCs w:val="28"/>
          <w:rtl w:val="true"/>
          <w:lang w:bidi="ar-SA"/>
        </w:rPr>
        <w:t>عقد المعاطاة عبارة عن الأخذ والإعطاء، وأمّا الإشارة ونحوها ممّا لها قوّة الدلالة، فتكون كالعقود اللفظية، ولا أظنّ التزامهم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قاله رحمه الله علیه في خلال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الإشارة من مثل الأخرس عهد مؤكّد غير مرضيّ؛ لأنّ الإشارة بلحاظ رفع الاشتباه تكون كذلك كما صرّح به القائل، وهو مشترك بين الأخرس وغيره، ورفع الاشتباه ليس من الاُمور النسبية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قوّة الدلالة على تبديل العينين وعلى مقاصد المتبايعين، غير مؤكّدية العهد، فصراحة الدلالة على التبديل كظهور الدلالة عليه لا تفيد مؤكّدية العهد، فلا بدّ في مؤكّديته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موضوع اللزوم العهد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غير الدلالة على أصل التبديل</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495471_2142443653"/>
      <w:bookmarkStart w:id="433" w:name="_Toc151"/>
      <w:bookmarkEnd w:id="432"/>
      <w:r>
        <w:rPr>
          <w:rtl w:val="true"/>
        </w:rPr>
        <w:t>تقسيم إشارة الأخرس</w:t>
      </w:r>
      <w:bookmarkEnd w:id="433"/>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إشارة الأخرس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آلة لإيقاع المبادلة، فهي كسائر الأسباب، سبب ابتدائي له، وليست قائمة مقام اللفظ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إشارة إلى سبب آخر هو اللفظ؛ ليكون ذلك آلة لإيجاد المعاملة، وهي قائمة مقام اللفظ؛ لأنّ ما هو السبب لإيقاعها هو اللفظ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إشارته تارةً تكون سبباً، واُخرى إشارة إلى السبب، فالأوّل في عرض سائر الأسباب، والثاني قائم مقام السبب اللفظي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تصوّر الثاني لا يخلو من خفاء وغموض، بل الظاهر عدم إمكانه؛ للجمع بين اللحاظين المختلفين</w:t>
      </w:r>
      <w:r>
        <w:rPr>
          <w:rFonts w:eastAsia="Amiri" w:cs="Amiri" w:ascii="Amiri" w:hAnsi="Amiri"/>
          <w:color w:val="111111"/>
          <w:sz w:val="28"/>
          <w:szCs w:val="28"/>
          <w:rtl w:val="true"/>
          <w:lang w:bidi="ar-SA"/>
        </w:rPr>
        <w:t xml:space="preserve">. </w:t>
      </w:r>
      <w:bookmarkStart w:id="434" w:name="pg15195_150685"/>
    </w:p>
    <w:p>
      <w:pPr>
        <w:pStyle w:val="BookText"/>
        <w:rPr/>
      </w:pPr>
      <w:bookmarkEnd w:id="434"/>
      <w:r>
        <w:rPr>
          <w:rFonts w:ascii="Amiri" w:hAnsi="Amiri" w:eastAsia="Amiri" w:cs="Amiri"/>
          <w:color w:val="111111"/>
          <w:sz w:val="28"/>
          <w:sz w:val="28"/>
          <w:szCs w:val="28"/>
          <w:rtl w:val="true"/>
          <w:lang w:bidi="ar-SA"/>
        </w:rPr>
        <w:t>بل لو فرض صحّته وإمكانه، فوقوع العقد به مشكل؛ لأنّ الإشارة إلى السبب لا توجب وجوده وتحقّقه، كما أنّ حمل كلام القوم عليه مشكل أو ممنوع</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495473_2142443653"/>
      <w:bookmarkStart w:id="436" w:name="_Toc152"/>
      <w:bookmarkEnd w:id="435"/>
      <w:r>
        <w:rPr>
          <w:rtl w:val="true"/>
        </w:rPr>
        <w:t>عدم توقّف بيع الأخرس على تحريك لسانه</w:t>
      </w:r>
      <w:bookmarkEnd w:id="436"/>
    </w:p>
    <w:p>
      <w:pPr>
        <w:pStyle w:val="BookText"/>
        <w:rPr/>
      </w:pPr>
      <w:r>
        <w:rPr>
          <w:rFonts w:ascii="Amiri" w:hAnsi="Amiri" w:eastAsia="Amiri" w:cs="Amiri"/>
          <w:color w:val="111111"/>
          <w:sz w:val="28"/>
          <w:sz w:val="28"/>
          <w:szCs w:val="28"/>
          <w:rtl w:val="true"/>
          <w:lang w:bidi="ar-SA"/>
        </w:rPr>
        <w:t>وللأخرس نوع آخر من المعاملة، يقوم مقام اللفظ عرفاً، وهو تحريك لسانه للإفادة، فإنّ تحريكه إنّما هو لإيجاد اللفظ الدالّ على المعنى، لا لإيقاع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فالأخرس إذا أراد التلفّظ يحرّك لسانه تقليداً لغيره، ولا يلزم أن يعرف الألفاظ بعناوينها،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نوع الخرسان لا يعرفونها؛ للصمم، بل تكفي المعرفة إجمالاً بأنّ غيره يوجد البيع تارةً بالفعل، واُخرى باللسان، وأراد بتحريك لسانه إيقاع المعاملة، كغيره الذي يوجد باللفظ وتحريك اللسان، كما أنّ تحريك لسانه يقوم مقام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اعتبارهم تحريك لسانه، وظاهرهم قيام إشارته مطلقاً مقام اللفظ في إفادة الصحّة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موافق للتحقيق، على فرض كونه معاملة عقلائية، وكون مطلق المعاملات العقلائية مشمولة للأدلّة، وعدم انصرافها إلى ما هو المعهود المتعارف، أو عدم انصرافها عن إشارة الأخرس، إن قلنا بانصرافها عن إشارة 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القواعد على هذا المبنى، صحّة معاملاته بالإشارة، بأيّ وجه اتّفقت، ولزومها، ومع فقد الإطلاق، لا بدّ من التماس دليل آخر على أنّ إشارة الأخرس قائمة مقام بيعه اللفظي</w:t>
      </w:r>
      <w:r>
        <w:rPr>
          <w:rFonts w:eastAsia="Amiri" w:cs="Amiri" w:ascii="Amiri" w:hAnsi="Amiri"/>
          <w:color w:val="111111"/>
          <w:sz w:val="28"/>
          <w:szCs w:val="28"/>
          <w:rtl w:val="true"/>
          <w:lang w:bidi="ar-SA"/>
        </w:rPr>
        <w:t xml:space="preserve">. </w:t>
      </w:r>
      <w:bookmarkStart w:id="437" w:name="pg15195_150686"/>
    </w:p>
    <w:p>
      <w:pPr>
        <w:pStyle w:val="Heading5"/>
        <w:numPr>
          <w:ilvl w:val="4"/>
          <w:numId w:val="1"/>
        </w:numPr>
        <w:rPr/>
      </w:pPr>
      <w:bookmarkStart w:id="438" w:name="__RefHeading___Toc2495475_2142443653"/>
      <w:bookmarkStart w:id="439" w:name="_Toc153"/>
      <w:bookmarkEnd w:id="437"/>
      <w:bookmarkEnd w:id="438"/>
      <w:r>
        <w:rPr>
          <w:rtl w:val="true"/>
        </w:rPr>
        <w:t>حكم الشكّ في صحّة المعاملة بالإشارة</w:t>
      </w:r>
      <w:bookmarkEnd w:id="439"/>
    </w:p>
    <w:p>
      <w:pPr>
        <w:pStyle w:val="BookText"/>
        <w:rPr/>
      </w:pPr>
      <w:r>
        <w:rPr>
          <w:rFonts w:ascii="Amiri" w:hAnsi="Amiri" w:eastAsia="Amiri" w:cs="Amiri"/>
          <w:color w:val="111111"/>
          <w:sz w:val="28"/>
          <w:sz w:val="28"/>
          <w:szCs w:val="28"/>
          <w:rtl w:val="true"/>
          <w:lang w:bidi="ar-SA"/>
        </w:rPr>
        <w:t>ومع الشكّ في صحّة المعاملة بها رأساً، لا يحكم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شكّ في أنّ الإشارة كافية، أو مشروطة بالعجز عن الكتابة، أو مشروطة بلوك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مراعاة القيود المحتملة؛ لعدم جريان البراءة في المحصّلات والأسباب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 جريانها في الأسباب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ترجع إلى جعل السببية والتسبيب، 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ويرفع به الشكّ عن المسبّب؛ لأنّ الشكّ في تحقّقه ووجوده ناشٍ عن الشكّ في اعتبار شرطٍ أو قيدٍ في سببه، ومع رفعهما بحديث الرفع يرفع الشكّ في تحقّقه، ويحكم بوجوده، وهو مقدّم على استصحاب عدم النقل وبقاء الملك؛ تحكيماً للأصل الجاري في السبب، على الجاري في المسبّب، ولو كان الأوّل أصل براءة، والثاني استصحاباً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 لأنّ إثبات ترتّب المسبّب على السبب، موقوف على إثبات أنّ الأقلّ تمام السبب والسبب التامّ، ومع احتماله والشكّ في نقصه وتمامه، لا يحكم بترتّبه عليه، وجريان حديث الرفع في القيد المشكوك فيه، لا يثبت كون البقيّة تمام السبب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المقام من الموضوعات المركّبة، حتّى يقال بإثبات جزءٍ بالأصل، والآخر بالوجدان، بل الأمر فيه دائر بين كون الإشارة سبباً تامّاً حتّى يترتّب عليه المسبّب، أو ناقصاً وتمامه شرط كذائي، وإذا كانت سبباً تامّاً يكون المؤثّر </w:t>
      </w:r>
      <w:bookmarkStart w:id="440" w:name="pg15195_150687"/>
    </w:p>
    <w:p>
      <w:pPr>
        <w:pStyle w:val="BookText"/>
        <w:rPr/>
      </w:pPr>
      <w:bookmarkEnd w:id="440"/>
      <w:r>
        <w:rPr>
          <w:rFonts w:ascii="Amiri" w:hAnsi="Amiri" w:eastAsia="Amiri" w:cs="Amiri"/>
          <w:color w:val="111111"/>
          <w:sz w:val="28"/>
          <w:sz w:val="28"/>
          <w:szCs w:val="28"/>
          <w:rtl w:val="true"/>
          <w:lang w:bidi="ar-SA"/>
        </w:rPr>
        <w:t>أو الموضوع للأثر نفسها؛ بلا دخالة شيء، لا نفسها وعدم شيء آخر، وما لم يحرز أنّها تمام السبب، لا يحكم بترتّب المسبّب عليها وإثبات تماميتها بالأصل مثبت، بل الأصل مثبت من ناحية اُخرى أيضاً، والتفصيل في محلّه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2495477_2142443653"/>
      <w:bookmarkStart w:id="442" w:name="_Toc154"/>
      <w:bookmarkEnd w:id="441"/>
      <w:r>
        <w:rPr>
          <w:rtl w:val="true"/>
        </w:rPr>
        <w:t>تمسّك الشيخ بفحوى روايات طلاق الأخرس لقيام الإشارة مقام اللفظ</w:t>
      </w:r>
      <w:bookmarkEnd w:id="442"/>
    </w:p>
    <w:p>
      <w:pPr>
        <w:pStyle w:val="BookText"/>
        <w:rPr/>
      </w:pPr>
      <w:r>
        <w:rPr>
          <w:rFonts w:ascii="Amiri" w:hAnsi="Amiri" w:eastAsia="Amiri" w:cs="Amiri"/>
          <w:color w:val="111111"/>
          <w:sz w:val="28"/>
          <w:sz w:val="28"/>
          <w:szCs w:val="28"/>
          <w:rtl w:val="true"/>
          <w:lang w:bidi="ar-SA"/>
        </w:rPr>
        <w:t>وقد تمسّك الشيخ الأعظم قدّس سرّه بفحوى روايات طلاق الأخرس</w:t>
      </w:r>
      <w:r>
        <w:rPr>
          <w:rStyle w:val="FootnoteAnchor"/>
          <w:rtl w:val="true"/>
        </w:rPr>
        <w:footnoteReference w:id="661"/>
      </w:r>
      <w:r>
        <w:rPr>
          <w:rFonts w:ascii="Amiri" w:hAnsi="Amiri" w:eastAsia="Amiri" w:cs="Amiri"/>
          <w:color w:val="111111"/>
          <w:sz w:val="28"/>
          <w:sz w:val="28"/>
          <w:szCs w:val="28"/>
          <w:rtl w:val="true"/>
          <w:lang w:bidi="ar-SA"/>
        </w:rPr>
        <w:t>كموثّقة السكوني</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ويضعها على رأسها ويعتزلها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رواية أبي بصير، عن أبي عبداللّه علیه السلام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منهما رواية أبان بن عثمان، عن أبي عبداللّه علیه السلام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وكصحيحة ابن أبي نصر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الحسن الرضا علیه السلام عن الرجل تكون عنده المرأة، يصمت ولا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ويعلم منه بغض لامرأته، وكراهة لها، أيجوز أن يطلّق عنه وليّه؟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يكتب ويشهد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يكتب ولا يسمع، كيف يطلّقها؟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بالذي يعرف به من حاله؛ مثل ما ذكرت من كراهته وبغضه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التوسعة في خصوص باب الطلاق والنكاح؛ لحفظ الفروج، فلا يمكن التعدّي منه إلى غيره</w:t>
      </w:r>
      <w:r>
        <w:rPr>
          <w:rStyle w:val="FootnoteAnchor"/>
          <w:rtl w:val="true"/>
        </w:rPr>
        <w:footnoteReference w:id="667"/>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رمناه في المقام، هو إثبات كون إشارة الأخرس بمنزلة بيعه اللفظي في الصحّة واللزوم، وأنّ بيعه بالإشارة لا يكون معاطاة، بعد تسليم أنّ بيع المعاطاة غير لازم أو مفيد للإباحة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المتقدّمة لم يظهر منها إلاّ أنّ طلاق الأخرس بكذا وكذا، وأمّا أنّه قائم مقام طلاقه اللفظي، أو أنّه طلاق معاطاتي حكمه حكم الطلاق اللفظي، فلم يظهر منها فمع تسليم الفحوى، لا يصحّ الاستدلال بها إلاّ للصحّة، لا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إشارة الأخرس بيعه، لا بيعه اللفظي حتّى يكون لازماً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كون الطلاق من غير العاجز في الشرع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معاطاتي، وبالصيغة، لا يلازم أن لا يكون للأخرس طلاق معاطاتي، ولعلّ طلاقه معاطاتي، وعدم وقوعه جائزاً لأجل عدم كون الطلاق على قسمين</w:t>
      </w:r>
      <w:r>
        <w:rPr>
          <w:rFonts w:eastAsia="Amiri" w:cs="Amiri" w:ascii="Amiri" w:hAnsi="Amiri"/>
          <w:color w:val="111111"/>
          <w:sz w:val="28"/>
          <w:szCs w:val="28"/>
          <w:rtl w:val="true"/>
          <w:lang w:bidi="ar-SA"/>
        </w:rPr>
        <w:t xml:space="preserve">. </w:t>
      </w:r>
      <w:bookmarkStart w:id="443" w:name="pg15195_150689"/>
    </w:p>
    <w:p>
      <w:pPr>
        <w:pStyle w:val="BookText"/>
        <w:rPr/>
      </w:pPr>
      <w:bookmarkEnd w:id="443"/>
      <w:r>
        <w:rPr>
          <w:rFonts w:ascii="Amiri" w:hAnsi="Amiri" w:eastAsia="Amiri" w:cs="Amiri"/>
          <w:color w:val="111111"/>
          <w:sz w:val="28"/>
          <w:sz w:val="28"/>
          <w:szCs w:val="28"/>
          <w:rtl w:val="true"/>
          <w:lang w:bidi="ar-SA"/>
        </w:rPr>
        <w:t>وأمّا البيع الذي هو في الشرع على قسمين مختلفي الحكم فرضاً، فلم يثبت بتلك الأخبار أنّ إشارة الأخرس من أيّ قسم منهما، فتدبّر</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495479_2142443653"/>
      <w:bookmarkStart w:id="445" w:name="_Toc155"/>
      <w:bookmarkEnd w:id="444"/>
      <w:r>
        <w:rPr>
          <w:rtl w:val="true"/>
        </w:rPr>
        <w:t>الكلام حول تقدّم الكتابة على إشارة الأخرس</w:t>
      </w:r>
      <w:bookmarkEnd w:id="445"/>
    </w:p>
    <w:p>
      <w:pPr>
        <w:pStyle w:val="BookText"/>
        <w:rPr/>
      </w:pPr>
      <w:r>
        <w:rPr>
          <w:rFonts w:ascii="Amiri" w:hAnsi="Amiri" w:eastAsia="Amiri" w:cs="Amiri"/>
          <w:color w:val="111111"/>
          <w:sz w:val="28"/>
          <w:sz w:val="28"/>
          <w:szCs w:val="28"/>
          <w:rtl w:val="true"/>
          <w:lang w:bidi="ar-SA"/>
        </w:rPr>
        <w:t>ثمّ إنّ في تقدّم إشارة الأخرس على كتابته أو العكس، كلاماً، ربّما يستشعر تقدّم الكتابة من صحيحة البزنطي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تقريبه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الطلاق لمّا لم يقع إلاّ بلفظ خاصّ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والكتابة واجدة للصيغة، فاقدة للتلفّظ بها، والإشارة ونحوها فاقدة لكليهما، ولعلّه صار موجباً لأمر أبي الحسن الرضا علیه السلام في صحيحة البزنطي بالكتابة أوّلاً، ومع فرض العذر أمر بغيرها، وبهذه المناسبة يمكن فهم تقديم الكتابة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على فرض تسليم الترتيب في الطلاق، يشكل إسراء الحكم إلى البيع؛ لأنّه يقع باللفظ وغيره حال الاختيار، ولا دخالة للّفظ في أصل تحقّقه، وإن كان دخيلاً في لزومه فرضاً، فالمناسبة المذكورة غير متحقّقة في البيع، فتأمّل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روايات في باب الوصيّة</w:t>
      </w:r>
      <w:r>
        <w:rPr>
          <w:rStyle w:val="FootnoteAnchor"/>
          <w:rtl w:val="true"/>
        </w:rPr>
        <w:footnoteReference w:id="669"/>
      </w:r>
      <w:r>
        <w:rPr>
          <w:rFonts w:ascii="Amiri" w:hAnsi="Amiri" w:eastAsia="Amiri" w:cs="Amiri"/>
          <w:color w:val="111111"/>
          <w:sz w:val="28"/>
          <w:sz w:val="28"/>
          <w:szCs w:val="28"/>
          <w:rtl w:val="true"/>
          <w:lang w:bidi="ar-SA"/>
        </w:rPr>
        <w:t xml:space="preserve">لعلّها أولى بالتمسّك من روايات </w:t>
      </w:r>
      <w:bookmarkStart w:id="446" w:name="pg15195_150690"/>
    </w:p>
    <w:p>
      <w:pPr>
        <w:pStyle w:val="BookText"/>
        <w:rPr/>
      </w:pPr>
      <w:bookmarkEnd w:id="446"/>
      <w:r>
        <w:rPr>
          <w:rFonts w:ascii="Amiri" w:hAnsi="Amiri" w:eastAsia="Amiri" w:cs="Amiri"/>
          <w:color w:val="111111"/>
          <w:sz w:val="28"/>
          <w:sz w:val="28"/>
          <w:szCs w:val="28"/>
          <w:rtl w:val="true"/>
          <w:lang w:bidi="ar-SA"/>
        </w:rPr>
        <w:t>الطلاق، وإن كانت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وردت في التلبية، والتشهّد،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السكوني</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المقام، ولا يستفاد منها صحّة بيع الأخرس بتحريك لسانه، وإشارة إصبعه؛ لأنّ في العبادات تعتبر المباشرة، والمطلوب فيها إتيان المكلّف بنفسه بأيّ وجه أمكن، دون باب المعاملات كما لا يخفى</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495481_2142443653"/>
      <w:bookmarkStart w:id="448" w:name="_Toc156"/>
      <w:bookmarkEnd w:id="447"/>
      <w:r>
        <w:rPr>
          <w:rtl w:val="true"/>
        </w:rPr>
        <w:t xml:space="preserve">بحث </w:t>
      </w:r>
      <w:r>
        <w:rPr>
          <w:rtl w:val="true"/>
        </w:rPr>
        <w:t xml:space="preserve">: </w:t>
      </w:r>
      <w:r>
        <w:rPr>
          <w:rtl w:val="true"/>
        </w:rPr>
        <w:t>في مادّة الصيغة وهيئتها</w:t>
      </w:r>
      <w:bookmarkEnd w:id="448"/>
    </w:p>
    <w:p>
      <w:pPr>
        <w:pStyle w:val="Heading6"/>
        <w:numPr>
          <w:ilvl w:val="5"/>
          <w:numId w:val="1"/>
        </w:numPr>
        <w:rPr/>
      </w:pPr>
      <w:bookmarkStart w:id="449" w:name="__RefHeading___Toc2495483_2142443653"/>
      <w:bookmarkStart w:id="450" w:name="_Toc157"/>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ثمّ إنّ الإيجاب والقبول لمّا اشتملا على مادّة المفردات، وهيئتها، وهيئة الجملة التركيبية، 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موادّ الألفاظ، من حيث الصراحة، والظهور، والحقيقة، والكناية، والمجاز، ومن لزوم أخذ العنوان بالحمل الأوّلي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المفردات، من حيث اعتبار كونها جملة فعلية، أو فعلاً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تركيب الإيجاب والقبول، من حيث الترتيب والموالاة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الموادّ، فمحصّل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بعد بيان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 موضوع الحكم في باب المعاملات، بيعاً كانت أو غيره لدى العقلاء، وبحسب الإطلاقات والعمومات، هو المعاملات المسبّبية، وما كان بالحمل الشائع عقداً، وتجارةً، وبيعاً، وصلحاً، وإجارةً،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المسبّبي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بالهيئة المأخوذة فيها موادّ تصدق عليها عناوين المعاملات بالحمل الأوّلي،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ما هو بالحمل الشائع أحدها بغير ما ذكر، كإيقاع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بالكنايات والمجازات، أو بالأفعال والكتابات أحياناً،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أنّ موضوع وجوب الوفاء لدى العقلاء،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هو المعنى المسبّبي؛ أي المعاقدة الواقعية والنقل الواقعي وبالحمل الشائع، وهو تمام الموضوع للأحكام لدى العرف والعقلاء، من غير نظر إلى آلات إنشائه وإيجاده، ففيما اُنشئ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 الحكم إلاّ التمليك والتملّك الواقعي، لا ما هو متحقّق بهذا العنوان والسبب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أخذ عناوين المعاملات في الصيغة</w:t>
      </w:r>
      <w:r>
        <w:rPr>
          <w:rStyle w:val="FootnoteAnchor"/>
          <w:rtl w:val="true"/>
        </w:rPr>
        <w:footnoteReference w:id="672"/>
      </w:r>
      <w:r>
        <w:rPr>
          <w:rFonts w:ascii="Amiri" w:hAnsi="Amiri" w:eastAsia="Amiri" w:cs="Amiri"/>
          <w:color w:val="111111"/>
          <w:sz w:val="28"/>
          <w:sz w:val="28"/>
          <w:szCs w:val="28"/>
          <w:rtl w:val="true"/>
          <w:lang w:bidi="ar-SA"/>
        </w:rPr>
        <w:t>، في غاية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موضوع الأدلّة الشرعية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موضوعها ما هو مأخوذ في الأدلّة الشرعية، كالبيع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والصلح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Style w:val="FootnoteAnchor"/>
          <w:rtl w:val="true"/>
        </w:rPr>
        <w:footnoteReference w:id="675"/>
      </w:r>
      <w:r>
        <w:rPr>
          <w:rFonts w:ascii="Amiri" w:hAnsi="Amiri" w:eastAsia="Amiri" w:cs="Amiri"/>
          <w:color w:val="111111"/>
          <w:sz w:val="28"/>
          <w:sz w:val="28"/>
          <w:szCs w:val="28"/>
          <w:rtl w:val="true"/>
          <w:lang w:bidi="ar-SA"/>
        </w:rPr>
        <w:t>أيضاً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هذه العناوين بما هي عناوين بالحمل الأوّلي، ليست موضوعة لحكم، بل الموضوع هي العناوين بالحمل الشائع، سواء كانت آلة الإنشاء لفظاً مأخوذاً فيه العناوين أم لا، بل من غير فرق بين كون الآلة لفظاً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المسبّبي المنشأ باللفظ الصريح، عين ما اُنشئ باللفظ غير الصريح، أو بالفعل، أو بالإشارة أحياناً، ولهذا لم يحتمل أحد اعتبار وقوع العقد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والبيع بخصوص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الإيقاع بغير الألفاظ الدالّة على العناوين، لا تصدق عليها هي بالحمل الأوّلي، فالبيع والإجارة والصلح، عقد لا بالحمل الأوّلي، والتمليك بالعوض، بيع لا بهذا الحمل، مع أنّها موضوعات للأحكام بلا ريب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معاقدة تحقّقت، وبأيّ سبب وجدت، يجب الوفاء بها لدى العقلاء</w:t>
      </w:r>
      <w:r>
        <w:rPr>
          <w:rFonts w:eastAsia="Amiri" w:cs="Amiri" w:ascii="Amiri" w:hAnsi="Amiri"/>
          <w:color w:val="111111"/>
          <w:sz w:val="28"/>
          <w:szCs w:val="28"/>
          <w:rtl w:val="true"/>
          <w:lang w:bidi="ar-SA"/>
        </w:rPr>
        <w:t xml:space="preserve">. </w:t>
      </w:r>
      <w:bookmarkStart w:id="451" w:name="pg15195_150693"/>
    </w:p>
    <w:p>
      <w:pPr>
        <w:pStyle w:val="Heading6"/>
        <w:numPr>
          <w:ilvl w:val="5"/>
          <w:numId w:val="1"/>
        </w:numPr>
        <w:rPr/>
      </w:pPr>
      <w:bookmarkStart w:id="452" w:name="__RefHeading___Toc2495485_2142443653"/>
      <w:bookmarkStart w:id="453" w:name="_Toc158"/>
      <w:bookmarkEnd w:id="451"/>
      <w:bookmarkEnd w:id="452"/>
      <w:r>
        <w:rPr>
          <w:rtl w:val="true"/>
        </w:rPr>
        <w:t>صحّة الإنشاء بالألفاظ الكنائية والمجازية</w:t>
      </w:r>
      <w:bookmarkEnd w:id="453"/>
    </w:p>
    <w:p>
      <w:pPr>
        <w:pStyle w:val="BookText"/>
        <w:rPr/>
      </w:pPr>
      <w:r>
        <w:rPr>
          <w:rFonts w:ascii="Amiri" w:hAnsi="Amiri" w:eastAsia="Amiri" w:cs="Amiri"/>
          <w:color w:val="111111"/>
          <w:sz w:val="28"/>
          <w:sz w:val="28"/>
          <w:szCs w:val="28"/>
          <w:rtl w:val="true"/>
          <w:lang w:bidi="ar-SA"/>
        </w:rPr>
        <w:t>فاللازم بيان أنّ ألفاظ الكنايات، والمجازات، والمشتركات اللفظية، أو المعنوية، هل يمكن إيقاع المعاملات بها أو لا؟</w:t>
      </w:r>
    </w:p>
    <w:p>
      <w:pPr>
        <w:pStyle w:val="BookText"/>
        <w:rPr/>
      </w:pPr>
      <w:r>
        <w:rPr>
          <w:rFonts w:ascii="Amiri" w:hAnsi="Amiri" w:eastAsia="Amiri" w:cs="Amiri"/>
          <w:color w:val="111111"/>
          <w:sz w:val="28"/>
          <w:sz w:val="28"/>
          <w:szCs w:val="28"/>
          <w:rtl w:val="true"/>
          <w:lang w:bidi="ar-SA"/>
        </w:rPr>
        <w:t>ومع الإمكان، هل تكون مشمولة للأدلّة، أو تكون منصرفة عنها؟</w:t>
      </w:r>
    </w:p>
    <w:p>
      <w:pPr>
        <w:pStyle w:val="Heading6"/>
        <w:numPr>
          <w:ilvl w:val="5"/>
          <w:numId w:val="1"/>
        </w:numPr>
        <w:rPr/>
      </w:pPr>
      <w:bookmarkStart w:id="454" w:name="__RefHeading___Toc2495487_2142443653"/>
      <w:bookmarkStart w:id="455" w:name="_Toc159"/>
      <w:bookmarkEnd w:id="454"/>
      <w:r>
        <w:rPr>
          <w:rtl w:val="true"/>
        </w:rPr>
        <w:t>إشكال المحقّق النائيني في الإنشاء بالكنايات</w:t>
      </w:r>
      <w:bookmarkEnd w:id="455"/>
    </w:p>
    <w:p>
      <w:pPr>
        <w:pStyle w:val="BookText"/>
        <w:rPr/>
      </w:pPr>
      <w:r>
        <w:rPr>
          <w:rFonts w:ascii="Amiri" w:hAnsi="Amiri" w:eastAsia="Amiri" w:cs="Amiri"/>
          <w:color w:val="111111"/>
          <w:sz w:val="28"/>
          <w:sz w:val="28"/>
          <w:szCs w:val="28"/>
          <w:rtl w:val="true"/>
          <w:lang w:bidi="ar-SA"/>
        </w:rPr>
        <w:t>قال بعض الأعاظم قدّس سرّه في مقام بيان عدم صحّة إيقاعها بألفاظ 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شبهة في الفرق بين الحكايات والإيجاديات؛ فإنّ الحكايات لا يتعلّق غرض بها إلاّ إظهار ما في الضمير بأيّ وجهٍ اتّفق، إذا لم يكن خارجاً عن المحاورات، وأمّا الإيجاديات فإنّها لا توجد إلاّ بما هو آلة لإيجادها ومصداق لعنوانها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شيء مصداقاً لعنوان وآلة لإيجاده، بل كان للازمه أو ملازمه، لم يوجد الملزوم أو الملازم الآخر به، وإن كان الغرض من إيجادهما إيجاد الملزوم أو الملازم الآخر؛ إذ لا عبرة بالدواعي والأغراض في الإيجاديات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والكنايات لمّا كانت قسيم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نفس معناه الحقيقي، واُلقي معنى اللفظ إلى المخاطب؛ لينتقل إلى ملزومه وهو طول القامة، والانتقال إليه من دواعي استعمال هذه الألفاظ في معانيها، لا أنّها استعملت في طول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صحّة إنشاء العنوان بها؛ فإنّ إنشاء اللازم وإيجاده في الإنشاء القولي ليس إيجاداً للملزوم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الملزوم مقصوداً وداعياً من إيجاد اللازم، لا أثر له؛ لما عرفت من أنّ الدواعي والأغراض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الملزوم وإن لم ينشأ أصالة، إلاّ أنّه منشأ تبعاً وفي المرتبة الثانية من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الإيجاد بهذا النحو في كمال الضعف من الوجود، فينصرف الإطلاق عنه، ولا تشمله العمومات؛ لخروجه عن الأسباب المتعارفة</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النظر فيه بعد اتّضاح حال الكنايات في الإخبارات والإنشاءات، وهو أنّ الألفاظ في باب الكنايات مستعملة في معانيها الموضوعة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الجملة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الاستعمالية؛ للدلالة على المعنى المكنّى عنه، فالإخبار بالكناية إخبار جدّاً وحقيقة عن المكنّى عنه، لا عن المعنى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إخباراً عن كثرة رماده جدّاً لينتقل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المعنى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جوده، وليس الجود من دواعي الإخبار بكثرة الرماد، بل الجود هو المخبر به حقيقة، دون كثرة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يكون صدق هذا الكلام وكذبه بمطابقة المعنى المكنّى عنه للواقع وعدمها، فلو لم يكن لزيد كثرة الرماد ولا الرماد، ولكن كان جواداً، كان الإخبار صدقاً؛ لأنّ الإخبار ليس عن كثرة الرماد، ولو كان كثير الرماد، ولم يكن جواداً، كان الإخبار كذباً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المعنى المكنّى عنه من قبيل الدواعي، وكان الإخبار عن كثرة الرماد </w:t>
      </w:r>
    </w:p>
    <w:p>
      <w:pPr>
        <w:pStyle w:val="BookText"/>
        <w:rPr/>
      </w:pPr>
      <w:r>
        <w:rPr>
          <w:rFonts w:ascii="Amiri" w:hAnsi="Amiri" w:eastAsia="Amiri" w:cs="Amiri"/>
          <w:color w:val="111111"/>
          <w:sz w:val="28"/>
          <w:sz w:val="28"/>
          <w:szCs w:val="28"/>
          <w:rtl w:val="true"/>
          <w:lang w:bidi="ar-SA"/>
        </w:rPr>
        <w:t>حقيقة، لكان الكذب والصدق تابعين للمخبر به؛ أي كثرة الرماد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إذا كان القائل في مقام إنشاء مدح أو ذمّ بالكناية، ففيه أيضاً تستعمل الألفاظ في معانيها الحقيقية، من غير أن يكون المراد إفهام معانيها جدّاً، بل يراد به إفادة المعنى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في مقام الاستهزاء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ذمّه، إنشاء للذمّ، لا إخبار عن كونه حاتماً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غالب الكنايات في كلمات البلغاء والشعراء من قبيل إنشاء المدح أو الذمّ، سواء اُتي بالكلام بالجملة الإخبارية أو الإنشائية، وليس إنشاؤهما من قبيل الدواعي على الإخبار، حتّى يكون متّصفاً بالصدق والكذب، بل هو إنشاء للمدح أو الذمّ، كما لو اُنشئا باللفظ الصريح، والكناية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زعم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إنشاء اللازم وإيجاده في الإنشاء القولي، ليس إيجاداً للملزوم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خلط؛ لأنّ باب الكنايات ليس من قبيل إنشاء اللازم أو الإخبار به، بل من قبيل إنشاء الملزوم والإخبار 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الثوب وأعطني درهماً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بيع كنايةً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الفارق بين المعاني الكنائية، والمعاني الالتزامية؛ لأنّ في باب الدلالات الالتزامية يقع الإخبار حقيقة عن الملزوم، ويكون الملزوم والمعنى المطابقي دالاًّ على اللازم والمعنى الالتزامي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مخبراً إلاّ عن طلوعها، ويدلّ طلوعها على وجود النهار وذهاب الليل، لا بالدلالة اللفظية، بل بدلالة المعنى على </w:t>
      </w:r>
    </w:p>
    <w:p>
      <w:pPr>
        <w:pStyle w:val="BookText"/>
        <w:rPr/>
      </w:pPr>
      <w:r>
        <w:rPr>
          <w:rFonts w:ascii="Amiri" w:hAnsi="Amiri" w:eastAsia="Amiri" w:cs="Amiri"/>
          <w:color w:val="111111"/>
          <w:sz w:val="28"/>
          <w:sz w:val="28"/>
          <w:szCs w:val="28"/>
          <w:rtl w:val="true"/>
          <w:lang w:bidi="ar-SA"/>
        </w:rPr>
        <w:t>المعنى، ويكون الانتساب إلى اللفظ بالوسط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يكون مناط الصدق والكذب في هذا الإخبار طلوع الشمس وعدم طلوعها، دون لوازم خبره، وما قال القائل إلاّ كذباً واحداً أو صدقاً واحداً، ولو كان داعيه من الإخبار إفهام لازمه؛ لأنّ الانتقال إلى اللازم انتقال إليه من المعنى الملزوم المخبر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الكنايات فليست بتلك المثابة، بل الألفاظ مستعملة في معانيها بالاستعمال الصوري آلة للإخبار بالمعنى الكنائي أو إنشائه،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يده مبسوطة، وبابه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جوده وكثرة زائريه، ليس إخباراً حقيقة إلاّ عن جوده وكثرة وارديه، دون بسط يده وفتح بابه، ولعلّ الممدوح لا يد له، ولا باب، ومع ذلك يكون الإخبار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المعنى المكني عنه بالكناية، ليس ضعيف الوجود أو في كمال ضعفه، حتّى يدّعى الانصراف، بل كثيراً ما تكون الكنايات أبلغ في إفادة المرام، مع أنّ ضعف الوجود لا يوجب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الملزوم ليس منشأً تبعاً وفي المرتبة الثانية من الإيجاد، بل منشأ ابتداءً وأصالة، ولا منشأ غيره، وهذا واضح جدّاً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يظهر منه ما في المحكيّ عن المحقّق الخراساني، فإنّه رحمه الله علیه بعد الاعتراف بالصحّة في المجازات، استشكل في الكنايات؛ نظراً إلى عدم تأكّد المعاهدة بها، لسراية الوهن من اللفظ إلى المعنى لما بينهما من الارتباط، بل نحو من الاتّحاد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عرفت من عدم وهن في الدلالة ولا في المدلول،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أنّ التصريح والتكنية غير مربوطين بتأكيد العهود</w:t>
      </w:r>
      <w:r>
        <w:rPr>
          <w:rStyle w:val="FootnoteAnchor"/>
          <w:rtl w:val="true"/>
        </w:rPr>
        <w:footnoteReference w:id="678"/>
      </w:r>
      <w:r>
        <w:rPr>
          <w:rFonts w:ascii="Amiri" w:hAnsi="Amiri" w:eastAsia="Amiri" w:cs="Amiri"/>
          <w:color w:val="111111"/>
          <w:sz w:val="28"/>
          <w:sz w:val="28"/>
          <w:szCs w:val="28"/>
          <w:rtl w:val="true"/>
          <w:lang w:bidi="ar-SA"/>
        </w:rPr>
        <w:t>، ولو رجع اعتبار التأكيد إلى اعتبار التصريح في الدلالة، فهو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دعوى انصراف الأدلّة عن العقود المنشأة بالكنايات، بل بالمجازات، وعدم شمول العمومات لها؛ لخروجها عن الأسباب المتعارفة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في العمومات غير وجيهة؛ للزوم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وهو في غاية البعد، وقد فرغنا في محلّه من عدم احتياج العمومات إلى مقدّمات الحكمة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الإطلاقات، فانصرافها ليس بذلك البعد، وإن أمكن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المناسبة بين الحكم والموضوع توجب التوسعة إلى كلّ تجارة وبيع؛ لأنّ ما هو موضوع الحلّ هو البيع المسبّبي، والتجارة كذلك، وآلات الإنشاء لا دخالة لها في الحلّ والحرمة، كما أنّ في عرف العقلاء لا اعتناء بالآلات، بل المنظور إليه بينهم هو العهود والعقود والتجارات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قلناه في آية التجارة عن تراضٍ</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استشعار العلّية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الحقّ،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التجارة عن تراضٍ </w:t>
      </w:r>
      <w:bookmarkStart w:id="456" w:name="pg15195_150698"/>
    </w:p>
    <w:p>
      <w:pPr>
        <w:pStyle w:val="BookText"/>
        <w:rPr/>
      </w:pPr>
      <w:bookmarkEnd w:id="456"/>
      <w:r>
        <w:rPr>
          <w:rFonts w:ascii="Amiri" w:hAnsi="Amiri" w:eastAsia="Amiri" w:cs="Amiri"/>
          <w:color w:val="111111"/>
          <w:sz w:val="28"/>
          <w:sz w:val="28"/>
          <w:szCs w:val="28"/>
          <w:rtl w:val="true"/>
          <w:lang w:bidi="ar-SA"/>
        </w:rPr>
        <w:t>حقّ، فيحلّ أكل المال بها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فعليه يؤكّد الإطلاق، بل يعمّم التعليل، فتدبّر جيّداً</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2495489_2142443653"/>
      <w:bookmarkStart w:id="458" w:name="_Toc160"/>
      <w:bookmarkEnd w:id="457"/>
      <w:r>
        <w:rPr>
          <w:rtl w:val="true"/>
        </w:rPr>
        <w:t>إشكال المحقّق النائيني في الإنشاء ببعض المجازات والمشتركات</w:t>
      </w:r>
      <w:bookmarkEnd w:id="458"/>
    </w:p>
    <w:p>
      <w:pPr>
        <w:pStyle w:val="BookText"/>
        <w:rPr/>
      </w:pPr>
      <w:r>
        <w:rPr>
          <w:rFonts w:ascii="Amiri" w:hAnsi="Amiri" w:eastAsia="Amiri" w:cs="Amiri"/>
          <w:color w:val="111111"/>
          <w:sz w:val="28"/>
          <w:sz w:val="28"/>
          <w:szCs w:val="28"/>
          <w:rtl w:val="true"/>
          <w:lang w:bidi="ar-SA"/>
        </w:rPr>
        <w:t>ثمّ قال بعض الأعاظم في مقام بيان عدم الجواز ببعض المجازات والمشتركات،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شبهة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عناوين العقود والإيقاعات عنوان بسيط، غير مركّب من الجنس والفصل، فلا يمكن إيجادها بالتدريج، فالتمليك البيعي والقرضي، ونحوهما؛ من الهبة والإجارة، يكون في كلّ منها تمليكاً بعين كونه بيعاً، أو قرضاً، أو نحوهما؛ أي لا يكون التمليك جنساً، وبيعيته فصلاً، وكذا في القرض ونحوه،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منها مباين في السنخ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التمليك في الجميع أمر واحد، والاختلاف بينها كالاختلاف بين أفراد البيع، فإذا كان بسيطاً لا يمكن أن يوجد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عليه أنّ المجازات غير المشهورة، لمّا احتاجت إلى قرينة صارفة عن المعنى الحقيقي، فحالها أردأ من الكنايات؛ لأنّ ما يوجد بها بحسب الدلالة التصوّرية هو معناها الحقيقي، وبحسب الدلالة التصديقية معناها المجازي، فيتناقضان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فائدة الهبة مع وجود القرينة الصارفة، مبنيّ على أنّ ما اُوجد أوّلاً بلا مجيء قرينة، كان معانداً </w:t>
      </w:r>
    </w:p>
    <w:p>
      <w:pPr>
        <w:pStyle w:val="BookText"/>
        <w:rPr/>
      </w:pPr>
      <w:r>
        <w:rPr>
          <w:rFonts w:ascii="Amiri" w:hAnsi="Amiri" w:eastAsia="Amiri" w:cs="Amiri"/>
          <w:color w:val="111111"/>
          <w:sz w:val="28"/>
          <w:sz w:val="28"/>
          <w:szCs w:val="28"/>
          <w:rtl w:val="true"/>
          <w:lang w:bidi="ar-SA"/>
        </w:rPr>
        <w:t>لما اُوجد ثانياً، ولا يمكن إرجاع ما اُوجد عمّا هو عليه في الإيجاديات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عليه أيضاً أنّه في بعض المشتركات اللفظية والمعنوية لا يصحّ الإيقاع؛ للزوم إيجاد البسيط بالتدريج</w:t>
      </w:r>
      <w:r>
        <w:rPr>
          <w:rStyle w:val="FootnoteAnchor"/>
          <w:rtl w:val="true"/>
        </w:rPr>
        <w:footnoteReference w:id="6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 مقدّمته ونتيجتها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جميع تلك العقود مركّبة من جنس وفصل اعتباريين؛ ضرورة أنّ ماهية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اُريد بها الماهية المركّبة من الإيجاب والقبول، أم نفس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التمليك بالعوض، مع القبول على فرض، وبغيره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فالتمليك جنس اعتباري، هو ما به الاشتراك بين البيع، والقرض، والهبة، والإجارة، ونحوها من العقود التمليكية، وما به الامتياز والفصل المميّز الاعتباري هو كونه بعوض، أو بلا عوض، أو بالضمان، أو ما به الامتياز كونه متعلّقاً بالعين أو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التمليك جنس مشترك اعتباري، وكلّ منها ممتاز في نوعيته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الخصوصيات المميّزة، من قبيل الخصوصيات الفردية كما به الامتياز في أفراد البيع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بمكان من الضعف؛ ضرورة أنّ المشخّصات الفردية إنّما تلحق بالشيء بعد وجوده وتحقّقه، والبيع والقرض أو نحوه ممتازان بماهيتهما النوعية، </w:t>
      </w:r>
    </w:p>
    <w:p>
      <w:pPr>
        <w:pStyle w:val="BookText"/>
        <w:rPr/>
      </w:pPr>
      <w:r>
        <w:rPr>
          <w:rFonts w:ascii="Amiri" w:hAnsi="Amiri" w:eastAsia="Amiri" w:cs="Amiri"/>
          <w:color w:val="111111"/>
          <w:sz w:val="28"/>
          <w:sz w:val="28"/>
          <w:szCs w:val="28"/>
          <w:rtl w:val="true"/>
          <w:lang w:bidi="ar-SA"/>
        </w:rPr>
        <w:t>سواء اُلحقت بها المشخّصات الفردية أم لا، فلا شبهة في أنّ ماهيات العقود مركّبات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اعتبار تحقّقها لدى العقلاء والشارع دفعي لا تدريجي، وهو أمر آخر، فإذا أنشأ الموجب الملكية بالعوض بدالّين وقبل المشتري، يعتبر العقلاء عقيبهما انتقال المبيع إلى المشتري والثمن إلى البائع دفعة لا تدريجاً، فالإنشاء تدريجي التحقّق كالمنشأ بتعدّد الدالّ والمدلول، واعتبار النقل بالحمل الشائع دفعي بعد تحقّق الإنشاء إيجاباً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باب المجازات والمشتركات لفظية ومعنوية لا يفترق عن باب الحقائق؛ في أنّ إنشاء الماهية يكون بدوالّ متعدّدة، واعتبار النقل حقيقة يكون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التناقض بين ما يوجد بحسب الدلالة التصوّرية، وبحسب الدلالة التصديقية؛ أي بين المعنى الحقيقي التصوّري، والمجازي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وجيه؛ ضرورة أنّه إن أراد لزوم التناقض بحسب الواقع، فلا وجه له، بعد عدم إنشائه إلاّ المعنى المجازي، وإنّما جعل اللفظ الموضوع للمعنى الحقيقي آلةً لإيجاد المعنى المجازي، فلا وجه للتناقض</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لزومه بنظر غير المتبايعين، فهو أيضاً غير وجيه؛ لأنّ ذلك الكلام ما لم يتمّ لا ظهور فيه، ومع تماميته يكون ظاهراً في إنشاء المعنى المجازي فحسب، هذا، مع الغضّ عن عدم معقولية التناقض بين المعنى التصوّري والتصديقي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قال في خلال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الإيجادي لا يمكن أن يرجع عمّا هو عليه بعد إيجاده، فهو صحيح بحسب الكبرى، لكن لا تنطبق على المورد؛ لعدم إيجاد المعنى الحقيقي في الألفاظ المستعملة مجازاً، والمعنى المجازي الموجد لا ينقلب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محالّ أنظار، تركناها مخافة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إيقاع البيع بالكنايات، والمجازات القريبة، والبعيدة، وبالألفاظ المشتركة بعد الدلالة العقلائية، وأنّ آلات الإيقاع لا دخالة لها في صحّته وصحّة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أسباب المعاملات لأنّها أسباب شرعية</w:t>
      </w:r>
      <w:r>
        <w:rPr>
          <w:rStyle w:val="FootnoteAnchor"/>
          <w:rtl w:val="true"/>
        </w:rPr>
        <w:footnoteReference w:id="684"/>
      </w:r>
      <w:r>
        <w:rPr>
          <w:rFonts w:ascii="Amiri" w:hAnsi="Amiri" w:eastAsia="Amiri" w:cs="Amiri"/>
          <w:color w:val="111111"/>
          <w:sz w:val="28"/>
          <w:sz w:val="28"/>
          <w:szCs w:val="28"/>
          <w:rtl w:val="true"/>
          <w:lang w:bidi="ar-SA"/>
        </w:rPr>
        <w:t>،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لزوم إيقاعها بالعناوين الواردة في الشريعة، أو بما يرادفها؛ لأنّها بهذه العناوين موضوعة للأحكام الشرعية، فلا يجوز إيقاع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وإيقاع النكاح بغير ما اشتملت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يرادفه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وجيهة؛ لما عرفت من أنّ الأحكام متعلّقة بحقائق المسبّبات، لا المسبّبات متقيّدة بتحقّقها بسبب خاصّ</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فوجوب الوفاء تعلّق بالعقد الذي بين المتعاملين، وهو من مقولة المعنى، </w:t>
      </w:r>
      <w:bookmarkStart w:id="459" w:name="pg15195_150702"/>
    </w:p>
    <w:p>
      <w:pPr>
        <w:pStyle w:val="BookText"/>
        <w:rPr/>
      </w:pPr>
      <w:bookmarkEnd w:id="459"/>
      <w:r>
        <w:rPr>
          <w:rFonts w:ascii="Amiri" w:hAnsi="Amiri" w:eastAsia="Amiri" w:cs="Amiri"/>
          <w:color w:val="111111"/>
          <w:sz w:val="28"/>
          <w:sz w:val="28"/>
          <w:szCs w:val="28"/>
          <w:rtl w:val="true"/>
          <w:lang w:bidi="ar-SA"/>
        </w:rPr>
        <w:t>والألفاظ غير دخيلة فيها إلاّ دخالة الإيجاد، وإلاّ فالموضوع للحكم نفس المسبّبات بحسب الأدلّة الشرعية وحكم العرف والعقلاء، سيّما مع ملاحظة مناسبة الأحكام والموضوعات؛ من أنّ العقد بما هو قرار، محترم يجب الوفاء به، لا بما أنّ اللفظ الموجد له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يقع البحث عن ألفاظ الإيجاب والقبول، وأنّ أيّهما مختصّ، وأيّهما مشترك، زائداً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495491_2142443653"/>
      <w:bookmarkStart w:id="461" w:name="_Toc161"/>
      <w:bookmarkEnd w:id="460"/>
      <w:r>
        <w:rPr>
          <w:rtl w:val="true"/>
        </w:rPr>
        <w:t>عدم اعتبار العربية في الصيغة</w:t>
      </w:r>
      <w:bookmarkEnd w:id="461"/>
    </w:p>
    <w:p>
      <w:pPr>
        <w:pStyle w:val="BookText"/>
        <w:rPr/>
      </w:pPr>
      <w:r>
        <w:rPr>
          <w:rFonts w:ascii="Amiri" w:hAnsi="Amiri" w:eastAsia="Amiri" w:cs="Amiri"/>
          <w:color w:val="111111"/>
          <w:sz w:val="28"/>
          <w:sz w:val="28"/>
          <w:szCs w:val="28"/>
          <w:rtl w:val="true"/>
          <w:lang w:bidi="ar-SA"/>
        </w:rPr>
        <w:t>كما أنّ احتمال اعتبار العربية</w:t>
      </w:r>
      <w:r>
        <w:rPr>
          <w:rStyle w:val="FootnoteAnchor"/>
          <w:rtl w:val="true"/>
        </w:rPr>
        <w:footnoteReference w:id="687"/>
      </w:r>
      <w:r>
        <w:rPr>
          <w:rFonts w:ascii="Amiri" w:hAnsi="Amiri" w:eastAsia="Amiri" w:cs="Amiri"/>
          <w:color w:val="111111"/>
          <w:sz w:val="28"/>
          <w:sz w:val="28"/>
          <w:szCs w:val="28"/>
          <w:rtl w:val="true"/>
          <w:lang w:bidi="ar-SA"/>
        </w:rPr>
        <w:t>ساقط، بل احتمال اعتبار كون عقد كلّ ملّة بلسانهم الخاصّ بهم أقرب، سيّما مع القول بأنّ الأدلّة منصرفة إلى المعهود من العقود</w:t>
      </w:r>
      <w:r>
        <w:rPr>
          <w:rStyle w:val="FootnoteAnchor"/>
          <w:rtl w:val="true"/>
        </w:rPr>
        <w:footnoteReference w:id="688"/>
      </w:r>
      <w:r>
        <w:rPr>
          <w:rFonts w:ascii="Amiri" w:hAnsi="Amiri" w:eastAsia="Amiri" w:cs="Amiri"/>
          <w:color w:val="111111"/>
          <w:sz w:val="28"/>
          <w:sz w:val="28"/>
          <w:szCs w:val="28"/>
          <w:rtl w:val="true"/>
          <w:lang w:bidi="ar-SA"/>
        </w:rPr>
        <w:t>ضرورة أنّ العقود المتعارفة في كلّ ملّة هي ما اُنشئت بلسانهم، وإن كان الاحتمال المذكور أيضاً مدفوعا بالإطلاقات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الانصراف قد عرفت ما فيها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اللحن في المادّة، أو الهيئة، أو إعرابها إن لم يضرّ بتحقّق المعاملة عرفاً ولدى العقلاء، غير مضرّ بالصحّة</w:t>
      </w:r>
      <w:r>
        <w:rPr>
          <w:rFonts w:eastAsia="Amiri" w:cs="Amiri" w:ascii="Amiri" w:hAnsi="Amiri"/>
          <w:color w:val="111111"/>
          <w:sz w:val="28"/>
          <w:szCs w:val="28"/>
          <w:rtl w:val="true"/>
          <w:lang w:bidi="ar-SA"/>
        </w:rPr>
        <w:t xml:space="preserve">. </w:t>
      </w:r>
      <w:bookmarkStart w:id="462" w:name="pg15195_150703"/>
    </w:p>
    <w:p>
      <w:pPr>
        <w:pStyle w:val="Heading5"/>
        <w:numPr>
          <w:ilvl w:val="4"/>
          <w:numId w:val="1"/>
        </w:numPr>
        <w:rPr/>
      </w:pPr>
      <w:bookmarkStart w:id="463" w:name="__RefHeading___Toc2495493_2142443653"/>
      <w:bookmarkStart w:id="464" w:name="_Toc162"/>
      <w:bookmarkEnd w:id="462"/>
      <w:bookmarkEnd w:id="463"/>
      <w:r>
        <w:rPr>
          <w:rtl w:val="true"/>
        </w:rPr>
        <w:t xml:space="preserve">مسألة </w:t>
      </w:r>
      <w:r>
        <w:rPr>
          <w:rtl w:val="true"/>
        </w:rPr>
        <w:t xml:space="preserve">: </w:t>
      </w:r>
      <w:r>
        <w:rPr>
          <w:rtl w:val="true"/>
        </w:rPr>
        <w:t>في كفاية الإيجاب وحده في صحّة العقود</w:t>
      </w:r>
      <w:bookmarkEnd w:id="464"/>
    </w:p>
    <w:p>
      <w:pPr>
        <w:pStyle w:val="BookText"/>
        <w:rPr/>
      </w:pPr>
      <w:r>
        <w:rPr>
          <w:rFonts w:ascii="Amiri" w:hAnsi="Amiri" w:eastAsia="Amiri" w:cs="Amiri"/>
          <w:color w:val="111111"/>
          <w:sz w:val="28"/>
          <w:sz w:val="28"/>
          <w:szCs w:val="28"/>
          <w:rtl w:val="true"/>
          <w:lang w:bidi="ar-SA"/>
        </w:rPr>
        <w:t>هل يعتبر في العقود إيقاعها بالإيجاب والقبول وتتقوّم بهما، أو يصحّ إيقاعها بالإيجاب فقط؟</w:t>
      </w:r>
    </w:p>
    <w:p>
      <w:pPr>
        <w:pStyle w:val="BookText"/>
        <w:rPr/>
      </w:pPr>
      <w:r>
        <w:rPr>
          <w:rFonts w:ascii="Amiri" w:hAnsi="Amiri" w:eastAsia="Amiri" w:cs="Amiri"/>
          <w:color w:val="111111"/>
          <w:sz w:val="28"/>
          <w:sz w:val="28"/>
          <w:szCs w:val="28"/>
          <w:rtl w:val="true"/>
          <w:lang w:bidi="ar-SA"/>
        </w:rPr>
        <w:t>مقتضى الإطلاقات هو الثاني، فلو وكّل أحد المتبايعين الآخر في إيقاع البيع،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الثوب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البيع وصحّ؛ لأنّ حقيقته ليست إلاّ تمليك عين بعوض، أو مبادلة مال بمال، وقد حصلت بهذا اللفظ، من غير احتياج إلى ضمّ القبول، فضمّه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احتيج إليه إذا كان مجري الإيجاب هو البائع، من غير وكالة عن المشتري، فلا بدّ في وقوعه من إيقاع الإيجاب، وما دلّ على القبول من فعل أو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الوكيل أو الوصيّ من الطرفين شخصاً واحداً، فلا يلزم أن يوقع الإيجاب من قبل أحدهما، والقبول من الآخر، بل له إيقاع المبادلة بصيغة واحدة،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القول بأنّ مجرّد الرضا بالإيجاب كافٍ، بعد كون تمام الماهية منشأً </w:t>
      </w:r>
    </w:p>
    <w:p>
      <w:pPr>
        <w:pStyle w:val="BookText"/>
        <w:rPr/>
      </w:pPr>
      <w:r>
        <w:rPr>
          <w:rFonts w:ascii="Amiri" w:hAnsi="Amiri" w:eastAsia="Amiri" w:cs="Amiri"/>
          <w:color w:val="111111"/>
          <w:sz w:val="28"/>
          <w:sz w:val="28"/>
          <w:szCs w:val="28"/>
          <w:rtl w:val="true"/>
          <w:lang w:bidi="ar-SA"/>
        </w:rPr>
        <w:t>بالإيجاب، فلا يحتاج إلى إيقاع 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المعهود بين الناس إيقاعه بالإيجاب والقبول، لكنّه لا يصير هذا موجباً لتقوّمه بهما، أو لانصراف الأدلّة عنه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العمومات والإطلاقات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إلى النبي صلی الله علیه و 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زوّجنيها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 فأعاد رسول اللّه صلی الله علیه و آله وسلم الكلام، فلم يقم أحد غير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أعادت، فقال رسول اللّه صلی الله علیه و آله وسلم في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من القرآن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زوّجتكها على ما تُحسن من القرآن، فعلّمها إيّاه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سهل الساعدي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روايات في أبواب عقد النكاح</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الرواية المتقدّمة أنّ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الإذن له صلی الله علیه و آله وسلم لتزويجها إيّاه، لا إيقاع التزويج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زوّجتكها على ما 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إيقاع تمام ماهية الزوجية، من غير احتياج إلى ضمّ أمر آخر إليه، كما أنّ الأمر كذلك واقعاً؛ فإنّ ماهية الزوجية ليست إلاّ العقدة المعهودة، فإذا وكّل الزوجان شخصاً لإيقاعها،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أوقع علقتها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البيع والتزويج ونحوهما في جميع الموارد، تحصل بالإيجاب، وأنّ القبول ليس له شأن إلاّ تثبيت ما أوقع الموجب، فإذا حصل ذلك بالتوكيل، فلا وجه لضمّ أمرٍ آخر إليه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يقع القبول في مثله زائداً</w:t>
      </w:r>
      <w:r>
        <w:rPr>
          <w:rFonts w:eastAsia="Amiri" w:cs="Amiri" w:ascii="Amiri" w:hAnsi="Amiri"/>
          <w:color w:val="111111"/>
          <w:sz w:val="28"/>
          <w:szCs w:val="28"/>
          <w:rtl w:val="true"/>
          <w:lang w:bidi="ar-SA"/>
        </w:rPr>
        <w:t xml:space="preserve">. </w:t>
      </w:r>
      <w:bookmarkStart w:id="465" w:name="pg15195_150706"/>
    </w:p>
    <w:p>
      <w:pPr>
        <w:pStyle w:val="Heading5"/>
        <w:numPr>
          <w:ilvl w:val="4"/>
          <w:numId w:val="1"/>
        </w:numPr>
        <w:rPr/>
      </w:pPr>
      <w:bookmarkStart w:id="466" w:name="__RefHeading___Toc2495495_2142443653"/>
      <w:bookmarkStart w:id="467" w:name="_Toc163"/>
      <w:bookmarkEnd w:id="465"/>
      <w:bookmarkEnd w:id="466"/>
      <w:r>
        <w:rPr>
          <w:rtl w:val="true"/>
        </w:rPr>
        <w:t xml:space="preserve">مسألة </w:t>
      </w:r>
      <w:r>
        <w:rPr>
          <w:rtl w:val="true"/>
        </w:rPr>
        <w:t xml:space="preserve">: </w:t>
      </w:r>
      <w:r>
        <w:rPr>
          <w:rtl w:val="true"/>
        </w:rPr>
        <w:t>في عدم اعتبار الماضوية في الصيغة</w:t>
      </w:r>
      <w:bookmarkEnd w:id="467"/>
    </w:p>
    <w:p>
      <w:pPr>
        <w:pStyle w:val="BookText"/>
        <w:rPr/>
      </w:pPr>
      <w:r>
        <w:rPr>
          <w:rFonts w:ascii="Amiri" w:hAnsi="Amiri" w:eastAsia="Amiri" w:cs="Amiri"/>
          <w:color w:val="111111"/>
          <w:sz w:val="28"/>
          <w:sz w:val="28"/>
          <w:szCs w:val="28"/>
          <w:rtl w:val="true"/>
          <w:lang w:bidi="ar-SA"/>
        </w:rPr>
        <w:t>الظاهر عدم اعتبار الماضوية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 الماضي صريح في إنشاء العناوين به؛ لأنّه وضع للتحقّق والثبوت، فإذا كان المتكلّم في مقام إيجاد المبدأ بالهيئة،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صريحاً في تحقّق الأمر الاعتباري، والمضارع ليس بصريح؛ لأنّه موضوع لتلبّس الفاعل بالمبدأ، وهو ملازم للتحقّق ولو في التلبّس الحالي، فالمضارع كاسم الفاعل لا يصحّ إيقاع البيع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القائل بأنّ المراجعة إلى الروايات الواردة في الأبواب المختلفة،</w:t>
      </w:r>
    </w:p>
    <w:p>
      <w:pPr>
        <w:pStyle w:val="BookText"/>
        <w:rPr/>
      </w:pPr>
      <w:r>
        <w:rPr>
          <w:rFonts w:ascii="Amiri" w:hAnsi="Amiri" w:eastAsia="Amiri" w:cs="Amiri"/>
          <w:color w:val="111111"/>
          <w:sz w:val="28"/>
          <w:sz w:val="28"/>
          <w:szCs w:val="28"/>
          <w:rtl w:val="true"/>
          <w:lang w:bidi="ar-SA"/>
        </w:rPr>
        <w:t>توجب القطع بأنّ الفعل المضارع والأمر في هذه الأبواب وقعا مقاولة ووعداً واستدعاءً</w:t>
      </w:r>
      <w:r>
        <w:rPr>
          <w:rStyle w:val="FootnoteAnchor"/>
          <w:rtl w:val="true"/>
        </w:rPr>
        <w:footnoteReference w:id="6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صحّة المعاملات بالألفاظ غير الصريحة، كناية كانت أو مجازاً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الفعل الماضي ليس صريحاً أيضاً في الإنشاء؛ لأنّ هيئته موضوعة للحكاية عن تحقّق صدور الحدث من الفاعل، وليس مرادنا </w:t>
      </w:r>
    </w:p>
    <w:p>
      <w:pPr>
        <w:pStyle w:val="BookText"/>
        <w:rPr/>
      </w:pPr>
      <w:r>
        <w:rPr>
          <w:rFonts w:ascii="Amiri" w:hAnsi="Amiri" w:eastAsia="Amiri" w:cs="Amiri"/>
          <w:color w:val="111111"/>
          <w:sz w:val="28"/>
          <w:sz w:val="28"/>
          <w:szCs w:val="28"/>
          <w:rtl w:val="true"/>
          <w:lang w:bidi="ar-SA"/>
        </w:rPr>
        <w:t xml:space="preserve">الآن بيان وضع جميع هيئاته، بل المراد هيئات الماضي المتعدّي،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واستعمالها في المعنى الإنشائي ليس على وجه الحقيقة والصراحة، بل القرائن المقامية أوجبت ظهورها في الإيقاع، وهذا دليل على عدم اعتبار الصراحة في ألفاظ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هيئة المضارع أيضاً موضوعة للحكاية عن تحقّق صدور الحدث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ليس إلاّ في السبق واللحوق، لا بمعنى كونهما بالمعنى الاسمي جزءاً لمعناهما، بل بمعنى وضعهما لحصّة من التحقّق بالمعنى الحرفي، الملازمة للسبق واللحوق، والتفصيل موكول إلى محلّه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يكون حال المستقبل كالماضي في الدلالة على الحكاية عن التحقّق، وفي أنّ استعمالهما في الإنشاء والإيقاع ليس على نحو الحقيقة، ويحتاج إلى القرائن اللفظية أو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المضارع بما أنّه مشترك بين الحال والاستقبال لعلّه أولى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 الفاعل والمفعول، فصحّة الإيقاع بهما موقوفة على جواز الإيقاع بالكنايات،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بائعك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إيقاع البيع، وقول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منكوحتك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إنشاء النكاح، صحيح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عليها في الفعل المضارع الروايات الواردة في الأبواب المتفرّقة، سيّما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النكاح، كرواية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أقول لها إذا خلوت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على كتاب اللّه وسنّة نبيّه، لا وارثة، ولا موروثة، كذا وكذا يوماً، وإن شئت كذا وكذا سنة، بكذا وكذا درهماً، وتسمّي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تراضيتما عليه، قليلاً كان أو كثيراً، فإذا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رضيت، وهي امرأتك، وأنت أولى الناس بها</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بيان كيفية إجراء الصيغة بخصوصياتها، وتعليمه بما ذكر كيفية إجراء صيغة المتعة، فلا وجه للحمل على المقاولة</w:t>
      </w:r>
      <w:r>
        <w:rPr>
          <w:rStyle w:val="FootnoteAnchor"/>
          <w:rtl w:val="true"/>
        </w:rPr>
        <w:footnoteReference w:id="696"/>
      </w:r>
      <w:r>
        <w:rPr>
          <w:rFonts w:ascii="Amiri" w:hAnsi="Amiri" w:eastAsia="Amiri" w:cs="Amiri"/>
          <w:color w:val="111111"/>
          <w:sz w:val="28"/>
          <w:sz w:val="28"/>
          <w:szCs w:val="28"/>
          <w:rtl w:val="true"/>
          <w:lang w:bidi="ar-SA"/>
        </w:rPr>
        <w:t>، سيّما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صحّة التزويج وغيره بالفعل المضارع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فإن كان إنشاءً للإيجاب أو القبول ولو بالكناية أو المجاز بنحوٍ مفهمٍ لدى العقلاء، فالظاهر جوازه، ومجرّد شباهته بالاستدعاء أو الأمر المولوي، لا يوجب عدم صحّة الإنشاء به كما مرّ</w:t>
      </w:r>
      <w:r>
        <w:rPr>
          <w:rFonts w:eastAsia="Amiri" w:cs="Amiri" w:ascii="Amiri" w:hAnsi="Amiri"/>
          <w:color w:val="111111"/>
          <w:sz w:val="28"/>
          <w:szCs w:val="28"/>
          <w:rtl w:val="true"/>
          <w:lang w:bidi="ar-SA"/>
        </w:rPr>
        <w:t xml:space="preserve">. </w:t>
      </w:r>
      <w:bookmarkStart w:id="468" w:name="pg15195_150709"/>
    </w:p>
    <w:p>
      <w:pPr>
        <w:pStyle w:val="Heading5"/>
        <w:numPr>
          <w:ilvl w:val="4"/>
          <w:numId w:val="1"/>
        </w:numPr>
        <w:rPr/>
      </w:pPr>
      <w:bookmarkStart w:id="469" w:name="__RefHeading___Toc2495497_2142443653"/>
      <w:bookmarkStart w:id="470" w:name="_Toc164"/>
      <w:bookmarkEnd w:id="468"/>
      <w:bookmarkEnd w:id="469"/>
      <w:r>
        <w:rPr>
          <w:rtl w:val="true"/>
        </w:rPr>
        <w:t xml:space="preserve">مسألة </w:t>
      </w:r>
      <w:r>
        <w:rPr>
          <w:rtl w:val="true"/>
        </w:rPr>
        <w:t xml:space="preserve">: </w:t>
      </w:r>
      <w:r>
        <w:rPr>
          <w:rtl w:val="true"/>
        </w:rPr>
        <w:t>في تقديم الإيجاب على القبول</w:t>
      </w:r>
      <w:bookmarkEnd w:id="470"/>
    </w:p>
    <w:p>
      <w:pPr>
        <w:pStyle w:val="Heading6"/>
        <w:numPr>
          <w:ilvl w:val="5"/>
          <w:numId w:val="1"/>
        </w:numPr>
        <w:rPr/>
      </w:pPr>
      <w:bookmarkStart w:id="471" w:name="__RefHeading___Toc2495499_2142443653"/>
      <w:bookmarkStart w:id="472" w:name="_Toc165"/>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هل يعتبر تقديم الإيجاب على القبول مطلقاً، أو لا كذلك، أو يعتبر في غير العقود الإذنية دونها؟ وهنا بعض تفاصيل اُخر، لا يهمّ ذكرها</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2495501_2142443653"/>
      <w:bookmarkStart w:id="474" w:name="_Toc166"/>
      <w:bookmarkEnd w:id="473"/>
      <w:r>
        <w:rPr>
          <w:rtl w:val="true"/>
        </w:rPr>
        <w:t>تفصيل الشيخ الأعظم بين ألفاظ القبول</w:t>
      </w:r>
      <w:bookmarkEnd w:id="474"/>
    </w:p>
    <w:p>
      <w:pPr>
        <w:pStyle w:val="BookText"/>
        <w:rPr/>
      </w:pPr>
      <w:r>
        <w:rPr>
          <w:rFonts w:ascii="Amiri" w:hAnsi="Amiri" w:eastAsia="Amiri" w:cs="Amiri"/>
          <w:color w:val="111111"/>
          <w:sz w:val="28"/>
          <w:sz w:val="28"/>
          <w:szCs w:val="28"/>
          <w:rtl w:val="true"/>
          <w:lang w:bidi="ar-SA"/>
        </w:rPr>
        <w:t xml:space="preserve">والذي يظهر من الشيخ الأعظم قدّس سرّه عدم الصحّة إذا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والصحّة إذا كان بلفظ الأمر والاستيجاب على القواعد</w:t>
      </w:r>
      <w:r>
        <w:rPr>
          <w:rStyle w:val="FootnoteAnchor"/>
          <w:rtl w:val="true"/>
        </w:rPr>
        <w:footnoteReference w:id="698"/>
      </w:r>
      <w:r>
        <w:rPr>
          <w:rFonts w:ascii="Amiri" w:hAnsi="Amiri" w:eastAsia="Amiri" w:cs="Amiri"/>
          <w:color w:val="111111"/>
          <w:sz w:val="28"/>
          <w:sz w:val="28"/>
          <w:szCs w:val="28"/>
          <w:rtl w:val="true"/>
          <w:lang w:bidi="ar-SA"/>
        </w:rPr>
        <w:t xml:space="preserve">، وكذلك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بعضهم بين العقود الإذنية وغيرها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475" w:name="pg15195_150710"/>
    </w:p>
    <w:p>
      <w:pPr>
        <w:pStyle w:val="Heading6"/>
        <w:numPr>
          <w:ilvl w:val="5"/>
          <w:numId w:val="1"/>
        </w:numPr>
        <w:rPr/>
      </w:pPr>
      <w:bookmarkStart w:id="476" w:name="__RefHeading___Toc2495503_2142443653"/>
      <w:bookmarkStart w:id="477" w:name="_Toc167"/>
      <w:bookmarkEnd w:id="475"/>
      <w:bookmarkEnd w:id="476"/>
      <w:r>
        <w:rPr>
          <w:rtl w:val="true"/>
        </w:rPr>
        <w:t>التحقيق في حقيقة القبول</w:t>
      </w:r>
      <w:bookmarkEnd w:id="477"/>
    </w:p>
    <w:p>
      <w:pPr>
        <w:pStyle w:val="BookText"/>
        <w:rPr/>
      </w:pPr>
      <w:r>
        <w:rPr>
          <w:rFonts w:ascii="Amiri" w:hAnsi="Amiri" w:eastAsia="Amiri" w:cs="Amiri"/>
          <w:color w:val="111111"/>
          <w:sz w:val="28"/>
          <w:sz w:val="28"/>
          <w:szCs w:val="28"/>
          <w:rtl w:val="true"/>
          <w:lang w:bidi="ar-SA"/>
        </w:rPr>
        <w:t>والذي ينبغي التنبيه عليه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Style w:val="FootnoteAnchor"/>
          <w:rtl w:val="true"/>
        </w:rPr>
        <w:footnoteReference w:id="701"/>
      </w:r>
      <w:r>
        <w:rPr>
          <w:rFonts w:ascii="Amiri" w:hAnsi="Amiri" w:eastAsia="Amiri" w:cs="Amiri"/>
          <w:color w:val="111111"/>
          <w:sz w:val="28"/>
          <w:sz w:val="28"/>
          <w:szCs w:val="28"/>
          <w:rtl w:val="true"/>
          <w:lang w:bidi="ar-SA"/>
        </w:rPr>
        <w:t>ليس له شأن إلاّ تقرير ما أوجده الموجب وتثبيته؛ لأنّ قول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بادلت بين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لتمام ماهية البيع، ولا تحتاج تلك المعاملة في تحقّقها إلى إيقاع ملكية المشتري للمثمن، أو البائع للثمن؛ لأنّ ذلك أمر قد فرغ منه البائع وأوقعه، وإنّما تحتاج إلى قبول عمله، حتّى يترتّب عليه الأثر، ويكون موضوعاً لاعتبار العقلاء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الحقيقة شأن القبول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النقل والانتقال الجديد، بل لو قال بعد إيجاب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الثمن إليك في مقابل نقلك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أمراً زائداً، وإن كان صحيحاً؛ لدلالته على الرضا والقبول لإيجاب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 من أنّ إنشاء القبول لا بدّ وأن يكون جامعاً لتضمّن النقل، وللرضا بإنشاء البائع</w:t>
      </w:r>
      <w:r>
        <w:rPr>
          <w:rStyle w:val="FootnoteAnchor"/>
          <w:rtl w:val="true"/>
        </w:rPr>
        <w:footnoteReference w:id="702"/>
      </w:r>
      <w:r>
        <w:rPr>
          <w:rFonts w:ascii="Amiri" w:hAnsi="Amiri" w:eastAsia="Amiri" w:cs="Amiri"/>
          <w:color w:val="111111"/>
          <w:sz w:val="28"/>
          <w:sz w:val="28"/>
          <w:szCs w:val="28"/>
          <w:rtl w:val="true"/>
          <w:lang w:bidi="ar-SA"/>
        </w:rPr>
        <w:t>، غير مرضيّ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الموجب والقابل في العقود المعاوضية، كلّ منهما ينشئ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بالمطابقة، وثانيهما بالالتزام، فالموجب ينقل ماله إلى ملك المشتري مطابقة، ويتملّك مال المشتري عوضاً عن ماله التزاماً، والقابل بعكس ذلك</w:t>
      </w:r>
      <w:r>
        <w:rPr>
          <w:rStyle w:val="FootnoteAnchor"/>
          <w:rtl w:val="true"/>
        </w:rPr>
        <w:footnoteReference w:id="703"/>
      </w:r>
      <w:r>
        <w:rPr>
          <w:rFonts w:ascii="Amiri" w:hAnsi="Amiri" w:eastAsia="Amiri" w:cs="Amiri"/>
          <w:color w:val="111111"/>
          <w:sz w:val="28"/>
          <w:sz w:val="28"/>
          <w:szCs w:val="28"/>
          <w:rtl w:val="true"/>
          <w:lang w:bidi="ar-SA"/>
        </w:rPr>
        <w:t>منظور فيه من وجوه تظهر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ما ذكرناه، كلّ ما دلّ على هذا المعنى المطاوعي، ولا يكون له شأن إلاّ إنفاذ ما أوجده البائع، يكون قبولاً،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مفاده نقل مال الطرف إلى ملكه بإزاء نقل ثمنه إليه، فليس من قبيل القبول، بل هو إيجاب من قبل المشتري؛ فإنّ ماهية البيع التي ليست إلاّ مبادلة مال بمال، كما يمكن إيقاعها بالإيجاب من طرف البائع، يمكن إيقاعها بإيجاب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محلّ لإيجاب البائع، بل لا بدّ له من قبول هذا الإيقاع، وبقبوله يتمّ موضوع اعتبار العقلاء؛ لأنّ إيجاب البائع بعد قول المشتري، إن كان تمليكاً جديداً وتملّكاً كذلك، فلا يرتبط بإيقاع المشتري، وإن كان إيقاعاً لما أوقعه المشتري، فلا يحتاج إليه، بل المحتاج إليه تنفيذ ما أوقعه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تمليكك، كان قبولاً، وهو خارج عمّا فرضه الشيخ الأنصاري، وداخل في القسم الأوّل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الشيخ من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عقيب الإيجاب، يوجب تحقّق المطاوعة ومفهوم القبول</w:t>
      </w:r>
      <w:r>
        <w:rPr>
          <w:rStyle w:val="FootnoteAnchor"/>
          <w:rtl w:val="true"/>
        </w:rPr>
        <w:footnoteReference w:id="704"/>
      </w:r>
      <w:r>
        <w:rPr>
          <w:rFonts w:ascii="Amiri" w:hAnsi="Amiri" w:eastAsia="Amiri" w:cs="Amiri"/>
          <w:color w:val="111111"/>
          <w:sz w:val="28"/>
          <w:sz w:val="28"/>
          <w:szCs w:val="28"/>
          <w:rtl w:val="true"/>
          <w:lang w:bidi="ar-SA"/>
        </w:rPr>
        <w:t>، غير مرضيّ، بل مخالف لما أفاده من أنّه أنشأ ملكيته للمبيع بإزاء ماله عوضاً، ففي الحقيقة أنشأ المعاوضة كالبائع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حقيقة الاشتراء من حيث هو، معنى القبول</w:t>
      </w:r>
      <w:r>
        <w:rPr>
          <w:rStyle w:val="FootnoteAnchor"/>
          <w:rtl w:val="true"/>
        </w:rPr>
        <w:footnoteReference w:id="705"/>
      </w:r>
      <w:r>
        <w:rPr>
          <w:rFonts w:ascii="Amiri" w:hAnsi="Amiri" w:eastAsia="Amiri" w:cs="Amiri"/>
          <w:color w:val="111111"/>
          <w:sz w:val="28"/>
          <w:sz w:val="28"/>
          <w:szCs w:val="28"/>
          <w:rtl w:val="true"/>
          <w:lang w:bidi="ar-SA"/>
        </w:rPr>
        <w:t xml:space="preserve">فإنّه إذا كان </w:t>
      </w:r>
    </w:p>
    <w:p>
      <w:pPr>
        <w:pStyle w:val="BookText"/>
        <w:rPr/>
      </w:pPr>
      <w:r>
        <w:rPr>
          <w:rFonts w:ascii="Amiri" w:hAnsi="Amiri" w:eastAsia="Amiri" w:cs="Amiri"/>
          <w:color w:val="111111"/>
          <w:sz w:val="28"/>
          <w:sz w:val="28"/>
          <w:szCs w:val="28"/>
          <w:rtl w:val="true"/>
          <w:lang w:bidi="ar-SA"/>
        </w:rPr>
        <w:t xml:space="preserve">كذلك، كيف يتحقّق بتأخّره معنى المطاوعة؟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مالي إليك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مالك إليّ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قبولاً بلا إشكال؛ لأنّ معنى القبول والمطاوعة تثبيت ما جعله البائع، لا إيقاع أمر نظير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مع تقدّمه على الإيجاب من قبيل تقدّم القبول على الإيجاب، مع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فيه معنى القبول، والفرض أنّه لم يقع موقع القبول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بمفهومهما متضمّن لاتّخاذ المبدأ، فإن كان بعنوان اتّخاذه من الغير فهو مطاوعة قصدية، وإن كان بعنوان اتّخاذ المبدأ ابتداءً لا من الغير، فهو مساوق لبعت وشريت</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المطاوعة إنّما هي مطاوعة فعل الغير بالمعنى المصدري، وهو غير اتّخاذ المبدأ من الغير، وإن كان المراد من الاتّخاذ من الغير، القبول لفعله، فهو ليس من اتّخاذ المبدأ، بل يكون معنى الانفعال، وهو غير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يخرج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الأوّل ونحوهما عن باب تقديم القبول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والاستدعاء؛ فإنّهما بحسب المتعارف ليسا إلاّ الإذن في إيقاع المعاملة، فإذا أوجب المأمور،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بهذا الإنشاء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إذن في الإيقاع، لا قبول للإيجاب، وتمام حقيقة المعاملة تحصل </w:t>
      </w:r>
      <w:bookmarkStart w:id="478" w:name="pg15195_150713"/>
    </w:p>
    <w:p>
      <w:pPr>
        <w:pStyle w:val="BookText"/>
        <w:rPr/>
      </w:pPr>
      <w:bookmarkEnd w:id="478"/>
      <w:r>
        <w:rPr>
          <w:rFonts w:ascii="Amiri" w:hAnsi="Amiri" w:eastAsia="Amiri" w:cs="Amiri"/>
          <w:color w:val="111111"/>
          <w:sz w:val="28"/>
          <w:sz w:val="28"/>
          <w:szCs w:val="28"/>
          <w:rtl w:val="true"/>
          <w:lang w:bidi="ar-SA"/>
        </w:rPr>
        <w:t>بالإيجاب فقط، بعد ما كان بإذن المشتري، وهو أيضاً خارج عن باب تقديم القبول على الإيجاب، إلاّ أن يستعمل الأمر في القبول مجازاً، أو يؤتى به كناية عنه، فيدخل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ينبغي أن يكون محطّ الكلام هو القسم الأوّل، سواء اُنشئ القبول بلفظه، أو لفظ مرادف له، أو اُنشئ بالمجاز، أو الكناية، أو نحوهما</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495505_2142443653"/>
      <w:bookmarkStart w:id="480" w:name="_Toc168"/>
      <w:bookmarkEnd w:id="479"/>
      <w:r>
        <w:rPr>
          <w:rtl w:val="true"/>
        </w:rPr>
        <w:t>جواز تقديم القبول على الإيجاب</w:t>
      </w:r>
      <w:bookmarkEnd w:id="480"/>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تقديمه عليه؛ لأنّ القبول وإن كان مطاوعة وتنفيذاً لما أوقعه البائع، لكن يمكن إنشاؤه مقدّماً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الاشتراط؛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ملّكتني هذا بهذا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الواجب المشروط، فيتحقّق القبول والمنشأ بعد الإيجاب، ويكون مطاوعة له حقيقة وتحصل الملكية بعد القبول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لو فرض اشتراط حصولها بعده في الحال، وهو صحيح على القواعد، إلاّ أن يثبت الإجماع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الواجب التعليقي، فكما يمكن الأمر بأمر متأخّر من غير اشتراط، يمكن إيقاع الإيجاب أو القبول كذلك، فللقابل أن يقبل الإيجاب في موطن تحقّقه، فإنشاؤه حالي، والمنشأ استقبالي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والقبول من قبيل الكسر والانكسار</w:t>
      </w:r>
      <w:r>
        <w:rPr>
          <w:rStyle w:val="FootnoteAnchor"/>
          <w:rtl w:val="true"/>
        </w:rPr>
        <w:footnoteReference w:id="707"/>
      </w:r>
      <w:r>
        <w:rPr>
          <w:rFonts w:ascii="Amiri" w:hAnsi="Amiri" w:eastAsia="Amiri" w:cs="Amiri"/>
          <w:color w:val="111111"/>
          <w:sz w:val="28"/>
          <w:sz w:val="28"/>
          <w:szCs w:val="28"/>
          <w:rtl w:val="true"/>
          <w:lang w:bidi="ar-SA"/>
        </w:rPr>
        <w:t xml:space="preserve">، فاسد وخلط بين </w:t>
      </w:r>
      <w:bookmarkStart w:id="481" w:name="pg15195_150714"/>
    </w:p>
    <w:p>
      <w:pPr>
        <w:pStyle w:val="BookText"/>
        <w:rPr/>
      </w:pPr>
      <w:bookmarkEnd w:id="481"/>
      <w:r>
        <w:rPr>
          <w:rFonts w:ascii="Amiri" w:hAnsi="Amiri" w:eastAsia="Amiri" w:cs="Amiri"/>
          <w:color w:val="111111"/>
          <w:sz w:val="28"/>
          <w:sz w:val="28"/>
          <w:szCs w:val="28"/>
          <w:rtl w:val="true"/>
          <w:lang w:bidi="ar-SA"/>
        </w:rPr>
        <w:t>الاُمور الاعتبارية والتكوينية، فسنخ معنى القبول وإن كان بنحوٍ لا يمكن أن يتحقّق في عالم الاعتبار إلاّ متأخّراً عن الإيجاب، لكنّ الإيقاع بالنحوين المتقدّمين يوجب وجوده متأخّراً عنه، فلفظ القبول متقدّم، وحقيقته متأخّرة</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2495507_2142443653"/>
      <w:bookmarkStart w:id="483" w:name="_Toc169"/>
      <w:bookmarkEnd w:id="482"/>
      <w:r>
        <w:rPr>
          <w:rtl w:val="true"/>
        </w:rPr>
        <w:t>إشكال الشيخ في تقدّم القبول</w:t>
      </w:r>
      <w:bookmarkEnd w:id="483"/>
    </w:p>
    <w:p>
      <w:pPr>
        <w:pStyle w:val="BookText"/>
        <w:rPr/>
      </w:pPr>
      <w:r>
        <w:rPr>
          <w:rFonts w:ascii="Amiri" w:hAnsi="Amiri" w:eastAsia="Amiri" w:cs="Amiri"/>
          <w:color w:val="111111"/>
          <w:sz w:val="28"/>
          <w:sz w:val="28"/>
          <w:szCs w:val="28"/>
          <w:rtl w:val="true"/>
          <w:lang w:bidi="ar-SA"/>
        </w:rPr>
        <w:t>وما أفاده الشيخ الأعظم من أنّ تقدّم القبول مستلزم لعدم تحقّق النقل في الحال، وهو معتبر في المعاملة</w:t>
      </w:r>
      <w:r>
        <w:rPr>
          <w:rStyle w:val="FootnoteAnchor"/>
          <w:rtl w:val="true"/>
        </w:rPr>
        <w:footnoteReference w:id="708"/>
      </w:r>
      <w:r>
        <w:rPr>
          <w:rFonts w:ascii="Amiri" w:hAnsi="Amiri" w:eastAsia="Amiri" w:cs="Amiri"/>
          <w:color w:val="111111"/>
          <w:sz w:val="28"/>
          <w:sz w:val="28"/>
          <w:szCs w:val="28"/>
          <w:rtl w:val="true"/>
          <w:lang w:bidi="ar-SA"/>
        </w:rPr>
        <w:t>غير مرضيّ؛ لعدم الدليل عليه، وإنّما يعتبر العقلاء حصول الأثر في المعاملات المتعارفة بعد القبول؛ لكونه جزءاً متمّماً لموضوع اعتبارهم، فإنّ اعتبار حصول النقل متقوّم بالإيجاب والقبول، فمع أحدهما فقط لا يتحقّق موضوع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لأجل أنّ للقبول خصوصية لا بدّ من وقوع التمليك والنقل به حالاً، بل قد عرفت أنّ القبول ليس بناقل، بل الناقل إيقاعاً هو الإيجاب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لو اُغمض عن الإشكال العقلي بأنّ المعنى المطاوعي لا يمكن تحقّقه إلاّ متأخّراً عن الإيجاب، لا يكون هذا إشكالاً، فإذا قبل المشتري ما أوجبه البائع متأخّراً، وأوجب البائع بعد قبوله، تمّ موضوع الاعتبار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ما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إيقاع القبول على نحو الواجب المشروط أو المعلّق، يدفع الإشكال؛ لأنّ الانتقال حاصل بعده حقيقة</w:t>
      </w:r>
      <w:r>
        <w:rPr>
          <w:rFonts w:eastAsia="Amiri" w:cs="Amiri" w:ascii="Amiri" w:hAnsi="Amiri"/>
          <w:color w:val="111111"/>
          <w:sz w:val="28"/>
          <w:szCs w:val="28"/>
          <w:rtl w:val="true"/>
          <w:lang w:bidi="ar-SA"/>
        </w:rPr>
        <w:t xml:space="preserve">. </w:t>
      </w:r>
      <w:bookmarkStart w:id="484" w:name="pg15195_150715"/>
    </w:p>
    <w:p>
      <w:pPr>
        <w:pStyle w:val="Heading6"/>
        <w:numPr>
          <w:ilvl w:val="5"/>
          <w:numId w:val="1"/>
        </w:numPr>
        <w:rPr/>
      </w:pPr>
      <w:bookmarkStart w:id="485" w:name="__RefHeading___Toc2495509_2142443653"/>
      <w:bookmarkStart w:id="486" w:name="_Toc170"/>
      <w:bookmarkEnd w:id="484"/>
      <w:bookmarkEnd w:id="485"/>
      <w:r>
        <w:rPr>
          <w:rtl w:val="true"/>
        </w:rPr>
        <w:t>تفصيل المحقّق النائيني بين العقود الإذنية وغيرها</w:t>
      </w:r>
      <w:bookmarkEnd w:id="486"/>
    </w:p>
    <w:p>
      <w:pPr>
        <w:pStyle w:val="BookText"/>
        <w:rPr/>
      </w:pPr>
      <w:r>
        <w:rPr>
          <w:rFonts w:ascii="Amiri" w:hAnsi="Amiri" w:eastAsia="Amiri" w:cs="Amiri"/>
          <w:color w:val="111111"/>
          <w:sz w:val="28"/>
          <w:sz w:val="28"/>
          <w:szCs w:val="28"/>
          <w:rtl w:val="true"/>
          <w:lang w:bidi="ar-SA"/>
        </w:rPr>
        <w:t xml:space="preserve">وأمّا التفصيل بين العقود الإذنية وغيرها </w:t>
      </w:r>
      <w:r>
        <w:rPr>
          <w:rStyle w:val="FootnoteAnchor"/>
          <w:rtl w:val="true"/>
        </w:rPr>
        <w:footnoteReference w:id="710"/>
      </w:r>
      <w:r>
        <w:rPr>
          <w:rFonts w:ascii="Amiri" w:hAnsi="Amiri" w:eastAsia="Amiri" w:cs="Amiri"/>
          <w:color w:val="111111"/>
          <w:sz w:val="28"/>
          <w:sz w:val="28"/>
          <w:szCs w:val="28"/>
          <w:rtl w:val="true"/>
          <w:lang w:bidi="ar-SA"/>
        </w:rPr>
        <w:t>، فلا وجه له، بل لا معنى معقول للعقود الإذنية؛ لأنّ عقد الوكالة مثلاً عقد، من حكمه العقلائي جواز الإتيان بما اُوكل أمره إليه، لا أنّه نفس الإذن في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الإذن في التصرّف أو الإتيان في عقد الوكالة، لغو لا معنى له، فالموكّل لا يوقع إلاّ الوكالة، وليس معنى الوكالة الإذن في التصرّف؛ فإنّه إيقاع لا يحتاج إلى القبول، ولا يترتّب عليه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فالوكالة أمر اعتباري، لا يعتبره العقلاء إلاّ بعد القبول، بخلاف الإذن، فالمأذون لو ردّ الإذن، يكون مأذوناً ما دام الإذن باقياً، والوكيل لو لم يقبل الوكالة، أو ردّ الإيجاب، لا يكون وكيلاً، ولا تترتّب على فعله الآثار، فلو ردّ الوكالة، ثمّ فعل ما أوكله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قبول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نافذاً، بخلاف المأذون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العقود في ذلك جوازاً، وامتناعاً، وصحّةً، وفساداً</w:t>
      </w:r>
      <w:r>
        <w:rPr>
          <w:rFonts w:eastAsia="Amiri" w:cs="Amiri" w:ascii="Amiri" w:hAnsi="Amiri"/>
          <w:color w:val="111111"/>
          <w:sz w:val="28"/>
          <w:szCs w:val="28"/>
          <w:rtl w:val="true"/>
          <w:lang w:bidi="ar-SA"/>
        </w:rPr>
        <w:t xml:space="preserve">. </w:t>
      </w:r>
      <w:bookmarkStart w:id="487" w:name="pg15195_150716"/>
    </w:p>
    <w:p>
      <w:pPr>
        <w:pStyle w:val="Heading5"/>
        <w:numPr>
          <w:ilvl w:val="4"/>
          <w:numId w:val="1"/>
        </w:numPr>
        <w:rPr/>
      </w:pPr>
      <w:bookmarkStart w:id="488" w:name="__RefHeading___Toc2495511_2142443653"/>
      <w:bookmarkStart w:id="489" w:name="_Toc171"/>
      <w:bookmarkEnd w:id="487"/>
      <w:bookmarkEnd w:id="488"/>
      <w:r>
        <w:rPr>
          <w:rtl w:val="true"/>
        </w:rPr>
        <w:t xml:space="preserve">مسألة </w:t>
      </w:r>
      <w:r>
        <w:rPr>
          <w:rtl w:val="true"/>
        </w:rPr>
        <w:t xml:space="preserve">: </w:t>
      </w:r>
      <w:r>
        <w:rPr>
          <w:rtl w:val="true"/>
        </w:rPr>
        <w:t>في عدم اعتبار الموالاة</w:t>
      </w:r>
      <w:bookmarkEnd w:id="489"/>
    </w:p>
    <w:p>
      <w:pPr>
        <w:pStyle w:val="Heading6"/>
        <w:numPr>
          <w:ilvl w:val="5"/>
          <w:numId w:val="1"/>
        </w:numPr>
        <w:rPr/>
      </w:pPr>
      <w:bookmarkStart w:id="490" w:name="__RefHeading___Toc2495513_2142443653"/>
      <w:bookmarkStart w:id="491" w:name="_Toc172"/>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الظاهر عدم اعتبار الموالاة بين الإيجاب والقبول، ولا عدم الفصل بالأجنبيّ بينهما، من غير فرق بين كون دليل إنفاذ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بين أنحاء العقود</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2495515_2142443653"/>
      <w:bookmarkStart w:id="493" w:name="_Toc173"/>
      <w:bookmarkEnd w:id="492"/>
      <w:r>
        <w:rPr>
          <w:rtl w:val="true"/>
        </w:rPr>
        <w:t>استدلال المحقّق النائيني على الموالاة</w:t>
      </w:r>
      <w:bookmarkEnd w:id="493"/>
    </w:p>
    <w:p>
      <w:pPr>
        <w:pStyle w:val="BookText"/>
        <w:rPr/>
      </w:pPr>
      <w:r>
        <w:rPr>
          <w:rFonts w:ascii="Amiri" w:hAnsi="Amiri" w:eastAsia="Amiri" w:cs="Amiri"/>
          <w:color w:val="111111"/>
          <w:sz w:val="28"/>
          <w:sz w:val="28"/>
          <w:szCs w:val="28"/>
          <w:rtl w:val="true"/>
          <w:lang w:bidi="ar-SA"/>
        </w:rPr>
        <w:t>وربّما يتشبّث بدليل عقلي على الاعتبار،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العقود المعاوضية خلع ولبس، أو إيجاد علقة، فلا بدّ وأن يكون مقارناً للخلع لبس، ومقارناً لإيجاد العلقة قبول، وإلاّ فيقع الإضافة أو العلقة بلا محلّ ومضاف إليه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القائل بعد الجزم بالاعتبار في العقود المعاوضية، وبعدمه في العقود الإذنية، تردّد في العقود العهدية غير المعاوضية، وجعلها محلّ الإشكال، واختار الاعتبار بعده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إقامة الدليل العقلي على الاعتبار، والالتزام بلزوم الإضافة </w:t>
      </w:r>
    </w:p>
    <w:p>
      <w:pPr>
        <w:pStyle w:val="BookText"/>
        <w:rPr/>
      </w:pPr>
      <w:r>
        <w:rPr>
          <w:rFonts w:ascii="Amiri" w:hAnsi="Amiri" w:eastAsia="Amiri" w:cs="Amiri"/>
          <w:color w:val="111111"/>
          <w:sz w:val="28"/>
          <w:sz w:val="28"/>
          <w:szCs w:val="28"/>
          <w:rtl w:val="true"/>
          <w:lang w:bidi="ar-SA"/>
        </w:rPr>
        <w:t>بلا مضاف إليه وبلا محلّ، ينافي الترديد في قسم من العقود، بعد التصديق بأنّها عقد، وفيها نقل وانتقال؛ ضرورة أنّ عقد الهبة أيضاً موجب للخلع واللبس، فلو كان مقتضى عدم الموالاة هذا الأمر الممتنع عقلاً، فلا معنى للترديد،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ترديده على فرض التسليم، وأنّ الدليل هو أمر عرفي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وجه النظر في التفصيل بين العقود الإذنية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هذا الدليل العقلي، لكان لازمه امتناع تحقّق العقود مطلقاً؛ لأنّ قيام الإضافة بذاتها وبلا محلّ محال، سواء كان في آنٍ، أو في زمان طويل، فطول الزمان وقصره شريك العلّة في الامتناع، بل لو لم يفصل القابل بين قبوله والإيجاب يلزم ذلك؛ لأنّ الإيجاب حسب الفرض علّة للخلع، فبتحقّقه يتحقّق الخلع، والقبول تدريجي الوجود، فيلزم التالي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هذا المبنى يكون الامتناع من قبل الإيجاب، ولا ربط له بالقبول، أو تأخّره، أو عدم الموالاة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صحّ الخلع، يكون المالك بواسطته أجنبيّاً عن العين، فليس له اللبس؛ لقطع سلطنته، وأمّا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يحصل بإعمال السلطنة وسلبها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يقال على هذا المبنى غير الوجيه وابتناء المسألة على أمر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التالي مع عدم الموالاة؛ لأنّ الخلع واللبس الإيقاعيين حصلا بالإيجاب، لأنّه تمام ماهية المعاملة، فالموجب بإيجابه يملّك المشتري، ويتملّك الثمن إيقاعاً وإنشاءً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هو المبادل بين المالين إيقاعاً، وليس للقبول شأن </w:t>
      </w:r>
      <w:bookmarkStart w:id="494" w:name="pg15195_150718"/>
    </w:p>
    <w:p>
      <w:pPr>
        <w:pStyle w:val="BookText"/>
        <w:rPr/>
      </w:pPr>
      <w:bookmarkEnd w:id="494"/>
      <w:r>
        <w:rPr>
          <w:rFonts w:ascii="Amiri" w:hAnsi="Amiri" w:eastAsia="Amiri" w:cs="Amiri"/>
          <w:color w:val="111111"/>
          <w:sz w:val="28"/>
          <w:sz w:val="28"/>
          <w:szCs w:val="28"/>
          <w:rtl w:val="true"/>
          <w:lang w:bidi="ar-SA"/>
        </w:rPr>
        <w:t>إلاّ إنفاذ ذلك وتثبيته، فيحصل بالإيجاب الخلع واللبس الإيقاعيان، وبعد ضمّ القبول إليه يحصل الخلع واللبس الواقعيان الاعتباريان، فلا يوجب الفصل تحقّق الإضافة بلا محلّ، كما لا يخفى</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2495517_2142443653"/>
      <w:bookmarkStart w:id="496" w:name="_Toc174"/>
      <w:bookmarkEnd w:id="495"/>
      <w:r>
        <w:rPr>
          <w:rtl w:val="true"/>
        </w:rPr>
        <w:t>استدلال المحقّق الإيرواني على الموالاة</w:t>
      </w:r>
      <w:bookmarkEnd w:id="496"/>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يفيد النقل من حينه، فإذا تأخّر القبول عنه، فإمّا أن يكون قبولاً لتمام مضمون الإيجاب، فعلى فرض الصحّة لزم حصول النقل قبل تمام العقد، أو بعض مضمونه؛ أعني النقل من حين تحقّق القبول، فيلزم عدم المطابقة بين الإيجاب والقبول، وهو معفوّ في الفصل القليل، دون الكثير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اختيار الشقّ الأوّل، من غير لزوم التالي الفاسد؛ لما عرفت من أنّ الإيجاب تمام ماهية العقد، والقبول كالإجازة في الفضولي، فيمكن القول بالصحّة من حين الإيجاب كشفاً أو حكماً،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ليس مضمونه النقل من حينه، بل مضمونه التمليك بالعوض، أو التبديل بين المالين، لكن ترتّب الأثر عليه عرفاً وشرعاً؛ أعني اعتبارهما لتحقّق النقل، موقوف على ضمّ القبول إليه،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ضمّه يؤثّر في النقل، لا النقل في الحين، فالقبول قبول لتمام مضمونه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مؤثّرات في نفس المسبّبات، والزمان ظرف لتحقّقها، لا قيد له، وهو واضح موافق للتحقيق، فالشقّ الأوّل مختار، ولا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يقال في مقام بيان اعتبار التوالي، بأنّ العقد المركّب من الإيجاب والقبول القائمين بنفس المتعاقدين بمنزلة كلام واحد، مرتبط بعضه ببعض، فلا بدّ في ترتّب الحكم عليه من تحقّقه بنحو الوحدة الاتّصالية، والفصل الطويل أو بالأجنبيّ يقدح بالهيئة الاتّصالية والوحدة الاعتبارية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بما أنّه موضوع الأثر الواحد، لا بدّ وأن يكون واحداً عرفاً،</w:t>
      </w:r>
    </w:p>
    <w:p>
      <w:pPr>
        <w:pStyle w:val="BookText"/>
        <w:rPr/>
      </w:pPr>
      <w:r>
        <w:rPr>
          <w:rFonts w:ascii="Amiri" w:hAnsi="Amiri" w:eastAsia="Amiri" w:cs="Amiri"/>
          <w:color w:val="111111"/>
          <w:sz w:val="28"/>
          <w:sz w:val="28"/>
          <w:szCs w:val="28"/>
          <w:rtl w:val="true"/>
          <w:lang w:bidi="ar-SA"/>
        </w:rPr>
        <w:t>والفصل مخلّ بوحدته العرفية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وجيه؛ لأنّ العقد، والبيع، والتجارة ونحوها عبارة عن المعاني المسبّبية، وقد مرّ في المعاطاة بيان أنّ العقد ليس من مقولة اللفظ</w:t>
      </w:r>
      <w:r>
        <w:rPr>
          <w:rStyle w:val="FootnoteAnchor"/>
          <w:rtl w:val="true"/>
        </w:rPr>
        <w:footnoteReference w:id="716"/>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الكتاب العزيز عبارة عن العلقة المتبادلة بين المتعاملين، كأنّها بتبادل الإضافتين صارت عقدة كعقدة الخيط، وهي أمر باقٍ، يصحّ أن يعبّر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الَّذِى بِيَدِهِ عُقْدَةُ النِّكَاحِ</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ملاحظة هذا الربط والعلقة المسبّبية، وهي ليست من الاُمور المتدرّجة الوجود، ولا من مقولة الألفاظ، حتّى تلاحظ هيئتها الاتّصالية، فقياسها بالقراءة، والتشهّد، والصلاة، ونحوها </w:t>
      </w:r>
      <w:r>
        <w:rPr>
          <w:rStyle w:val="FootnoteAnchor"/>
          <w:rtl w:val="true"/>
        </w:rPr>
        <w:footnoteReference w:id="718"/>
      </w:r>
      <w:r>
        <w:rPr>
          <w:rFonts w:ascii="Amiri" w:hAnsi="Amiri" w:eastAsia="Amiri" w:cs="Amiri"/>
          <w:color w:val="111111"/>
          <w:sz w:val="28"/>
          <w:sz w:val="28"/>
          <w:szCs w:val="28"/>
          <w:rtl w:val="true"/>
          <w:lang w:bidi="ar-SA"/>
        </w:rPr>
        <w:t>مع الفارق، وقد تقدّم أنّ بالإيجاب يتمّ العقد والبيع، والقبول بمنزلة الإجازة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ما هو المعتبر ارتباط قرارهما وعهدهما؛ أي عهد البائع وقراره بقبول المشتري، وهو حاصل مع بقاء الإيجاب الاعتباري؛ أي المعنى المسبّبي بنظر العقلاء، فما لم يصر الإيجاب الكذائي منسيّاً ومعرضاً عنه، صحّ ضمّ القبول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قم وتفكّر في صلاحك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وتأمّل ساعة أو ساعتين، بل يوماً أو يومين، فاختار القبول،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ويجب الوفاء به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العهود الكتبية بين الدول وبين الشركاء في التجارات، لا يعتبر فيها التوالي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فالمضرّ عدم ربط المسبّبات، والمعتبر ربطها، لا التوالي بين الإيجاب والقبول</w:t>
      </w:r>
    </w:p>
    <w:p>
      <w:pPr>
        <w:pStyle w:val="BookText"/>
        <w:rPr/>
      </w:pPr>
      <w:r>
        <w:rPr>
          <w:rFonts w:ascii="Amiri" w:hAnsi="Amiri" w:eastAsia="Amiri" w:cs="Amiri"/>
          <w:color w:val="111111"/>
          <w:sz w:val="28"/>
          <w:sz w:val="28"/>
          <w:szCs w:val="28"/>
          <w:rtl w:val="true"/>
          <w:lang w:bidi="ar-SA"/>
        </w:rPr>
        <w:t xml:space="preserve">وبين الأسباب، من غير فرق بين كون دليل التنفيذ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تقريب الشيخ الأعظم</w:t>
      </w:r>
      <w:r>
        <w:rPr>
          <w:rStyle w:val="FootnoteAnchor"/>
          <w:rtl w:val="true"/>
        </w:rPr>
        <w:footnoteReference w:id="723"/>
      </w:r>
      <w:r>
        <w:rPr>
          <w:rFonts w:ascii="Amiri" w:hAnsi="Amiri" w:eastAsia="Amiri" w:cs="Amiri"/>
          <w:color w:val="111111"/>
          <w:sz w:val="28"/>
          <w:sz w:val="28"/>
          <w:szCs w:val="28"/>
          <w:rtl w:val="true"/>
          <w:lang w:bidi="ar-SA"/>
        </w:rPr>
        <w:t>ذيل كلام الشهيد</w:t>
      </w:r>
      <w:r>
        <w:rPr>
          <w:rStyle w:val="FootnoteAnchor"/>
          <w:rtl w:val="true"/>
        </w:rPr>
        <w:footnoteReference w:id="724"/>
      </w:r>
      <w:r>
        <w:rPr>
          <w:rFonts w:ascii="Amiri" w:hAnsi="Amiri" w:eastAsia="Amiri" w:cs="Amiri"/>
          <w:color w:val="111111"/>
          <w:sz w:val="28"/>
          <w:sz w:val="28"/>
          <w:szCs w:val="28"/>
          <w:rtl w:val="true"/>
          <w:lang w:bidi="ar-SA"/>
        </w:rPr>
        <w:t xml:space="preserve">، عدم الفرق في عدم الصحّة بين اعتبار العقد وغيره لأنّ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الإيجاب والقبول بمنزلة كلام واحد، مرتبط بعضه ببعض، فيه الهيئة الاتّصالية، فيقدح تخلّل الفصل بهيئته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غيره أيضاً؛ لأنّ البيع والتجارة أيضاً على هذا </w:t>
      </w:r>
    </w:p>
    <w:p>
      <w:pPr>
        <w:pStyle w:val="BookText"/>
        <w:rPr/>
      </w:pPr>
      <w:r>
        <w:rPr>
          <w:rFonts w:ascii="Amiri" w:hAnsi="Amiri" w:eastAsia="Amiri" w:cs="Amiri"/>
          <w:color w:val="111111"/>
          <w:sz w:val="28"/>
          <w:sz w:val="28"/>
          <w:szCs w:val="28"/>
          <w:rtl w:val="true"/>
          <w:lang w:bidi="ar-SA"/>
        </w:rPr>
        <w:t>المبنى، عبارة عن الإيجاب والقبول المرتبطين، وبمنزلة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بيان الفرق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ووصل، ففي مفهومه معتبر ذلك، فلا بدّ أن لا يتخلّف العقد اللفظي أحد جزئيه عن الآخر، بخلاف البيع والتجارة؛ إذ ليس مفهومهما كمفهومه مقتضياً للربط</w:t>
      </w:r>
      <w:r>
        <w:rPr>
          <w:rStyle w:val="FootnoteAnchor"/>
          <w:rtl w:val="true"/>
        </w:rPr>
        <w:footnoteReference w:id="725"/>
      </w:r>
      <w:r>
        <w:rPr>
          <w:rFonts w:ascii="Amiri" w:hAnsi="Amiri" w:eastAsia="Amiri" w:cs="Amiri"/>
          <w:color w:val="111111"/>
          <w:sz w:val="28"/>
          <w:sz w:val="28"/>
          <w:szCs w:val="28"/>
          <w:rtl w:val="true"/>
          <w:lang w:bidi="ar-SA"/>
        </w:rPr>
        <w:t>، مع كونه غير مرضيّ في نفسه، غير مربوط باستدلال الشيخ،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الشيخ ليس مختصّاً بالاُمور المتدرّجة، بل كلّ اُمور يجمعها عنوان واحد، ولها هيئة خاصّة اتّصالية، أيضاً كذلك، كالعسكر، والدار، والبستان، والبلد، فالتدريج والقرار غير دخيلين، ولا يبعد أن لا يخالف الشيخ ذلك، وإنّما خصّ بالأمر التدريجي؛ لأنّ المقام من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عدل بعض الأعاظم عن تقريب الشيخ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أمرين أو اُمور يجمعها عنوان واحد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يفصل بينها فاصل مخلّ بالجهة الجامعة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يظهر من ذيل كلامه أيضاً الفرق بين العقد والبيع</w:t>
      </w:r>
      <w:r>
        <w:rPr>
          <w:rStyle w:val="FootnoteAnchor"/>
          <w:rtl w:val="true"/>
        </w:rPr>
        <w:footnoteReference w:id="727"/>
      </w:r>
      <w:r>
        <w:rPr>
          <w:rFonts w:ascii="Amiri" w:hAnsi="Amiri" w:eastAsia="Amiri" w:cs="Amiri"/>
          <w:color w:val="111111"/>
          <w:sz w:val="28"/>
          <w:sz w:val="28"/>
          <w:szCs w:val="28"/>
          <w:rtl w:val="true"/>
          <w:lang w:bidi="ar-SA"/>
        </w:rPr>
        <w:t>، وفي كلامه موارد أنظار، تظهر للناظر الدقيق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بين العقود الإذنية وغيرها </w:t>
      </w:r>
      <w:r>
        <w:rPr>
          <w:rStyle w:val="FootnoteAnchor"/>
          <w:rtl w:val="true"/>
        </w:rPr>
        <w:footnoteReference w:id="728"/>
      </w:r>
      <w:r>
        <w:rPr>
          <w:rFonts w:ascii="Amiri" w:hAnsi="Amiri" w:eastAsia="Amiri" w:cs="Amiri"/>
          <w:color w:val="111111"/>
          <w:sz w:val="28"/>
          <w:sz w:val="28"/>
          <w:szCs w:val="28"/>
          <w:rtl w:val="true"/>
          <w:lang w:bidi="ar-SA"/>
        </w:rPr>
        <w:t>، فقد مرّ ما يفسده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497" w:name="pg15195_150722"/>
    </w:p>
    <w:p>
      <w:pPr>
        <w:pStyle w:val="Heading5"/>
        <w:numPr>
          <w:ilvl w:val="4"/>
          <w:numId w:val="1"/>
        </w:numPr>
        <w:rPr/>
      </w:pPr>
      <w:bookmarkStart w:id="498" w:name="__RefHeading___Toc2495519_2142443653"/>
      <w:bookmarkStart w:id="499" w:name="_Toc175"/>
      <w:bookmarkEnd w:id="497"/>
      <w:bookmarkEnd w:id="498"/>
      <w:r>
        <w:rPr>
          <w:rtl w:val="true"/>
        </w:rPr>
        <w:t xml:space="preserve">مسألة </w:t>
      </w:r>
      <w:r>
        <w:rPr>
          <w:rtl w:val="true"/>
        </w:rPr>
        <w:t xml:space="preserve">: </w:t>
      </w:r>
      <w:r>
        <w:rPr>
          <w:rtl w:val="true"/>
        </w:rPr>
        <w:t>في اعتبار التنجيز في العقود</w:t>
      </w:r>
      <w:bookmarkEnd w:id="499"/>
    </w:p>
    <w:p>
      <w:pPr>
        <w:pStyle w:val="Heading6"/>
        <w:numPr>
          <w:ilvl w:val="5"/>
          <w:numId w:val="1"/>
        </w:numPr>
        <w:rPr/>
      </w:pPr>
      <w:bookmarkStart w:id="500" w:name="__RefHeading___Toc2495521_2142443653"/>
      <w:bookmarkStart w:id="501" w:name="_Toc176"/>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وممّا نقل اعتباره عن جمعٍ التنجيز،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فالتعليق في العقود وما بحكمه موجب للبطلان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يتشبّث به في وجه الاعتبار، ما قيل في امتناع الواجب المشروط؛ بحيث يرجع الشرط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الهيئات حروف، لا يعقل تعليقها بشيء؛ للزوم لحاظ المعنى الآلي استقلالاً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جزئية؛ لما حقّق من خصوص الموضوع له فيها، والجزئي غير قابل للتقييد والتعليق</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الهيئات بما أنّها حروف إيجادية لا حكائية، تكون آلة لإيجاد المادّة اعتباراً، والإيجاد كالوجود غير قابل للتعليق؛ فإنّ الوجود والإيجاد تكوينياً كانا أو اعتبارياً يستحيل تعليقهما، فكما أنّه لا يمكن أن يعلّق وقوع الضرب على شخص على كونه عدوّاً، كذلك يستحيل إيجاد البيع وإنشاؤه معلّقاً؛ فإنّ إيجاد المعنى المقصود باللفظ إمّا لا يحصل رأساً، أو يحصل مطلقاً، فوقوع الإيجاد معلّقاً مرجعه إلى التناقض، فكلام القوم ومحطّ النزاع، التعليق في المنشأ لا الإنشاء</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قد فرغنا عن الجواب عنها في الواجب المشروط، وقلنا بإمكان التعليق في المعاني الحرفية، وكذا إمكان تعليق الجزئيات وتقييدها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الوجه الثالث الذي تشبّث به بعض أعاظم العصر رحمه الله علیه، وزعم أنّ النزاع في تعليق المنشأ لا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الإيجاد الاعتباري بالتكويني مع الفارق، ولا يلزم من امتناع التعليق في التكوين امتناعه في التشريع وعالم الاعتبار،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القيد قيد الهيئة لا المادّة، والبعث الاعتباري معلّق على مجيئه، فما لم يجيء لا بعث بالضرورة، وفي ظرف تحقّق المجيء يتحقّق البعث الاعتباري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المعلّق عليه لا إيجاب ولا وجوب، وإنّما يتحقّقان بعد تحقّقه، والإنشاء غير التلفّظ بالألفاظ الموقعة له، والتلفّظ من التكوين، </w:t>
      </w:r>
    </w:p>
    <w:p>
      <w:pPr>
        <w:pStyle w:val="BookText"/>
        <w:rPr/>
      </w:pPr>
      <w:r>
        <w:rPr>
          <w:rFonts w:ascii="Amiri" w:hAnsi="Amiri" w:eastAsia="Amiri" w:cs="Amiri"/>
          <w:color w:val="111111"/>
          <w:sz w:val="28"/>
          <w:sz w:val="28"/>
          <w:szCs w:val="28"/>
          <w:rtl w:val="true"/>
          <w:lang w:bidi="ar-SA"/>
        </w:rPr>
        <w:t>ولا يعقل تعليقه، بخلاف الإنشاء والإيقاع الذي هو أمر اعتباري، نظير الإيجاب والتلفّظ بلفظ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بينهما، فوقع فيما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منه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لأنّه إنّما يلزم لو كان الإيجاد وعدمه بالفعل، لكن في الواجب المشروط يكون الإنشاء مشروطاً، ولازم اشتراطه تحقّق الإيجاب والوجوب بعد الشرط، وكذلك الحال في إنشاء البيع،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إيقاع البيع مشروطاً بتحقّق طلوعها، فالإيجاد الاعتباري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أوجدت بيع يوم الجمعة،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 إن جاء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يوم الجمعة في الأوّل وصف للمنشأ، بخلاف الثاني؛ فإنّه قيد للهيئة وشرط للإنشاء، والعهدة في حلّه بجميع جوانبه على بحث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التعليق في المنشأ لا معنى له؛ لأنّ المعاني التصوّرية لا يعقل فيها التعليق، فلا معنى لتعليق زيد أو تعليق بيع الدار، بل التعليق لا بدّ وأن يرجع إلى المعاني التصديقية، خبرية كانت أو إنشائية، فتدبّر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تمّ الدليل العقلي الذي أقامه، فلا يدلّ ذلك على تحرير محلّ النزاع، فلعلّ القوم لم يتمّ عندهم هذا الدليل، ولهذا إنّ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القيود في الواجب المشروط إلى الهيئة، لا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رجوع القيد إلى المنشأ في المقام، لازمه أن ينشأ بالفعل الملك مثلاً يوم الجمعة، فالنتيجة أنّ ملك يوم الجمعة لك بالفعل، فيكون الشيء ملكاً للمنشئ من الآن إلى يوم الجمعة، وملكاً يوم الجمعة للطرف، فيجوز أن يملّك غيره ملك يوم السبت، وآخر ملك يوم الأحد وهكذا، نظير باب الإجارة، فيكون الجميع مالكاً بالفعل، كلّ ملكية قطعة من الزمان، مع أنّ الملك ليس متكثّراً بتكثّر الزمان، وليس المملوك متعدّداً في المملوكية، كالمنافع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القيد إلى الإنشاء صحّ مطلقاً، وإن رجع إلى المنشأ بطل مطلقاً؛ لعدم تعدّد المملوك، حتّى ينتقل في وقت، ويبقى مملوك آخر، ويكون كلّ قطعة من الزمان مكثّراً له، فالمملوك هو نفس الشيء، والزمان ظرف له، والمالك للبيت ليس له بيوت عدد أيّام السنة، أو عدد ساعات السنة، فله أن يملّك غيره ما ملكه، وهو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رجع القيد إلى الهيئة، فالتمليك لنفس الطبيعة، ولا يتحقّق التمليك إلاّ بعد حصول القيد أو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إن رجع إلى الهيئة تكون الطبيعة مطلقة بلا قيد، والإنشاء والتمليك معلّقاً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المنشأ والمادّة يكون التمليك بلا قيد، فلا بدّ وأن يتحقّق، ولامتناع انفكاك المنشأ عن الإنشاء تصير الملكية موجودة، لكن لا الملكية المطلقة، بل المقيّدة بيوم الجمعة، فللشيء ملاّك متعدّدة حسب اقتضاء القيود الراجعة إلى المادّة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لازم رجوع القيد إلى المادّة تمامية العقد فعلاً، وعدم جواز الرجوع </w:t>
      </w:r>
      <w:bookmarkStart w:id="502" w:name="pg15195_150726"/>
    </w:p>
    <w:p>
      <w:pPr>
        <w:pStyle w:val="BookText"/>
        <w:rPr/>
      </w:pPr>
      <w:bookmarkEnd w:id="502"/>
      <w:r>
        <w:rPr>
          <w:rFonts w:ascii="Amiri" w:hAnsi="Amiri" w:eastAsia="Amiri" w:cs="Amiri"/>
          <w:color w:val="111111"/>
          <w:sz w:val="28"/>
          <w:sz w:val="28"/>
          <w:szCs w:val="28"/>
          <w:rtl w:val="true"/>
          <w:lang w:bidi="ar-SA"/>
        </w:rPr>
        <w:t>من المتعاقدين قبل حصول القيد والمعلّق عليه، بخلاف ما لو رجع إلى الهيئة؛ لأنّ العقد على فرض حصول القيد، فمع عدمه لا عقد بينهما، بل إنشاء معلّق، لو حصل المعلّق عليه صار إنشاءً وعقداً</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2495523_2142443653"/>
      <w:bookmarkStart w:id="504" w:name="_Toc177"/>
      <w:bookmarkEnd w:id="503"/>
      <w:r>
        <w:rPr>
          <w:rtl w:val="true"/>
        </w:rPr>
        <w:t>إشكال منافاة التعليق مع الجزم المعتبر</w:t>
      </w:r>
      <w:bookmarkEnd w:id="504"/>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يوجب عدم الجزم بإيقاع المعاملة، وهو معتبر فيه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الصغرى؛ فإنّ الإنشاء المعلّق جزمي على فرض التعليق، كالإخبار المعلّق،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لا شبهة في إخباره جزماً بالفساد على فرض تعدّد الآلهة، بلا شائبة ترديد واحتمال خلاف، وكذلك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على الفرض 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حصول المعلّق عليه ربّما يكون مشكوكاً فيه، وهو لا يوجب عدم الجزم على فرضه، بل لو علّقه على أمرٍ محال لا يضرّ بالجزم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منع الكبرى؛ لعدم دليل على لزوم الجزم في المعاملات ولا العبادات، فإن لم يعلم أنّ الفلان عبده، أو الفلانة زوجته،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إصابة الواقع فأصاب،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أعتق عبده، وطلّق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أنّه ماله، وكان في الواقع ماله،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باع ماله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يعتبر الجزم في الصدق العرفي، ولا دليل على اعتباره، وإطلاق الأدلّة </w:t>
      </w:r>
    </w:p>
    <w:p>
      <w:pPr>
        <w:pStyle w:val="BookText"/>
        <w:rPr/>
      </w:pPr>
      <w:r>
        <w:rPr>
          <w:rFonts w:ascii="Amiri" w:hAnsi="Amiri" w:eastAsia="Amiri" w:cs="Amiri"/>
          <w:color w:val="111111"/>
          <w:sz w:val="28"/>
          <w:sz w:val="28"/>
          <w:szCs w:val="28"/>
          <w:rtl w:val="true"/>
          <w:lang w:bidi="ar-SA"/>
        </w:rPr>
        <w:t>وعمومها يدفع احتماله، ودعوى الانصراف</w:t>
      </w:r>
      <w:r>
        <w:rPr>
          <w:rStyle w:val="FootnoteAnchor"/>
          <w:rtl w:val="true"/>
        </w:rPr>
        <w:footnoteReference w:id="738"/>
      </w:r>
      <w:r>
        <w:rPr>
          <w:rFonts w:ascii="Amiri" w:hAnsi="Amiri" w:eastAsia="Amiri" w:cs="Amiri"/>
          <w:color w:val="111111"/>
          <w:sz w:val="28"/>
          <w:sz w:val="28"/>
          <w:szCs w:val="28"/>
          <w:rtl w:val="true"/>
          <w:lang w:bidi="ar-SA"/>
        </w:rPr>
        <w:t xml:space="preserve">قد مرّ ما فيها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تحصيل الإجماع، أو الشهرة المعتبرة في هذه المسألة، التي للعقل فيها</w:t>
      </w:r>
    </w:p>
    <w:p>
      <w:pPr>
        <w:pStyle w:val="BookText"/>
        <w:rPr/>
      </w:pPr>
      <w:r>
        <w:rPr>
          <w:rFonts w:ascii="Amiri" w:hAnsi="Amiri" w:eastAsia="Amiri" w:cs="Amiri"/>
          <w:color w:val="111111"/>
          <w:sz w:val="28"/>
          <w:sz w:val="28"/>
          <w:szCs w:val="28"/>
          <w:rtl w:val="true"/>
          <w:lang w:bidi="ar-SA"/>
        </w:rPr>
        <w:t>قدم راسخ، فغير ممكن، ولهذا ترى تشبّثهم بالدليل العقلي أو العرفي</w:t>
      </w:r>
      <w:r>
        <w:rPr>
          <w:rStyle w:val="FootnoteAnchor"/>
          <w:rtl w:val="true"/>
        </w:rPr>
        <w:footnoteReference w:id="740"/>
      </w:r>
      <w:r>
        <w:rPr>
          <w:rFonts w:ascii="Amiri" w:hAnsi="Amiri" w:eastAsia="Amiri" w:cs="Amiri"/>
          <w:color w:val="111111"/>
          <w:sz w:val="28"/>
          <w:sz w:val="28"/>
          <w:szCs w:val="28"/>
          <w:rtl w:val="true"/>
          <w:lang w:bidi="ar-SA"/>
        </w:rPr>
        <w:t>، مع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المسألة لم تكن معنونة، وإنّما استندوا إلى باب الوكالة، والوقف ونحوهما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التنجيز في المعاملات مطلقاً، سواء كانت معلّقة على معلوم في الحال، أو الاستقبال، أو مجهول كذلك، بل أو معلوم العدم كذلك، ثمّ بانَ تحقّقه</w:t>
      </w:r>
      <w:r>
        <w:rPr>
          <w:rFonts w:eastAsia="Amiri" w:cs="Amiri" w:ascii="Amiri" w:hAnsi="Amiri"/>
          <w:color w:val="111111"/>
          <w:sz w:val="28"/>
          <w:szCs w:val="28"/>
          <w:rtl w:val="true"/>
          <w:lang w:bidi="ar-SA"/>
        </w:rPr>
        <w:t xml:space="preserve">. </w:t>
      </w:r>
      <w:bookmarkStart w:id="505" w:name="pg15195_150728"/>
    </w:p>
    <w:p>
      <w:pPr>
        <w:pStyle w:val="Heading5"/>
        <w:numPr>
          <w:ilvl w:val="4"/>
          <w:numId w:val="1"/>
        </w:numPr>
        <w:rPr/>
      </w:pPr>
      <w:bookmarkStart w:id="506" w:name="__RefHeading___Toc2495525_2142443653"/>
      <w:bookmarkStart w:id="507" w:name="_Toc178"/>
      <w:bookmarkEnd w:id="505"/>
      <w:bookmarkEnd w:id="506"/>
      <w:r>
        <w:rPr>
          <w:rtl w:val="true"/>
        </w:rPr>
        <w:t xml:space="preserve">مسألة </w:t>
      </w:r>
      <w:r>
        <w:rPr>
          <w:rtl w:val="true"/>
        </w:rPr>
        <w:t xml:space="preserve">: </w:t>
      </w:r>
      <w:r>
        <w:rPr>
          <w:rtl w:val="true"/>
        </w:rPr>
        <w:t>في اعتبار التطابق بين الإيجاب والقبول</w:t>
      </w:r>
      <w:bookmarkEnd w:id="507"/>
    </w:p>
    <w:p>
      <w:pPr>
        <w:pStyle w:val="BookText"/>
        <w:rPr/>
      </w:pPr>
      <w:r>
        <w:rPr>
          <w:rFonts w:ascii="Amiri" w:hAnsi="Amiri" w:eastAsia="Amiri" w:cs="Amiri"/>
          <w:color w:val="111111"/>
          <w:sz w:val="28"/>
          <w:sz w:val="28"/>
          <w:szCs w:val="28"/>
          <w:rtl w:val="true"/>
          <w:lang w:bidi="ar-SA"/>
        </w:rPr>
        <w:t>لا إشكال في اعتبار التطابق بين الإيجاب والقبول؛ إذ مع عدمه لا يصدق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للمطاوع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بمنزلة إجازة الفضولي</w:t>
      </w:r>
      <w:r>
        <w:rPr>
          <w:rStyle w:val="FootnoteAnchor"/>
          <w:rtl w:val="true"/>
        </w:rPr>
        <w:footnoteReference w:id="742"/>
      </w:r>
      <w:r>
        <w:rPr>
          <w:rFonts w:ascii="Amiri" w:hAnsi="Amiri" w:eastAsia="Amiri" w:cs="Amiri"/>
          <w:color w:val="111111"/>
          <w:sz w:val="28"/>
          <w:sz w:val="28"/>
          <w:szCs w:val="28"/>
          <w:rtl w:val="true"/>
          <w:lang w:bidi="ar-SA"/>
        </w:rPr>
        <w:t>، فلا بدّ وأن يكون متعلّقاً بعين ما اُوجب، وهو واضح، وإنّما الكلام في تشخيص الصغرى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مورد ينحلّ العقد عرفاً إلى عقدين، أو إلى عقد وشيء آخر، فقبل القابل البعض المنحلّ، يقع التطابق بينهما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قاول المشتري البائع على بيع فرسه بألف، وبيع ثوبه بألف؛ بحيث لا يكون بين البيعين ارتباط في الغرض، فباعهما بألفين، وكان ذلك لأجل الجمع في التعبير والسهولة، ينحلّ البيع لدى العقلاء إلى بيع هذا بألف، وذاك بألف، فإذا قبل أحدهما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باع فرسه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القبول مطابقاً للإيجاب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إذا كان في الواقع وبنظر العقلاء، أو في نظر المنشئ، ربط بينهما، فباع المجموع بما هو مجموع؛ فإنّه مع قبول البعض لا يكون قبولاً لما أنشأه، ولا مطابقاً لإيجابه، فلو باع الباب، فقبل أحد مصراعيه، لا تتحقّق المطاوعة والتطابق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الشروط والمتعلّقات، ففي مثل الشرط لو قلنا بالانحلال، وأنّه التزام في 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القبول بلا شرط قبولاً ومطابقاً للإيجاب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الكبرى، وتشخيص الصغريات على عهدة العرف، والموارد مختلفة</w:t>
      </w:r>
      <w:r>
        <w:rPr>
          <w:rFonts w:eastAsia="Amiri" w:cs="Amiri" w:ascii="Amiri" w:hAnsi="Amiri"/>
          <w:color w:val="111111"/>
          <w:sz w:val="28"/>
          <w:szCs w:val="28"/>
          <w:rtl w:val="true"/>
          <w:lang w:bidi="ar-SA"/>
        </w:rPr>
        <w:t xml:space="preserve">. </w:t>
      </w:r>
      <w:bookmarkStart w:id="508" w:name="pg15195_150730"/>
    </w:p>
    <w:p>
      <w:pPr>
        <w:pStyle w:val="Heading5"/>
        <w:numPr>
          <w:ilvl w:val="4"/>
          <w:numId w:val="1"/>
        </w:numPr>
        <w:rPr/>
      </w:pPr>
      <w:bookmarkStart w:id="509" w:name="__RefHeading___Toc2495527_2142443653"/>
      <w:bookmarkStart w:id="510" w:name="_Toc179"/>
      <w:bookmarkEnd w:id="508"/>
      <w:bookmarkEnd w:id="509"/>
      <w:r>
        <w:rPr>
          <w:rtl w:val="true"/>
        </w:rPr>
        <w:t xml:space="preserve">مسألة </w:t>
      </w:r>
      <w:r>
        <w:rPr>
          <w:rtl w:val="true"/>
        </w:rPr>
        <w:t>:</w:t>
      </w:r>
      <w:r>
        <w:rPr>
          <w:rtl w:val="true"/>
        </w:rPr>
        <w:t>في اعتبار الأهلية في المتعاقدين</w:t>
      </w:r>
      <w:bookmarkEnd w:id="510"/>
    </w:p>
    <w:p>
      <w:pPr>
        <w:pStyle w:val="Heading6"/>
        <w:numPr>
          <w:ilvl w:val="5"/>
          <w:numId w:val="1"/>
        </w:numPr>
        <w:rPr/>
      </w:pPr>
      <w:bookmarkStart w:id="511" w:name="__RefHeading___Toc2495529_2142443653"/>
      <w:bookmarkStart w:id="512" w:name="_Toc180"/>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الشروط أن يقع كلّ من الإيجاب والقبول في حال يجوز لكلّ واحد من المتعاملين الإنشاء، فلا يصحّ مع فقدهما، أو فقد أحدهما الأهلية ولو في بعض العقد، فلو كان المشتري في حال إيجاب البائع غير أهل للقبول، أو خرج البائع حال القبول عن الأهلية، لم ينعقد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كان عدم الأهلية بنحو يمتنع معه التعاهد والتعاقد، كموت الموجب، أو نومه، أو إغمائه، أو جنونه حال القبول، وككون القابل حين الإيجاب كذلك، وبعده صار أهلاً، وبين ما لا يكون كذلك، ككون المشتري صغيراً حال الإيجاب، أو محجوراً، أو صيرورة البائع محجوراً حال القبول؛ بدعوى أنّ مناط المعاهدة مع الغير تقتضي كونهما معاً قابلين للتخاطب والمعاقدة؛ فإنّه لا ينقدح القصد الجدّي في نفس العاقل إلى المعاهدة مع من هو </w:t>
      </w:r>
    </w:p>
    <w:p>
      <w:pPr>
        <w:pStyle w:val="BookText"/>
        <w:rPr/>
      </w:pPr>
      <w:r>
        <w:rPr>
          <w:rFonts w:ascii="Amiri" w:hAnsi="Amiri" w:eastAsia="Amiri" w:cs="Amiri"/>
          <w:color w:val="111111"/>
          <w:sz w:val="28"/>
          <w:sz w:val="28"/>
          <w:szCs w:val="28"/>
          <w:rtl w:val="true"/>
          <w:lang w:bidi="ar-SA"/>
        </w:rPr>
        <w:t>كالجدار أو كالحمار، وعلمه بالتفاته فيما بعد لا يصحّح المعاهدة معه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فقد الأهلية من غير تلك الناحية، فلا يضرّ بصدق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صحّة بيع المكره على القواعد، إذا انضمّ إليه رضاه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ماهية البيع إلاّ تمليك عين بالعوض، أو مبادلة مالٍ بمالٍ، حسب ما فصّل في محلّه</w:t>
      </w:r>
      <w:r>
        <w:rPr>
          <w:rStyle w:val="FootnoteAnchor"/>
          <w:rtl w:val="true"/>
        </w:rPr>
        <w:footnoteReference w:id="745"/>
      </w:r>
      <w:r>
        <w:rPr>
          <w:rFonts w:ascii="Amiri" w:hAnsi="Amiri" w:eastAsia="Amiri" w:cs="Amiri"/>
          <w:color w:val="111111"/>
          <w:sz w:val="28"/>
          <w:sz w:val="28"/>
          <w:szCs w:val="28"/>
          <w:rtl w:val="true"/>
          <w:lang w:bidi="ar-SA"/>
        </w:rPr>
        <w:t>، ويقال للبيع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العقدة الحاصلة ادّعاءً من تبادل الإضافتين على ما مرّ</w:t>
      </w:r>
      <w:r>
        <w:rPr>
          <w:rStyle w:val="FootnoteAnchor"/>
          <w:rtl w:val="true"/>
        </w:rPr>
        <w:footnoteReference w:id="746"/>
      </w:r>
      <w:r>
        <w:rPr>
          <w:rFonts w:ascii="Amiri" w:hAnsi="Amiri" w:eastAsia="Amiri" w:cs="Amiri"/>
          <w:color w:val="111111"/>
          <w:sz w:val="28"/>
          <w:sz w:val="28"/>
          <w:szCs w:val="28"/>
          <w:rtl w:val="true"/>
          <w:lang w:bidi="ar-SA"/>
        </w:rPr>
        <w:t>، وهذه العقدة والمبادلة اُنشئت بفعل الموجب وإيجابه، من غير دخالة مخاطبة ومعاهدة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مالي بمال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أنشأ المبادلة وأوقع المعاوضة، مع عدم تخاطب وتعاهد في البين، فإذا انضمّ إليه قبول الطرف، صار موضوعاً لاعتبار العقلاء والشرع للنقل العقلائي، فلو فرض أنّ المشتري مجنون، أو مغمى عليه، ولا يمكن مخاطبته، لا يضرّ ذلك بإيجاب الموجب؛ أي التبادل بين المالين، أو تمليك العين بالعوض، فإذا أفاق وقبل ما أوجبه، تمّ نصاب موضوع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فوزان الإيجاب والقبول وزان العقد الفضولي والإجازة، فكما أنّ المجيز لا يضرّ عدم أهليته بصحّة البيع ونفوذه مع أهليته حال الإجازة، كذلك حال القبول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الجدّي لا ينقدح في نفس العاقل إلى المعاهدة مع من هو كالجدار أو كالحمار، أجنبيّ عن باب البيع ونحوه، وخلط ناشٍ من زعم أنّ البيع معاهدة بين الطرفين حال إيقاعه، وقد عرفت أنّه ليس إلاّ التمليك بعوض، وهو </w:t>
      </w:r>
      <w:bookmarkStart w:id="513" w:name="pg15195_150732"/>
    </w:p>
    <w:p>
      <w:pPr>
        <w:pStyle w:val="BookText"/>
        <w:rPr/>
      </w:pPr>
      <w:bookmarkEnd w:id="513"/>
      <w:r>
        <w:rPr>
          <w:rFonts w:ascii="Amiri" w:hAnsi="Amiri" w:eastAsia="Amiri" w:cs="Amiri"/>
          <w:color w:val="111111"/>
          <w:sz w:val="28"/>
          <w:sz w:val="28"/>
          <w:szCs w:val="28"/>
          <w:rtl w:val="true"/>
          <w:lang w:bidi="ar-SA"/>
        </w:rPr>
        <w:t>يحصل بفعل البائع، كان الطرف حال الإيقاع كالجماد والحمار أم لا، وليس التخاطب دخيلاً في ماهية المعاملات، هذا إذا كان المشتري غير أهل حين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خرج البائع عن الأهلية حين القبول، فلو أوقع الإيجاب، فصار مغمى عليه، فقبل المشتري، لم يضرّ بالعقد والبيع، فإذا أفاق يرى أنّ تمليكه بالعوض صار مورد القبول وتمّت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مات صحّت معاوضته، وإن احتاجت إلى إمضاء الورثة؛ لأنّ المال قبل القبول انتقل إليهم، والورثة قائمون مقامه 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القواعد عدم اعتبار هذا الشرط، نعم، لا بدّ من بقاء رضا الموجب في الصحّة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رضاه حال القبول أو بعده، فلو أوجب برضا منه، ثمّ رجع عن رضاه، ثمّ رضي ثانياً حال القبول،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ردّ الإيجاب لا يبعد القول بالصحّة مع رضاه ثانياً، فالردّ لا يبطل الإيجاب، ويأتي ما يفيد المقام في البيع الفضولي إن شاء اللّه تعالى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 w:name="__RefHeading___Toc2495531_2142443653"/>
      <w:bookmarkStart w:id="515" w:name="_Toc181"/>
      <w:bookmarkEnd w:id="514"/>
      <w:r>
        <w:rPr>
          <w:rtl w:val="true"/>
        </w:rPr>
        <w:t>جواب الشيخ الأعظم عن النقض بالوصيّة ودفعه</w:t>
      </w:r>
      <w:bookmarkEnd w:id="51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 الشيخ قدّس سرّه في جواب النقض بالوصيّة التمليكية، بأنّ القبول شرط لا ركن؛ فإنّ حقيقة الوصيّة الإيصاء، ولذا لو مات قبل القبول قام </w:t>
      </w:r>
    </w:p>
    <w:p>
      <w:pPr>
        <w:pStyle w:val="BookText"/>
        <w:rPr/>
      </w:pPr>
      <w:r>
        <w:rPr>
          <w:rFonts w:ascii="Amiri" w:hAnsi="Amiri" w:eastAsia="Amiri" w:cs="Amiri"/>
          <w:color w:val="111111"/>
          <w:sz w:val="28"/>
          <w:sz w:val="28"/>
          <w:szCs w:val="28"/>
          <w:rtl w:val="true"/>
          <w:lang w:bidi="ar-SA"/>
        </w:rPr>
        <w:t>وارثه مقامه، ولو ردّ جاز له القبول بعد ذلك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وإن كانت إيقاعاً وهي الإيصاء، لكن قد يتحقّق معها عنوان آخر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عنوان متحقّق بنفس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زيداً بعد موتي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الإيصاء، وهو إيقاع تمّت الوصيّة به، والتمليك، وهو إيجاب يحتاج إلى القبول كسائر الإيجابات، من غير فرق بينه وبين التمليك التنجيزي حال الحياة، ولا بينه وبين التمليك بالعوض، فالتمليك المجّاني هبة، وهي عقد قائم بالطرفين، بل لو أوصى بالتمليك بعوض دون قيمته مثلاً، صحّت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قيام الوارث مقامه مع فرض كونه حقّاً، فلا مانع منه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القبول بعد الردّ، فهو موافق للقاعدة في الفضولي وغيره، إلاّ أن يدلّ الدليل على خلافها، وإلاّ فمجرّد الردّ لا يوجب هدم بيع الفضولي، ولا هدم الإيجاب، سيّما على ما اخترناه من أنّه تمام البيع</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516" w:name="pg15195_150734"/>
    </w:p>
    <w:p>
      <w:pPr>
        <w:pStyle w:val="Heading5"/>
        <w:numPr>
          <w:ilvl w:val="4"/>
          <w:numId w:val="1"/>
        </w:numPr>
        <w:rPr/>
      </w:pPr>
      <w:bookmarkStart w:id="517" w:name="__RefHeading___Toc2495533_2142443653"/>
      <w:bookmarkStart w:id="518" w:name="_Toc182"/>
      <w:bookmarkEnd w:id="516"/>
      <w:bookmarkEnd w:id="517"/>
      <w:r>
        <w:rPr>
          <w:rtl w:val="true"/>
        </w:rPr>
        <w:t xml:space="preserve">فرع </w:t>
      </w:r>
      <w:r>
        <w:rPr>
          <w:rtl w:val="true"/>
        </w:rPr>
        <w:t xml:space="preserve">: </w:t>
      </w:r>
      <w:r>
        <w:rPr>
          <w:rtl w:val="true"/>
        </w:rPr>
        <w:t>في اختلاف المتعاقدين في شروط الصيغة</w:t>
      </w:r>
      <w:bookmarkEnd w:id="518"/>
    </w:p>
    <w:p>
      <w:pPr>
        <w:pStyle w:val="Heading6"/>
        <w:numPr>
          <w:ilvl w:val="5"/>
          <w:numId w:val="1"/>
        </w:numPr>
        <w:rPr/>
      </w:pPr>
      <w:bookmarkStart w:id="519" w:name="__RefHeading___Toc2495535_2142443653"/>
      <w:bookmarkStart w:id="520" w:name="_Toc183"/>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لو اختلف المتعاقدان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الصيغة، فأوقع كلّ حسب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كلّ على خلاف رأي صاحبه، فينشئ البائع بغير الماضوية، مع كونها معتبرة لدى المشتري، ويقبل المشتري بالفارسية، مع اعتبار العربية لدى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أحدهما على خلاف رأي صاحبه،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العقد مطلقاً؟</w:t>
      </w:r>
    </w:p>
    <w:p>
      <w:pPr>
        <w:pStyle w:val="BookText"/>
        <w:rPr/>
      </w:pPr>
      <w:r>
        <w:rPr>
          <w:rFonts w:ascii="IRNazanin" w:hAnsi="IRNazanin" w:eastAsia="IRNazanin"/>
          <w:color w:val="111111"/>
          <w:sz w:val="28"/>
          <w:sz w:val="28"/>
          <w:szCs w:val="28"/>
          <w:rtl w:val="true"/>
          <w:lang w:bidi="fa-IR"/>
        </w:rPr>
        <w:t>أو لا مطلقاً؟</w:t>
      </w:r>
    </w:p>
    <w:p>
      <w:pPr>
        <w:pStyle w:val="BookText"/>
        <w:rPr/>
      </w:pPr>
      <w:r>
        <w:rPr>
          <w:rFonts w:ascii="Amiri" w:hAnsi="Amiri" w:eastAsia="Amiri" w:cs="Amiri"/>
          <w:color w:val="111111"/>
          <w:sz w:val="28"/>
          <w:sz w:val="28"/>
          <w:szCs w:val="28"/>
          <w:rtl w:val="true"/>
          <w:lang w:bidi="ar-SA"/>
        </w:rPr>
        <w:t>أو يفصّل بين الصورة الاُولى وغيرها؟</w:t>
      </w:r>
    </w:p>
    <w:p>
      <w:pPr>
        <w:pStyle w:val="BookText"/>
        <w:rPr/>
      </w:pPr>
      <w:r>
        <w:rPr>
          <w:rFonts w:ascii="Amiri" w:hAnsi="Amiri" w:eastAsia="Amiri" w:cs="Amiri"/>
          <w:color w:val="111111"/>
          <w:sz w:val="28"/>
          <w:sz w:val="28"/>
          <w:szCs w:val="28"/>
          <w:rtl w:val="true"/>
          <w:lang w:bidi="ar-SA"/>
        </w:rPr>
        <w:t>أو يفصّل بين ما إذا كان العقد بنظر أحد الطرفين صحيحاً، وبين غيره؟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يفصّل بين الشرائط، فما كان البطلان فيه مستنداً إلى فعل واحدٍ منهما يصحّ، دون ما كان مستنداً إلى فعلهما؟ </w:t>
      </w:r>
      <w:bookmarkStart w:id="521" w:name="pg15195_150735"/>
    </w:p>
    <w:p>
      <w:pPr>
        <w:pStyle w:val="BookText"/>
        <w:rPr/>
      </w:pPr>
      <w:bookmarkEnd w:id="521"/>
      <w:r>
        <w:rPr>
          <w:rFonts w:ascii="Amiri" w:hAnsi="Amiri" w:eastAsia="Amiri" w:cs="Amiri"/>
          <w:color w:val="111111"/>
          <w:sz w:val="28"/>
          <w:sz w:val="28"/>
          <w:szCs w:val="28"/>
          <w:rtl w:val="true"/>
          <w:lang w:bidi="ar-SA"/>
        </w:rPr>
        <w:t>أو يفصّل بين الشرائط التي كان المستند في رفعها لدى الشكّ، الأمارات، وبين ما كان المستند فيه الاُصول؟</w:t>
      </w:r>
    </w:p>
    <w:p>
      <w:pPr>
        <w:pStyle w:val="BookText"/>
        <w:rPr/>
      </w:pPr>
      <w:r>
        <w:rPr>
          <w:rFonts w:ascii="Amiri" w:hAnsi="Amiri" w:eastAsia="Amiri" w:cs="Amiri"/>
          <w:color w:val="111111"/>
          <w:sz w:val="28"/>
          <w:sz w:val="28"/>
          <w:szCs w:val="28"/>
          <w:rtl w:val="true"/>
          <w:lang w:bidi="ar-SA"/>
        </w:rPr>
        <w:t>أو يفصّل بين المجتهد والمقلّد؟</w:t>
      </w:r>
    </w:p>
    <w:p>
      <w:pPr>
        <w:pStyle w:val="BookText"/>
        <w:rPr/>
      </w:pPr>
      <w:r>
        <w:rPr>
          <w:rFonts w:ascii="Amiri" w:hAnsi="Amiri" w:eastAsia="Amiri" w:cs="Amiri"/>
          <w:color w:val="111111"/>
          <w:sz w:val="28"/>
          <w:sz w:val="28"/>
          <w:szCs w:val="28"/>
          <w:rtl w:val="true"/>
          <w:lang w:bidi="ar-SA"/>
        </w:rPr>
        <w:t>أو يفصّل بين كون بطلان رأي الطرف مقطوعاً به، وبين كونه مظنوناً بالظنّ الاجتهادي؟</w:t>
      </w:r>
    </w:p>
    <w:p>
      <w:pPr>
        <w:pStyle w:val="BookText"/>
        <w:rPr/>
      </w:pPr>
      <w:r>
        <w:rPr>
          <w:rFonts w:ascii="Amiri" w:hAnsi="Amiri" w:eastAsia="Amiri" w:cs="Amiri"/>
          <w:color w:val="111111"/>
          <w:sz w:val="28"/>
          <w:sz w:val="28"/>
          <w:szCs w:val="28"/>
          <w:rtl w:val="true"/>
          <w:lang w:bidi="ar-SA"/>
        </w:rPr>
        <w:t>أو يفصّل بين ما إذا لم يكن قائل بصحّة العقد المركّب من الإيجاب والقبول الكذائي، وغيره؟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أردؤها الأخير</w:t>
      </w:r>
      <w:r>
        <w:rPr>
          <w:rStyle w:val="FootnoteAnchor"/>
          <w:rtl w:val="true"/>
        </w:rPr>
        <w:footnoteReference w:id="750"/>
      </w:r>
      <w:r>
        <w:rPr>
          <w:rFonts w:ascii="Amiri" w:hAnsi="Amiri" w:eastAsia="Amiri" w:cs="Amiri"/>
          <w:color w:val="111111"/>
          <w:sz w:val="28"/>
          <w:sz w:val="28"/>
          <w:szCs w:val="28"/>
          <w:rtl w:val="true"/>
          <w:lang w:bidi="ar-SA"/>
        </w:rPr>
        <w:t>، لكنّه لم يتعرّض لجميع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في الضعف التفصيل بين القطع بالخلاف والظنّ المعتبر، كما فصّل في باب الإجزاء السيّد الطباطبائي قدّس سرّه قائلاً</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2495537_2142443653"/>
      <w:bookmarkStart w:id="523" w:name="_Toc184"/>
      <w:bookmarkEnd w:id="522"/>
      <w:r>
        <w:rPr>
          <w:rtl w:val="true"/>
        </w:rPr>
        <w:t>تفصيل السيّد اليزدي في باب الإجزاء</w:t>
      </w:r>
      <w:bookmarkEnd w:id="523"/>
    </w:p>
    <w:p>
      <w:pPr>
        <w:pStyle w:val="BookText"/>
        <w:rPr/>
      </w:pPr>
      <w:r>
        <w:rPr>
          <w:rFonts w:ascii="Amiri" w:hAnsi="Amiri" w:eastAsia="Amiri" w:cs="Amiri"/>
          <w:color w:val="111111"/>
          <w:sz w:val="28"/>
          <w:sz w:val="28"/>
          <w:szCs w:val="28"/>
          <w:rtl w:val="true"/>
          <w:lang w:bidi="ar-SA"/>
        </w:rPr>
        <w:t>إنّ دليل حجّية ظنّ المجتهد متساوي النسبة إلى الظنّين، فإذا ظنّ بجزئية السورة في زمان، وتبدّل رأيه ظنّاً في زمان آخر، لم يهدم هذا الاجتهاد اجتهاده الأوّل، ولا اجتهاد غيره اجتهاده؛ لأنّ ظنّه حجّة في الزمن الأوّل كهذا الظنّ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تبدّل إلى العلم بالخلاف يهدم اجتهاده الأوّل، كما أنّ المجتهد الآخر إذا علم خطأه لا يجوز له ترتيب الأثر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524" w:name="pg15195_150736"/>
    </w:p>
    <w:p>
      <w:pPr>
        <w:pStyle w:val="BookText"/>
        <w:rPr/>
      </w:pPr>
      <w:bookmarkEnd w:id="52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الاجتهادية الظنّية إذا قامت على خلاف اجتهاده الأوّل، أو اجتهاد مجتهدٍ آخر، يكشف منها فعلاً بطلان الاجتهاد السابق وخطاؤه، ومع قيام الأمارة المعتبرة على بطلانه، أو بطلان كلّ اجتهاد يخالفه، لا يكون دليل الحجّية متساوي النسبة إليهما، بل يختصّ الاجتهاد الفعلي بالحجّية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دلّ دليل على طهارة الغسالة، وكان في طريقه ضعف، وكان مقتضى اجتهاده الأوّل وثاقة الراوي، ثمّ تبدّل رأيه إلى عدم الوثاقة، فلا شبهة في هدم اجتهاده الثاني الأوّل؛ لقيام الطريق الفعلي على بطلانه، ولا وجه لانطباق دليل حجّية الظنّ عليه</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2495539_2142443653"/>
      <w:bookmarkStart w:id="526" w:name="_Toc185"/>
      <w:bookmarkEnd w:id="525"/>
      <w:r>
        <w:rPr>
          <w:rtl w:val="true"/>
        </w:rPr>
        <w:t>تفصيل آخر في الإجزاء</w:t>
      </w:r>
      <w:bookmarkEnd w:id="526"/>
    </w:p>
    <w:p>
      <w:pPr>
        <w:pStyle w:val="BookText"/>
        <w:rPr/>
      </w:pPr>
      <w:r>
        <w:rPr>
          <w:rFonts w:ascii="Amiri" w:hAnsi="Amiri" w:eastAsia="Amiri" w:cs="Amiri"/>
          <w:color w:val="111111"/>
          <w:sz w:val="28"/>
          <w:sz w:val="28"/>
          <w:szCs w:val="28"/>
          <w:rtl w:val="true"/>
          <w:lang w:bidi="ar-SA"/>
        </w:rPr>
        <w:t>نعم، هنا تفصيل آخر في باب تبدّل الرأي والإجزاء، وهو القول بالإجزاء فيما إذا كان الإتيان بالعمل مستنداً إلى الاُصول العملية، كأصالتي الحلّ والطهارة، وكحديث الرفع بل والاستصحاب، دون ما إذا كان المستند الأمارات العقلائية أو الشرعية</w:t>
      </w:r>
      <w:r>
        <w:rPr>
          <w:rStyle w:val="FootnoteAnchor"/>
          <w:rtl w:val="true"/>
        </w:rPr>
        <w:footnoteReference w:id="752"/>
      </w:r>
      <w:r>
        <w:rPr>
          <w:rFonts w:ascii="Amiri" w:hAnsi="Amiri" w:eastAsia="Amiri" w:cs="Amiri"/>
          <w:color w:val="111111"/>
          <w:sz w:val="28"/>
          <w:sz w:val="28"/>
          <w:szCs w:val="28"/>
          <w:rtl w:val="true"/>
          <w:lang w:bidi="ar-SA"/>
        </w:rPr>
        <w:t>، وقد رجّحنا هذا التفصيل في باب الإجزاء</w:t>
      </w:r>
      <w:r>
        <w:rPr>
          <w:rStyle w:val="FootnoteAnchor"/>
          <w:rtl w:val="true"/>
        </w:rPr>
        <w:footnoteReference w:id="753"/>
      </w:r>
      <w:r>
        <w:rPr>
          <w:rFonts w:ascii="Amiri" w:hAnsi="Amiri" w:eastAsia="Amiri" w:cs="Amiri"/>
          <w:color w:val="111111"/>
          <w:sz w:val="28"/>
          <w:sz w:val="28"/>
          <w:szCs w:val="28"/>
          <w:rtl w:val="true"/>
          <w:lang w:bidi="ar-SA"/>
        </w:rPr>
        <w:t>، وباب تبدّل الرأي</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جريانه في المقام أيضاً؛ لأنّ المفروض أنّه بحديث الرفع مثلاً</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رفعت شرطية العربية واقعاً، ومعنى ذلك أنّ إيجاب الشاكّ بالفارسية إيجاب واقعي لدى الشارع الأقدس، فإذا ضمّ إليه قبول بالعربية، تمّ ركنا المعاملة؛ لأنّها متقوّمة بإيجاب صحيح واقعي، وقبول كذلك، والمفروض تحقّقهما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السيّد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متقوّم بطرفين، فمع اعتقاد أحدهما بطلانه، ولو ببطلان أحد جزئيه، لا يجوز له ترتيب الأثر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يتمّ بناءً على كون مدرك الفتوى الأمارة، مثل إطلاق دليل وجوب الوفاء بالعقد أو الشرط؛ فإنّ المجتهد الآخر الذي يرى عدم الإطلاق، أو ناقش في دلالة الدليل، لا محالة يرى إيجابه باطلاً؛ لخطأ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الاستناد إلى حديث الرفع، فلا معنى لاعتقاد البطلان؛ لأنّ الباطل ما كان على خلاف المقرّر الشرعي، ومع جريان الحديث يكون الشرط مرتفعاً؛ أي يعامل معه معاملة الرفع، فيكون الإيجاب من الشاكّ صحيحاً، لا يعقل تخلّفه عن الواقع؛ لعدم واقع له يطابقه أو لا يطابقه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فعل البائع لا المشتري، والشارع أسقط اعتبار العربية عن فعله ولو حكماً، ولازمه مؤثّرية إيجابه الفارسي، فإذا ضمّ إليه قبول مؤثّر، صار العقد صحيحاً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نظير الاقتداء بمن اجتهاده مخالف له، لكنّه يرى صحّة صلاة إمامه واقعاً؛ لاستناده في لبس ما هو مانع واقعاً إلى دليل الرفع، الحاكم على أدلّة اعتبار الشرائط والموانع، فصار المصداق الواجد للمانع الواقعي والفاقد </w:t>
      </w:r>
    </w:p>
    <w:p>
      <w:pPr>
        <w:pStyle w:val="BookText"/>
        <w:rPr/>
      </w:pPr>
      <w:r>
        <w:rPr>
          <w:rFonts w:ascii="Amiri" w:hAnsi="Amiri" w:eastAsia="Amiri" w:cs="Amiri"/>
          <w:color w:val="111111"/>
          <w:sz w:val="28"/>
          <w:sz w:val="28"/>
          <w:szCs w:val="28"/>
          <w:rtl w:val="true"/>
          <w:lang w:bidi="ar-SA"/>
        </w:rPr>
        <w:t>للشرط كذلك، مصداقاً للصلاة حقيقة بدليله، فلا يرى المأموم 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المركّب من الإيجاب والقبول وهو فعل تشريكي من الموجب والقابل، صحيحاً عندهما؛ لصحّة الإيجاب والقبول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تمّت دلالة حديث الرفع بما قرّرناه، لدى الطرفين في موضوع الشاكّ في الحكم، وإلاّ فلا يحكم بالصحّة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وجه الصحّة في الصورة الاُولى من الصور المتقدّمة؛ أي صورة إجراء كلّ منهما على خلاف رأي صاحبه، فيما إذا كان استنادهما إلى الأصل، لا الأمارة، هذا كلّه بالنسبة إلى المجتهدين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العاقدان أو أحدهما مقلّداً، واستندا في الصحّة إلى رأي المفتي، فالظاهر هو البطلان مطلقاً؛ لأنّ استناد المقلّد إلى رأي المفتي استناد إلى الأمارة، لا الأصل، فدليل التقليد عقلائي، من باب أمارية رأي المجتهد للواقع ولو كان المجتهد مستنداً في حكمه إلى الأصل، والتفصيل يطلب من مظانّه</w:t>
      </w:r>
      <w:r>
        <w:rPr>
          <w:rStyle w:val="FootnoteAnchor"/>
          <w:rtl w:val="true"/>
        </w:rPr>
        <w:footnoteReference w:id="757"/>
      </w:r>
      <w:r>
        <w:rPr>
          <w:rFonts w:ascii="Amiri" w:hAnsi="Amiri" w:eastAsia="Amiri" w:cs="Amiri"/>
          <w:color w:val="111111"/>
          <w:sz w:val="28"/>
          <w:sz w:val="28"/>
          <w:szCs w:val="28"/>
          <w:rtl w:val="true"/>
          <w:lang w:bidi="ar-SA"/>
        </w:rPr>
        <w:t>فإنّ لنا طريقاً إلى الصحّة مطلقاً في تبدّل الرأي بالنسبة إلى المجتهد والمقلّد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527" w:name="pg15195_150739"/>
    </w:p>
    <w:p>
      <w:pPr>
        <w:pStyle w:val="Heading6"/>
        <w:numPr>
          <w:ilvl w:val="5"/>
          <w:numId w:val="1"/>
        </w:numPr>
        <w:rPr/>
      </w:pPr>
      <w:bookmarkStart w:id="528" w:name="__RefHeading___Toc2495541_2142443653"/>
      <w:bookmarkStart w:id="529" w:name="_Toc186"/>
      <w:bookmarkEnd w:id="527"/>
      <w:bookmarkEnd w:id="528"/>
      <w:r>
        <w:rPr>
          <w:rtl w:val="true"/>
        </w:rPr>
        <w:t>بيان لكلام الشيخ في المقام</w:t>
      </w:r>
      <w:bookmarkEnd w:id="529"/>
    </w:p>
    <w:p>
      <w:pPr>
        <w:pStyle w:val="BookText"/>
        <w:rPr/>
      </w:pPr>
      <w:r>
        <w:rPr>
          <w:rFonts w:ascii="Amiri" w:hAnsi="Amiri" w:eastAsia="Amiri" w:cs="Amiri"/>
          <w:color w:val="111111"/>
          <w:sz w:val="28"/>
          <w:sz w:val="28"/>
          <w:szCs w:val="28"/>
          <w:rtl w:val="true"/>
          <w:lang w:bidi="ar-SA"/>
        </w:rPr>
        <w:t>ثمّ إنّ الشيخ الأعظم قدّس سرّه جعل المسألة مبنيّة على أنّ الأحكام الظاهرية المجتهد فيها بمنزلة الواقعية الاضطرارية، أو هي أحكام عذرية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مراده ظاهراً أنّ الواقع تابع لاجتهاد المجتهد، وأنّ مؤدّى اجتهاده حكم واقعي، حتّى يلزم منه التصويب كما زعم السيّد الطباطبائي قدّس سرّه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مراده أنّ المستفاد من أدلّة اعتبار الأمارات والاُصول، هو لزوم ترتيب آثار الواقع عند الشكّ، فالعقد الفارسي عند الشكّ في اعتبار العربية، بمنزلة العربي؛ في لزوم ترتيب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مرادنا من الإجزاء في باب الاُصول ذلك؛ بدعوى أنّ حديث الرفع بعد عدم جواز حمله على الرفع واقعاً لدى الشكّ في الحكم، يحمل على ترتيب آثاره، كترتيب آثار الحلّ والطهارة الواقعيين في أصلهما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بنينا عليه أنّ دليل اعتبار الأمارات قاصر عن ذلك، بخلاف أدلّة الاُصول، وذهب بعضهم في الأمارات أيضاً إلى الإجزاء</w:t>
      </w:r>
      <w:r>
        <w:rPr>
          <w:rStyle w:val="FootnoteAnchor"/>
          <w:rtl w:val="true"/>
        </w:rPr>
        <w:footnoteReference w:id="761"/>
      </w:r>
      <w:r>
        <w:rPr>
          <w:rFonts w:ascii="IRNazanin" w:hAnsi="IRNazanin" w:eastAsia="IRNazanin"/>
          <w:color w:val="111111"/>
          <w:sz w:val="28"/>
          <w:sz w:val="28"/>
          <w:szCs w:val="28"/>
          <w:rtl w:val="true"/>
          <w:lang w:bidi="fa-IR"/>
        </w:rPr>
        <w:t xml:space="preserve">فالمسألة مبنيّة على ما ذكره رحمه الله علیه، لا على ما ذهب إليه السيّد الطباطبائي قدّس سرّه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الأثر على ظنّ المجتهد الآخر جاز فيما كان فعله </w:t>
      </w:r>
    </w:p>
    <w:p>
      <w:pPr>
        <w:pStyle w:val="BookText"/>
        <w:rPr/>
      </w:pPr>
      <w:r>
        <w:rPr>
          <w:rFonts w:ascii="Amiri" w:hAnsi="Amiri" w:eastAsia="Amiri" w:cs="Amiri"/>
          <w:color w:val="111111"/>
          <w:sz w:val="28"/>
          <w:sz w:val="28"/>
          <w:szCs w:val="28"/>
          <w:rtl w:val="true"/>
          <w:lang w:bidi="ar-SA"/>
        </w:rPr>
        <w:t>موضوعاً للأثر بالنسبة إليه، كالنكاح وغيره، دون ما كان فعله قائماً مقام فعله، كاستيجار الوليّ للقضاء عن الميّت، من يعتقد بطلان صلاته؛ فإنّ فعل الأجير فعل المستأجر، وما نحن فيه بمنزلة ذلك؛ لأنّ العقد متقوّم بطرفين، ويجب على كلّ من المتبايعين إيجاد عقد البيع، وهو عبارة عن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فعل واحد تشريكي، لا بدّ أن يكون صحيحاً في مذهب كلّ منهما </w:t>
      </w:r>
      <w:r>
        <w:rPr>
          <w:rStyle w:val="FootnoteAnchor"/>
          <w:rtl w:val="true"/>
        </w:rPr>
        <w:footnoteReference w:id="763"/>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البعد عن مذاق الشارع من أن يجوّز تزويج زوجة الغير باجتهاده، وأن يجوّز لمن يرى بطلان الطلاق أن يتزوّج بالمطلّقة بالطلاق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بمقتضى تساوي نسبة دليل حجّية ظنّ المجتهدين إلى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 ذلك في صدر كلامه مبنى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ترجيح اجتهاد غيره على اجتهاده، فمن يرى بطلان العقد، كيف يرفع اليد عن ظنّه، ويجب عليه ترتيب آثار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اتّباعه ظنّ غيره، ودليل تساوي النسبة على فرض تماميته لا يصحّح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كون فعل الأجير فعل المستأجر،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ينوب عن الميّت لا المستأجر، ولهذا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عمل الأجير على مقتضى تكليف الميّت اجتهاداً أو تقليداً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يكون الأجير مكلّفاً بإتيان الفعل نيابة عن المستأجر، الذي كان لو فَعَل فَعَل نيابة عن الميّت، في غاية السقوط</w:t>
      </w:r>
      <w:r>
        <w:rPr>
          <w:rFonts w:eastAsia="Amiri" w:cs="Amiri" w:ascii="Amiri" w:hAnsi="Amiri"/>
          <w:color w:val="111111"/>
          <w:sz w:val="28"/>
          <w:szCs w:val="28"/>
          <w:rtl w:val="true"/>
          <w:lang w:bidi="ar-SA"/>
        </w:rPr>
        <w:t xml:space="preserve">. </w:t>
      </w:r>
      <w:bookmarkStart w:id="530" w:name="pg15195_150741"/>
    </w:p>
    <w:p>
      <w:pPr>
        <w:pStyle w:val="BookText"/>
        <w:rPr/>
      </w:pPr>
      <w:bookmarkEnd w:id="530"/>
      <w:r>
        <w:rPr>
          <w:rFonts w:ascii="Amiri" w:hAnsi="Amiri" w:eastAsia="Amiri" w:cs="Amiri"/>
          <w:color w:val="111111"/>
          <w:sz w:val="28"/>
          <w:sz w:val="28"/>
          <w:szCs w:val="28"/>
          <w:rtl w:val="true"/>
          <w:lang w:bidi="ar-SA"/>
        </w:rPr>
        <w:t xml:space="preserve">ثمّ إنّ تنزيل المقام منزلة ما ذكر غير وجيه؛ ضرورة أنّ العقد المركّب من الإيجاب والقبول، لا يعقل أن يكون فعل كلّ واحد من المتعاقدين، فكيف يكون الموجب موجباً وقابلاً، والقابل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الإيجاب فعل الموجب، وهو موضوع الأثر بالنسبة إلى القابل، فإذا ضمّ إليه القبول صار عقداً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فعل تشريكي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مصادرة محضة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2495543_2142443653"/>
      <w:bookmarkStart w:id="532" w:name="_Toc187"/>
      <w:bookmarkEnd w:id="531"/>
      <w:r>
        <w:rPr>
          <w:rtl w:val="true"/>
        </w:rPr>
        <w:t>تفصيل الشيخ الأعظم بين الشروط وما يرد عليه</w:t>
      </w:r>
      <w:bookmarkEnd w:id="532"/>
    </w:p>
    <w:p>
      <w:pPr>
        <w:pStyle w:val="BookText"/>
        <w:rPr/>
      </w:pPr>
      <w:r>
        <w:rPr>
          <w:rFonts w:ascii="Amiri" w:hAnsi="Amiri" w:eastAsia="Amiri" w:cs="Amiri"/>
          <w:color w:val="111111"/>
          <w:sz w:val="28"/>
          <w:sz w:val="28"/>
          <w:szCs w:val="28"/>
          <w:rtl w:val="true"/>
          <w:lang w:bidi="ar-SA"/>
        </w:rPr>
        <w:t>ثمّ إنّ الشيخ الأعظم قدّس سرّه فصّل بين الشروط،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ابتناء المسألة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بطلان العقد عند كلّ من المتخالفين مستنداً إلى فعل الآخر، كالصراحة والعربية ونحوهما، وأمّا الموالاة، والتنجيز، وبقاء المتعاقدين على صفات صحّة الإنشاء إلى آخر العقد، فالظاهر أنّ اختلافها يوجب فساد مجموع العقد</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مراده أنّ ما هو من قبيل تلك الشروط، يسري فساده إلى إنشاء الآخر، فلا يجدي في الصحّة كون الأحكام الظاهرية بمنزلة الواقعية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بحسب الكبرى، لكنّ التنجيز ليس من هذا القبيل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عند الموجب معتبراً دون القابل، فلأنّ الموجب إذا أنشأ الإيجاب منجّزاً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طلعت الشمس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يسري التعليق إلى الإيجاب من القبول، بل لا يعقل ذلك،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المطابقة بين الإيجاب والقبول</w:t>
      </w:r>
      <w:r>
        <w:rPr>
          <w:rStyle w:val="FootnoteAnchor"/>
          <w:rtl w:val="true"/>
        </w:rPr>
        <w:footnoteReference w:id="766"/>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المقدار من المطابقة، أي مطابقة الإنشاءين، لا دليل عليه، فلو فرض الجهل بطلوع الشمس وكانت طالعة، فقبل معلّقاً عليه، يقع القبول فعلياً، بل لو كانت غير طالعة لا يضرّ بالمطابقة؛ لما مرّ من أنّ الموجب لا يوجب التمليك الحالي، بل الحال ظرف لإيجابه وإنشائه، والمنشأ نفس التمليك، فإذا ضمّ إليه القبول يتمّ السبب، سواء لحق به في الحال أو الاستقبال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القابل قائلاً بالاعتبار دون الموجب، فقال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إن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يسري إليه</w:t>
      </w:r>
      <w:r>
        <w:rPr>
          <w:rStyle w:val="FootnoteAnchor"/>
          <w:rtl w:val="true"/>
        </w:rPr>
        <w:footnoteReference w:id="768"/>
      </w:r>
      <w:r>
        <w:rPr>
          <w:rFonts w:ascii="Amiri" w:hAnsi="Amiri" w:eastAsia="Amiri" w:cs="Amiri"/>
          <w:color w:val="111111"/>
          <w:sz w:val="28"/>
          <w:sz w:val="28"/>
          <w:szCs w:val="28"/>
          <w:rtl w:val="true"/>
          <w:lang w:bidi="ar-SA"/>
        </w:rPr>
        <w:t>، وهو غير وجيه؛ للفرق بين كون القبول معلّقاً، أو كونه قبول أمر معلّق، والمقام من قبيل الثاني، فالإيجاب معلّق، والقبول</w:t>
      </w:r>
    </w:p>
    <w:p>
      <w:pPr>
        <w:pStyle w:val="BookText"/>
        <w:rPr/>
      </w:pPr>
      <w:r>
        <w:rPr>
          <w:rFonts w:ascii="Amiri" w:hAnsi="Amiri" w:eastAsia="Amiri" w:cs="Amiri"/>
          <w:color w:val="111111"/>
          <w:sz w:val="28"/>
          <w:sz w:val="28"/>
          <w:szCs w:val="28"/>
          <w:rtl w:val="true"/>
          <w:lang w:bidi="ar-SA"/>
        </w:rPr>
        <w:t>قبول منجّز لهذا المعلّق، ففرق بين قوله عقيب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إن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إيجابك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التعليق في الثاني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الموالاة، فإن كان القابل يرى اعتبارها فلا كلام فيه؛ إذ لا يصحّ له القبول إلاّ بعد الإيجاب بلا فصل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قبل مع الفصل وصحّ منه الجدّ، يجوز للموجب ترتيب آثار الصحّة، وإن لا يخلو من إشكال؛ لاحتمال كون مصبّ الأدلّة ما إذا </w:t>
      </w:r>
      <w:bookmarkStart w:id="533" w:name="pg15195_150743"/>
    </w:p>
    <w:p>
      <w:pPr>
        <w:pStyle w:val="BookText"/>
        <w:rPr/>
      </w:pPr>
      <w:bookmarkEnd w:id="533"/>
      <w:r>
        <w:rPr>
          <w:rFonts w:ascii="Amiri" w:hAnsi="Amiri" w:eastAsia="Amiri" w:cs="Amiri"/>
          <w:color w:val="111111"/>
          <w:sz w:val="28"/>
          <w:sz w:val="28"/>
          <w:szCs w:val="28"/>
          <w:rtl w:val="true"/>
          <w:lang w:bidi="ar-SA"/>
        </w:rPr>
        <w:t>كان إيجاب الوفاء ذاتاً للطرفين، لا لطرف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 الموجب اعتبارها فأوجب، ولم يقبل المشتري إلاّ مع الفصل، صار الإيجاب بنظر الموجب فاسداً؛ لأنّه يرى الإيجاب غير صالح لضمّ القبول إليه، فقبل تحقّق القبول خرج إيجابه عن الصحّة التأهّلية بنظره، فيبطل إيجابه، ويأتي في القابل ما مرّ في الموجب مع إشكاله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بقاء الأهلية؛ فإنّ القائل باعتباره إن كان هو الموجب، خرج إيجابه المتعقّب بالحجر مثلاً عن صلاحية تعقّبه بالقبول بنظره، وإن كان هو القابل، يرى الإيجاب المتعقّب بالحجر كلا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فيهما بالنسبة إلى من يصحّ عنده العقد، ما مرّ آنفاً، إيراداً وجواباً</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495545_2142443653"/>
      <w:bookmarkStart w:id="535" w:name="_Toc188"/>
      <w:bookmarkEnd w:id="534"/>
      <w:r>
        <w:rPr>
          <w:rtl w:val="true"/>
        </w:rPr>
        <w:t>حكم اختلاف المتعاقدين في تحقّق عنوان العقد</w:t>
      </w:r>
      <w:bookmarkEnd w:id="535"/>
    </w:p>
    <w:p>
      <w:pPr>
        <w:pStyle w:val="BookText"/>
        <w:rPr/>
      </w:pPr>
      <w:r>
        <w:rPr>
          <w:rFonts w:ascii="Amiri" w:hAnsi="Amiri" w:eastAsia="Amiri" w:cs="Amiri"/>
          <w:color w:val="111111"/>
          <w:sz w:val="28"/>
          <w:sz w:val="28"/>
          <w:szCs w:val="28"/>
          <w:rtl w:val="true"/>
          <w:lang w:bidi="ar-SA"/>
        </w:rPr>
        <w:t>هذا كلّه فيما إذا كانت الشرائط المذكورة من قبيل الشرائط الشرعية، واختلفا في الاعتبار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اختلفا في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منشؤه الاختلاف في أحد المذكورات،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القائل باعتبار التنجيز مثلاً كان منشأ اعتباره دعوى امتناع الإنشاء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القائل باعتبار الموالاة يدّعي عدم حصول الهيئة الوحدانية المعتبرة عرفا في حصول العقد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القائل باعتبار بقاء الأهلية يدّعي عدم تحقّق المعاقدة والمعاهدة، إذا لم يكن المتعاقدان على صفة الأهلية من أوّل العقد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القائل بالترتيب يدّعي عدم تعقّل تحقّق القبول قبل الإيجاب؛ لأنّه معنى مطاوعي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شبهة في عدم إمكان التصحيح بنظر الطرفين، أو الطرف القائل بالاعتبار، بدليل الرفع أو المبنى الذي أشار إليه الشيخ قدّس سرّه </w:t>
      </w:r>
      <w:r>
        <w:rPr>
          <w:rStyle w:val="FootnoteAnchor"/>
          <w:rtl w:val="true"/>
        </w:rPr>
        <w:footnoteReference w:id="769"/>
      </w:r>
      <w:r>
        <w:rPr>
          <w:rFonts w:ascii="Amiri" w:hAnsi="Amiri" w:eastAsia="Amiri" w:cs="Amiri"/>
          <w:color w:val="111111"/>
          <w:sz w:val="28"/>
          <w:sz w:val="28"/>
          <w:szCs w:val="28"/>
          <w:rtl w:val="true"/>
          <w:lang w:bidi="ar-SA"/>
        </w:rPr>
        <w:t>، وهو واضح، وهذا أمر سارٍ في كلّ شرط كان كذلك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المباني في اعتبار الشروط، موجب لاختلاف الحكم صحّةً وفساداً</w:t>
      </w:r>
      <w:r>
        <w:rPr>
          <w:rFonts w:eastAsia="Amiri" w:cs="Amiri" w:ascii="Amiri" w:hAnsi="Amiri"/>
          <w:color w:val="111111"/>
          <w:sz w:val="28"/>
          <w:szCs w:val="28"/>
          <w:rtl w:val="true"/>
          <w:lang w:bidi="ar-SA"/>
        </w:rPr>
        <w:t xml:space="preserve">. </w:t>
      </w:r>
      <w:bookmarkStart w:id="536" w:name="pg15195_150745"/>
    </w:p>
    <w:p>
      <w:pPr>
        <w:pStyle w:val="Heading2"/>
        <w:numPr>
          <w:ilvl w:val="1"/>
          <w:numId w:val="1"/>
        </w:numPr>
        <w:rPr/>
      </w:pPr>
      <w:bookmarkStart w:id="537" w:name="__RefHeading___Toc2495547_2142443653"/>
      <w:bookmarkStart w:id="538" w:name="_Toc189"/>
      <w:bookmarkEnd w:id="536"/>
      <w:bookmarkEnd w:id="537"/>
      <w:r>
        <w:rPr>
          <w:rtl w:val="true"/>
        </w:rPr>
        <w:t>المقبوض بالعقد الفاسد والاُمور المتفرّعة عليه</w:t>
      </w:r>
      <w:bookmarkEnd w:id="53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2495549_2142443653"/>
      <w:bookmarkStart w:id="540" w:name="_Toc190"/>
      <w:bookmarkEnd w:id="539"/>
      <w:r>
        <w:rPr>
          <w:rtl w:val="true"/>
        </w:rPr>
        <w:t>اشارة</w:t>
      </w:r>
      <w:bookmarkEnd w:id="54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5195_150747"/>
      <w:bookmarkStart w:id="542" w:name="pg15195_150747"/>
      <w:bookmarkEnd w:id="542"/>
    </w:p>
    <w:p>
      <w:pPr>
        <w:pStyle w:val="Heading3"/>
        <w:numPr>
          <w:ilvl w:val="2"/>
          <w:numId w:val="1"/>
        </w:numPr>
        <w:rPr/>
      </w:pPr>
      <w:bookmarkStart w:id="543" w:name="pg15195_150747"/>
      <w:bookmarkStart w:id="544" w:name="__RefHeading___Toc2495551_2142443653"/>
      <w:bookmarkStart w:id="545" w:name="_Toc191"/>
      <w:bookmarkEnd w:id="543"/>
      <w:bookmarkEnd w:id="544"/>
      <w:r>
        <w:rPr>
          <w:rtl w:val="true"/>
        </w:rPr>
        <w:t xml:space="preserve">الأمر الأوّل </w:t>
      </w:r>
      <w:r>
        <w:rPr>
          <w:rtl w:val="true"/>
        </w:rPr>
        <w:t xml:space="preserve">: </w:t>
      </w:r>
      <w:r>
        <w:rPr>
          <w:rtl w:val="true"/>
        </w:rPr>
        <w:t>في الضمان</w:t>
      </w:r>
      <w:bookmarkEnd w:id="545"/>
    </w:p>
    <w:p>
      <w:pPr>
        <w:pStyle w:val="Heading4"/>
        <w:numPr>
          <w:ilvl w:val="3"/>
          <w:numId w:val="1"/>
        </w:numPr>
        <w:rPr/>
      </w:pPr>
      <w:bookmarkStart w:id="546" w:name="__RefHeading___Toc2495553_2142443653"/>
      <w:bookmarkStart w:id="547" w:name="_Toc192"/>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ما ابتاعه بالعقد الفاسد لم يملكه، وصار مضموناً عليه، ويجب عليه ردّه، ولا يجوز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الضمني في التصرّف يرفع حرمته</w:t>
      </w:r>
      <w:r>
        <w:rPr>
          <w:rStyle w:val="FootnoteAnchor"/>
          <w:rtl w:val="true"/>
        </w:rPr>
        <w:footnoteReference w:id="770"/>
      </w:r>
      <w:r>
        <w:rPr>
          <w:rFonts w:ascii="Amiri" w:hAnsi="Amiri" w:eastAsia="Amiri" w:cs="Amiri"/>
          <w:color w:val="111111"/>
          <w:sz w:val="28"/>
          <w:sz w:val="28"/>
          <w:szCs w:val="28"/>
          <w:rtl w:val="true"/>
          <w:lang w:bidi="ar-SA"/>
        </w:rPr>
        <w:t>، وتسليم العين المأذون في تصرّفها يرفع الضمان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الجنس لا يبقى بلا فصل</w:t>
      </w:r>
      <w:r>
        <w:rPr>
          <w:rStyle w:val="FootnoteAnchor"/>
          <w:rtl w:val="true"/>
        </w:rPr>
        <w:footnoteReference w:id="772"/>
      </w:r>
      <w:r>
        <w:rPr>
          <w:rFonts w:ascii="Amiri" w:hAnsi="Amiri" w:eastAsia="Amiri" w:cs="Amiri"/>
          <w:color w:val="111111"/>
          <w:sz w:val="28"/>
          <w:sz w:val="28"/>
          <w:szCs w:val="28"/>
          <w:rtl w:val="true"/>
          <w:lang w:bidi="ar-SA"/>
        </w:rPr>
        <w:t>، ولا لأنّ البسائط ما به الاشتراك فيها عين ما به الامتياز</w:t>
      </w:r>
      <w:r>
        <w:rPr>
          <w:rStyle w:val="FootnoteAnchor"/>
          <w:rtl w:val="true"/>
        </w:rPr>
        <w:footnoteReference w:id="773"/>
      </w:r>
      <w:r>
        <w:rPr>
          <w:rFonts w:ascii="Amiri" w:hAnsi="Amiri" w:eastAsia="Amiri" w:cs="Amiri"/>
          <w:color w:val="111111"/>
          <w:sz w:val="28"/>
          <w:sz w:val="28"/>
          <w:szCs w:val="28"/>
          <w:rtl w:val="true"/>
          <w:lang w:bidi="ar-SA"/>
        </w:rPr>
        <w:t>لأنّهما كما ترى، بل لأنّ إيقاع العقد، بالرضا به وإرادته ومبادئها، وأمّا الرضا بالتصرّف في المبيع أو الثمن، فليس من مبادئ العقد، ولا من لوازمه، بل لا معنى له؛ لأنّ العاقد</w:t>
      </w:r>
      <w:r>
        <w:rPr>
          <w:rFonts w:eastAsia="Amiri" w:cs="Amiri" w:ascii="Amiri" w:hAnsi="Amiri"/>
          <w:color w:val="111111"/>
          <w:sz w:val="28"/>
          <w:szCs w:val="28"/>
          <w:rtl w:val="true"/>
          <w:lang w:bidi="ar-SA"/>
        </w:rPr>
        <w:t xml:space="preserve">: </w:t>
      </w:r>
      <w:bookmarkStart w:id="548" w:name="pg15195_150748"/>
    </w:p>
    <w:p>
      <w:pPr>
        <w:pStyle w:val="BookText"/>
        <w:rPr/>
      </w:pPr>
      <w:bookmarkEnd w:id="548"/>
      <w:r>
        <w:rPr>
          <w:rFonts w:ascii="Amiri" w:hAnsi="Amiri" w:eastAsia="Amiri" w:cs="Amiri"/>
          <w:color w:val="111111"/>
          <w:sz w:val="28"/>
          <w:sz w:val="28"/>
          <w:szCs w:val="28"/>
          <w:rtl w:val="true"/>
          <w:lang w:bidi="ar-SA"/>
        </w:rPr>
        <w:t>إن رضي بالتصرّف في مال نفسه قبل تمام المعاملة، فهو خلاف الفرض، ولا يفيد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رضي به بعد صيرورة المال ملكاً للطرف، فالمال في هذا الظرف ليس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رضي بتصرّف المشتري مثلاً فيما صار ملكاً له، فلا وجه لهذا الرضا، بل لا معنى له، ولا يعقل الجدّ به إلاّ مع احتمال فساد المعاملة، والرضا بنحو الرجاء أو التعليق، وهو لا يعقل أن يتحقّق في ضمن المعاملة، والرضا المستقلّ والمستأنف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الكلام في دفع توهّم رفع الضمان؛ لأنّ تسليم العين إنّما هو بعنوان الوفاء بالعقد، وهو لا يدفع الضمان بعد تخلّفه عن الواقع</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495555_2142443653"/>
      <w:bookmarkStart w:id="550" w:name="_Toc193"/>
      <w:bookmarkEnd w:id="549"/>
      <w:r>
        <w:rPr>
          <w:rtl w:val="true"/>
        </w:rPr>
        <w:t xml:space="preserve">الدليل الأوّل على الضمان </w:t>
      </w:r>
      <w:r>
        <w:rPr>
          <w:rtl w:val="true"/>
        </w:rPr>
        <w:t xml:space="preserve">: </w:t>
      </w:r>
      <w:r>
        <w:rPr>
          <w:rtl w:val="true"/>
        </w:rPr>
        <w:t>حديث على اليد</w:t>
      </w:r>
      <w:bookmarkEnd w:id="550"/>
    </w:p>
    <w:p>
      <w:pPr>
        <w:pStyle w:val="Heading5"/>
        <w:numPr>
          <w:ilvl w:val="4"/>
          <w:numId w:val="1"/>
        </w:numPr>
        <w:rPr/>
      </w:pPr>
      <w:bookmarkStart w:id="551" w:name="__RefHeading___Toc2495557_2142443653"/>
      <w:bookmarkStart w:id="552" w:name="_Toc194"/>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ويدلّ على الضمان،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2495559_2142443653"/>
      <w:bookmarkStart w:id="554" w:name="_Toc195"/>
      <w:bookmarkEnd w:id="553"/>
      <w:r>
        <w:rPr>
          <w:rtl w:val="true"/>
        </w:rPr>
        <w:t>في انجبار سند الحديث</w:t>
      </w:r>
      <w:bookmarkEnd w:id="55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اشتهر بين متأخّري المتأخّرين جبر سنده بعمل قدماء الأصحاب</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مشكل؛ لأنّ الظاهر من السيّد علم الهدى، وشيخ الطائفة، والسيّد ابن زهرة قدّس سرّه هو إيراده رواية واحتجاجاً على العامّة، لا استناداً إليه للحكم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ضمان 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يمكن أن يعارضوا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موجود في رواياتهم وكتبهم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يروونه عن النبي صلی الله علیه و آله وسلم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جنت</w:t>
      </w:r>
      <w:r>
        <w:rPr>
          <w:rStyle w:val="FootnoteAnchor"/>
          <w:rtl w:val="true"/>
        </w:rPr>
        <w:footnoteReference w:id="776"/>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عدم اعتماده عليه، بل أورده معارضة لا استناداً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شيخ الطائفة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واحتجاجاً على القوم، كما هو دأبه في كتابيه، لا استناداً، ففي 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بعد عنوانها وذكر خلاف أبي حنيفة</w:t>
      </w:r>
      <w:r>
        <w:rPr>
          <w:rStyle w:val="FootnoteAnchor"/>
          <w:rtl w:val="true"/>
        </w:rPr>
        <w:footnoteReference w:id="7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أنّ هذا الشيء قبل التغيير كان ملكه، فمن ادّعى أنّه زال ملكه بعد التغيير، فعليه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قتادة، عن الحسن، عن سمرة أنّ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تؤدّيه</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مستنده هو الأمر الأوّل؛ أي الأصل، ولو كان الاستناد إلى قول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آله وسلم، فلا وقع للاستدلال بعدم الدليل على زوال ملكه، فإيراد الرواية </w:t>
      </w:r>
    </w:p>
    <w:p>
      <w:pPr>
        <w:pStyle w:val="BookText"/>
        <w:rPr/>
      </w:pPr>
      <w:r>
        <w:rPr>
          <w:rFonts w:ascii="Amiri" w:hAnsi="Amiri" w:eastAsia="Amiri" w:cs="Amiri"/>
          <w:color w:val="111111"/>
          <w:sz w:val="28"/>
          <w:sz w:val="28"/>
          <w:szCs w:val="28"/>
          <w:rtl w:val="true"/>
          <w:lang w:bidi="ar-SA"/>
        </w:rPr>
        <w:t>لمحض الاحتجاج على أبي حنيفة، بل مع احتمال ذلك لا يثبت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بعض مسائل اُخر في 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ووديعته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في أوّل 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من طرقهم، منها هذه الرواية</w:t>
      </w:r>
      <w:r>
        <w:rPr>
          <w:rStyle w:val="FootnoteAnchor"/>
          <w:rtl w:val="true"/>
        </w:rPr>
        <w:footnoteReference w:id="782"/>
      </w:r>
      <w:r>
        <w:rPr>
          <w:rFonts w:ascii="Amiri" w:hAnsi="Amiri" w:eastAsia="Amiri" w:cs="Amiri"/>
          <w:color w:val="111111"/>
          <w:sz w:val="28"/>
          <w:sz w:val="28"/>
          <w:szCs w:val="28"/>
          <w:rtl w:val="true"/>
          <w:lang w:bidi="ar-SA"/>
        </w:rPr>
        <w:t xml:space="preserve">، والظاهر من نقل خصوص رواياتهم فيه وفي سائر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مع وجود روايات معتمدة من طرقنا </w:t>
      </w:r>
      <w:r>
        <w:rPr>
          <w:rStyle w:val="FootnoteAnchor"/>
          <w:rtl w:val="true"/>
        </w:rPr>
        <w:footnoteReference w:id="784"/>
      </w:r>
      <w:r>
        <w:rPr>
          <w:rFonts w:ascii="Amiri" w:hAnsi="Amiri" w:eastAsia="Amiri" w:cs="Amiri"/>
          <w:color w:val="111111"/>
          <w:sz w:val="28"/>
          <w:sz w:val="28"/>
          <w:szCs w:val="28"/>
          <w:rtl w:val="true"/>
          <w:lang w:bidi="ar-SA"/>
        </w:rPr>
        <w:t>، هو الاحتجاج عليهم، لا الاستناد إليها، كما يظهر بالرجوع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ويحتجّ على المخالف 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قبضت حتّى تُؤدّي</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وهو ظاهر في 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بعينه في كتاب الإجارة،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قبضت</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يكون الاحتجاج عليهم بما هو مسلّم بين الفريقين، ضعيف يدفعه ديدنه في الكتاب، مع أنّ مجرّد الاحتمال لا يثبت الاستناد، واللازم في الجبر إثباته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تفحّصت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المحقّق مظانّ إمكان الاستدلال به فلم أجده، مع أنّ تلك الموارد محالّ الاستدلال به لو تمّ سنده ودلالته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عدم 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الأردبيلي قدّس سرّه في سنده وسند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بأصل البراءة من الضمان في مقابلهما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ابن إدريس تمسّك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ونسبه جزماً إلى رسول اللّه صلی الله علیه و آله وسلم </w:t>
      </w:r>
      <w:r>
        <w:rPr>
          <w:rStyle w:val="FootnoteAnchor"/>
          <w:rtl w:val="true"/>
        </w:rPr>
        <w:footnoteReference w:id="788"/>
      </w:r>
      <w:r>
        <w:rPr>
          <w:rFonts w:ascii="IRNazanin" w:hAnsi="IRNazanin" w:eastAsia="IRNazanin"/>
          <w:color w:val="111111"/>
          <w:sz w:val="28"/>
          <w:sz w:val="28"/>
          <w:szCs w:val="28"/>
          <w:rtl w:val="true"/>
          <w:lang w:bidi="fa-IR"/>
        </w:rPr>
        <w:t>، مع عدم عمله بالخبر الواحد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شاع الاستدلال به بين المتأخّرين عن زمن العلاّمة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اختلفت حالاته من عصر قدماء أصحابنا إلى عصرنا، ففي عصر السيّد والشيخ كان خبراً مرويّاً عنهم، على سبيل الاحتجاج عليهم، ثمّ صار مورد التمسّك في العصر المتأخّر ثمّ صار من المشهورات في عصر آخر ومن المشهورات المقبولات في هذه العصور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التكلّم في سنده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فالبناء على الاعتماد عليه مشكل، وترك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جزم ابن إدريس بصدوره عن رسول اللّه صلی الله علیه و آله وسلم، مع طريقته في العمل بالأخبار، وإن أمكن أن يكون ذلك باجتهاد منه، وقيام قرائن عنده ربّما لا تفيدنا علماً ولا عملاً، واختلاف عبارات الحديث؛ بحيث ربّما يكشف عن تكرّره وتظافره، واعتماد محقّقي أصحابنا من بعد ابن إدريس إلى عصرنا، مع تورّعهم والتفاتهم إلى ضعفه ولا بدّ من الجبر في مثله، وهو لا يمكن إلاّ باعتماد قدماء الأصحاب عليه، ولعلّه شهادة منهم على اتّكال الأصحاب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مجموع ذلك، ومن اشتهاره بين العامّة قديماً، على ما يظهر من علم</w:t>
      </w:r>
    </w:p>
    <w:p>
      <w:pPr>
        <w:pStyle w:val="BookText"/>
        <w:rPr/>
      </w:pPr>
      <w:r>
        <w:rPr>
          <w:rFonts w:ascii="IRNazanin" w:hAnsi="IRNazanin" w:eastAsia="IRNazanin"/>
          <w:color w:val="111111"/>
          <w:sz w:val="28"/>
          <w:sz w:val="28"/>
          <w:szCs w:val="28"/>
          <w:rtl w:val="true"/>
          <w:lang w:bidi="fa-IR"/>
        </w:rPr>
        <w:t xml:space="preserve">الهدى رحمه الله علیه </w:t>
      </w:r>
      <w:r>
        <w:rPr>
          <w:rStyle w:val="FootnoteAnchor"/>
          <w:rtl w:val="true"/>
        </w:rPr>
        <w:footnoteReference w:id="792"/>
      </w:r>
      <w:r>
        <w:rPr>
          <w:rFonts w:ascii="IRNazanin" w:hAnsi="IRNazanin" w:eastAsia="IRNazanin"/>
          <w:color w:val="111111"/>
          <w:sz w:val="28"/>
          <w:sz w:val="28"/>
          <w:szCs w:val="28"/>
          <w:rtl w:val="true"/>
          <w:lang w:bidi="fa-IR"/>
        </w:rPr>
        <w:t>ومن إتقان متنه وفصاحته بما يورث قوّة الاحتمال بأنّه من كلمات رسول اللّه صلی الله علیه و آله وسلم، لا سمرة بن جندب وأشباهه، ربّما يحصل الوثوق بصدوره، ولعلّ بناء العقلاء على مثله مع تلك الشواهد لا يقصر عن العمل بخبر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بعد اللتيّا والتي في النفس تردّد؛ لأنّ ابن إدريس وإن نسبه جزماً في</w:t>
      </w:r>
    </w:p>
    <w:p>
      <w:pPr>
        <w:pStyle w:val="BookText"/>
        <w:rPr/>
      </w:pPr>
      <w:r>
        <w:rPr>
          <w:rFonts w:ascii="IRNazanin" w:hAnsi="IRNazanin" w:eastAsia="IRNazanin"/>
          <w:color w:val="111111"/>
          <w:sz w:val="28"/>
          <w:sz w:val="28"/>
          <w:szCs w:val="28"/>
          <w:rtl w:val="true"/>
          <w:lang w:bidi="fa-IR"/>
        </w:rPr>
        <w:t xml:space="preserve">غير موضع إلى رسول اللّه صلی الله علیه و آله وسلم، لكن في كتاب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في مسألة بالأصل وعدم الدليل،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ويحتجّ على المخالف 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يوجب حصول الاحتمال بأنّ سائر الموارد من قبيل الاحتجاج عليهم، لا التمسّك به، وإن كان خلاف ظاهره</w:t>
      </w:r>
      <w:r>
        <w:rPr>
          <w:rFonts w:eastAsia="Amiri" w:cs="Amiri" w:ascii="Amiri" w:hAnsi="Amiri"/>
          <w:color w:val="111111"/>
          <w:sz w:val="28"/>
          <w:szCs w:val="28"/>
          <w:rtl w:val="true"/>
          <w:lang w:bidi="ar-SA"/>
        </w:rPr>
        <w:t xml:space="preserve">. </w:t>
      </w:r>
      <w:bookmarkStart w:id="555" w:name="pg15195_150753"/>
    </w:p>
    <w:p>
      <w:pPr>
        <w:pStyle w:val="BookText"/>
        <w:rPr/>
      </w:pPr>
      <w:bookmarkEnd w:id="555"/>
      <w:r>
        <w:rPr>
          <w:rFonts w:ascii="Amiri" w:hAnsi="Amiri" w:eastAsia="Amiri" w:cs="Amiri"/>
          <w:color w:val="111111"/>
          <w:sz w:val="28"/>
          <w:sz w:val="28"/>
          <w:szCs w:val="28"/>
          <w:rtl w:val="true"/>
          <w:lang w:bidi="ar-SA"/>
        </w:rPr>
        <w:t>ولم أرَ إلى الآن فيما عندي من كتب العلاّمة تمسّكه به لإثبات حكم، وإنّما</w:t>
      </w:r>
    </w:p>
    <w:p>
      <w:pPr>
        <w:pStyle w:val="BookText"/>
        <w:rPr/>
      </w:pPr>
      <w:r>
        <w:rPr>
          <w:rFonts w:ascii="Amiri" w:hAnsi="Amiri" w:eastAsia="Amiri" w:cs="Amiri"/>
          <w:color w:val="111111"/>
          <w:sz w:val="28"/>
          <w:sz w:val="28"/>
          <w:szCs w:val="28"/>
          <w:rtl w:val="true"/>
          <w:lang w:bidi="ar-SA"/>
        </w:rPr>
        <w:t>نقل عن ابن الجنيد وابن إدريس التمسّك به على ما حكي</w:t>
      </w:r>
      <w:r>
        <w:rPr>
          <w:rStyle w:val="FootnoteAnchor"/>
          <w:rtl w:val="true"/>
        </w:rPr>
        <w:footnoteReference w:id="794"/>
      </w:r>
      <w:r>
        <w:rPr>
          <w:rFonts w:ascii="Amiri" w:hAnsi="Amiri" w:eastAsia="Amiri" w:cs="Amiri"/>
          <w:color w:val="111111"/>
          <w:sz w:val="28"/>
          <w:sz w:val="28"/>
          <w:szCs w:val="28"/>
          <w:rtl w:val="true"/>
          <w:lang w:bidi="ar-SA"/>
        </w:rPr>
        <w:t>، وحدوث الاشتهار بعده لا يفيد شيئاً، فتدبّر لعلّ اللّه يحدث بعد ذلك شيئاً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2495561_2142443653"/>
      <w:bookmarkStart w:id="557" w:name="_Toc196"/>
      <w:bookmarkEnd w:id="556"/>
      <w:r>
        <w:rPr>
          <w:rtl w:val="true"/>
        </w:rPr>
        <w:t>في دلالة الحديث على الحكم التكليفي أو الوضعي</w:t>
      </w:r>
      <w:bookmarkEnd w:id="557"/>
    </w:p>
    <w:p>
      <w:pPr>
        <w:pStyle w:val="BookText"/>
        <w:rPr/>
      </w:pPr>
      <w:r>
        <w:rPr>
          <w:rFonts w:ascii="Amiri" w:hAnsi="Amiri" w:eastAsia="Amiri" w:cs="Amiri"/>
          <w:color w:val="111111"/>
          <w:sz w:val="28"/>
          <w:sz w:val="28"/>
          <w:szCs w:val="28"/>
          <w:rtl w:val="true"/>
          <w:lang w:bidi="ar-SA"/>
        </w:rPr>
        <w:t>ثمّ إنّ في فقه الحديث كلاماً طويل الذيل؛ فإنّ في كلّ واحدة من كلماته مفردا وفيها مركّبة، بحثاً وتعمّقاً، ربّما يأتي في خلال المباحث الآتية إشباع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مورد بحثنا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هل يدلّ على الحكم التكليفي أو الوضعي؟</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اُسندت إلى فعل المكلّف، أو إلى عين ومال، ظاهرة في التكليف، ولا بدّ فيه من التقدير، وفي المقام يكون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الآخذ حفظه إلى زمان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هو التكليف المناسب لليد، وهو الحفظ في المقام، وسيّما مع ظهور الموصول في عين ما أخذت، فإنّه لا يناسب الضمان؛ لأنّ الضمان بعد التلف، فالرواية ظاهرة في التكليف أو مجملة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واعترف الشيخ الأعظم قدّس سرّه بالظهور في التكليف فيما اُسند الظرف إلى فعل المكلّف، دون ما إذا اُسند إلى مالٍ من الأموال</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الاستقرار على العهدة، من غير فرق بين إسنادها إلى الفعل أو المال،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xml:space="preserve">إلى آخره، ظاهر في استقرار الحجّ على عهدة المستطيع، وأنّه صار ديناً عليه، ولهذا لو ذهبت استطاعته وجب عليه الحجّ واستقرّ في ذمّته، ولو مات يخرج من ماله، فلو كان صرف تكليف سقط بموته أو سلب استطاعته، لم يكن وجه له، والوضع في الآية الكريمة يستفاد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والظاهر أنّ هذا منشأ ما ورد في قضيّة الخثعمية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اللّه أحقّ بالقضاء</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الاستعلائية أنّ المال أو العمل والفعل محمول على العهدة، ومستقرّ عليها، كاستقرار زيد على السطح؛ بدعوى أنّ العهدة والذمّة شيء، يقع ثقل المال ونحوه عليه،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ذلك الأمر دين من اللّه تعالى عليه، ولهذا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ويؤمر بالوفاء بالنذر، وفي التكليف المحض لا يصحّ ذلك الإطلاق إلاّ بتأوّل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إمّا مبنيّة على دعوى أنّ الشخص عبارة عن اليد الآخذة، كما أنّ الأمر كذلك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مبنيّ على دعوى أنّ الربيئة باعتبار جمع قواه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في قوّة واحدة هي العين صار جميع حقيقته هو العين</w:t>
      </w:r>
      <w:r>
        <w:rPr>
          <w:rFonts w:eastAsia="Amiri" w:cs="Amiri" w:ascii="Amiri" w:hAnsi="Amiri"/>
          <w:color w:val="111111"/>
          <w:sz w:val="28"/>
          <w:szCs w:val="28"/>
          <w:rtl w:val="true"/>
          <w:lang w:bidi="ar-SA"/>
        </w:rPr>
        <w:t xml:space="preserve">. </w:t>
      </w:r>
      <w:bookmarkStart w:id="558" w:name="pg15195_150755"/>
    </w:p>
    <w:p>
      <w:pPr>
        <w:pStyle w:val="BookText"/>
        <w:rPr/>
      </w:pPr>
      <w:bookmarkEnd w:id="558"/>
      <w:r>
        <w:rPr>
          <w:rFonts w:ascii="Amiri" w:hAnsi="Amiri" w:eastAsia="Amiri" w:cs="Amiri"/>
          <w:color w:val="111111"/>
          <w:sz w:val="28"/>
          <w:sz w:val="28"/>
          <w:szCs w:val="28"/>
          <w:rtl w:val="true"/>
          <w:lang w:bidi="ar-SA"/>
        </w:rPr>
        <w:t xml:space="preserve">ففي المقام يدّعى أنّ الغاصب ونحوه كأنّه صار يداً، فأطلق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معناها الحقيقي استعمالاً، وادّعى كون الشخص الآخذ هو اليد، فأراد جدّاً أنّ ما أخذ الشخص على عهدته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نظير ما روي عنه صلی الله علیه و آله وسلم في حقّ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يد على من سواهم</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بدعوى أنّهم لوحدتهم واجتماعهم، وجمع قواهم على ضدّ الكفّار، وكون مظهر طردهم إيّاهم وخذلانهم بهم هو أيديهم، فكأنّهم يد واحدة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مبنيّة على الكناية عن الشخص الآخذ، كما يقال في مقام لزوم ردّ الأمانة أو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يد أخذت لا بدّ أن تردّه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تعرف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كلّ من أخذ شيئاً لا بدّ أن يردّه هو بعينه، ولا يحوّله إلى غيره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2495563_2142443653"/>
      <w:bookmarkStart w:id="560" w:name="_Toc197"/>
      <w:bookmarkEnd w:id="559"/>
      <w:r>
        <w:rPr>
          <w:rtl w:val="true"/>
        </w:rPr>
        <w:t>استقرار العين الخارجية على العهدة وما فيه</w:t>
      </w:r>
      <w:bookmarkEnd w:id="560"/>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نفس ما اُخذ يعلّق على عهدة الآخذ، ولا مانع من جعل الشخص على العهدة اعتباراً، كما في الكفالة؛ فإنّ فيها يكون الشخص المكفول على عهدة الكفيل، وهو أمر عرفي، فتأمّل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تقع العين على العهدة إلى زمان الردّ، وهو يختلف عرفاً، فمع كون العين موجودة، يكون الردّ والتأدية بوجه، ومع تلفها فما هو الأقرب إليها يعدّ من مراتب الردّ والتأدية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تصوّر عهدة العين الخارجية، يؤخذ بالظهور، ولا حجّة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عليه اليد هو الموجود الخارجي، فإن كان ما وقع عليه اليد بوجوده الخارجي على عهدة الآخذ، فلا إشكال في عدم بقائه بعد التلف والمعدومية، فلا بدّ أن يسقط الضمان بتلفه، وكذا إن كان ذلك، الماهية الموجودة، والماهية المعرّاة عن الوجود لم يقع عليها اليد، ولا يمكن وقوعها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 الشيء الواقع عليه اليد في العهدة لا بوجوده الخارجي، فلا إشكال في عدم وقوع اليد عليه لا بوجوده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الوجود الخارجي باقياً </w:t>
      </w:r>
      <w:r>
        <w:rPr>
          <w:rStyle w:val="FootnoteAnchor"/>
          <w:rtl w:val="true"/>
        </w:rPr>
        <w:footnoteReference w:id="800"/>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مع كون ما وقع عليه اليد هو الوجود الخارجي الحقيقي، لا ما يعتبر بقاؤه الذي يرجع إلى الوجود الاعتباري؛ ضرورة عدم بقاء 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الحديث؛ فإنّ الظاهر منه أنّ المضمون ما هو الموجود خارجاً، لا الأعمّ منه ومن المعدوم الذي يعتبر موجوداً باقياً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عليه اليد لا يبقى بعد التلف والعدم بالضرورة، واعتبار البقاء يرجع إلى الوجود الاعتباري، وهو غير المضمون، فلا وجه معقول مقبول عرفاً وعقلاً لما اُفيد، وهذا هو المحذور لو فرض ظهور الحديث فيما ذكر، مع أنّه ممنوع كما سيأتي مفصّلاً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 احتمال آخر، لعلّه مراد من قال بضمان المثل أو القيمة،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ماهية الضمان أمر تعليقي، هو أنّه لو تلف المضمون تكون الخسارة عليه، فقوله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معناه أنّ ضمانه عليه إلى زمان الأداء، والضمان فعلي، لكنّ ماهيته أمر تقديري، فثبوت هذا الأمر التقديري قد يكون تقديرياً كما قبل الأخذ، فإنّه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أخذته كان ضمانه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فعلياً كما بعده،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أخذت مضمون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لو تلف لا بدّ لك من جبران خسارته، فالضمان ثابت فعلاً وإن كانت ماهيته أمراً تقديرياً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غير تقديري، وهو عهدة درك خسران الغير ونحوه، وهو فعلي مع وقوع اليد، وتقديري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الضمان والعهدة فعلاً لا تقديراً </w:t>
      </w:r>
      <w:r>
        <w:rPr>
          <w:rStyle w:val="FootnoteAnchor"/>
          <w:rtl w:val="true"/>
        </w:rPr>
        <w:footnoteReference w:id="803"/>
      </w:r>
      <w:r>
        <w:rPr>
          <w:rFonts w:ascii="IRNazanin" w:hAnsi="IRNazanin" w:eastAsia="IRNazanin"/>
          <w:color w:val="111111"/>
          <w:sz w:val="28"/>
          <w:sz w:val="28"/>
          <w:szCs w:val="28"/>
          <w:rtl w:val="true"/>
          <w:lang w:bidi="fa-IR"/>
        </w:rPr>
        <w:t>، وهذا أوفق بفهم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العين لدى العقلاء عبارة عن عهدة نفسها؛ بمعنى أنّه إذا جعل شيء في ضمان شخص وقبله، يطالب بنفس العين، لا مثلها وقيمتها، ومع فقدها يطالب بالعوض</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الحمّامي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ثوبك هاهنا وعليّ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صاحب الثوب </w:t>
      </w:r>
      <w:bookmarkStart w:id="561" w:name="pg15195_150758"/>
    </w:p>
    <w:p>
      <w:pPr>
        <w:pStyle w:val="BookText"/>
        <w:rPr/>
      </w:pPr>
      <w:bookmarkEnd w:id="561"/>
      <w:r>
        <w:rPr>
          <w:rFonts w:ascii="Amiri" w:hAnsi="Amiri" w:eastAsia="Amiri" w:cs="Amiri"/>
          <w:color w:val="111111"/>
          <w:sz w:val="28"/>
          <w:sz w:val="28"/>
          <w:szCs w:val="28"/>
          <w:rtl w:val="true"/>
          <w:lang w:bidi="ar-SA"/>
        </w:rPr>
        <w:t>إليه بعين ثوبه بمقتضى الضمان، ومع التلف يرجع إلى مثله أو قيمته اضطراراً؛ لكونهما من مراتب أداء العين، فالمعنى الأوّل مع كونه ظاهر الرواية، أوفق بارتكاز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الضمان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عهدة الخسارة لدى التلف، فمطالبة نفس العين ليست لأجل اقتضاء الضمان، بل لأنّ العين مع وجودها لا بدّ وأن تردّ، ضمن الطرف أم لا، ومع التلف يطالب بالعوض؛ لاقتضاء الضمان، وستأتي تتمّة لذلك</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2495565_2142443653"/>
      <w:bookmarkStart w:id="563" w:name="_Toc198"/>
      <w:bookmarkEnd w:id="562"/>
      <w:r>
        <w:rPr>
          <w:rtl w:val="true"/>
        </w:rPr>
        <w:t>حول شمول حديث اليد لضمان الصغير والمجنون</w:t>
      </w:r>
      <w:bookmarkEnd w:id="563"/>
    </w:p>
    <w:p>
      <w:pPr>
        <w:pStyle w:val="BookText"/>
        <w:rPr/>
      </w:pPr>
      <w:r>
        <w:rPr>
          <w:rFonts w:ascii="Amiri" w:hAnsi="Amiri" w:eastAsia="Amiri" w:cs="Amiri"/>
          <w:color w:val="111111"/>
          <w:sz w:val="28"/>
          <w:sz w:val="28"/>
          <w:szCs w:val="28"/>
          <w:rtl w:val="true"/>
          <w:lang w:bidi="ar-SA"/>
        </w:rPr>
        <w:t>ثمّ إنّ الشيخ الأعظم قدّس سرّه بعد استظهار الحكم الوضعي من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المتّجه صحّة الاستدلال به على ضمان الصغير بل المجنون، إذا لم يكن يدهما ضعيفة؛ لعدم التميّز والشعور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فأورد عليه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جعل حكم وضعي، أو الخبر عن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مسلكه؛ لامتناع جعل الوضع ابتداءً، وانتزاعه من التكليف لا يصحّ في المقام؛ لاعترافه بظهوره في الوضع لا التكليف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لكنّ المبنى غير وجيه، وعلى التسليم انتزاعه هنا محال؛ لأنّ الأمر الانتزاعي تابع لمنشئه قوّة وفعلاً، تبعية ما بالعرض لما بالذات، </w:t>
      </w:r>
    </w:p>
    <w:p>
      <w:pPr>
        <w:pStyle w:val="BookText"/>
        <w:rPr/>
      </w:pPr>
      <w:r>
        <w:rPr>
          <w:rFonts w:ascii="Amiri" w:hAnsi="Amiri" w:eastAsia="Amiri" w:cs="Amiri"/>
          <w:color w:val="111111"/>
          <w:sz w:val="28"/>
          <w:sz w:val="28"/>
          <w:szCs w:val="28"/>
          <w:rtl w:val="true"/>
          <w:lang w:bidi="ar-SA"/>
        </w:rPr>
        <w:t>ولا تكليف للصغير فعلاً حتّى ينتزع منه ضمان فعلاً، والخطاب المشروط بزمان البلوغ حكم تقديري، فيكون الأمر الانتزاعي منه تقديرياً؛ لأنّ فعلية الأمر الانتزاعي وتقديرية منشئه محال</w:t>
      </w:r>
      <w:r>
        <w:rPr>
          <w:rStyle w:val="FootnoteAnchor"/>
          <w:rtl w:val="true"/>
        </w:rPr>
        <w:footnoteReference w:id="806"/>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وإطلاقه الشامل ليد الصغير والمجنون المميّزين، لا يجوز رفع اليد عنه إلاّ بدليل، والمدّعى في المقام هو قيام الدليل العقلي على خلافه، فلو أمكن التوجيه بما يدفع به الدليل العقلي بأيّ وجهٍ ممكن لا يجوز رفع اليد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الدفع بعيداً عن الأذهان، بنحوٍ لا يصحّ الالتزام به في مقام الإثبات والاستظهار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يمكن دفعه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لا إخبار، فلإمكان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جعل الحكم الوضعي، لكنّ العقل يدفع هذا الظهور؛ لامتناع جعل الوضع ابتداءً على الفرض، فيصير حكم العقل قرينة على إنشاء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جدّ وجعل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الإرشاد إلى الحكم التكليفي، الذي هو منشأ لانتزاع الوضع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اُنشئ بصورة الوضع؛ للإرشاد إلى مقدار سعة التكليف الذي هو منشأ انتزاع الوضع واقعاً، فإطلاقه دليل على ثبوت حكم تكليفي يطابق هذا الإنشاء الصوري الإرشادي، ويكون منشأً لانتزاع وضع واقعي مطابق للإنشاء المذكور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وإن كان بعيداً عن الأذهان، بل شبيهاً بالأكل من القفا، لكنّه كافٍ في إمكان الأخذ بالظهور، ومعه يجب الأخذ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تصوير توجيه التكليف إلى الصغير والمجنون، فيأتي في الفرض الثاني، وهو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عن جعلٍ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فرض صحّة المبنى، لا يرد عليه ما ذكره المستشكل؛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 والمجنون قابلان لتوجّه التكليف المعلّق على زمان البلوغ والإفاقة، إليهما، ولا دليل على بطلانه، والإجماع لم يثبت بهذا النحو؛ لأنّ المتيقّن منه التكليف بالأداء في الحال، وحديث رفع القلم</w:t>
      </w:r>
      <w:r>
        <w:rPr>
          <w:rStyle w:val="FootnoteAnchor"/>
          <w:rtl w:val="true"/>
        </w:rPr>
        <w:footnoteReference w:id="807"/>
      </w:r>
      <w:r>
        <w:rPr>
          <w:rFonts w:ascii="Amiri" w:hAnsi="Amiri" w:eastAsia="Amiri" w:cs="Amiri"/>
          <w:color w:val="111111"/>
          <w:sz w:val="28"/>
          <w:sz w:val="28"/>
          <w:szCs w:val="28"/>
          <w:rtl w:val="true"/>
          <w:lang w:bidi="ar-SA"/>
        </w:rPr>
        <w:t>لو فرض التعميم للتكليف، لعلّه ظاهر في المنجّز لا المعلّق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 والمجنون المميّزين مكلّفان بأداء الغرامة على نحو الواجب المعلّق، سيّما على مسلك الشيخ قدّس سرّه؛ من رجوع القيود في الواجب المشروط إلى المادّة</w:t>
      </w:r>
      <w:r>
        <w:rPr>
          <w:rStyle w:val="FootnoteAnchor"/>
          <w:rtl w:val="true"/>
        </w:rPr>
        <w:footnoteReference w:id="808"/>
      </w:r>
      <w:r>
        <w:rPr>
          <w:rFonts w:ascii="Amiri" w:hAnsi="Amiri" w:eastAsia="Amiri" w:cs="Amiri"/>
          <w:color w:val="111111"/>
          <w:sz w:val="28"/>
          <w:sz w:val="28"/>
          <w:szCs w:val="28"/>
          <w:rtl w:val="true"/>
          <w:lang w:bidi="ar-SA"/>
        </w:rPr>
        <w:t xml:space="preserve">، فلا يصحّ على مذهبه اشتراط التكليف بالبلوغ والإفاقة، فلا بدّ من أخذ القيد إمّا قيداً للمكلّف به، أو قيداً وعنواناً للمكلّف، وفي المقام </w:t>
      </w:r>
      <w:bookmarkStart w:id="564" w:name="pg15195_150761"/>
    </w:p>
    <w:p>
      <w:pPr>
        <w:pStyle w:val="BookText"/>
        <w:rPr/>
      </w:pPr>
      <w:bookmarkEnd w:id="564"/>
      <w:r>
        <w:rPr>
          <w:rFonts w:ascii="Amiri" w:hAnsi="Amiri" w:eastAsia="Amiri" w:cs="Amiri"/>
          <w:color w:val="111111"/>
          <w:sz w:val="28"/>
          <w:sz w:val="28"/>
          <w:szCs w:val="28"/>
          <w:rtl w:val="true"/>
          <w:lang w:bidi="ar-SA"/>
        </w:rPr>
        <w:t>بعد قيام الحجّة على ضمان الصغير المميّز، 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دفع الإشكال العقلي عن ظاهر الحجّة؛ لعدم جواز رفضه بمجرّد إشكالٍ قابل للدفع ولو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المجنون الذي لا يفيق، والصغير الذي يموت قبل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بوجه يعمّ الموارد، وهو الالتزام بالتكليف الفعلي القانوني على الناس جميعاً، وجعل الجنون والصغر من قبيل الأعذار العقلية التي التزمنا ببقاء فعلية التكليف معها </w:t>
      </w:r>
      <w:r>
        <w:rPr>
          <w:rStyle w:val="FootnoteAnchor"/>
          <w:rtl w:val="true"/>
        </w:rPr>
        <w:footnoteReference w:id="809"/>
      </w:r>
      <w:r>
        <w:rPr>
          <w:rFonts w:ascii="Amiri" w:hAnsi="Amiri" w:eastAsia="Amiri" w:cs="Amiri"/>
          <w:color w:val="111111"/>
          <w:sz w:val="28"/>
          <w:sz w:val="28"/>
          <w:szCs w:val="28"/>
          <w:rtl w:val="true"/>
          <w:lang w:bidi="ar-SA"/>
        </w:rPr>
        <w:t>، فلا مانع من تعلّق الوضع حتّى مع العذر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التكلّفات لأجل مبنى غير وجيه، في غير محلّها</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495567_2142443653"/>
      <w:bookmarkStart w:id="566" w:name="_Toc199"/>
      <w:bookmarkEnd w:id="565"/>
      <w:r>
        <w:rPr>
          <w:rtl w:val="true"/>
        </w:rPr>
        <w:t xml:space="preserve">الدليل الثاني على الضمان </w:t>
      </w:r>
      <w:r>
        <w:rPr>
          <w:rtl w:val="true"/>
        </w:rPr>
        <w:t xml:space="preserve">: </w:t>
      </w:r>
      <w:r>
        <w:rPr>
          <w:rtl w:val="true"/>
        </w:rPr>
        <w:t>روايات الأمة المسروقة</w:t>
      </w:r>
      <w:bookmarkEnd w:id="566"/>
    </w:p>
    <w:p>
      <w:pPr>
        <w:pStyle w:val="Heading5"/>
        <w:numPr>
          <w:ilvl w:val="4"/>
          <w:numId w:val="1"/>
        </w:numPr>
        <w:rPr/>
      </w:pPr>
      <w:bookmarkStart w:id="567" w:name="__RefHeading___Toc2495569_2142443653"/>
      <w:bookmarkStart w:id="568" w:name="_Toc200"/>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وربّما يستدلّ على ضمان المقبوض بالبيع الفاسد بروايات، وردت في الأمة المسروقة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كالصحيحة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569" w:name="pg15195_150762"/>
    </w:p>
    <w:p>
      <w:pPr>
        <w:pStyle w:val="BookText"/>
        <w:rPr/>
      </w:pPr>
      <w:bookmarkEnd w:id="569"/>
      <w:r>
        <w:rPr>
          <w:rFonts w:ascii="Amiri" w:hAnsi="Amiri" w:eastAsia="Amiri" w:cs="Amiri"/>
          <w:color w:val="111111"/>
          <w:sz w:val="28"/>
          <w:sz w:val="28"/>
          <w:szCs w:val="28"/>
          <w:rtl w:val="true"/>
          <w:lang w:bidi="ar-SA"/>
        </w:rPr>
        <w:t>الرجل يشتري الجارية من السوق فيولدها، ثمّ يجيء مستحقّ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الجارية، المستحقّ ويدفع إليه المبتاع قيمة الولد، ويرجع على من باعه بثمن الجارية وقيمة الولد التي اُخذت منه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مبنيّ على عدم كون المورد من باب استيفاء المنفعة، ولا ضمان الإتلاف، مباشرة أو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الشيخ الأعظم قدّس سرّه إلى دفع احتمالهما؛ بأنّه نماء لم يستوفه المشتري، وليس استيلادها من قبيل إتلاف النماء، بل من قبيل إحداث نماء غير قابل للملك، فهو كالتالف لا المتلف</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2495571_2142443653"/>
      <w:bookmarkStart w:id="571" w:name="_Toc201"/>
      <w:bookmarkEnd w:id="570"/>
      <w:r>
        <w:rPr>
          <w:rtl w:val="true"/>
        </w:rPr>
        <w:t>إشكال المحقّق الأصفهاني في المقام ودفعه</w:t>
      </w:r>
      <w:bookmarkEnd w:id="57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تشبّث بعض أهل التحقيق لكونه من قبيل الإتلاف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وإن كانت من الرجل، إلاّ أنّها لمّا كانت مكمّلة بدم الاُمّ، وكانت </w:t>
      </w:r>
    </w:p>
    <w:p>
      <w:pPr>
        <w:pStyle w:val="BookText"/>
        <w:rPr/>
      </w:pPr>
      <w:r>
        <w:rPr>
          <w:rFonts w:ascii="Amiri" w:hAnsi="Amiri" w:eastAsia="Amiri" w:cs="Amiri"/>
          <w:color w:val="111111"/>
          <w:sz w:val="28"/>
          <w:sz w:val="28"/>
          <w:szCs w:val="28"/>
          <w:rtl w:val="true"/>
          <w:lang w:bidi="ar-SA"/>
        </w:rPr>
        <w:t>تكوّنها حيواناً بالقوى المودعة في الرحم، فكأنّ صيرورتها حيواناً من قبل الاُمّ، فقد أتلفها الرجل على الأب خصوصاً إذا قيل بتكوّنه من نطفة المرأة، وكان اللقاح من الرجل</w:t>
      </w:r>
      <w:r>
        <w:rPr>
          <w:rStyle w:val="FootnoteAnchor"/>
          <w:rtl w:val="true"/>
        </w:rPr>
        <w:footnoteReference w:id="8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لا يخفى؛ فإنّ صيرورة نطفة الرجل حيواناً بما ذكر، لا توجب أن يكون الولد لصاحب الجارية، حتّى يصير التحرير إتلافاً لماله،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الولد ضامناً للدم التالف وقيمة القوى المودعة، لا لقيمة الولد، 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قيمة يوم الأداء، كما يقتضيه ظاهر الرواية</w:t>
      </w:r>
    </w:p>
    <w:p>
      <w:pPr>
        <w:pStyle w:val="BookText"/>
        <w:rPr/>
      </w:pPr>
      <w:r>
        <w:rPr>
          <w:rFonts w:ascii="Amiri" w:hAnsi="Amiri" w:eastAsia="Amiri" w:cs="Amiri"/>
          <w:color w:val="111111"/>
          <w:sz w:val="28"/>
          <w:sz w:val="28"/>
          <w:szCs w:val="28"/>
          <w:rtl w:val="true"/>
          <w:lang w:bidi="ar-SA"/>
        </w:rPr>
        <w:t>المتقدّمة وغيرها، وإن أفتوا بضمان قيمة يوم الولادة</w:t>
      </w:r>
      <w:r>
        <w:rPr>
          <w:rStyle w:val="FootnoteAnchor"/>
          <w:rtl w:val="true"/>
        </w:rPr>
        <w:footnoteReference w:id="815"/>
      </w:r>
      <w:r>
        <w:rPr>
          <w:rFonts w:ascii="Amiri" w:hAnsi="Amiri" w:eastAsia="Amiri" w:cs="Amiri"/>
          <w:color w:val="111111"/>
          <w:sz w:val="28"/>
          <w:sz w:val="28"/>
          <w:szCs w:val="28"/>
          <w:rtl w:val="true"/>
          <w:lang w:bidi="ar-SA"/>
        </w:rPr>
        <w:t>فإنّ الولد بعد فطامه قد كمل ونما بغير لبن الجارية ودمها والقوى المودعة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النطفة من المرأة؛ فإنّ الولد الحاصل من نطفتها صار ولداً للوالد، وخرج عن الملك، فلو كان ذلك موجباً للضمان، لا بدّ من تقويمه حال كونه في جوف اُمّه؛ أي حال الخروج عن ملك صاحبه، لا التقويم في زمن الأداء، كما هو ظاهرها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الخروج بالحكم الشرعي من قبيل التلف السماوي، لا الإتلاف حتّى بالتسبيب؛ فإنّ السبب للحكم الشرعي ليس فعله، بل نتيجة فعله موضوع للحكم</w:t>
      </w:r>
      <w:r>
        <w:rPr>
          <w:rFonts w:eastAsia="Amiri" w:cs="Amiri" w:ascii="Amiri" w:hAnsi="Amiri"/>
          <w:color w:val="111111"/>
          <w:sz w:val="28"/>
          <w:szCs w:val="28"/>
          <w:rtl w:val="true"/>
          <w:lang w:bidi="ar-SA"/>
        </w:rPr>
        <w:t xml:space="preserve">. </w:t>
      </w:r>
      <w:bookmarkStart w:id="572" w:name="pg15195_150764"/>
    </w:p>
    <w:p>
      <w:pPr>
        <w:pStyle w:val="Heading5"/>
        <w:numPr>
          <w:ilvl w:val="4"/>
          <w:numId w:val="1"/>
        </w:numPr>
        <w:rPr/>
      </w:pPr>
      <w:bookmarkStart w:id="573" w:name="__RefHeading___Toc2495573_2142443653"/>
      <w:bookmarkStart w:id="574" w:name="_Toc202"/>
      <w:bookmarkEnd w:id="572"/>
      <w:bookmarkEnd w:id="573"/>
      <w:r>
        <w:rPr>
          <w:rtl w:val="true"/>
        </w:rPr>
        <w:t>إشكال المحقّق الإيرواني ودفعه</w:t>
      </w:r>
      <w:bookmarkEnd w:id="574"/>
    </w:p>
    <w:p>
      <w:pPr>
        <w:pStyle w:val="BookText"/>
        <w:rPr/>
      </w:pPr>
      <w:r>
        <w:rPr>
          <w:rFonts w:ascii="Amiri" w:hAnsi="Amiri" w:eastAsia="Amiri" w:cs="Amiri"/>
          <w:color w:val="111111"/>
          <w:sz w:val="28"/>
          <w:sz w:val="28"/>
          <w:szCs w:val="28"/>
          <w:rtl w:val="true"/>
          <w:lang w:bidi="ar-SA"/>
        </w:rPr>
        <w:t>وأضعف منه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استوفى منفعة الرحم بإشغاله بمائه، ولا أقلّ من أنّه أتلف منفعته على المالك بذلك؛ فإنّه كان مستعدّاً لإنماء نطفة الرقّ، فسلب عنه ذلك بإشغاله بنطفته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استيفاء منفعة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يكون المضمون قيمة الولد، كما أنّ إتلاف منفعته على المالك لا يوجبه، بل اللازم على الفرض أن يكون المضمون منفعة الرحم، والولد لا يعدّ منفعة الرحم، وليست نسبة الرحم إلى الولد كنسبة الثمرة إلى الشجرة، بل هو محلّ نشوئه عرفاً، كما أنّ إتلاف منفعة الرحم لا يوجب ضمان قيمة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ظاهر بعض الروايات أنّ الضمان لأجل الانتفاع، كرواية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يشتري الجارية من السوق فيولدها، ثمّ يجيء الرجل، فيقيم البيّنة على أنّها جاريته، لم يبع، ولم يهب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جاريته، ويعوّضه بما انتفع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معناه قيمة الولد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المفسّر هو زرارة، فيظهر منها أنّ قيمة الولد لأجل كون الولد من قبيل المنافع المستوفاة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بعض الأعاظم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وإن يرى الولد منفعة، لكن </w:t>
      </w:r>
    </w:p>
    <w:p>
      <w:pPr>
        <w:pStyle w:val="BookText"/>
        <w:rPr/>
      </w:pPr>
      <w:r>
        <w:rPr>
          <w:rFonts w:ascii="Amiri" w:hAnsi="Amiri" w:eastAsia="Amiri" w:cs="Amiri"/>
          <w:color w:val="111111"/>
          <w:sz w:val="28"/>
          <w:sz w:val="28"/>
          <w:szCs w:val="28"/>
          <w:rtl w:val="true"/>
          <w:lang w:bidi="ar-SA"/>
        </w:rPr>
        <w:t>ليس نظره متّبعاً في تشخيص المصاديق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تبع المحقّق الخراساني </w:t>
      </w:r>
      <w:r>
        <w:rPr>
          <w:rStyle w:val="FootnoteAnchor"/>
          <w:rtl w:val="true"/>
        </w:rPr>
        <w:footnoteReference w:id="81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لمّا كانت خطاباته مع العرف كخطابات العرف مع العرف، وليست له طريقة خاصّة غير طريقة العقلاء، لا محالة يكون في تشخيص المفاهيم ومصاديقها في خطاباته نظر العرف متّبعاً، كما أنّ الأمر كذلك في خطابات العرف بعضهم مع بعض، ولهذا لا يعدّ لون الدم دماً، والتفصيل موكول إلى محلّه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اُخرى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اشترى جارية من سوق المسلمين، فخرج بها إلى أرضه، فولدت منه أولاداً، ثمّ إنّ أباه</w:t>
      </w:r>
      <w:r>
        <w:rPr>
          <w:rStyle w:val="FootnoteAnchor"/>
          <w:rtl w:val="true"/>
        </w:rPr>
        <w:footnoteReference w:id="821"/>
      </w:r>
      <w:r>
        <w:rPr>
          <w:rFonts w:ascii="Amiri" w:hAnsi="Amiri" w:eastAsia="Amiri" w:cs="Amiri"/>
          <w:color w:val="111111"/>
          <w:sz w:val="28"/>
          <w:sz w:val="28"/>
          <w:szCs w:val="28"/>
          <w:rtl w:val="true"/>
          <w:lang w:bidi="ar-SA"/>
        </w:rPr>
        <w:t xml:space="preserve">يزعم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أتاها من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له، وأقام على ذلك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 ولده، ويدفع إليه الجارية، ويعوّضه في قيمة ما أصاب من لبنها وخدمتها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احتمالان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أصاب من لبنها وخدمتها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المنافع المستوفاة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bookmarkStart w:id="575" w:name="pg15195_150766"/>
    </w:p>
    <w:p>
      <w:pPr>
        <w:pStyle w:val="BookText"/>
        <w:rPr/>
      </w:pPr>
      <w:bookmarkEnd w:id="575"/>
      <w:r>
        <w:rPr>
          <w:rFonts w:ascii="Amiri" w:hAnsi="Amiri" w:eastAsia="Amiri" w:cs="Amiri"/>
          <w:color w:val="111111"/>
          <w:sz w:val="28"/>
          <w:sz w:val="28"/>
          <w:szCs w:val="28"/>
          <w:rtl w:val="true"/>
          <w:lang w:bidi="ar-SA"/>
        </w:rPr>
        <w:t>عوضاً من قيمة الولد، فقدّر القيمة بما أصاب منها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بملاحظة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الولد تقدير لما أصاب من اللبن والخدمة، فقيمته على هذا ليست لأجل استيفاء المنفعة التي هي الولد، ولا بإزاء تفويت منافع الجارية، ولا لأجل ضمان اليد على الجارية ويتبعه ضمان المنافع، بل لأجل استيفاء سائر المنافع؛ أي اللبن والخدمة، لكن لمّا كان قدرهما ربّما يكون مجهولاً، أو معرضاً للنزاع، قدّره الشارع بقيمة الولد،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المسألة موكول إلى محلّه، والآن لم نكن إلاّ بصدد فقه الروايات، لا الدخول في المسألة وجمع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تلك الروايات على ما رام الشيخ الأعظم قدّس سرّه إثباته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إطلاق حسنة جميل</w:t>
      </w:r>
      <w:r>
        <w:rPr>
          <w:rStyle w:val="FootnoteAnchor"/>
          <w:rtl w:val="true"/>
        </w:rPr>
        <w:footnoteReference w:id="824"/>
      </w:r>
      <w:r>
        <w:rPr>
          <w:rFonts w:ascii="Amiri" w:hAnsi="Amiri" w:eastAsia="Amiri" w:cs="Amiri"/>
          <w:color w:val="111111"/>
          <w:sz w:val="28"/>
          <w:sz w:val="28"/>
          <w:szCs w:val="28"/>
          <w:rtl w:val="true"/>
          <w:lang w:bidi="ar-SA"/>
        </w:rPr>
        <w:t>تقتضي الرجوع إلى المثمن، ولو بعد تلفه بالتلف السماوي؛ لأنّ الرجوع إليه ليس عرفاً مختصّاً بوجوده كما لا يخفى، فدلّت هي على المطلوب في الجملة، على إشكال</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495575_2142443653"/>
      <w:bookmarkStart w:id="577" w:name="_Toc203"/>
      <w:bookmarkEnd w:id="576"/>
      <w:r>
        <w:rPr>
          <w:rtl w:val="true"/>
        </w:rPr>
        <w:t xml:space="preserve">الدليل الثالث على الضمان </w:t>
      </w:r>
      <w:r>
        <w:rPr>
          <w:rtl w:val="true"/>
        </w:rPr>
        <w:t xml:space="preserve">: </w:t>
      </w:r>
      <w:r>
        <w:rPr>
          <w:rtl w:val="true"/>
        </w:rPr>
        <w:t>قاعدة ما يضمن</w:t>
      </w:r>
      <w:bookmarkEnd w:id="577"/>
    </w:p>
    <w:p>
      <w:pPr>
        <w:pStyle w:val="BookText"/>
        <w:rPr/>
      </w:pPr>
      <w:r>
        <w:rPr>
          <w:rFonts w:ascii="Amiri" w:hAnsi="Amiri" w:eastAsia="Amiri" w:cs="Amiri"/>
          <w:color w:val="111111"/>
          <w:sz w:val="28"/>
          <w:sz w:val="28"/>
          <w:szCs w:val="28"/>
          <w:rtl w:val="true"/>
          <w:lang w:bidi="ar-SA"/>
        </w:rPr>
        <w:t xml:space="preserve">واستدلّ للمطلوب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وعكسها ليستا مورد نصّ، أو معقد إجماع، ولهذا لو فرض عدم مطابقة مضمونهما للقواعد والأدلّة، أو عدم معنى صحيح لهما، لا نبالي</w:t>
      </w:r>
      <w:r>
        <w:rPr>
          <w:rFonts w:eastAsia="Amiri" w:cs="Amiri" w:ascii="Amiri" w:hAnsi="Amiri"/>
          <w:color w:val="111111"/>
          <w:sz w:val="28"/>
          <w:szCs w:val="28"/>
          <w:rtl w:val="true"/>
          <w:lang w:bidi="ar-SA"/>
        </w:rPr>
        <w:t xml:space="preserve">. </w:t>
      </w:r>
      <w:bookmarkStart w:id="578" w:name="pg15195_150767"/>
    </w:p>
    <w:p>
      <w:pPr>
        <w:pStyle w:val="Heading3"/>
        <w:numPr>
          <w:ilvl w:val="2"/>
          <w:numId w:val="1"/>
        </w:numPr>
        <w:rPr/>
      </w:pPr>
      <w:bookmarkStart w:id="579" w:name="__RefHeading___Toc2495577_2142443653"/>
      <w:bookmarkStart w:id="580" w:name="_Toc204"/>
      <w:bookmarkEnd w:id="578"/>
      <w:bookmarkEnd w:id="579"/>
      <w:r>
        <w:rPr>
          <w:rtl w:val="true"/>
        </w:rPr>
        <w:t>المراد بالضمان في القاعدة</w:t>
      </w:r>
      <w:bookmarkEnd w:id="580"/>
    </w:p>
    <w:p>
      <w:pPr>
        <w:pStyle w:val="Heading4"/>
        <w:numPr>
          <w:ilvl w:val="3"/>
          <w:numId w:val="1"/>
        </w:numPr>
        <w:rPr/>
      </w:pPr>
      <w:bookmarkStart w:id="581" w:name="__RefHeading___Toc2495579_2142443653"/>
      <w:bookmarkStart w:id="582" w:name="_Toc205"/>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الشيخ الأعظم قدّس سرّه بأنّ المراد بالضمان في الجملتين، هو كون درك المضمون عليه؛ بمعنى كون خسارته ودركه في ماله الأصلي، فإذا تلف وقع نقصانه فيه؛ لوجوب تداركه منه، وقد جعل هذا المعنى جامعاً للضمان في العقود الصحيحة والفاسدة، والضمان في مثل تلف الموهوب بشرط التعويض قبل دفع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بالضمان بقول مطلق هو لزوم تداركه بعوضه الواقعي، وتداركه بغيره يحتاج إلى دليل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أراد بذلك أنّ الضمان ظاهر في الضمان الواقعي، ما لم يرد دليل وقرينة على خلافه، وفي المقبوض بالبيع الصحيح قامت القرينة على الضمان بالمسمّى، ولم تقم في الضمان بالبيع الفاسد، فيحمل على المعنى الظاهر فيه، وهذا ليس تفكيكاً في الضمان؛ لأنّ الجامع محفوظ، والخصوصيات في الموارد لا تنافي وجود الجامع، وبلحاظه لم يكن 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ردّ مال الغير إلى صاحبه بحسب اقتضاء العقد، ليس دركاً ومن قبيل الضمان، فإذا كان المثمن موجوداً في يد البائع، فردّ المشتري الثمن، 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أدّى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موجوداً في يد المشتري، وردّ الثمن،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دركه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الشيخ قدّس سرّه يعترف بذلك، ولهذا فرض مورد التلف، ولا شبهة في أنّ دفع </w:t>
      </w:r>
      <w:bookmarkStart w:id="583" w:name="pg15195_150768"/>
    </w:p>
    <w:p>
      <w:pPr>
        <w:pStyle w:val="BookText"/>
        <w:rPr/>
      </w:pPr>
      <w:bookmarkEnd w:id="583"/>
      <w:r>
        <w:rPr>
          <w:rFonts w:ascii="Amiri" w:hAnsi="Amiri" w:eastAsia="Amiri" w:cs="Amiri"/>
          <w:color w:val="111111"/>
          <w:sz w:val="28"/>
          <w:sz w:val="28"/>
          <w:szCs w:val="28"/>
          <w:rtl w:val="true"/>
          <w:lang w:bidi="ar-SA"/>
        </w:rPr>
        <w:t>الثمن إلى البائع بعد تلف المبيع في يد المشتري، ليس إلاّ كدفعه في حال وجوده، سواء كان في يد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المبيع لا دخالة له في الضمان بوجه، ولا دخالة له في كيفية ردّ مال الغير بوجه، فتلف المبيع لا يعقل أن يكون مضموناً على صاحبه؛ لعدم تعقّل ضمان الشخص ماله، كما أنّ ردّ مال الغير ليس من قبيل الدرك، فما جعله جامعاً بين العقد الصحيح والفاسد، غير مرضيّ</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495581_2142443653"/>
      <w:bookmarkStart w:id="585" w:name="_Toc206"/>
      <w:bookmarkEnd w:id="584"/>
      <w:r>
        <w:rPr>
          <w:rtl w:val="true"/>
        </w:rPr>
        <w:t>تضعيف ما ذكره المحقّق النائيني في الضمان</w:t>
      </w:r>
      <w:bookmarkEnd w:id="585"/>
    </w:p>
    <w:p>
      <w:pPr>
        <w:pStyle w:val="BookText"/>
        <w:rPr/>
      </w:pPr>
      <w:r>
        <w:rPr>
          <w:rFonts w:ascii="Amiri" w:hAnsi="Amiri" w:eastAsia="Amiri" w:cs="Amiri"/>
          <w:color w:val="111111"/>
          <w:sz w:val="28"/>
          <w:sz w:val="28"/>
          <w:szCs w:val="28"/>
          <w:rtl w:val="true"/>
          <w:lang w:bidi="ar-SA"/>
        </w:rPr>
        <w:t>وأضعف منه في تصحيح عدم التفكيك ما قاله بعض الأعاظم قدّس سرّه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في الصحيح والفاسد كليهما بالمثل والقيمة؛ فإنّ الضمان بالمسمّى في الصحيح قبل القبض، وهو خارج عن القاعدة؛ فإنّها اُسّست لموارد ضمان اليد، وهو يتحقّق بالقبض،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بالقبض ينتقل الضمان، ومعنى انتقاله أنّ المسمّى يصير بعد القبض هو المثل أو القيمة، ومعنى ضمان القابض بعد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المقبوض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وطرأ عليه فسخ أو انفساخ، يجب عليه ردّ المثل أو القيمة، فالمثل أو القيمة هو المضمون في الصحيح والفاسد</w:t>
      </w:r>
      <w:r>
        <w:rPr>
          <w:rStyle w:val="FootnoteAnchor"/>
          <w:rtl w:val="true"/>
        </w:rPr>
        <w:footnoteReference w:id="8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ضرورة أنّ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يضمن بعد فسخه وبعد تلف المبيع، فأراد بالعقد فسخه، أو الفسخ بعد العقد والقبض والتلف، من أغرب المحامل، فطرح دليل خير من مثله</w:t>
      </w:r>
      <w:r>
        <w:rPr>
          <w:rFonts w:eastAsia="Amiri" w:cs="Amiri" w:ascii="Amiri" w:hAnsi="Amiri"/>
          <w:color w:val="111111"/>
          <w:sz w:val="28"/>
          <w:szCs w:val="28"/>
          <w:rtl w:val="true"/>
          <w:lang w:bidi="ar-SA"/>
        </w:rPr>
        <w:t xml:space="preserve">. </w:t>
      </w:r>
      <w:bookmarkStart w:id="586" w:name="pg15195_150769"/>
    </w:p>
    <w:p>
      <w:pPr>
        <w:pStyle w:val="BookText"/>
        <w:rPr/>
      </w:pPr>
      <w:bookmarkEnd w:id="586"/>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الضمان بالمسمّى قبل القبض، وهو خارج عن القاعدة؛ فإنّها اُسّست لموارد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تخريص منه؛ لعدم دليل على الخروج، ولا على تأسيسها لما ذكر، فلو كان المراد بتلك القاعدة قاعدة اليد، لا معنى لتغيير عبارة جامعة صحيحة خالية من الخلل، بهذه العبارة المجملة المحتاجة إلى التأويل والحمل</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495583_2142443653"/>
      <w:bookmarkStart w:id="588" w:name="_Toc207"/>
      <w:bookmarkEnd w:id="587"/>
      <w:r>
        <w:rPr>
          <w:rtl w:val="true"/>
        </w:rPr>
        <w:t>حول معنى الضمان عند المحقّق الأصفهاني</w:t>
      </w:r>
      <w:bookmarkEnd w:id="588"/>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الضمان كون الشيء في ضمن العهدة؛ إذ ليس معنى هذه المادّة إلاّ ما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يناسبه معناه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في ضمن شيء، فإذا نسب إلى الشخص فمعناه أنّه في ضمن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قد يكون بتسبيب من الشخص، كما في عقد الضمان حتّى ضمان النفس، وكما في المعاوضات؛ لتعهّد كلّ منهما والتزامه بأخذ المال ببدله، وقد يكون بجعل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والعهدة في كلّ مقام، لها آثار وضعية وتكليفية، ولا يختلف معنى العهدة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القاعدة أنّه كلّ مورد كان عهدة مورد العقد على المتعاقدين في الصحيح، فعهدته عليهما في الفاسد</w:t>
      </w:r>
      <w:r>
        <w:rPr>
          <w:rStyle w:val="FootnoteAnchor"/>
          <w:rtl w:val="true"/>
        </w:rPr>
        <w:footnoteReference w:id="828"/>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ما ذكره في معنى الضمان وأصله اللغوي مخالف للعرف واللغة، والأوّل ظاهر، ويعلم الثاني بالمراجعة إلى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589" w:name="pg15195_150770"/>
    </w:p>
    <w:p>
      <w:pPr>
        <w:pStyle w:val="BookText"/>
        <w:rPr/>
      </w:pPr>
      <w:bookmarkEnd w:id="589"/>
      <w:r>
        <w:rPr>
          <w:rFonts w:ascii="Amiri" w:hAnsi="Amiri" w:eastAsia="Amiri" w:cs="Amiri"/>
          <w:color w:val="111111"/>
          <w:sz w:val="28"/>
          <w:sz w:val="28"/>
          <w:szCs w:val="28"/>
          <w:rtl w:val="true"/>
          <w:lang w:bidi="ar-SA"/>
        </w:rPr>
        <w:t>كلّ عهدة ليست ضماناً، فعهدة أداء الدين غير كونه ضامناً له، والدين متعلّق بالعهدة، لكن المديون ليس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العقلاء في باب البيع ونحوه على تسليم العوضين معنى غير الضمان في العرف واللغة، فلا يقال بعد تحقّق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كلاًّ من المتبايعين ضامن للأداء أو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جامع بما ذكر بين ضمان اليد، والتزام المتبايعين بتسليم العين؛ إذ الثاني ليس بضمان</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495585_2142443653"/>
      <w:bookmarkStart w:id="591" w:name="_Toc208"/>
      <w:bookmarkEnd w:id="590"/>
      <w:r>
        <w:rPr>
          <w:rtl w:val="true"/>
        </w:rPr>
        <w:t>أقرب الاحتمالات في معنى الضمان في القاعدة</w:t>
      </w:r>
      <w:bookmarkEnd w:id="591"/>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هو الضمان المعهود المتعارف؛ أي الضمان بالمثل أو القيمة الواقعية، وعهدة الأداء في فرض وجود العين،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عهدة الأداء أيضاً ضمان، وإلاّ فهي خارجة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دخولها في قاعدة اليد،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بإفادة قاعدتها الضمان مع الزيادة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العقد في البيع الصحيح تمام السبب لقلب اليد المالكية إلى غيرها، فالسلطنة والاستيلاء على المال قبل العقد، سلطنة واستيلاء على مال نفسه، وبعده على مال غيره، من غير أن يكون هذا الاستيلاء بإذن مالكي أو استئمان شرعي أو مالكي، فذلك الاستيلاء يوجب الضمان بمقتضى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تمام السبب للقلب المذكور، وبعض السبب للضمان؛ لأنّ الاستيلاء أيضاً دخيل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لو كانت العين بيد المشتري وتحقّق العقد، لا يوجب ضماناً، فالعقد الصحيح بعض السبب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إن تلف قبل قبضه مضمون على البائع، فصحيح البيع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دخول البيع في أصل القاعدة؛ لأنّها ليست بصدد بيان موارد الضمان، فالبيع داخل في العكس، غاية الأمر لا بدّ من تقييده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باختصاص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إلى آخره، بالبيع؛ إذ لا دليل على التوسعة والإسراء إلى سائر العقود من 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للقواعد العرفية</w:t>
      </w:r>
      <w:r>
        <w:rPr>
          <w:rStyle w:val="FootnoteAnchor"/>
          <w:rtl w:val="true"/>
        </w:rPr>
        <w:footnoteReference w:id="830"/>
      </w:r>
      <w:r>
        <w:rPr>
          <w:rFonts w:ascii="Amiri" w:hAnsi="Amiri" w:eastAsia="Amiri" w:cs="Amiri"/>
          <w:color w:val="111111"/>
          <w:sz w:val="28"/>
          <w:sz w:val="28"/>
          <w:szCs w:val="28"/>
          <w:rtl w:val="true"/>
          <w:lang w:bidi="ar-SA"/>
        </w:rPr>
        <w:t>، وهو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التالف لمّا كان بحسب النصّ من مال البائع ونحوه، فلا بدّ من الالتزام بانفساخ العقد آناً ما قبل التلف، حتّى يصحّ رجوع المسمّى، وإلاّ فمع بقاء العقد لا معنى لذلك، فعليه يكون كلّ عقد بيعٍ ونحوه من العقود، موجباً للضمان مع بقائه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التلف وقع مع بقاء العقد، كان الضمان بالمثل والقيمة الواقعية، لكنّ العقود تنفسخ بالتلف، والعقد سبب للضمان، وبالتلف ينفسخ، والانفساخ بحكم الشرع أو العرف لا يوجب رفع السببية، بل يوجب رفع السبب، فالمراد </w:t>
      </w:r>
      <w:bookmarkStart w:id="592" w:name="pg15195_150772"/>
    </w:p>
    <w:p>
      <w:pPr>
        <w:pStyle w:val="BookText"/>
        <w:rPr/>
      </w:pPr>
      <w:bookmarkEnd w:id="592"/>
      <w:r>
        <w:rPr>
          <w:rFonts w:ascii="Amiri" w:hAnsi="Amiri" w:eastAsia="Amiri" w:cs="Amiri"/>
          <w:color w:val="111111"/>
          <w:sz w:val="28"/>
          <w:sz w:val="28"/>
          <w:szCs w:val="28"/>
          <w:rtl w:val="true"/>
          <w:lang w:bidi="ar-SA"/>
        </w:rPr>
        <w:t>بالسببية السببية الذاتية، وفائدة الجعل تظهر في العقد الفاسد، هذا حال العقود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والعقود الفاسدة أيضاً كذلك؛ أي يكون العقد جزء السبب للضمان، والاستيلاء جزءه الآخر، فلا الاستيلاء بذاته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استولى عليه بإذن منه أو بأمانة شرعية، لا يوجب 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العقد بنفسه بلا استيلاء سبب، لكنّ الاستيلاء المسبوق بالعقد الفاسد بتوهّم صحّته صار موجباً للضمان، ولو في هذا المورد الشخصي الذي لم تكن قيود اُخر توجب تمامية السبب، ولو كان اليد تمام السبب، لكنّ العقد صار سبباً بنحوٍ للوقوع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أقرب من سائر الاحتمالات، ولا يوجب التفكيك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منه تفكيك في الضامن، لكنّه لا مانع منه بعد عدم تعرّض القاعدة إلاّ للضمان</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495587_2142443653"/>
      <w:bookmarkStart w:id="594" w:name="_Toc209"/>
      <w:bookmarkEnd w:id="593"/>
      <w:r>
        <w:rPr>
          <w:rtl w:val="true"/>
        </w:rPr>
        <w:t>تحقيق في محتملات كلام الشيخ الأعظم</w:t>
      </w:r>
      <w:bookmarkEnd w:id="594"/>
    </w:p>
    <w:p>
      <w:pPr>
        <w:pStyle w:val="BookText"/>
        <w:rPr/>
      </w:pPr>
      <w:r>
        <w:rPr>
          <w:rFonts w:ascii="Amiri" w:hAnsi="Amiri" w:eastAsia="Amiri" w:cs="Amiri"/>
          <w:color w:val="111111"/>
          <w:sz w:val="28"/>
          <w:sz w:val="28"/>
          <w:szCs w:val="28"/>
          <w:rtl w:val="true"/>
          <w:lang w:bidi="ar-SA"/>
        </w:rPr>
        <w:t>ثمّ إنّ الظاهر من صدر كلام الشيخ الأعظم قدّس سرّه وذيله</w:t>
      </w:r>
      <w:r>
        <w:rPr>
          <w:rStyle w:val="FootnoteAnchor"/>
          <w:rtl w:val="true"/>
        </w:rPr>
        <w:footnoteReference w:id="831"/>
      </w:r>
      <w:r>
        <w:rPr>
          <w:rFonts w:ascii="Amiri" w:hAnsi="Amiri" w:eastAsia="Amiri" w:cs="Amiri"/>
          <w:color w:val="111111"/>
          <w:sz w:val="28"/>
          <w:sz w:val="28"/>
          <w:szCs w:val="28"/>
          <w:rtl w:val="true"/>
          <w:lang w:bidi="ar-SA"/>
        </w:rPr>
        <w:t>حيث كان بصدد دفع توهّم التفكيك بين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درك المضمون، عليه أمر جامع بين الموارد التي عدّها؛ أي الضمان الجعلي والواقعي، وأقلّ الأمرين من العوض الجعلي والواقعي في مثل تلف الموهوب بشرط التعويض قبل دفع العوض، وأنّ الموارد من أنواع الجامع بخصوصيات لاحقة إليه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يحتمل أن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بالضمان بقول مطلق، هو </w:t>
      </w:r>
    </w:p>
    <w:p>
      <w:pPr>
        <w:pStyle w:val="BookText"/>
        <w:rPr/>
      </w:pPr>
      <w:r>
        <w:rPr>
          <w:rFonts w:ascii="Amiri" w:hAnsi="Amiri" w:eastAsia="Amiri" w:cs="Amiri"/>
          <w:color w:val="111111"/>
          <w:sz w:val="28"/>
          <w:sz w:val="28"/>
          <w:szCs w:val="28"/>
          <w:rtl w:val="true"/>
          <w:lang w:bidi="ar-SA"/>
        </w:rPr>
        <w:t>لزوم تداركه بعوضه الواقعي</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هو أنّ الإطلاق يقتضي الضمان الواقعي، وغيره يحتاج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لزوم التمسّك بالإطلاق لرفع القيود الزائدة، إلاّ ما قامت القرينة على المقيّد، كالضمان الجعلي في الصحيح، فضمان الفاسد بقي على إطلاقه المقتضي للضمان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دعوى انصراف الضمان إلى الواقعي، ما لم يدلّ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الثالث الذي يلوح من خلال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للضمان هو الواقعي منه، وغيره ليس معنىً حقيقياً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الاحتمال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تقدّم</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كون الضمان هو المعنى الجامع، فأصالة الإطلاق لا تثبت أحد مصاديقه؛ لأنّ كلّ مصداق يحتاج إلى قيد، يدفعه الإطلاق، فالحمل على الضمان الواقعي كالحمل على الضمان الجعلي، يحتاج إلى معيّن، ولا يمكن تعيينه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إطلاق في القاعدة يحرز به كيفية الضمان؛ لأنّها بصدد بيان إيقاع الملازمة بين الضمان في العقد الصحيح، والضمان في العقد الفاسد، لا بصدد بيان أصل الضمان أو كيفيته،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بين الضمانين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الضمان في العقد الفاسد لازم الضمان في العقد الصحيح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مناقض للصدر، الذي يكون بصدد بيان تحصيل </w:t>
      </w:r>
      <w:bookmarkStart w:id="595" w:name="pg15195_150774"/>
    </w:p>
    <w:p>
      <w:pPr>
        <w:pStyle w:val="BookText"/>
        <w:rPr/>
      </w:pPr>
      <w:bookmarkEnd w:id="595"/>
      <w:r>
        <w:rPr>
          <w:rFonts w:ascii="Amiri" w:hAnsi="Amiri" w:eastAsia="Amiri" w:cs="Amiri"/>
          <w:color w:val="111111"/>
          <w:sz w:val="28"/>
          <w:sz w:val="28"/>
          <w:szCs w:val="28"/>
          <w:rtl w:val="true"/>
          <w:lang w:bidi="ar-SA"/>
        </w:rPr>
        <w:t>معنىً واحد جامع بين الموارد؛ لئلاّ يلزم التفكيك، فإنّ الضمان بالمعنى الحقيقي إن كان الواقعي منه، لا يكون الضمان الجعلي ضماناً حقيقة، وإنّما يطلق عليه بضرب من التأويل، فالمعنى الذي جعله في صدر كلامه للضمان غير صحيح، والتفكيك بين الجملتين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التفكيك أيضاً، مع أنّ هذا الاحتمال بعيد عن ظاهر كلامه</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495589_2142443653"/>
      <w:bookmarkStart w:id="597" w:name="_Toc210"/>
      <w:bookmarkEnd w:id="596"/>
      <w:r>
        <w:rPr>
          <w:rtl w:val="true"/>
        </w:rPr>
        <w:t>استفادة الضمان بالمثل أو القيمة من القاعدة</w:t>
      </w:r>
      <w:bookmarkEnd w:id="597"/>
    </w:p>
    <w:p>
      <w:pPr>
        <w:pStyle w:val="BookText"/>
        <w:rPr/>
      </w:pPr>
      <w:r>
        <w:rPr>
          <w:rFonts w:ascii="Amiri" w:hAnsi="Amiri" w:eastAsia="Amiri" w:cs="Amiri"/>
          <w:color w:val="111111"/>
          <w:sz w:val="28"/>
          <w:sz w:val="28"/>
          <w:szCs w:val="28"/>
          <w:rtl w:val="true"/>
          <w:lang w:bidi="ar-SA"/>
        </w:rPr>
        <w:t>ثمّ إنّه على ما ذكرناه، فلا إشكال في استفادة الضمان بالمثل أو القيمة الواقعية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الشيخ الأعظم قدّس سرّه </w:t>
      </w:r>
      <w:r>
        <w:rPr>
          <w:rStyle w:val="FootnoteAnchor"/>
          <w:rtl w:val="true"/>
        </w:rPr>
        <w:footnoteReference w:id="834"/>
      </w:r>
      <w:r>
        <w:rPr>
          <w:rFonts w:ascii="Amiri" w:hAnsi="Amiri" w:eastAsia="Amiri" w:cs="Amiri"/>
          <w:color w:val="111111"/>
          <w:sz w:val="28"/>
          <w:sz w:val="28"/>
          <w:szCs w:val="28"/>
          <w:rtl w:val="true"/>
          <w:lang w:bidi="ar-SA"/>
        </w:rPr>
        <w:t>وغيره</w:t>
      </w:r>
      <w:r>
        <w:rPr>
          <w:rStyle w:val="FootnoteAnchor"/>
          <w:rtl w:val="true"/>
        </w:rPr>
        <w:footnoteReference w:id="835"/>
      </w:r>
      <w:r>
        <w:rPr>
          <w:rFonts w:ascii="Amiri" w:hAnsi="Amiri" w:eastAsia="Amiri" w:cs="Amiri"/>
          <w:color w:val="111111"/>
          <w:sz w:val="28"/>
          <w:sz w:val="28"/>
          <w:szCs w:val="28"/>
          <w:rtl w:val="true"/>
          <w:lang w:bidi="ar-SA"/>
        </w:rPr>
        <w:t>ممّن جعل للضمان معنىً واحداً مشتركاً، أعمّ من المسمّى وغيره فلا بدّ في إثبات كيفيته وتعيين أحد المصاديق من التشبّث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لا وجه له، وعلى فرضه لا يفيد لإثبات الضمان الواقعي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قائمة على الضمان بالمسمّى، وهي كون الضمان في الصحيح به، فقرينة المقابلة والسياق، تقتضي أن يكون الضمان في الفاسد مثل ما في الصحيح، ولو نوقش فيه فلا أقلّ من عدم الدليل على الضمان الواقعي</w:t>
      </w:r>
      <w:r>
        <w:rPr>
          <w:rFonts w:eastAsia="Amiri" w:cs="Amiri" w:ascii="Amiri" w:hAnsi="Amiri"/>
          <w:color w:val="111111"/>
          <w:sz w:val="28"/>
          <w:szCs w:val="28"/>
          <w:rtl w:val="true"/>
          <w:lang w:bidi="ar-SA"/>
        </w:rPr>
        <w:t xml:space="preserve">. </w:t>
      </w:r>
      <w:bookmarkStart w:id="598" w:name="pg15195_150775"/>
    </w:p>
    <w:p>
      <w:pPr>
        <w:pStyle w:val="BookText"/>
        <w:rPr/>
      </w:pPr>
      <w:bookmarkEnd w:id="598"/>
      <w:r>
        <w:rPr>
          <w:rFonts w:ascii="Amiri" w:hAnsi="Amiri" w:eastAsia="Amiri" w:cs="Amiri"/>
          <w:color w:val="111111"/>
          <w:sz w:val="28"/>
          <w:sz w:val="28"/>
          <w:szCs w:val="28"/>
          <w:rtl w:val="true"/>
          <w:lang w:bidi="ar-SA"/>
        </w:rPr>
        <w:t>ثمّ إنّ الظاهر من القاعدة إيقاع الملازمة بين الضمانين، أو جعل الضمان للفاسد ممّا يكون في صحيحه ضمان، من غير تعرّض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يقال من أنّ القاعدة اُسّست لموارد ضمان اليد، أو اُسّست لموارد تمييز اليد المجّانية عن غيرها، أو اُسّست لتمييز موارد التسليط المجّاني عن غيره، أو اُسّست للضمان الناشئ عن المعاوضة، أو المجّانية بالنسبة إلى ما دخل تحت اليد</w:t>
      </w:r>
      <w:r>
        <w:rPr>
          <w:rStyle w:val="FootnoteAnchor"/>
          <w:rtl w:val="true"/>
        </w:rPr>
        <w:footnoteReference w:id="836"/>
      </w:r>
      <w:r>
        <w:rPr>
          <w:rFonts w:ascii="Amiri" w:hAnsi="Amiri" w:eastAsia="Amiri" w:cs="Amiri"/>
          <w:color w:val="111111"/>
          <w:sz w:val="28"/>
          <w:sz w:val="28"/>
          <w:szCs w:val="28"/>
          <w:rtl w:val="true"/>
          <w:lang w:bidi="ar-SA"/>
        </w:rPr>
        <w:t>كلّها تخريص</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495591_2142443653"/>
      <w:bookmarkStart w:id="600" w:name="_Toc211"/>
      <w:bookmarkEnd w:id="599"/>
      <w:r>
        <w:rPr>
          <w:rtl w:val="true"/>
        </w:rPr>
        <w:t>مقدار شمول قاعدة ما يضمن</w:t>
      </w:r>
      <w:bookmarkEnd w:id="600"/>
    </w:p>
    <w:p>
      <w:pPr>
        <w:pStyle w:val="BookText"/>
        <w:rPr/>
      </w:pPr>
      <w:r>
        <w:rPr>
          <w:rFonts w:ascii="Amiri" w:hAnsi="Amiri" w:eastAsia="Amiri" w:cs="Amiri"/>
          <w:color w:val="111111"/>
          <w:sz w:val="28"/>
          <w:sz w:val="28"/>
          <w:szCs w:val="28"/>
          <w:rtl w:val="true"/>
          <w:lang w:bidi="ar-SA"/>
        </w:rPr>
        <w:t xml:space="preserve">ثمّ إنّ المنقول من عبارة القاعدة مختلف، فإن كانت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إلى آخره، فلا شبهة في شمولها للعقود والإيقاعات، فتشمل مثل الجعالة والخلع أيضاً،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إيقاعان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فرض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إلى آخره، فلا تشملهما،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عقدان شبيهان بالإيقاع</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495593_2142443653"/>
      <w:bookmarkStart w:id="602" w:name="_Toc212"/>
      <w:bookmarkEnd w:id="601"/>
      <w:r>
        <w:rPr>
          <w:rtl w:val="true"/>
        </w:rPr>
        <w:t>هل العموم باعتبار الأنواع أو الأصناف أو الأفراد؟</w:t>
      </w:r>
      <w:bookmarkEnd w:id="60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العموم الأفرادي، كالأشباه والنظائر، وظاهر ذيلها كون العقد ذا فرد صحيح وفاسد فعلاً، فلو أخذنا </w:t>
      </w:r>
    </w:p>
    <w:p>
      <w:pPr>
        <w:pStyle w:val="BookText"/>
        <w:rPr/>
      </w:pPr>
      <w:r>
        <w:rPr>
          <w:rFonts w:ascii="Amiri" w:hAnsi="Amiri" w:eastAsia="Amiri" w:cs="Amiri"/>
          <w:color w:val="111111"/>
          <w:sz w:val="28"/>
          <w:sz w:val="28"/>
          <w:szCs w:val="28"/>
          <w:rtl w:val="true"/>
          <w:lang w:bidi="ar-SA"/>
        </w:rPr>
        <w:t>بظهور الصدر، لا بدّ من التصرّف في الذيل؛ بحمله على الفرض والتقدير، وهو خلاف الظاهر جدّاً، فالأولى رفع اليد عن ظهور الصدر في العموم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رجحان الحمل على الصنف عند دوران الأمر بينه وبين النوع، مع أنّ الارتكاز العرفي وشيوع الاستعمال، يقتضيان الحمل على النوع، ولهذا قد يحتمل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وجوب الوفاء بأنواعها، في قبال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الأفراد</w:t>
      </w:r>
      <w:r>
        <w:rPr>
          <w:rStyle w:val="FootnoteAnchor"/>
          <w:rtl w:val="true"/>
        </w:rPr>
        <w:footnoteReference w:id="840"/>
      </w:r>
      <w:r>
        <w:rPr>
          <w:rFonts w:ascii="Amiri" w:hAnsi="Amiri" w:eastAsia="Amiri" w:cs="Amiri"/>
          <w:color w:val="111111"/>
          <w:sz w:val="28"/>
          <w:sz w:val="28"/>
          <w:szCs w:val="28"/>
          <w:rtl w:val="true"/>
          <w:lang w:bidi="ar-SA"/>
        </w:rPr>
        <w:t>ولم أرَ احتمال الصنف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بحسب المتعارف تارةً يراد بها الأفراد، وهو الظاهر ابتداءً، ومع قيام قرينة على عدم إرادتها تحمل لدى العرف على الأنواع، والحمل على الأصناف يحتاج إلى دليل، ولم يتّضح وجه جزم الشيخ قدّس سرّه بذلك</w:t>
      </w:r>
      <w:r>
        <w:rPr>
          <w:rStyle w:val="FootnoteAnchor"/>
          <w:rtl w:val="true"/>
        </w:rPr>
        <w:footnoteReference w:id="841"/>
      </w:r>
      <w:r>
        <w:rPr>
          <w:rFonts w:ascii="Amiri" w:hAnsi="Amiri" w:eastAsia="Amiri" w:cs="Amiri"/>
          <w:color w:val="111111"/>
          <w:sz w:val="28"/>
          <w:sz w:val="28"/>
          <w:szCs w:val="28"/>
          <w:rtl w:val="true"/>
          <w:lang w:bidi="ar-SA"/>
        </w:rPr>
        <w:t>مع كونه بصدد بيان نفس القاعدة لا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منها أنّ الصلح مثلاً لمّا لم يكن بنفسه موجباً للضمان، لا يدخل في أصل القاعدة ولو اقتضى صنف منه ذلك، وكذا الهبة، والبيع لمّا كان بنفسه موجباً للضمان، ففاسده موجب له، ولو فرض أنّ بعض أصنافه ولو بواسطة الشرط لا يوجبه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للحمل على خصوص النوع أو الصنف،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العموم تدلّ على تكثير المدخول بأيّ كثرة ممكنة نوعاً، وصنفاً، وفرداً، ومع عدم إمكان التكثير الفردي، يؤخذ بغيره، وينتج الشمول للأنواع والأصناف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الظاهر من الشيخ الأعظم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ليس باعتبار خصوص الأنواع</w:t>
      </w:r>
      <w:r>
        <w:rPr>
          <w:rStyle w:val="FootnoteAnchor"/>
          <w:rtl w:val="true"/>
        </w:rPr>
        <w:footnoteReference w:id="842"/>
      </w:r>
      <w:r>
        <w:rPr>
          <w:rFonts w:ascii="Amiri" w:hAnsi="Amiri" w:eastAsia="Amiri" w:cs="Amiri"/>
          <w:color w:val="111111"/>
          <w:sz w:val="28"/>
          <w:sz w:val="28"/>
          <w:szCs w:val="28"/>
          <w:rtl w:val="true"/>
          <w:lang w:bidi="ar-SA"/>
        </w:rPr>
        <w:t>فإنّه ظاهر في أنّه باعتبار الأعمّ منها ومن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خلاف الظاهر؛ ضرورة أنّ الظاهر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التكثير الأفرادي، فإنّ العقد عبارة عن نفس الطبيعة، والألفاظ الدالّة على الكثرة تكثّرها، ولا دلالة فيها على النوع والصنف وكثرتهما، ولو منعه مانع منه يحمل على الأنواعي منه عرفاً،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لخصوص التكثير النوعي كما قالوا </w:t>
      </w:r>
      <w:r>
        <w:rPr>
          <w:rStyle w:val="FootnoteAnchor"/>
          <w:rtl w:val="true"/>
        </w:rPr>
        <w:footnoteReference w:id="84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لازمه في كثير من الموارد تكثّر الحكم وتكرّره، وهو ممّا لم يلتزمه أحد،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بالتكثير الأفرادي والأنواعي والأصنافي، يتعلّق الحكم بالأفراد؛ لأجل الانحلال، وعلى عنوان الأنواع، وعلى عنوان الأصناف، فإن كان زيد فرداً منه، وتحت صنف، وصنف صنف، كان اللازم منه وجوب إكرامه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فرداً من العالم،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تحت صنف،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تحت صنف صنف،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التكثير الكذائي، مستلزم للحاظ نفس الطبيعة بما هي، ولحاظها مع الخصوصيات المنوّعة والمصنّفة في عرض واحد وبنحو الاستقلال، حتّى تتكثّر بورود ألفاظ التكثير من جميع الجهات، وهو على فرض إمكانه خلاف وجدان المستعملين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التكثير النوعي والصنفي في المقام، وقوع التعارض بين أصل </w:t>
      </w:r>
    </w:p>
    <w:p>
      <w:pPr>
        <w:pStyle w:val="BookText"/>
        <w:rPr/>
      </w:pPr>
      <w:r>
        <w:rPr>
          <w:rFonts w:ascii="Amiri" w:hAnsi="Amiri" w:eastAsia="Amiri" w:cs="Amiri"/>
          <w:color w:val="111111"/>
          <w:sz w:val="28"/>
          <w:sz w:val="28"/>
          <w:szCs w:val="28"/>
          <w:rtl w:val="true"/>
          <w:lang w:bidi="ar-SA"/>
        </w:rPr>
        <w:t>القاعدة وعكسها في مثل عارية الذهب، والفضّة، والصلح غير المجّان؛ لأنّ مقتضى شمول الصنف ضمان الفاسد منه، ومقتضى شمول النوع عدم الضمان، فيدخل الفرد باعتبار الصنف في الأصل، وباعتبار النوع في العكس، فيتعارض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قلنا بأنّ قضيّة العكس أيضاً حكم اقتضائي سالب للضمان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سلب الضمان فيه لعدم اقتضائه، فلا يأتي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 قدّس سرّه رجّح العموم الأفرادي في القاعدة،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احتمل بعضهم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معناها أنّ كلّ شخص من العقود يضمن به لو كان صحيحاً، يضمن به مع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الصحيح للقاعدة؛ لأنّها كجميع القضايا الحقيقية، الحكم فيها مرتّب على فرض وجود الموضوع</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لأنّ مقتضى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تفسيرها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فرض وجود أفراد الطبيعة، لا فرض فرد منها مقام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طبق القضيّة الحقيقية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عقدٍ إذا وجد في الخارج وكان صحيحاً موجباً للضمان، إذا وجد فاسده في الخارج كان موجباً للضمان، وهذا غير فرض وجود الفاسد صحيحاً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فالحقيقية تقتضي فرض وجود الموضوع، لا فرض وجود منه وجوداً آخر، أو فرض وصف من الفرد وصفاً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تسليم ذلك كلّه، يلزم لغوية القاعدة؛ لأنّ الفرد الصحيح لا يمكن أن يتحقّق فاسداً، والفرض لا يوجب الضمان، فكلّ فرد صحيح لو كان فاسداً كذا لا ينتج أصلاً، فلا بدّ من طرح القاعدة على هذا المبنى، أو رفض المبنى،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عقد فاسد لو فرض أنّه صحيح ويضمن، كان هو كذلك، وبالعكس، وهو يدفع الإشكال الأخير، لكنّه مخالف لظاهر القاعدة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متّصلة، ومفادها إمّا الإخبار عن الملازمة بين المقدّم والتالي، أو إيقاع الملازمة، أو إيقاع الضمان في الفاسد على فرض الضمان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إمّا أن تكون إخباراً، أو إنشاءً للملازمة بين الأفراد الفعلية من الصحيح والفاسد؛ أي الأفراد الخارجية التي تتّصف بهما، ولازمه أن لا يكون في العقد الفاسد ضمان، إلاّ أن يوجد عقد صحيح فيه الضمان،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يكونا على الفرض والتقدير، كما هو قضيّة القضايا الشرطية، فيراد بها أنّ كلّ عقدٍ فرض أنّه موجود في الخارج صحيحاً وكان فيه الضمان، لو فرض أنّه موجود فاسداً يكون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يمكن الأخذ بظهور الصدر في العموم الأفرادي،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لو وجد في الخارج وكان صحيحاً وفيه الضمان، لو وجد في الخارج فاسداً فكذلك، فيشمل الإجارة بلا اُجرة، والبيع بلا ثمن مثلاً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لا يمكن الالتزام بما أفاده الشيخ الأعظم قدّس سرّه من أنّ الفرد </w:t>
      </w:r>
      <w:bookmarkStart w:id="603" w:name="pg15195_150780"/>
    </w:p>
    <w:p>
      <w:pPr>
        <w:pStyle w:val="BookText"/>
        <w:rPr/>
      </w:pPr>
      <w:bookmarkEnd w:id="603"/>
      <w:r>
        <w:rPr>
          <w:rFonts w:ascii="Amiri" w:hAnsi="Amiri" w:eastAsia="Amiri" w:cs="Amiri"/>
          <w:color w:val="111111"/>
          <w:sz w:val="28"/>
          <w:sz w:val="28"/>
          <w:szCs w:val="28"/>
          <w:rtl w:val="true"/>
          <w:lang w:bidi="ar-SA"/>
        </w:rPr>
        <w:t xml:space="preserve">الصحيح والفاسد هو الفعلي منهما </w:t>
      </w:r>
      <w:r>
        <w:rPr>
          <w:rStyle w:val="FootnoteAnchor"/>
          <w:rtl w:val="true"/>
        </w:rPr>
        <w:footnoteReference w:id="845"/>
      </w:r>
      <w:r>
        <w:rPr>
          <w:rFonts w:ascii="Amiri" w:hAnsi="Amiri" w:eastAsia="Amiri" w:cs="Amiri"/>
          <w:color w:val="111111"/>
          <w:sz w:val="28"/>
          <w:sz w:val="28"/>
          <w:szCs w:val="28"/>
          <w:rtl w:val="true"/>
          <w:lang w:bidi="ar-SA"/>
        </w:rPr>
        <w:t>، لا بدّ ممّا ذكر، وهو ليس مخالفاً للظاهر بعد قضاء حقّ القضيّة الشرطية كما هو، والأخذ بظاهر العموم الأفرادي</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2495595_2142443653"/>
      <w:bookmarkStart w:id="605" w:name="_Toc213"/>
      <w:bookmarkEnd w:id="604"/>
      <w:r>
        <w:rPr>
          <w:rtl w:val="true"/>
        </w:rPr>
        <w:t xml:space="preserve">معنى </w:t>
      </w:r>
      <w:r>
        <w:rPr>
          <w:rtl w:val="true"/>
        </w:rPr>
        <w:t>«</w:t>
      </w:r>
      <w:r>
        <w:rPr>
          <w:rtl w:val="true"/>
        </w:rPr>
        <w:t>الباء</w:t>
      </w:r>
      <w:r>
        <w:rPr>
          <w:rtl w:val="true"/>
        </w:rPr>
        <w:t xml:space="preserve">» </w:t>
      </w:r>
      <w:r>
        <w:rPr>
          <w:rtl w:val="true"/>
        </w:rPr>
        <w:t xml:space="preserve">في </w:t>
      </w:r>
      <w:r>
        <w:rPr>
          <w:rtl w:val="true"/>
        </w:rPr>
        <w:t>«</w:t>
      </w:r>
      <w:r>
        <w:rPr>
          <w:rtl w:val="true"/>
        </w:rPr>
        <w:t>بصحيحه</w:t>
      </w:r>
      <w:r>
        <w:rPr>
          <w:rtl w:val="true"/>
        </w:rPr>
        <w:t xml:space="preserve">» </w:t>
      </w:r>
      <w:r>
        <w:rPr>
          <w:rtl w:val="true"/>
        </w:rPr>
        <w:t>و</w:t>
      </w:r>
      <w:r>
        <w:rPr>
          <w:rtl w:val="true"/>
        </w:rPr>
        <w:t>«</w:t>
      </w:r>
      <w:r>
        <w:rPr>
          <w:rtl w:val="true"/>
        </w:rPr>
        <w:t>بفاسده</w:t>
      </w:r>
      <w:r>
        <w:rPr>
          <w:rtl w:val="true"/>
        </w:rPr>
        <w:t>»</w:t>
      </w:r>
      <w:bookmarkEnd w:id="605"/>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السببية المطلقة، كما أفاد الشيخ قدّس سرّه وجه السببية</w:t>
      </w:r>
      <w:r>
        <w:rPr>
          <w:rStyle w:val="FootnoteAnchor"/>
          <w:rtl w:val="true"/>
        </w:rPr>
        <w:footnoteReference w:id="846"/>
      </w:r>
      <w:r>
        <w:rPr>
          <w:rFonts w:ascii="Amiri" w:hAnsi="Amiri" w:eastAsia="Amiri" w:cs="Amiri"/>
          <w:color w:val="111111"/>
          <w:sz w:val="28"/>
          <w:sz w:val="28"/>
          <w:szCs w:val="28"/>
          <w:rtl w:val="true"/>
          <w:lang w:bidi="ar-SA"/>
        </w:rPr>
        <w:t xml:space="preserve">، وأشرنا إليه سابقاً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احتمال الظرفية</w:t>
      </w:r>
      <w:r>
        <w:rPr>
          <w:rStyle w:val="FootnoteAnchor"/>
          <w:rtl w:val="true"/>
        </w:rPr>
        <w:footnoteReference w:id="848"/>
      </w:r>
      <w:r>
        <w:rPr>
          <w:rFonts w:ascii="Amiri" w:hAnsi="Amiri" w:eastAsia="Amiri" w:cs="Amiri"/>
          <w:color w:val="111111"/>
          <w:sz w:val="28"/>
          <w:sz w:val="28"/>
          <w:szCs w:val="28"/>
          <w:rtl w:val="true"/>
          <w:lang w:bidi="ar-SA"/>
        </w:rPr>
        <w:t xml:space="preserve">فبعيد، بل غير صحيح؛ لأنّ الظرفية الحقيقية غير متحقّقة، فإنّ العقد لم يكن ظرفاً حقيقة، فلا بدّ من التأويل والتناسب، وهو في المقام ليس إلاّ نحو سببية للعقد، فيرجع الأمر إلى ترك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السببية، واستعمالها في الظرفية بمناسبة السببية،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عبارة القاعدة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عقد يضمن بصحيحه ضمان المسمّى، يضمن بفاسده ضمان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بفاسده ضمان المسمّى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الواقعي في الصحيح والفاسد كما قرّرناه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606" w:name="pg15195_150781"/>
    </w:p>
    <w:p>
      <w:pPr>
        <w:pStyle w:val="Heading3"/>
        <w:numPr>
          <w:ilvl w:val="2"/>
          <w:numId w:val="1"/>
        </w:numPr>
        <w:rPr/>
      </w:pPr>
      <w:bookmarkStart w:id="607" w:name="__RefHeading___Toc2495597_2142443653"/>
      <w:bookmarkStart w:id="608" w:name="_Toc214"/>
      <w:bookmarkEnd w:id="606"/>
      <w:bookmarkEnd w:id="607"/>
      <w:r>
        <w:rPr>
          <w:rtl w:val="true"/>
        </w:rPr>
        <w:t>مدرك قاعدة ما يضمن</w:t>
      </w:r>
      <w:bookmarkEnd w:id="608"/>
    </w:p>
    <w:p>
      <w:pPr>
        <w:pStyle w:val="Heading4"/>
        <w:numPr>
          <w:ilvl w:val="3"/>
          <w:numId w:val="1"/>
        </w:numPr>
        <w:rPr/>
      </w:pPr>
      <w:bookmarkStart w:id="609" w:name="__RefHeading___Toc2495599_2142443653"/>
      <w:bookmarkStart w:id="610" w:name="_Toc215"/>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فهل لهذه القاعدة الكلّية على الاحتمالات أو بعضها مدرك؟</w:t>
      </w:r>
    </w:p>
    <w:p>
      <w:pPr>
        <w:pStyle w:val="Heading4"/>
        <w:numPr>
          <w:ilvl w:val="3"/>
          <w:numId w:val="1"/>
        </w:numPr>
        <w:rPr/>
      </w:pPr>
      <w:bookmarkStart w:id="611" w:name="__RefHeading___Toc2495601_2142443653"/>
      <w:bookmarkStart w:id="612" w:name="_Toc216"/>
      <w:bookmarkEnd w:id="611"/>
      <w:r>
        <w:rPr>
          <w:rtl w:val="true"/>
        </w:rPr>
        <w:t>الاستدلال بقاعدة الإقدام</w:t>
      </w:r>
      <w:bookmarkEnd w:id="612"/>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التشبّث بإقدام الآخذ على الضمان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تعليل الضمان في موارد كثيرة من البيع والإجارة الفاسدين بدخوله على أن يكون المال مضموناً عليه بالمسمّى، فإذا لم يسلم له المسمّى رجع إلى المثل أو القيمة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إثبات الضمان بالإقدام من كبرى كلّية،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أقدم على ضمان فهو مستقرّ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الآخذ أقدم على ضمان كذائي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عليها، سيّما مع ما يلوح من العبارة المنقولة عن شيخ الطائفة قدّس سرّه، حيث علّل الضمان بالمثل بالإقدام على الضمان بالمسمّى؛ لأنّ الإقدام على ضمان خاصّ، لا يعقل أن يصير منشأً لاستقرار ضمان آخر عليه بواسطة الإقدام، ولهذا احتمل شيخنا الأنصاري في كلام الشيخ ما هو قريب جدّاً، فراجع</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 عبارة الشيخ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وغصبه على ما عثرت عليها ليست كما نقلها، بل ظاهرة في ضمان اليد بدليلها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أن يكون المراد التمسّك بالإقدام، فالظاهر أنّه مصادرة؛ لأنّ الدخول على أن يكون المال مضموناً عليه بالمسمّى، عبارة اُخرى عن إيجاد البيع، فيرجع الحاصل إلى أنّ من باع ولم يسلم له العوض، كان ضامناً؛ ومعلوم أن لا إقدام للمتبايعين إلاّ على البيع، وما ذكر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الضمان بالمسمّى في العقد الصحيح، ليس لأجل الإقدام على شيء إلاّ حصول البيع، فماهية البيع الصحيح توجب ضمان المسمّى لا غير،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أقدم عليه ضمان المسمّى، لا مطلقاً، بل ضمانه في مقابل ملكية العين، وهو لا يقتضي أن يكون مقدماً على ضمان المسمّى مع فساد المعاملة، فضلاً عن ضمان المثل أو القيمة، فاعتراف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أقدم على ضمان المسمّى</w:t>
      </w:r>
      <w:r>
        <w:rPr>
          <w:rStyle w:val="FootnoteAnchor"/>
          <w:rtl w:val="true"/>
        </w:rPr>
        <w:footnoteReference w:id="854"/>
      </w:r>
      <w:r>
        <w:rPr>
          <w:rFonts w:ascii="Amiri" w:hAnsi="Amiri" w:eastAsia="Amiri" w:cs="Amiri"/>
          <w:color w:val="111111"/>
          <w:sz w:val="28"/>
          <w:sz w:val="28"/>
          <w:szCs w:val="28"/>
          <w:rtl w:val="true"/>
          <w:lang w:bidi="ar-SA"/>
        </w:rPr>
        <w:t>، ليس بوجيه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يقدم على كون التلف السماوي بعهدته، فكيف يصحّ التشبّث بالإقدام لإثبات ضمان مطلق التلف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قرّروا في معنى الضمان والقاعدة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سببية العقد لتبديل اليد المالكية إلى غير المالكية</w:t>
      </w:r>
      <w:r>
        <w:rPr>
          <w:rStyle w:val="FootnoteAnchor"/>
          <w:rtl w:val="true"/>
        </w:rPr>
        <w:footnoteReference w:id="855"/>
      </w:r>
      <w:r>
        <w:rPr>
          <w:rFonts w:ascii="Amiri" w:hAnsi="Amiri" w:eastAsia="Amiri" w:cs="Amiri"/>
          <w:color w:val="111111"/>
          <w:sz w:val="28"/>
          <w:sz w:val="28"/>
          <w:szCs w:val="28"/>
          <w:rtl w:val="true"/>
          <w:lang w:bidi="ar-SA"/>
        </w:rPr>
        <w:t xml:space="preserve">، فما أقدم عليه هو ذلك لا غير، ولم يقدم على كون الضمان عليه، والكلام هاهنا </w:t>
      </w:r>
      <w:bookmarkStart w:id="613" w:name="pg15195_150783"/>
    </w:p>
    <w:p>
      <w:pPr>
        <w:pStyle w:val="BookText"/>
        <w:rPr/>
      </w:pPr>
      <w:bookmarkEnd w:id="613"/>
      <w:r>
        <w:rPr>
          <w:rFonts w:ascii="Amiri" w:hAnsi="Amiri" w:eastAsia="Amiri" w:cs="Amiri"/>
          <w:color w:val="111111"/>
          <w:sz w:val="28"/>
          <w:sz w:val="28"/>
          <w:szCs w:val="28"/>
          <w:rtl w:val="true"/>
          <w:lang w:bidi="ar-SA"/>
        </w:rPr>
        <w:t>في الإقدام، لا ضمان اليد الذي هو قهري؛ لأنّ لزوم ردّ المسمّى ليس ضماناً</w:t>
      </w:r>
    </w:p>
    <w:p>
      <w:pPr>
        <w:pStyle w:val="BookText"/>
        <w:rPr/>
      </w:pPr>
      <w:r>
        <w:rPr>
          <w:rFonts w:ascii="Amiri" w:hAnsi="Amiri" w:eastAsia="Amiri" w:cs="Amiri"/>
          <w:color w:val="111111"/>
          <w:sz w:val="28"/>
          <w:sz w:val="28"/>
          <w:szCs w:val="28"/>
          <w:rtl w:val="true"/>
          <w:lang w:bidi="ar-SA"/>
        </w:rPr>
        <w:t>كما عرفت</w:t>
      </w:r>
      <w:r>
        <w:rPr>
          <w:rStyle w:val="FootnoteAnchor"/>
          <w:rtl w:val="true"/>
        </w:rPr>
        <w:footnoteReference w:id="856"/>
      </w:r>
      <w:r>
        <w:rPr>
          <w:rFonts w:ascii="Amiri" w:hAnsi="Amiri" w:eastAsia="Amiri" w:cs="Amiri"/>
          <w:color w:val="111111"/>
          <w:sz w:val="28"/>
          <w:sz w:val="28"/>
          <w:szCs w:val="28"/>
          <w:rtl w:val="true"/>
          <w:lang w:bidi="ar-SA"/>
        </w:rPr>
        <w:t>، فهو لم يقدم إلاّ على المعاملة، لا على كون التلف أو ضمان المسمّى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تقريب الإقدام على الضمان الواقعي على مبنى غير وجيه، وهو أنّ معنى الضمان أنّ خسارته من كيسه، فمن تلف ماله وقعت خسارته عليه، وهو أيضاً نحو ضمان، وأحد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مثلاً أقدم بواسطة إقدامه المعاملي على أن تكون خسارة المبيع عليه، وتخرج من كيسه؛ لأنّ إقدامه المعاملي يرجع إلى أنّ المبيع له، وخسارته عليه، وهذه هي الخسارة الواقعية، وكلّ من أقدم على ضمان استقرّ عليه ذلك الضمان والخسارة، ولو مع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فاسد، والكبرى ممنوعة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495603_2142443653"/>
      <w:bookmarkStart w:id="615" w:name="_Toc217"/>
      <w:bookmarkEnd w:id="614"/>
      <w:r>
        <w:rPr>
          <w:rtl w:val="true"/>
        </w:rPr>
        <w:t>إشكال الشيخ في قاعدة الإقدام طرداً وعكساً ودفعه</w:t>
      </w:r>
      <w:bookmarkEnd w:id="615"/>
    </w:p>
    <w:p>
      <w:pPr>
        <w:pStyle w:val="BookText"/>
        <w:rPr/>
      </w:pPr>
      <w:r>
        <w:rPr>
          <w:rFonts w:ascii="Amiri" w:hAnsi="Amiri" w:eastAsia="Amiri" w:cs="Amiri"/>
          <w:color w:val="111111"/>
          <w:sz w:val="28"/>
          <w:sz w:val="28"/>
          <w:szCs w:val="28"/>
          <w:rtl w:val="true"/>
          <w:lang w:bidi="ar-SA"/>
        </w:rPr>
        <w:t>ثمّ إنّ الشيخ الأعظم قدّس سرّه استشكل على طرد القضيّة وعكسها،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الإقدام محقّقاً ولا ضمان، كما قبل القبض، وقد لا يكون إقدام مع تحقّق الضمان، كما إذا شرط في عقد البيع ضمان المبيع على البائع إذا تلف في يد المشتري، وكما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بلا اُجرة</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ورود النقوض</w:t>
      </w:r>
      <w:r>
        <w:rPr>
          <w:rFonts w:eastAsia="IRNazanin" w:cs="IRNazanin"/>
          <w:color w:val="111111"/>
          <w:sz w:val="28"/>
          <w:szCs w:val="28"/>
          <w:rtl w:val="true"/>
          <w:lang w:bidi="fa-IR"/>
        </w:rPr>
        <w:t xml:space="preserve">: </w:t>
      </w:r>
      <w:bookmarkStart w:id="616" w:name="pg15195_150784"/>
    </w:p>
    <w:p>
      <w:pPr>
        <w:pStyle w:val="BookText"/>
        <w:rPr/>
      </w:pPr>
      <w:bookmarkEnd w:id="616"/>
      <w:r>
        <w:rPr>
          <w:rFonts w:ascii="Amiri" w:hAnsi="Amiri" w:eastAsia="Amiri" w:cs="Amiri"/>
          <w:color w:val="111111"/>
          <w:sz w:val="28"/>
          <w:sz w:val="28"/>
          <w:szCs w:val="28"/>
          <w:rtl w:val="true"/>
          <w:lang w:bidi="ar-SA"/>
        </w:rPr>
        <w:t>أمّا قبل القبض فعدم الضمان لأجل انفساخ العقد قبل التلف، والإقدام المعاملي زال موضوعه، فهو خارج عن القاعدة والإقدام موضوعاً، والنقض إنّما يرد لو لم يكن ضمان مع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شرط الضمان على البائع، فلا ترد على قاعدة الإقدام بما قرّرها شيخ الطائفة قدّس سرّه، وهو أنّ الإقدام على ضمان المسمّى، موضوع للحكم على ضمان المثل مع عدم سلامة المسمّى</w:t>
      </w:r>
      <w:r>
        <w:rPr>
          <w:rStyle w:val="FootnoteAnchor"/>
          <w:rtl w:val="true"/>
        </w:rPr>
        <w:footnoteReference w:id="858"/>
      </w:r>
      <w:r>
        <w:rPr>
          <w:rFonts w:ascii="Amiri" w:hAnsi="Amiri" w:eastAsia="Amiri" w:cs="Amiri"/>
          <w:color w:val="111111"/>
          <w:sz w:val="28"/>
          <w:sz w:val="28"/>
          <w:szCs w:val="28"/>
          <w:rtl w:val="true"/>
          <w:lang w:bidi="ar-SA"/>
        </w:rPr>
        <w:t>، وفي مورد شرط الضمان على البائع قد أقدم المشتري على ضمان المسمّى، وهو لا ينافي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يقدم على ضمان المثل والقيمة، وهو ليس موضوع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بلا ثمن، والإجارة بلا اُجرة، فليسا بيعاً ولا إجارة، فمع التفات المتعاملين، لا يعقل منهما الجدّ إلى حصول العنوان، ومع عدم التفاتهما، لا تتحقّق ماهيتهما، والعقد موجود بوجودهما، فمع كون المنشأ بيعاً مثلاً، والمفروض عدم كونه معاملة اُخرى غيره، لا يعقل أن يكون عقداً، فهو خارج عن القاعدة موضوعاً، وعن مدركها أيضاً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495605_2142443653"/>
      <w:bookmarkStart w:id="618" w:name="_Toc218"/>
      <w:bookmarkEnd w:id="617"/>
      <w:r>
        <w:rPr>
          <w:rtl w:val="true"/>
        </w:rPr>
        <w:t xml:space="preserve">الاستدلال بخبر </w:t>
      </w:r>
      <w:r>
        <w:rPr>
          <w:rtl w:val="true"/>
        </w:rPr>
        <w:t>«</w:t>
      </w:r>
      <w:r>
        <w:rPr>
          <w:rtl w:val="true"/>
        </w:rPr>
        <w:t>على اليد</w:t>
      </w:r>
      <w:r>
        <w:rPr>
          <w:rtl w:val="true"/>
        </w:rPr>
        <w:t xml:space="preserve">. . .» </w:t>
      </w:r>
      <w:r>
        <w:rPr>
          <w:rtl w:val="true"/>
        </w:rPr>
        <w:t>على قاعدة ما يضمن</w:t>
      </w:r>
      <w:bookmarkEnd w:id="61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اليد، فقال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ظاهرة، وسنده منجبر، إلاّ أنّ مورده مختصّ بالأعيان، فلا يشمل المنافع والأعمال المضمونة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619" w:name="pg15195_150785"/>
    </w:p>
    <w:p>
      <w:pPr>
        <w:pStyle w:val="BookText"/>
        <w:rPr/>
      </w:pPr>
      <w:bookmarkEnd w:id="6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سنده فقد مرّ الكلام فيه</w:t>
      </w:r>
      <w:r>
        <w:rPr>
          <w:rStyle w:val="FootnoteAnchor"/>
          <w:rtl w:val="true"/>
        </w:rPr>
        <w:footnoteReference w:id="860"/>
      </w:r>
      <w:r>
        <w:rPr>
          <w:rFonts w:ascii="IRNazanin" w:hAnsi="IRNazanin" w:eastAsia="IRNazanin"/>
          <w:color w:val="111111"/>
          <w:sz w:val="28"/>
          <w:sz w:val="28"/>
          <w:szCs w:val="28"/>
          <w:rtl w:val="true"/>
          <w:lang w:bidi="fa-IR"/>
        </w:rPr>
        <w:t>، وأمّا عدم شموله للمنافع فمن وجوه</w:t>
      </w:r>
      <w:r>
        <w:rPr>
          <w:rFonts w:eastAsia="IRNazanin" w:cs="IRNazanin"/>
          <w:color w:val="111111"/>
          <w:sz w:val="28"/>
          <w:szCs w:val="28"/>
          <w:rtl w:val="true"/>
          <w:lang w:bidi="fa-IR"/>
        </w:rPr>
        <w:t>:</w:t>
      </w:r>
    </w:p>
    <w:p>
      <w:pPr>
        <w:pStyle w:val="Heading4"/>
        <w:numPr>
          <w:ilvl w:val="3"/>
          <w:numId w:val="1"/>
        </w:numPr>
        <w:rPr/>
      </w:pPr>
      <w:bookmarkStart w:id="620" w:name="__RefHeading___Toc2495607_2142443653"/>
      <w:bookmarkStart w:id="621" w:name="_Toc219"/>
      <w:bookmarkEnd w:id="620"/>
      <w:r>
        <w:rPr>
          <w:rtl w:val="true"/>
        </w:rPr>
        <w:t>وجوه عدم شمول دليل اليد للمنافع</w:t>
      </w:r>
      <w:bookmarkEnd w:id="62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قدّس سرّه في الأمر الثالث؛ 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إشكال في عدم شمول صلة الموصول للمنافع، وحصولها في اليد بقبض العين لا يوجب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كناية عن مطلق الاستيلاء الحاصل في المنافع بقبض الأعيان، مشكلة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المنافع، لا الأخذ</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في غير محلّها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في المقام قائمة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الجارحة المخصوصة؛ ضرورة أنّ كون العهدة على اليد لا معنى له، فالجارحة لا تكون ضامنة، ولا عليها شيء، فلا بدّ أن يراد بها الشخص، إمّا استعارة، أو كناية كما مرّ</w:t>
      </w:r>
      <w:r>
        <w:rPr>
          <w:rStyle w:val="FootnoteAnchor"/>
          <w:rtl w:val="true"/>
        </w:rPr>
        <w:footnoteReference w:id="863"/>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شيئاً فعليه حتّى يردّه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الحسّي، ويكون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الميثاق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التأويل، لكن استعماله شائع في الاستيلاء، وإذا دار الأمر بين تخصيص الموصول بخصوص ما يؤخذ حسّاً كالثوب، والدرهم، والدينار، أو الأخذ بإطلاقه وحمل الأخذ على الاستيلاء، فلا شبهة في أنّ الثاني أولى؛ لشيوع استعماله في أخذ البيت، والملك، والدار، والبلد، وغيرها ممّا لا يكون فيها أخذ حسّي، بل مجرّد استيلاء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العرفي من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بعد فرض صدوره عن رسول اللّه صلی الله علیه و آله وسلم، أنّه ضرب قاعدة كلّية للضمان، لا في خصوص المأخوذ حسّاً، ولهذا إنّ الشيخ الأعظم قدّس سرّه بارتكازه العقلائي، اعترف بشموله لجميع الأعيان، وإن أنكر شموله للمنافع</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لازم شموله لمطلق الأعيان، كونه كناية عن الاستيلاء، فحينئذٍ لا نبالي بعدم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الاستيلاء على المنافع غير معقول لو فرض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لأنّه معنى إضافي، يتوقّف على المستولي والمستولى عليه، والمنافع اُمور تدريجية الوجود، متصرّمة التحقّق، توجد شيئاً فشيئاً، وتنعدم أو تستوفى، فلا يكون ما مضى منها وما سيأتي متحقّقين، وفي مثله لا يمكن الاستيلاء فعلاً عليه؛ لأنّ الإضافة بين الموجود والمعدوم غير معقولة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فمنافع الدار ظرفيتها القابلة للسكنى في عمود الزمان، ومنافع الدابّة ظهرها </w:t>
      </w:r>
    </w:p>
    <w:p>
      <w:pPr>
        <w:pStyle w:val="BookText"/>
        <w:rPr/>
      </w:pPr>
      <w:r>
        <w:rPr>
          <w:rFonts w:ascii="Amiri" w:hAnsi="Amiri" w:eastAsia="Amiri" w:cs="Amiri"/>
          <w:color w:val="111111"/>
          <w:sz w:val="28"/>
          <w:sz w:val="28"/>
          <w:szCs w:val="28"/>
          <w:rtl w:val="true"/>
          <w:lang w:bidi="ar-SA"/>
        </w:rPr>
        <w:t>القابل للركوب والحمل في عمود الزمان، وهما أمران متصرّمان يتبعان الزمان؛</w:t>
      </w:r>
    </w:p>
    <w:p>
      <w:pPr>
        <w:pStyle w:val="BookText"/>
        <w:rPr/>
      </w:pPr>
      <w:r>
        <w:rPr>
          <w:rFonts w:ascii="Amiri" w:hAnsi="Amiri" w:eastAsia="Amiri" w:cs="Amiri"/>
          <w:color w:val="111111"/>
          <w:sz w:val="28"/>
          <w:sz w:val="28"/>
          <w:szCs w:val="28"/>
          <w:rtl w:val="true"/>
          <w:lang w:bidi="ar-SA"/>
        </w:rPr>
        <w:t xml:space="preserve">لأنّ الظرفية في هذا الآن لا تبقى في الآن الآخر، والظهر القابل للركوب في هذا الآن لا يبقى في آنٍ آخر، فلا يعقل الاستيلاء في مثلها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يقال من أنّ حيثية سكنى الدار القائمة بها، فعليتها بفعلية مضايفها في طرف الساكن، والمتضايفان متكافئان في القوّة والفعلية، فلا استيلاء حقيقة إلاّ على الدار، بالنسبة إلى المنافع الفائتة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غير وجيه؛ لأنّ ظاهره أنّ سكنى الدار منفعتها، وهو خلاف الواقع؛ لأنّ منفعة الدار لدى العقلاء عبارة عن أمر قد تستوفى بالسكونة، وقد تتلف وتصير هدراً بتركها خالية من الساكن، وكذا منفعة الدابّة، فمن حبس الدابّة، فقد أتلف منفعتها على صاحبها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المتصرّم يوجد شيئاً فشيئاً وينعدم، وفي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وجوداً مستمرّاً غير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تحت اليد، فيكون الاستيلاء على موجود، وإن كان لا يبقى آنين، فيقع وجوده الآني المستمرّ تحت اليد، وبتلفه يصير مضموناً على ذي اليد المستولي عليه، فذلك الوجود المستمرّ في عمود الزمان يقع تحت اليد بنحو الاستمرار والانصرام، وبانعدامه يصير ضامناً شيئاً فشيئاً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تلفت العين المستأجرة،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الإجارة الصحيحة حين الانهدام، أو بكشفه عن بطلانها من رأس بالنسبة إلى حال الانهدام، فلا تصير </w:t>
      </w:r>
    </w:p>
    <w:p>
      <w:pPr>
        <w:pStyle w:val="BookText"/>
        <w:rPr/>
      </w:pPr>
      <w:r>
        <w:rPr>
          <w:rFonts w:ascii="Amiri" w:hAnsi="Amiri" w:eastAsia="Amiri" w:cs="Amiri"/>
          <w:color w:val="111111"/>
          <w:sz w:val="28"/>
          <w:sz w:val="28"/>
          <w:szCs w:val="28"/>
          <w:rtl w:val="true"/>
          <w:lang w:bidi="ar-SA"/>
        </w:rPr>
        <w:t xml:space="preserve">المنافع المتأخّرة مضمونة عليه في الفاسد؛ لعدم الضمان في الصحيح من الإجارة بالنسبة إليها، فيكون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الحيثية موافقاً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بعدم بطلانها، يكون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المنافع المعدومة إلى آخر مدّة الإجارة، ولا يكون مدركها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غصبت العين المستأجرة بالإجارة الفاسدة من المستأجر، وغصبها من الغاصب آخر، يكون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المنافع إلى آخر المدّة على المستأجر، ولا تقتضي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المستأجر لمنافع زمان الخروج عن يده غصباً؛ لأنّ المنافع التي تحت يد الغاصب تدريجاً، لم تكن تحت يد المستأجر، وكذا الحال في الغاصب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في تعاقب الأيادي بالنسبة إلى الأعيان</w:t>
      </w:r>
      <w:r>
        <w:rPr>
          <w:rStyle w:val="FootnoteAnchor"/>
          <w:rtl w:val="true"/>
        </w:rPr>
        <w:footnoteReference w:id="868"/>
      </w:r>
      <w:r>
        <w:rPr>
          <w:rFonts w:ascii="Amiri" w:hAnsi="Amiri" w:eastAsia="Amiri" w:cs="Amiri"/>
          <w:color w:val="111111"/>
          <w:sz w:val="28"/>
          <w:sz w:val="28"/>
          <w:szCs w:val="28"/>
          <w:rtl w:val="true"/>
          <w:lang w:bidi="ar-SA"/>
        </w:rPr>
        <w:t>، لا يأتي بالنسبة إلى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المنافع قد يقدّر وجودها عرفاً فتملك، كما في الإجارة، فكما أنّ تقدير وجودها مصحّح لتمليكها وتملّكها، فكذا للاستيلاء عليها عرفاً، وعدم الاستيلاء بالدقّة العقلية، لا ينافي الاستيلاء عرفاً الذي هو المدار هنا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تقدير وجود المنافع في العرف والعادة ممنوع، وإنّما هو </w:t>
      </w:r>
    </w:p>
    <w:p>
      <w:pPr>
        <w:pStyle w:val="BookText"/>
        <w:rPr/>
      </w:pPr>
      <w:r>
        <w:rPr>
          <w:rFonts w:ascii="Amiri" w:hAnsi="Amiri" w:eastAsia="Amiri" w:cs="Amiri"/>
          <w:color w:val="111111"/>
          <w:sz w:val="28"/>
          <w:sz w:val="28"/>
          <w:szCs w:val="28"/>
          <w:rtl w:val="true"/>
          <w:lang w:bidi="ar-SA"/>
        </w:rPr>
        <w:t>أمر أبداه العلماء؛ بزعم الامتناع العقلي، وأمّا في محيط العقلاء فالإجارة وإن كانت بلحاظ المنافع، لكن بلحاظ تحقّقها في ظرفها، وأنت إذا راجعت العرف لا ترى تقدير وجودها، بل الإجارة بلحاظ المنافع التي ستوجد، والعرف لا يأبى عن مالكية ما هو موجود في ظرفه، فالوجود التقديري الفرضي لا يكون مصحّحاً للإجارة، ولا مرغوباً فيه، بل المصحّح والمرغوب هو الوجود الحقيقي في ظرفه، لا التقديري، وتقدير الوجود عبارة اُخرى عن الوجود التقديري، ولو فرض الفرق بينهما، فلا شبهة في أنّ العرف لا يقدّرون وجود المنافع، كما يظهر للمراجع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على فرض التسليم في باب الإجارة، لكن لا يوجب ذلك تحقّق الاستيلاء؛ لأنّ الاستيلاء الحقيقي على الموجود المقدّر، أو على تقدير الوجود، ممّا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الاستيلاء عليه لا يوجب الضمان؛ لأنّه تابع لليد على الوجود الحقيقي للشيء، لا على وجوده التقديري، والمفروض عدم اليد على الوجود الحقيقي، وبتقدير الوجود لا يصير الوجود الواقعي تحت اليد، 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المنافع مطلقاً؛ فإنّ ظاهر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عهدة المأخوذ مغيّاة بأداء نفس المأخوذ، والمنافع لتدرّجها في الوجود، لا أداء لها بعد أخذها في حدّ ذاتها، بخلاف العين التي لها أداء في حدّ ذاتها، وإن عرضها الامتناع ابتداءً أو بقاءً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الغاية محدّدة للموضوع، حتّى يكون دليلاً على ضمان المأخوذ غير المؤدّى، لا يجدي شيئاً؛ فإنّ الظاهر منه أيضاً ما كان من شأنه </w:t>
      </w:r>
    </w:p>
    <w:p>
      <w:pPr>
        <w:pStyle w:val="BookText"/>
        <w:rPr/>
      </w:pPr>
      <w:r>
        <w:rPr>
          <w:rFonts w:ascii="Amiri" w:hAnsi="Amiri" w:eastAsia="Amiri" w:cs="Amiri"/>
          <w:color w:val="111111"/>
          <w:sz w:val="28"/>
          <w:sz w:val="28"/>
          <w:szCs w:val="28"/>
          <w:rtl w:val="true"/>
          <w:lang w:bidi="ar-SA"/>
        </w:rPr>
        <w:t>أن يؤدّى بعد أخذه، لا بنحو السالبة بانتفاء الموضوع، هذا ما أفاده بعض أهل التحقيق</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معارضته بما أفاد في دفع الإشكال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المنافع إذا كانت مقدّرة الوجود، صحّ تمليكها، وتملّكها، وصيرورتها تحت الاستيلاء عرفاً، ولازم ذلك أنّ المنافع المتدرّجة واقعاً صارت مقدّرة الوجود في زمان وقوع الإجارة، فتقدير وجودها فعلاً يخرجها عن تصرّم الوجود إلى ثباته وقراره، فوجودها في الحال مصحّح التملّك والاستيلاء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يكون هذا الموجود الثابت القارّ تقديراً، من شأنه ذاتاً أن يؤدّى، والتلف ابتداءً أو بقاءً لا ينافي الشأنية، كما أنّ التلف العارض للعين في الآن الأوّل من الأخذ، لا ينافي شأنية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لوحظت التأدية بالنسبة إلى الوجود الواقعي المتصرّم، فهي وإن لا تمكن، لكن لا يعقل فيه الاستيلاء والأخذ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بالنسبة إلى ما يمكن فيها الاستيلاء والتملّك في الحال، فالتأدية فيها ممكنة ذاتاً، وشأنيتها لا تنافي التلف العارض لبعض وجودها، كما لا تنافي التلف العارض لأصل الوجود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إمكان الأداء في الجملة كافٍ في حفظ ظهور الغاية، ولا يلزم إمكان الأداء بجميع خصوصياتها، وتمام وجودها، فتأمّل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حلّ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الخبر أنّ جميع العناية فيه بجعل </w:t>
      </w:r>
    </w:p>
    <w:p>
      <w:pPr>
        <w:pStyle w:val="BookText"/>
        <w:rPr/>
      </w:pPr>
      <w:r>
        <w:rPr>
          <w:rFonts w:ascii="Amiri" w:hAnsi="Amiri" w:eastAsia="Amiri" w:cs="Amiri"/>
          <w:color w:val="111111"/>
          <w:sz w:val="28"/>
          <w:sz w:val="28"/>
          <w:szCs w:val="28"/>
          <w:rtl w:val="true"/>
          <w:lang w:bidi="ar-SA"/>
        </w:rPr>
        <w:t>الضمان على المأخوذ، وإنّما ذكرت الغاية لتحديد الموضوع، ومعناه أنّ الحكم بالضمان تعلّق على المأخوذ غير المؤدّى، من غير نظر إلى إمكان التأدية ولا إمكانها، وشأنية التأدية ولا شأنيتها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نظير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بعينه</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نظيف، حتّى تعلم أنّه قذر</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الظاهر منهما جعل حكم الحلّية والطهارة للمشكوك فيه، من غير نظر إلى حصول العلم، حتّى يدّعى ظهوره في إمكان حصول العلم أو شأنيته، فهل ينقدح منهما في ذهن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المشكوك فيه لا يكون حلالاً وطاهراً إذا لم تكن له شأنية تبديله بالعلم؟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جعل الضمان على غير المؤدّى، سواء أمكن الأداء أم لا، أو كان له شأنية الأداء أم لا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الجمود على ظاهره، ودعوى لا بدّية شأنية الأداء في المأخوذ، لا السلب بانتفاء الموضوع، يقتضي أن يكون الضمان ما دام العين موجودة؛ فإنّ المعدوم ليس له شأنية الأداء، وعدم الأداء فيه من السلب بانتفاء الموضوع، والشأنية في زمان الوجود لا تجعل السلب في زمان التلف سلباً بانتفاء المحمول،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القضيّة السالبة المتلقّاة من الغاية المذكورة،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يؤدّ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وموضوعها المأخوذ، ومحمولها الأداء على فرض صيرورة الجملة تامّة، وسلبها بسلب المحمول هو في زمان بقاء الموضوع؛ أي المأخوذ، وشأنية الأداء أجنبيّة عن مدلول الغاية والمغيّا، لو فرض أنّ التشبّث بها يصحّح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ظهور الغاية فيما ذكر، وإنّما يراد بها تحديد متعلّق الحكم كالمثالين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سيأتي بيانه في الأمر الرابع في بيان ضمان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لو كان ضمان نفس المأخوذ، والمفروض أنّه شامل للضمان بعد التلف، فلا محالة تكون تأدية المثل في المثلي، والقيمة في القيمي أداءً لدى الشارع على فرض ثبوت الرواية، وإلاّ لزم توالٍ فاسدة</w:t>
      </w:r>
      <w:r>
        <w:rPr>
          <w:rStyle w:val="FootnoteAnchor"/>
          <w:rtl w:val="true"/>
        </w:rPr>
        <w:footnoteReference w:id="87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يفرّق بين الرواية والروايتين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تسليم ظهورها فيما ذكر، فالظاهر مساعدة العرف على إلغاء الخصوصية؛ فإنّ الظاهر منها بيان جعل الضمان على آخذ مال الغير، وعدم رفعه إلاّ بأدائه، من غير دخالة لإمكان الأداء عرفاً في تحقّق الضمان، بعد فرض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الأداء غاية للضمان ورافع له، لا عدمه أو إمكانه دخيل في حدوثه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الموضوع للضمان في نظر العرف، هو الاستيلاء على مال الغير، لا الاستيلاء على شيءٍ ممكن الأداء، بل ولا على المأخوذ غير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المنفعة إذا دخلت في العهدة دخلت بجميع شؤونها، وامتناع أداء شخصيتها لكونها تدريجية، لا يوجب امتناع سائر المراتب، ولا كونها بقول مطلق ممّا لا أداء لها، حتّى لا يعمّها الخبر</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أداء ما اُخذ واستولي عليه، لا أداء 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الطبيعي من كلّ معنىً، موجود بوجودات متعدّدة، والحصّة منه الموجودة مع هذا الشخص غير موجودة مع الشخص الآخر، فإذا تلف الشخص، تلف الطبيعي الموجود بهذه الحصّة، والفرد الآخر طبيعي آخر، فإذا تلف الشخص تلف بجميع شؤونه، لكن من أحكام عهدة العين التالفة شرعاً وعرفاً أداء بدلها بطبيعتها المماثلة وبماليتها، أو بأخيرتهما فقط، لا أنّ أداء المثل والقيمة أداء نفس ما دخلت في العهدة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من إشكال؛ لأنّ موجودية الطبيعي بوجودات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منها أنّ عدم كلّ فرد عدم الطبيعي، ووجود كلّ فرد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عقلي برهاني، لو ابتنت عليه تلك المسائل العرفية، للزم منه عدم جريان استصحاب الكلّي من </w:t>
      </w:r>
    </w:p>
    <w:p>
      <w:pPr>
        <w:pStyle w:val="BookText"/>
        <w:rPr/>
      </w:pPr>
      <w:r>
        <w:rPr>
          <w:rFonts w:ascii="Amiri" w:hAnsi="Amiri" w:eastAsia="Amiri" w:cs="Amiri"/>
          <w:color w:val="111111"/>
          <w:sz w:val="28"/>
          <w:sz w:val="28"/>
          <w:szCs w:val="28"/>
          <w:rtl w:val="true"/>
          <w:lang w:bidi="ar-SA"/>
        </w:rPr>
        <w:t>القسم الثاني والثالث؛ لأنّ جريانه مبنيّ على أنّ المحتمل للبقاء عين ما تيقّن</w:t>
      </w:r>
    </w:p>
    <w:p>
      <w:pPr>
        <w:pStyle w:val="BookText"/>
        <w:rPr/>
      </w:pPr>
      <w:r>
        <w:rPr>
          <w:rFonts w:ascii="Amiri" w:hAnsi="Amiri" w:eastAsia="Amiri" w:cs="Amiri"/>
          <w:color w:val="111111"/>
          <w:sz w:val="28"/>
          <w:sz w:val="28"/>
          <w:szCs w:val="28"/>
          <w:rtl w:val="true"/>
          <w:lang w:bidi="ar-SA"/>
        </w:rPr>
        <w:t>وجوده، وهو مبنيّ على أنّ الطبيعي مع كلّ فرد، عين الطبيعي مع الفرد الآخر مع سقوط الإضافات، وأنّ عدم الطبيعي بعدم جميع أفراده، ووجوده بوجود فردٍ ما، وهو حكم عقلائي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إذا فات لم ينعدم به الطبيعي المشترك، ولا المالية المشتركة، وإن فاتت الحصّة المتقوّمة بالشخصية، والمالية المتقوّمة بها، وفي مقام الأداء يكفي أداء النوع المشترك والمالية المشتركة، وهو نحو أداء عرفاً، ولهذا يقدّم العرف المثل في المثلي على القيمة، فلو تلف الشيء بجميع شؤونه، ولم يكن أداء المثل نحو أداء له بنوعيته وماليته، لم يبقَ وجه لذلك الحكم العقلائي،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ملاك رأساً لهذا الحكم العقلائي،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الأقربية والتماثل لا يوجب التعيّن، ما لم يكن نحو أداء للمضمون، فتأمّل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خبر اليد، أنّ نفس المأخوذ على عهدة الآخذ في زمان وجوده وفي زمان تلفه، وإن اختلف حكم العقلاء في الزمانين، والعين لاستقرار وجودها قابلة لوقوعها في العهدة في الزمانين، وأمّا المنافع والأعمال فلتصرّمهما لا يمكن أن تقعا فيها، لا في زمان وجودهما، وهو واضح، ولا في حال تلفهما؛ لأنّ التالف إن وقع في الذمّة بنحو التصرّم والتدرّج، فلا يبقى فيها آنين، ولازمه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فيها بنحو الاستقرار واللا تدرّج، فلا وجه له؛ لأنّ اليد على المتدرّج، لا على المستقرّ الثابت، واليد </w:t>
      </w:r>
      <w:bookmarkStart w:id="622" w:name="pg15195_150795"/>
    </w:p>
    <w:p>
      <w:pPr>
        <w:pStyle w:val="BookText"/>
        <w:rPr/>
      </w:pPr>
      <w:bookmarkEnd w:id="622"/>
      <w:r>
        <w:rPr>
          <w:rFonts w:ascii="Amiri" w:hAnsi="Amiri" w:eastAsia="Amiri" w:cs="Amiri"/>
          <w:color w:val="111111"/>
          <w:sz w:val="28"/>
          <w:sz w:val="28"/>
          <w:szCs w:val="28"/>
          <w:rtl w:val="true"/>
          <w:lang w:bidi="ar-SA"/>
        </w:rPr>
        <w:t>على المتدرّج لازمها وقوع المتدرّج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التدرّج والتصرّم الواقعيين من لوازم وجود المنافع والأفعال المتدرّجة، وما وقع في الذمّة من الأعيان وغيرها، عنوانها اعتباراً، وهو ليس بمتدرّج، فكما أنّ الأعيان لا تقع في الذمّة بعد تلفها مع لوازمها الوجودية، كذلك المنافع، واعتبار الشيء المتدرّج لا يلازم التدرّج الواقعي فيما يعتبر</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495609_2142443653"/>
      <w:bookmarkStart w:id="624" w:name="_Toc220"/>
      <w:bookmarkEnd w:id="623"/>
      <w:r>
        <w:rPr>
          <w:rtl w:val="true"/>
        </w:rPr>
        <w:t>استدلال الشيخ الأعظم على المطلوب بروايات</w:t>
      </w:r>
      <w:bookmarkEnd w:id="624"/>
    </w:p>
    <w:p>
      <w:pPr>
        <w:pStyle w:val="BookText"/>
        <w:rPr/>
      </w:pPr>
      <w:r>
        <w:rPr>
          <w:rFonts w:ascii="Amiri" w:hAnsi="Amiri" w:eastAsia="Amiri" w:cs="Amiri"/>
          <w:color w:val="111111"/>
          <w:sz w:val="28"/>
          <w:sz w:val="28"/>
          <w:szCs w:val="28"/>
          <w:rtl w:val="true"/>
          <w:lang w:bidi="ar-SA"/>
        </w:rPr>
        <w:t>ثمّ إنّ الشيخ الأعظم قدّس سرّه بعد بنائه على قصور قاعدة اليد عن الشمول للمنافع والأعمال المضمونة، استدلّ</w:t>
      </w:r>
      <w:r>
        <w:rPr>
          <w:rStyle w:val="FootnoteAnchor"/>
          <w:rtl w:val="true"/>
        </w:rPr>
        <w:footnoteReference w:id="876"/>
      </w:r>
      <w:r>
        <w:rPr>
          <w:rFonts w:ascii="Amiri" w:hAnsi="Amiri" w:eastAsia="Amiri" w:cs="Amiri"/>
          <w:color w:val="111111"/>
          <w:sz w:val="28"/>
          <w:sz w:val="28"/>
          <w:szCs w:val="28"/>
          <w:rtl w:val="true"/>
          <w:lang w:bidi="ar-SA"/>
        </w:rPr>
        <w:t>على المطلوب بروايات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وحرمة ماله كحرمة دمه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بسند موثّق</w:t>
      </w:r>
      <w:r>
        <w:rPr>
          <w:rStyle w:val="FootnoteAnchor"/>
          <w:rtl w:val="true"/>
        </w:rPr>
        <w:footnoteReference w:id="877"/>
      </w:r>
      <w:r>
        <w:rPr>
          <w:rFonts w:ascii="IRNazanin" w:hAnsi="IRNazanin" w:eastAsia="IRNazanin"/>
          <w:color w:val="111111"/>
          <w:sz w:val="28"/>
          <w:sz w:val="28"/>
          <w:szCs w:val="28"/>
          <w:rtl w:val="true"/>
          <w:lang w:bidi="fa-IR"/>
        </w:rPr>
        <w:t>،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وقتاله كفر، وأكل لحمه معصية، وحرمة ماله كحرمة دمه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ورواها الصدوق مرسلة في ضمن ألفاظ رسول اللّه صلی الله علیه و آله وسلم، في رواية طويلة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ما رواها الصدوق جمع روايات صادرة عنه صلی الله علیه و آله وسلم متفرّقات، ومن البعيد صدورها جميعاً في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أبي جعفر علیه السلام رواية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في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أن يكون التنزيل والتشبيه في أصل الحرمة؛ أي كما أنّ دمه حرام، ماله حرام، وتكون الحرمة تكليفية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في غاية البعد؛ لأنّ الظاهر أنّه صلی الله علیه و آله وسلم في مقام تعظيم المؤمن، وهو لا يناسب بيان مجرّد حرمة التصرّف في ماله، والحمل على المبالغة خلاف الظاهر، لا يصحّ ارتكابه إلاّ مع قرينة، ومجرّد كونه في مقام التعظيم، أو كون بعض فقراتها مبالغةً، لا يوجب القرينية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التكليفية، وعلى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لا يجوز هتكه، ولا يذهب هدراً، فدلّت على أنّ احترام ماله كاحترام دمه، ومقتضى عموم التنزيل والتشبيه أنّ كلّ احترام ثبت لدمه، كان ثابتاً لماله، ولا شبهة في أنّ احترام دمه بعدم إراقته وعدم هدره، فكذا المال، فلا يجوز إتلافه، ولو اُتلف لا يذهب هدراً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من أنّ احترام الدم لا يقتضي غير حرمة الإراقة، واحترام المال </w:t>
      </w:r>
    </w:p>
    <w:p>
      <w:pPr>
        <w:pStyle w:val="BookText"/>
        <w:rPr/>
      </w:pPr>
      <w:r>
        <w:rPr>
          <w:rFonts w:ascii="Amiri" w:hAnsi="Amiri" w:eastAsia="Amiri" w:cs="Amiri"/>
          <w:color w:val="111111"/>
          <w:sz w:val="28"/>
          <w:sz w:val="28"/>
          <w:szCs w:val="28"/>
          <w:rtl w:val="true"/>
          <w:lang w:bidi="ar-SA"/>
        </w:rPr>
        <w:t>لا يقتضي إلاّ حرمة التصرّف فيه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لأنّ حرمة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إراقةً وهدراً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عنها بلا شبهة من صدر الإسلام، فعموم التشبيه دالّ على أنّ حرمة المال أيضاً كذلك، فيفهم منه أنّه لا يجوز إتلافه، ومع الإتلاف لا يذهب هدراً، والحمل على بعض آثار احترام الدم،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احترام المال ليس لحيثية ماليته القائمة بذات المال المقتضية لتداركه، بل لحيثية إضافته إلى المسلم؛ لأنّ الظاهر أنّ الحيثية المأخوذة في موضوع الحكم تقييدية، فيكون الاحترام بلحاظ رعاية مالكية المسلم وسلطانه على المال، ورعايتهما لا تقتضي إلاّ عدم التصرّف فيه بلا رضاه، لا تدارك ماليته؛ فإنّه راجع إلى حيثية ماليته، لا ملكيته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حيثية الاحترام راجعة إلى المالية، لكان بذله مجّاناً من صاحبه هتكاً وإن كان جائزاً، مع أنّه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يستكشف أنّ الاحترام راجع إلى مالكيته، والتصرّف بإذنه عين رعاية سلطانه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الغرابة ما لا يخفى؛ لأنّ كون الحيثية تقييدية لا يقتضي أن يكون الحكم للقيد لا للمقيّد، بل يقتضي أن يكون للمقيّد بما هو كذلك، فمال المؤمن بما أنّه ماله حرمته كحرمة دمه، لا سلطان المؤمن على ماله حرمته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فالمال بذاته ساقط الإضافة لا احترام له، كالمباحات الأصلية التي لا يحرم التصرّف فيها، ومع الإتلاف لا تتدارك، والمال المضاف إلى المؤمن محترم، لا يجوز التصرّف فيه، ولا يذهب هدراً، فالاحترام للمال المضاف بحسب صريح الرواية، لا لإضافة المؤمن إليه، ولو كانت هي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مال المؤمن ومالكيته غير سلطنته عليه؛ فإنّ السلطنة من الأحكام العقلائية للملك والمال، والخلط بينهما صار موجباً للاشتباه في بعض الموارد، ومنه المقام؛ حيث إنّ المستشكل لأجل كون الحيثية تقييدية بدّل موضوع الحكم بإضافة الملكية، وقرن إضافة الملكية بإضافة السلطنة،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رعاية مالكيته وسلطانه لا تقتضي إلاّ عدم التصرّف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ذيل كلامه من أنّ الاحترام لو كان للمال، لكان بذله من مالكه هتكاً جائزاً، ناشٍ من عدم رعاية الإضافة في موضوع الحكم، وتخيّل أنّ لزوم التدارك راجع إلى المال بذاته،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يستشكل على الاستدلال بالرواية لتضمين أعمال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بمال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منصرفة عنها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الواقعة تحت الإجارة مال عرفاً، بل الظاهر أنّ أعمال الحرّ الكسوب مال، ولو لم تقع تحت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بل مناسبة الحكم والموضوع تقتضي التعميم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أنّ ما رمنا إثباته بتلك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ضمان ما تلف من المنافع والأعمال بلا إتلاف وتسبيب من المشتري أو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إثباته؛ ضرورة أنّ حرمة دم المؤمن أيضاً لا تقتضي ذلك، فلو فرض أنّ مؤمناً كان تحت سلطنة شخص، فمات حتف أنفه أو بآفة سماوية، لم يكن المسلّط عليه ضامناً، فكيف يمكن إثبات الضمان بها للمنافع غير المستوفاة والأعمال كذلك، مع عدم تسبيب للإتلاف والتلف؟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الموثّقة دليل لقاعدة الإتلاف في الجملة أو مطلقاً لو اُلغيت الخصوصية إلى كلّ مال محترم، وهو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الاستدلال</w:t>
      </w:r>
      <w:r>
        <w:rPr>
          <w:rStyle w:val="FootnoteAnchor"/>
          <w:rtl w:val="true"/>
        </w:rPr>
        <w:footnoteReference w:id="884"/>
      </w:r>
      <w:r>
        <w:rPr>
          <w:rFonts w:ascii="Amiri" w:hAnsi="Amiri" w:eastAsia="Amiri" w:cs="Amiri"/>
          <w:color w:val="111111"/>
          <w:sz w:val="28"/>
          <w:sz w:val="28"/>
          <w:szCs w:val="28"/>
          <w:rtl w:val="true"/>
          <w:lang w:bidi="ar-SA"/>
        </w:rPr>
        <w:t>عليه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ذهاب حقّ امرئٍ مسلم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بطيبة نفسه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ودلالته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الحلّ شامل لحال تلفه أيضاً، كما سبق</w:t>
      </w:r>
      <w:r>
        <w:rPr>
          <w:rStyle w:val="FootnoteAnchor"/>
          <w:rtl w:val="true"/>
        </w:rPr>
        <w:footnoteReference w:id="888"/>
      </w:r>
      <w:r>
        <w:rPr>
          <w:rFonts w:ascii="IRNazanin" w:hAnsi="IRNazanin" w:eastAsia="IRNazanin"/>
          <w:color w:val="111111"/>
          <w:sz w:val="28"/>
          <w:sz w:val="28"/>
          <w:szCs w:val="28"/>
          <w:rtl w:val="true"/>
          <w:lang w:bidi="fa-IR"/>
        </w:rPr>
        <w:t>من الشيخ نظيره في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 وعدم الحلّ في زمان التلف لازمه الضمان، وهو كما ترى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نفي الضرر</w:t>
      </w:r>
      <w:r>
        <w:rPr>
          <w:rStyle w:val="FootnoteAnchor"/>
          <w:rtl w:val="true"/>
        </w:rPr>
        <w:footnoteReference w:id="890"/>
      </w:r>
      <w:r>
        <w:rPr>
          <w:rFonts w:ascii="Amiri" w:hAnsi="Amiri" w:eastAsia="Amiri" w:cs="Amiri"/>
          <w:color w:val="111111"/>
          <w:sz w:val="28"/>
          <w:sz w:val="28"/>
          <w:szCs w:val="28"/>
          <w:rtl w:val="true"/>
          <w:lang w:bidi="ar-SA"/>
        </w:rPr>
        <w:t>ودلالته على الضمان إمّا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الضرر حقيقة إدّعائية، ومصحّحها أنّ الضرر المحكوم بالتدارك ينزّل منزلة العدم، فيدّعى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باعتبار لزوم التدارك، كما عن بعض الفحول</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هو الأعمّ من ذلك؛ أي النفي باعتبار نفي كون أحكامه تعالى ضررية، ونفي حلّية إيقاع الضرر على الغير، والحكم بتدارك الضارّ الضرر الواقع منه على الغير؛ بدعوى أنّ إطلاق نفي الحقيقة يقتضي الشمول لجميع ذلك</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الدليل أخصّ من المدّعى، وهو إثبات الضمان بتلف 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في دليل نفي الضرر أنّه حكم سلطاني من </w:t>
      </w:r>
    </w:p>
    <w:p>
      <w:pPr>
        <w:pStyle w:val="BookText"/>
        <w:rPr/>
      </w:pPr>
      <w:r>
        <w:rPr>
          <w:rFonts w:ascii="IRNazanin" w:hAnsi="IRNazanin" w:eastAsia="IRNazanin"/>
          <w:color w:val="111111"/>
          <w:sz w:val="28"/>
          <w:sz w:val="28"/>
          <w:szCs w:val="28"/>
          <w:rtl w:val="true"/>
          <w:lang w:bidi="fa-IR"/>
        </w:rPr>
        <w:t>رسول اللّه صلی الله علیه و آله وسلم، ونهي منه عن الإضرار وإيقاع الحرج على الغير، كما يشهد به مورد القضيّة صدراً وذيلاً، وقد فصّلنا ما عندنا من الشواهد في رسالة مفردة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عدم دلالة ما دلّت على احترام مال المسلم ونحوه، وكذا دليل نفي الضرر، على المقصود، يمكن الاستدلال بها على عدم ضمان من تلف الشيء تحت يده بلا تسبيب ومباشرة، كالتلف السماوي؛ فإنّ احترام مال المسلم يقتضي عدم أخذ ما تلف، منه، وكذا حكم الشرع بضمانه ضرري، يدفع بدليل نفي الضرر؛ ضرورة أنّ أخذ درك مال الغير بلا سبب، وبمجرّد وقوع الشيء تحت يده ضرر، والحكم 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معارضة دليل اليد، ودليل الاحترام، بأنّ الثاني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تعرّض له لموضوعه ضيقاً وسعةً، ودليل اليد المثبت للضمان بالمثل أو القيمة، يحقّق موضوع دليل الاحترام، فاحترام مال المضمون له الثابت بدليل الضمان، يقتضي ردّه إليه وعدم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دليل الضرر، فدليل ضمان اليد أخصّ مطلقاً من دليل نفي الضرار، فلا مساغ للحكومة مع الأخصّ المطلق، فيخصّص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شمول دليل نفي الضرر للمأخوذ غصباً؛ بدعوى انصرافه عنه، يكون بينهما عموم من وجه، ولو كان دليل نفي الضرر حاكماً عليه، لا بدّ من القول بعدم ضمان اليد إلاّ في مورد الغصب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أصل الضمان ليس حكماً ضررياً، بل الحكم بلزوم </w:t>
      </w:r>
      <w:bookmarkStart w:id="625" w:name="pg15195_150802"/>
    </w:p>
    <w:p>
      <w:pPr>
        <w:pStyle w:val="BookText"/>
        <w:rPr/>
      </w:pPr>
      <w:bookmarkEnd w:id="625"/>
      <w:r>
        <w:rPr>
          <w:rFonts w:ascii="Amiri" w:hAnsi="Amiri" w:eastAsia="Amiri" w:cs="Amiri"/>
          <w:color w:val="111111"/>
          <w:sz w:val="28"/>
          <w:sz w:val="28"/>
          <w:szCs w:val="28"/>
          <w:rtl w:val="true"/>
          <w:lang w:bidi="ar-SA"/>
        </w:rPr>
        <w:t>الأداء ضرري؛ أي موجب للضرر، فحينئذٍ يكون دليل اليد سالماً عن المعارض، ودليل وجوب الأداء لمّا كان مفاده وجوب أداء مال الغير، لا يكون ضررياً؛ أي يخرج بواسطة دليل اليد المثبت للضمان عن موضوع الضرر،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كافل لتمام مضمون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حتّى قاعدة اليد، ففي مثل المنافع الفائتة في غير يد القابض، والعمل الصادر من الأجير من غير تسبيب من المستأجر، لا دليل على ضمانهما</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95611_2142443653"/>
      <w:bookmarkStart w:id="627" w:name="_Toc221"/>
      <w:bookmarkEnd w:id="626"/>
      <w:r>
        <w:rPr>
          <w:rtl w:val="true"/>
        </w:rPr>
        <w:t>عدم الفرق في الضمان بين صورتي العلم والجهل</w:t>
      </w:r>
      <w:bookmarkEnd w:id="627"/>
    </w:p>
    <w:p>
      <w:pPr>
        <w:pStyle w:val="BookText"/>
        <w:rPr/>
      </w:pPr>
      <w:r>
        <w:rPr>
          <w:rFonts w:ascii="Amiri" w:hAnsi="Amiri" w:eastAsia="Amiri" w:cs="Amiri"/>
          <w:color w:val="111111"/>
          <w:sz w:val="28"/>
          <w:sz w:val="28"/>
          <w:szCs w:val="28"/>
          <w:rtl w:val="true"/>
          <w:lang w:bidi="ar-SA"/>
        </w:rPr>
        <w:t>ثمّ إنّ التحقيق عدم الفرق بين علمهما بالفساد، وجهلهما، أو علم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دفع المالك ماله إلى الطرف، عالماً بفساد المعاملة شرعاً، أو شاكّاً في صحّتها، يكون دفعه كاشفاً عن عدم ارتباط رضاه بالصحّة شرعاً، بل هو كاشف عن رضاه بكون ماله في يد صاحبه، مع ما هو عليه من عدم الاستحقاق شرعاً، فيكون أمانة مالكية في يده، لا يضمنه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كونه معتقداً بالصحّة لو لم يكن اعتقادها قيداً مقوّماً، بل كان داعياً أو مقارناً، يكون حكمه كما ذكر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مفروض المسألة هو المقبوض بالبيع الفاسد، فحينئذٍ لو كانت المعاملة عقلائية، والفساد من ناحية إخلال شرط شرعي، فلا إشكال في أنّ العقد في محيط العقلاء كان صحيحاً، يترتّب عليه الأثر عرفاً، من غير فرق بينه </w:t>
      </w:r>
    </w:p>
    <w:p>
      <w:pPr>
        <w:pStyle w:val="BookText"/>
        <w:rPr/>
      </w:pPr>
      <w:r>
        <w:rPr>
          <w:rFonts w:ascii="Amiri" w:hAnsi="Amiri" w:eastAsia="Amiri" w:cs="Amiri"/>
          <w:color w:val="111111"/>
          <w:sz w:val="28"/>
          <w:sz w:val="28"/>
          <w:szCs w:val="28"/>
          <w:rtl w:val="true"/>
          <w:lang w:bidi="ar-SA"/>
        </w:rPr>
        <w:t>وبين الصحيح شرعاً، كما ترى أنّ بيع الخمر، والخنزير، وآلات اللهو، من البيوع العقلائية، من غير نظر منهم في ذلك إلى اعتبار الشرط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شبهة في أنّ الرضا الحاصل في إيقاعه رضىً بالعقد فقط، بل لا معنى لكونه راضياً بالتصرّف؛ فإنّه من قبيل الرضا بتصرّف الغير في مال نفسه، الذي هو غير مربوط به،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العقدي لا يفيد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الدفع الذي هو مورد كلامه، فلا شبهة في أنّه مع بنائهما على الصحّة العقلائية، يكون من قبيل العمل على مقتضى العقد، فهل ترى أنّ بائع الخمر إذا دفعها إلى المشتري، يكون دفعه، بغير عنوان العمل على مقتضى عقده؟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باع كلّياً، لا يؤدّي إلاّ المصداق المنطبق عليه، ولو باع شخصاً، لا يرى هو ولا غيره من العقلاء إلاّ كونه مستحقّاً لما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بالفساد الشرعي يكون أداؤه ودفعه لا بعنوان العمل بالمعاملة ومقتضاها،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في عدم كون تسليم الثمن أو المثمن إلى الطرف من قبيل الأمانة المالكية، ولا في أنّ الرضا المعاملي والرضا بالدفع الذي هو مقتضى المعاملة، لا يوجبان رفع الضمان، فمقتضى قاعدة اليد ضمانه، عالماً كان أم جاهلاً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الشرط غير المراعى في المعاملة من الشرائط العقلائية، فمع الالتفات يكون الجدّ بالمعاملة مشكلاً، ومع فرضه لا تكون المعاملة متحقّقة، فيخرج الموضوع عن محطّ البحث، وهو المقبوض بالبيع الفاسد؛ لعدم البيع ولو عرفاً</w:t>
      </w:r>
      <w:r>
        <w:rPr>
          <w:rFonts w:eastAsia="Amiri" w:cs="Amiri" w:ascii="Amiri" w:hAnsi="Amiri"/>
          <w:color w:val="111111"/>
          <w:sz w:val="28"/>
          <w:szCs w:val="28"/>
          <w:rtl w:val="true"/>
          <w:lang w:bidi="ar-SA"/>
        </w:rPr>
        <w:t xml:space="preserve">. </w:t>
      </w:r>
      <w:bookmarkStart w:id="628" w:name="pg15195_150804"/>
    </w:p>
    <w:p>
      <w:pPr>
        <w:pStyle w:val="Heading4"/>
        <w:numPr>
          <w:ilvl w:val="3"/>
          <w:numId w:val="1"/>
        </w:numPr>
        <w:rPr/>
      </w:pPr>
      <w:bookmarkStart w:id="629" w:name="__RefHeading___Toc2495613_2142443653"/>
      <w:bookmarkStart w:id="630" w:name="_Toc222"/>
      <w:bookmarkEnd w:id="628"/>
      <w:bookmarkEnd w:id="629"/>
      <w:r>
        <w:rPr>
          <w:rtl w:val="true"/>
        </w:rPr>
        <w:t>تفريق المحقّق الأصفهاني بين المقام والمعاطاة من جهة الضمان</w:t>
      </w:r>
      <w:bookmarkEnd w:id="630"/>
    </w:p>
    <w:p>
      <w:pPr>
        <w:pStyle w:val="BookText"/>
        <w:rPr/>
      </w:pPr>
      <w:r>
        <w:rPr>
          <w:rFonts w:ascii="Amiri" w:hAnsi="Amiri" w:eastAsia="Amiri" w:cs="Amiri"/>
          <w:color w:val="111111"/>
          <w:sz w:val="28"/>
          <w:sz w:val="28"/>
          <w:szCs w:val="28"/>
          <w:rtl w:val="true"/>
          <w:lang w:bidi="ar-SA"/>
        </w:rPr>
        <w:t>وقد يفرّق بين المقام والمعاطاة، بأنّ التسليط عن الرضا بقصد حصول الملك هناك ابتدائي، لا مرتّب على أمر غير حاصل، فعدم تأثيره في الملك لا يوجب عدم صدور التسليط عن رضاه؛ لأنّه غير مرتّب على الملك، بل الملك مرتّب عليه، فلا معنى لأن يتقيّد الرضا به</w:t>
      </w:r>
      <w:r>
        <w:rPr>
          <w:rStyle w:val="FootnoteAnchor"/>
          <w:rtl w:val="true"/>
        </w:rPr>
        <w:footnoteReference w:id="895"/>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تقيّد العلّة بالمعلول، لا يوجب أن تكون العلّة مطلقة، بل لا إطلاق فيها ولا تقييد، ولا تنطبق إلاّ على المقيّد؛ أي ما هو المؤثّر في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التسليط عن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بحصول الملك منه، ولكن لا إطلاق فيه؛ بحيث يكون الرضا شاملاً لحال عدم الملك، فحينئذٍ تكون النتيجة عدم الرضا في ظرف عدم الملك، وهو مرادنا من أنّه لا ينطبق إلاّ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راضٍ بتسليطٍ يكون مبدءاً للملك، لا بنحو التقييد بمعلوله، بل بمعنى ضيقه الذاتي، كما أنّ الأمر كذلك في العلّة والمعلول، فلا معنى لبقاء الرضا مع عدم حصول الملك، أو إطلاق الرضا لحال عدم الملك، فالقاعدة تقتضي الضمان في المعاطاة مع عدم حصول الملك، وكذا في المعاطاة الفاسدة</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2495615_2142443653"/>
      <w:bookmarkStart w:id="632" w:name="_Toc223"/>
      <w:bookmarkEnd w:id="631"/>
      <w:r>
        <w:rPr>
          <w:rtl w:val="true"/>
        </w:rPr>
        <w:t>تفريق المحقّق الأصفهاني بين المقام والغصب</w:t>
      </w:r>
      <w:bookmarkEnd w:id="63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 كلامه في الضعف، ما أفاد في الفرق بين المقام وبين ما علم المشتري بالغصب، حيث إنّ تسليطه للغاصب على ماله عن رضاه، موجب للإذن في </w:t>
      </w:r>
    </w:p>
    <w:p>
      <w:pPr>
        <w:pStyle w:val="BookText"/>
        <w:rPr/>
      </w:pPr>
      <w:r>
        <w:rPr>
          <w:rFonts w:ascii="IRNazanin" w:hAnsi="IRNazanin" w:eastAsia="IRNazanin"/>
          <w:color w:val="111111"/>
          <w:sz w:val="28"/>
          <w:sz w:val="28"/>
          <w:szCs w:val="28"/>
          <w:rtl w:val="true"/>
          <w:lang w:bidi="fa-IR"/>
        </w:rPr>
        <w:t>التصرّف، ومانع عن الضمان، 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تمليك الغاصب بعنوان المعاملة الحقيقية غير معقول، وعلى فرض معقوليته بتمليك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أنّ الغاصب هو المالك، فبين الإقباض هنا وهناك فرق؛ فإنّه هنا جرياً على تشريعه معقول، بخلاف إقباض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معقول؛ فإنّ الإقباض أمر خارجي يتعلّق بذات القابض، وليس من مقتضيات الجعل، التسليم إلاّ إلى المالك الحقيقي أو العنواني، والأوّل غير متحقّق، والثاني غير معقول، فهذا الإقباض الصادر عن الرضا المتعلّق بذات الغاصب لا بعنوانه، يفيد جواز التصرّف له، وينافي تضمينه</w:t>
      </w:r>
      <w:r>
        <w:rPr>
          <w:rStyle w:val="FootnoteAnchor"/>
          <w:rtl w:val="true"/>
        </w:rPr>
        <w:footnoteReference w:id="8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الغصب إن صدر عمّن لا يعتني بالقواعد والمقرّرات، ويكون ممّن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الحلال ما حلّ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تسليطه لا يفيد جواز التصرّف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مبالياً بالمقرّرات، وقلنا في تصحيح بيعه بالحقيقة الادّعائية، فلا شبهة في أنّ الادّعاء يكون نحو الادّعاء في باب الاستعارة على مسلك السكّاكي</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الدعوى أنّ الشخص هو المالك، فيبيعه ويسلّم إليه بعنوان كونه مالكاً؛ ضرورة أنّ التمليك والتملّك بعد الادّعاء يكون بين الشخصين الخارجيين، ولا يكون التمليك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الشخص، وهو ظاهر؛ ضرورة أنّ الغاصبَين في مقام المعاملة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p>
    <w:p>
      <w:pPr>
        <w:pStyle w:val="BookText"/>
        <w:rPr/>
      </w:pPr>
      <w:r>
        <w:rPr>
          <w:rFonts w:ascii="Amiri" w:hAnsi="Amiri" w:eastAsia="Amiri" w:cs="Amiri"/>
          <w:color w:val="111111"/>
          <w:sz w:val="28"/>
          <w:sz w:val="28"/>
          <w:szCs w:val="28"/>
          <w:rtl w:val="true"/>
          <w:lang w:bidi="ar-SA"/>
        </w:rPr>
        <w:t>هذا بهذا وقبلت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المالك وأنت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التسليم باعتبار كونه مالكاً، لا بعنوان ذاته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التشبّث بقاعدة الغرور</w:t>
      </w:r>
      <w:r>
        <w:rPr>
          <w:rStyle w:val="FootnoteAnchor"/>
          <w:rtl w:val="true"/>
        </w:rPr>
        <w:footnoteReference w:id="898"/>
      </w:r>
      <w:r>
        <w:rPr>
          <w:rFonts w:ascii="Amiri" w:hAnsi="Amiri" w:eastAsia="Amiri" w:cs="Amiri"/>
          <w:color w:val="111111"/>
          <w:sz w:val="28"/>
          <w:sz w:val="28"/>
          <w:szCs w:val="28"/>
          <w:rtl w:val="true"/>
          <w:lang w:bidi="ar-SA"/>
        </w:rPr>
        <w:t xml:space="preserve">، فمع كون القابض الجاهل ممّن لا يبالي بالشرائط الشرعية، وكان تمام همّه المعاملة العقلائية؛ بحيث لو علم بالواقعة لأقدم على المعاملة، فلا شبهة في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لعدم خدعة في البين، وعدم استفادة الطرف من جهله، وإنّما أعطاه العوض بما أنّه ماله، وأخذه كذلك، من غير نظر إلى حال الشرع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مبالياً بأحكام الشرع؛ بحيث لو علم بالواقعة لما أقدم على المعاملة، ولا أخذ العوض، لا يبعد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الطرف العالم إنّما أقبضه ما هو ماله بنظر القابض خدعة وحيلة لإتمام المعاملة وأخذ العوض</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فإبقاء جهله بحاله مع كونه موجباً للإقدام، وإعطاؤه ما ليس بنظره ماله، نحو غرور وخدعة، نظير إعطاء ماله لشخص بعنوان كونه ملك القابض، فإنّه إذا أتلفه أو تلف في يده ليس ضامناً؛ لقاعدة الغرور، أو أعطى ماله لشخص بعنوان وقوع المعاملة الصحيحة عليه، وصيرورته ماله مع عدم وقوع المعاملة رأساً، فتأمّل</w:t>
      </w:r>
      <w:r>
        <w:rPr>
          <w:rFonts w:eastAsia="Amiri" w:cs="Amiri" w:ascii="Amiri" w:hAnsi="Amiri"/>
          <w:color w:val="111111"/>
          <w:sz w:val="28"/>
          <w:szCs w:val="28"/>
          <w:rtl w:val="true"/>
          <w:lang w:bidi="ar-SA"/>
        </w:rPr>
        <w:t xml:space="preserve">. </w:t>
      </w:r>
      <w:bookmarkStart w:id="633" w:name="pg15195_150807"/>
    </w:p>
    <w:p>
      <w:pPr>
        <w:pStyle w:val="Heading3"/>
        <w:numPr>
          <w:ilvl w:val="2"/>
          <w:numId w:val="1"/>
        </w:numPr>
        <w:rPr/>
      </w:pPr>
      <w:bookmarkStart w:id="634" w:name="__RefHeading___Toc2495617_2142443653"/>
      <w:bookmarkStart w:id="635" w:name="_Toc224"/>
      <w:bookmarkEnd w:id="633"/>
      <w:bookmarkEnd w:id="634"/>
      <w:r>
        <w:rPr>
          <w:rtl w:val="true"/>
        </w:rPr>
        <w:t>الكلام حول عكس قاعدة ما يضمن</w:t>
      </w:r>
      <w:bookmarkEnd w:id="635"/>
    </w:p>
    <w:p>
      <w:pPr>
        <w:pStyle w:val="Heading4"/>
        <w:numPr>
          <w:ilvl w:val="3"/>
          <w:numId w:val="1"/>
        </w:numPr>
        <w:rPr/>
      </w:pPr>
      <w:bookmarkStart w:id="636" w:name="__RefHeading___Toc2495619_2142443653"/>
      <w:bookmarkStart w:id="637" w:name="_Toc225"/>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وأمّا عكس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لا يضمن بصحيحه لا يضمن بفاسده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فيحتمل أن يراد به سلب ما ثبت في الأصل، فمفاد الأصل أنّ كلّ عقد صحيحه سبب للضمان ففاسده كذلك، ومفاد العكس أنّ كلّ عقد لا يكون صحيحه سبباً للضمان، لا يكون فاسده سبباً له، فيكون المقصود سلب السببية للضمان، لا إثبات السببية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السلبي بالسلب البسيط، وإن كان أعمّ من سلب الاقتضاء، وثبوت الاقتضاء المقابل لأصل القاعده، لكنّ القضيّة بحسب هذا الاحتمال غير ناظرة إلاّ لجهة السلب، لا لما ينطبق عليه انطباقاً غير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به هذا المعنى الأعمّ؛ أي ما لا يقتضي الضمان، وما يقتضي اللا ضمان، حتّى يكون الأصل والعكس حاصرين لجميع أنواع العقود تصوّراً؛ أي ما يقتضي الضمان، أو اللا ضمان، أو لا يقتضي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به خصوص ما يقتضي عدم الضمان؛ بقرينة مقابلته مع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الظاهر المعنى الأوّل، لكن لمّا لم يكن أصل القاعدة وعكسها مفاد دليل، أو معقد إجماع، لا ثمرة للاستظهار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الرجوع إلى مبنى العكس حتّى يتّضح المراد منه</w:t>
      </w:r>
      <w:r>
        <w:rPr>
          <w:rFonts w:eastAsia="Amiri" w:cs="Amiri" w:ascii="Amiri" w:hAnsi="Amiri"/>
          <w:color w:val="111111"/>
          <w:sz w:val="28"/>
          <w:szCs w:val="28"/>
          <w:rtl w:val="true"/>
          <w:lang w:bidi="ar-SA"/>
        </w:rPr>
        <w:t xml:space="preserve">: </w:t>
      </w:r>
      <w:bookmarkStart w:id="638" w:name="pg15195_150808"/>
    </w:p>
    <w:p>
      <w:pPr>
        <w:pStyle w:val="Heading4"/>
        <w:numPr>
          <w:ilvl w:val="3"/>
          <w:numId w:val="1"/>
        </w:numPr>
        <w:rPr/>
      </w:pPr>
      <w:bookmarkStart w:id="639" w:name="__RefHeading___Toc2495621_2142443653"/>
      <w:bookmarkStart w:id="640" w:name="_Toc226"/>
      <w:bookmarkEnd w:id="638"/>
      <w:bookmarkEnd w:id="639"/>
      <w:r>
        <w:rPr>
          <w:rtl w:val="true"/>
        </w:rPr>
        <w:t>مدرك عكس القاعدة استدلال شيخ الطائفة بالأولوية</w:t>
      </w:r>
      <w:bookmarkEnd w:id="640"/>
    </w:p>
    <w:p>
      <w:pPr>
        <w:pStyle w:val="BookText"/>
        <w:rPr/>
      </w:pPr>
      <w:r>
        <w:rPr>
          <w:rFonts w:ascii="Amiri" w:hAnsi="Amiri" w:eastAsia="Amiri" w:cs="Amiri"/>
          <w:color w:val="111111"/>
          <w:sz w:val="28"/>
          <w:sz w:val="28"/>
          <w:szCs w:val="28"/>
          <w:rtl w:val="true"/>
          <w:lang w:bidi="ar-SA"/>
        </w:rPr>
        <w:t xml:space="preserve">فمقتضى ما عن شيخ الطائفة قدّس سرّه في الرهن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صحيحه لا يوجب الضمان، فكيف يضمن بفاسده؟ </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أنّ الصحيح لا يقتضي الضمان فكذا الفاسد، فيكون المدّعى فقدان سبب يقتضي الضمان في الصحيح والفاسد، لا وجود سبب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مقتضى تقريب الشيخ الأنصاري قدّس سرّه؛ من أنّ سبب الضمان إمّا الإقدام عليه، وإمّا حكم الشارع به، وكلاهما مفقودان؛ لعدم الإقدام، ولغوية العقد شرعاً </w:t>
      </w:r>
      <w:r>
        <w:rPr>
          <w:rStyle w:val="FootnoteAnchor"/>
          <w:rtl w:val="true"/>
        </w:rPr>
        <w:footnoteReference w:id="900"/>
      </w:r>
      <w:r>
        <w:rPr>
          <w:rFonts w:ascii="Amiri" w:hAnsi="Amiri" w:eastAsia="Amiri" w:cs="Amiri"/>
          <w:color w:val="111111"/>
          <w:sz w:val="28"/>
          <w:sz w:val="28"/>
          <w:szCs w:val="28"/>
          <w:rtl w:val="true"/>
          <w:lang w:bidi="ar-SA"/>
        </w:rPr>
        <w:t>، ولازمه عدم ما يقتضي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على ما ذكر ما أورد عليه الشيخ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الأولوية؛ لاحتمال أن يكون للضمان سبب، يرتفع بالمعاملة الصحيحة دون الفاسدة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مقتضى الدليل الآخر الذي أشار إليه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اقتضاء عدم الضمان؛ لاحتمال أن تكون الأمانة المالكية أو الشرعية تقتضي سلب الضمان، على احتمال تأتي الإشارة إليه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641" w:name="pg15195_150809"/>
    </w:p>
    <w:p>
      <w:pPr>
        <w:pStyle w:val="Heading4"/>
        <w:numPr>
          <w:ilvl w:val="3"/>
          <w:numId w:val="1"/>
        </w:numPr>
        <w:rPr/>
      </w:pPr>
      <w:bookmarkStart w:id="642" w:name="__RefHeading___Toc2495623_2142443653"/>
      <w:bookmarkStart w:id="643" w:name="_Toc227"/>
      <w:bookmarkEnd w:id="641"/>
      <w:bookmarkEnd w:id="642"/>
      <w:r>
        <w:rPr>
          <w:rtl w:val="true"/>
        </w:rPr>
        <w:t>استدلال الشيخ الأعظم بأدلّة الاستئمان</w:t>
      </w:r>
      <w:bookmarkEnd w:id="64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الفاسد وإن لم يكن له دخل في الضمان، إلاّ 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خرج منه المقبوض بصحاح العقود التي تكون مواردها غير مضمونة على القابض، وبقي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به المقبوض بصحاح تلك العقود، يخرج به المقبوض بفاسدها، وهي 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لم يضمّنه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ملّكه إيّاه بغير عوض، أو سلّطه على الانتفاع به، أو استأمنه عليه لحفظه، أو دفعه إليه لاستيفاء حقّه، أو العمل فيه بلا اُجرة، أو معها،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المخصّص لقاعدة الضمان 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استأمنه المالك على ملكه غير ضامن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تتّهمه</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تشبّث في الهبة الفاسدة بفحوى ذلك العموم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عموماً أو إطلاقاً في الأدلّة بهذه التوسعة التي ادّعاها رحمه الله علیه، ولعلّ نظره إلى بعض الروايات في باب الأمانة، والعارية، والإجارة، كمرسلة أبان بن عثمان، عن أبي جعفر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الذي يستبضع المال </w:t>
      </w:r>
    </w:p>
    <w:p>
      <w:pPr>
        <w:pStyle w:val="BookText"/>
        <w:rPr/>
      </w:pPr>
      <w:r>
        <w:rPr>
          <w:rFonts w:ascii="Amiri" w:hAnsi="Amiri" w:eastAsia="Amiri" w:cs="Amiri"/>
          <w:color w:val="111111"/>
          <w:sz w:val="28"/>
          <w:sz w:val="28"/>
          <w:szCs w:val="28"/>
          <w:rtl w:val="true"/>
          <w:lang w:bidi="ar-SA"/>
        </w:rPr>
        <w:t>فيهلك أو يسرق، أ على صاحبه ضمان؟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بسند كالصحيح</w:t>
      </w:r>
      <w:r>
        <w:rPr>
          <w:rStyle w:val="FootnoteAnchor"/>
          <w:rtl w:val="true"/>
        </w:rPr>
        <w:footnoteReference w:id="910"/>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ونحوها أو قريب منها روايات اُخر في الإعارة</w:t>
      </w:r>
      <w:r>
        <w:rPr>
          <w:rStyle w:val="FootnoteAnchor"/>
          <w:rtl w:val="true"/>
        </w:rPr>
        <w:footnoteReference w:id="911"/>
      </w:r>
      <w:r>
        <w:rPr>
          <w:rFonts w:ascii="Amiri" w:hAnsi="Amiri" w:eastAsia="Amiri" w:cs="Amiri"/>
          <w:color w:val="111111"/>
          <w:sz w:val="28"/>
          <w:sz w:val="28"/>
          <w:szCs w:val="28"/>
          <w:rtl w:val="true"/>
          <w:lang w:bidi="ar-SA"/>
        </w:rPr>
        <w:t>، والإجارة</w:t>
      </w:r>
      <w:r>
        <w:rPr>
          <w:rStyle w:val="FootnoteAnchor"/>
          <w:rtl w:val="true"/>
        </w:rPr>
        <w:footnoteReference w:id="912"/>
      </w:r>
      <w:r>
        <w:rPr>
          <w:rFonts w:ascii="Amiri" w:hAnsi="Amiri" w:eastAsia="Amiri" w:cs="Amiri"/>
          <w:color w:val="111111"/>
          <w:sz w:val="28"/>
          <w:sz w:val="28"/>
          <w:szCs w:val="28"/>
          <w:rtl w:val="true"/>
          <w:lang w:bidi="ar-SA"/>
        </w:rPr>
        <w:t xml:space="preserve">، وغيرهما </w:t>
      </w:r>
      <w:r>
        <w:rPr>
          <w:rStyle w:val="FootnoteAnchor"/>
          <w:rtl w:val="true"/>
        </w:rPr>
        <w:footnoteReference w:id="913"/>
      </w:r>
      <w:r>
        <w:rPr>
          <w:rFonts w:ascii="Amiri" w:hAnsi="Amiri" w:eastAsia="Amiri" w:cs="Amiri"/>
          <w:color w:val="111111"/>
          <w:sz w:val="28"/>
          <w:sz w:val="28"/>
          <w:szCs w:val="28"/>
          <w:rtl w:val="true"/>
          <w:lang w:bidi="ar-SA"/>
        </w:rPr>
        <w:t>، بدعوى أنّ ذيلها بمنزلة التعليل، فيفهم منه أنّ كلّ أمين لا غرم عليه، سواء كان الاستئمان في العقد الفاسد أو الصحيح، وسواء كان المدفوع بعنوان الأمانة أو ما يفيد معناها ولو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وبدعوى أنّ التسليم في باب الإجارة، والمضاربة، ونحوهما يكون من قبيل جعل العين أمانة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استأمن الرجل غيره بأيّ نحو كان، لا يكون ضامناً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إمكان الخدشة في كون ما ذكر بمنزلة التعليل، واحتمال أن يكون بياناً لمورد القضيّة؛ أي بعد ما جعلته في المورد أميناً، لا غرم عليه، وهذا نحو أن يسأل الطبيب عن الرمّان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كان حلواً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يفهم منه أنّ كلّ حلو لا مانع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الرواية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الإخبار عن قضيّة واقعية،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كان أميناً</w:t>
      </w:r>
    </w:p>
    <w:p>
      <w:pPr>
        <w:pStyle w:val="BookText"/>
        <w:rPr/>
      </w:pPr>
      <w:r>
        <w:rPr>
          <w:rFonts w:ascii="Amiri" w:hAnsi="Amiri" w:eastAsia="Amiri" w:cs="Amiri"/>
          <w:color w:val="111111"/>
          <w:sz w:val="28"/>
          <w:sz w:val="28"/>
          <w:szCs w:val="28"/>
          <w:rtl w:val="true"/>
          <w:lang w:bidi="ar-SA"/>
        </w:rPr>
        <w:t>لا تصدر منه الخيانة والإفراط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ضامناً بحسب الواقع، وعلى هذا لا يكون تعليلاً يستفاد منه 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أنّه بعد ما اتّخذته أميناً، وجعلت المال أمانة عنده، لم يحكم عليه بالغرم إلاّ مع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الاتّخاذ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الوديعة، إنّما يصدق مع صحّته، وأمّا مع فساده فلا؛ لأنّ المراد ليس كونه أميناً واقعاً، أو كونه مورد وثوق المودع، بل المراد أنّه مع اتّخاذه في العقد والقرار أميناً، وجعلت بضاعتك أمانة لديه، لم يحكم عليه بالغرم، فلا يكون صادقاً في فاسد العقد؛ لأنّه لم يتّخذه أميناً مطلقاً، بل في العقد مع البناء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أنّه بعد اتّخاذه أميناً، لا يكون ضامناً بالتلف السماوي من غير</w:t>
      </w:r>
    </w:p>
    <w:p>
      <w:pPr>
        <w:pStyle w:val="BookText"/>
        <w:rPr/>
      </w:pPr>
      <w:r>
        <w:rPr>
          <w:rFonts w:ascii="Amiri" w:hAnsi="Amiri" w:eastAsia="Amiri" w:cs="Amiri"/>
          <w:color w:val="111111"/>
          <w:sz w:val="28"/>
          <w:sz w:val="28"/>
          <w:szCs w:val="28"/>
          <w:rtl w:val="true"/>
          <w:lang w:bidi="ar-SA"/>
        </w:rPr>
        <w:t>إفراط وتفريط، فيأتي فيه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بعد ما كان أميناً واقعاً لا يضمن، ومقتضى التعليل أن لا يضمن الأمين بالتلف السماوي مطلقاً، ويضمن غير الأمين، ففي المقبوض بالعقد الفاسد مثلاً إذا كان القابض أميناً ثقة لا يضمن، بخلاف غير الأمين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أنّ كلّ من استأمنته لا يضمن؛ بمعنى أنّ كلّ من جعلت </w:t>
      </w:r>
    </w:p>
    <w:p>
      <w:pPr>
        <w:pStyle w:val="BookText"/>
        <w:rPr/>
      </w:pPr>
      <w:r>
        <w:rPr>
          <w:rFonts w:ascii="Amiri" w:hAnsi="Amiri" w:eastAsia="Amiri" w:cs="Amiri"/>
          <w:color w:val="111111"/>
          <w:sz w:val="28"/>
          <w:sz w:val="28"/>
          <w:szCs w:val="28"/>
          <w:rtl w:val="true"/>
          <w:lang w:bidi="ar-SA"/>
        </w:rPr>
        <w:t>الشيء عنده بعنوان الأمانة ليس بضامن، فيشمل الصحيح والفاسد، وهذان الاحتمالان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المعاملة الخاصّة 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عدم الضمان منها في فاسد عقد الأمانات، فاستفادته في مثل الإجارة، والرهن، والوقف،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عقد، أو يكون موضوع القاعدة أعمّ من العقد مشكلة؛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الاستبضاع نحو أمانة؛ حيث إنّ التاجر يسلّم مال التجارة إلى غيره ليتّجر به، وكان النفع للمالك، فتسليم العين بهذا العنوان نحو استئمان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تسليم العين المرهونة للمرتهن، والعين المستأجرة للمستأجر، فليس في شيء منهما استئمان، وجعلها أمانة، بل هو باعتبار الوفاء بالعقد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الرواية المتقدّمة أنّ تشخيص الدافع أمانة الطرف أو تسليمه العين باعتقاد أنّه أمين، رافع للضمان، حتّى يقال في مثل الرهن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بل المراد أنّ جعل الشيء أمانة، وأخذ الشخص في هذا القرار أميناً، 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الراهن لم يجعل المرتهن في رهنه أميناً، وكذا المؤجر، وإن كان التسليم مع اعتقادهما بأمانة الطرف والوثوق به، لكنّ ذلك ليس موضوعاً للحكم كما يظهر بالتأمّل، مع أنّ التسليم بالاعتقاد المذكور لا يصدق كلّياً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تكون الروايات التي بصدد بيان الحكم في تلك الأبواب المختلفة على كثرتها، على طائفتين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علیه السلام في الحمّامي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أمين</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الوديعة والبضاعة مؤتمنان</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هي بهذا المضمون بصدد بيان ما تقدّم آنفاً، ويكون المراد منها أنّ من جعل أميناً أي اتّخذه صاحب المال أميناً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 إمّا واقعاً في غير مورد الإفراط والتفريط، وإمّا ظاهراً وفي مقام الدعوى؛ أي يطالب البيّنة من صاحب المال، واليمين عليه، وهذا تعبير شائع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سلّمنا شمول الأدلّة المذكورة لصحيح الإجارة، والرهن، والمضاربة، وغيرها، لا سبيل إلى دعوى شمولها لفاسدها؛ لأنّ المالك لم يتّخذ طرفه أميناً مطلقاً، بل إنّما يعمل على طبق عقد الإجارة ونحوها، والكلام في الفاسد هاهنا، كالكلام في المقبوض بالبيع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منزلة الأمين، فلا يتعدّى عن مورده، وهو واضح</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مسلماً عدلاً فليس عليه ضمان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يضمّن القصّار والصانع احتياطاً للناس، وكان أبي يتطوّل عليه إذا كان مأموناً</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استأجر حمّالاً، فيكسر الذي يحمل، أو يهريقه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نحو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فليس عليه شيء، وإن كان غير مأمون فهو ضامن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علیه السلام في الرواية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يكون الرجل أميناً</w:t>
      </w:r>
      <w:r>
        <w:rPr>
          <w:rFonts w:eastAsia="IRNazanin" w:cs="IRNazanin"/>
          <w:color w:val="111111"/>
          <w:sz w:val="28"/>
          <w:szCs w:val="28"/>
          <w:rtl w:val="true"/>
          <w:lang w:bidi="fa-IR"/>
        </w:rPr>
        <w:t>»</w:t>
      </w:r>
      <w:r>
        <w:rPr>
          <w:rStyle w:val="FootnoteAnchor"/>
          <w:rtl w:val="true"/>
        </w:rPr>
        <w:footnoteReference w:id="919"/>
      </w:r>
      <w:r>
        <w:rPr>
          <w:rFonts w:ascii="Amiri" w:hAnsi="Amiri" w:eastAsia="Amiri" w:cs="Amiri"/>
          <w:color w:val="111111"/>
          <w:sz w:val="28"/>
          <w:sz w:val="28"/>
          <w:szCs w:val="28"/>
          <w:rtl w:val="true"/>
          <w:lang w:bidi="ar-SA"/>
        </w:rPr>
        <w:t>لأنّ الاستبضاع ليس على نحو الأمانة حقيقة، بل كان حاله حال القصّار والحمّال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بصدد بيان التغريم في مقام القضاء، والتفصيل بين الأمين، والثقة، والعدل، وغيرهم، فيحكم بغرم غير المأمون، وعدم غرم المأمون؛ أي في مقام القضاء، ومطالبة البيّنة، وتوجّه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كالطائفة الاُولى، وردت في موارد تكون 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إذا كان التلف عن إفراط وتفريط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إذا كان سماوياً بغيرهما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المورد مفروض في تلك الروايات، فلا يعقل تشخيص الموضوع </w:t>
      </w:r>
      <w:bookmarkStart w:id="644" w:name="pg15195_150815"/>
    </w:p>
    <w:p>
      <w:pPr>
        <w:pStyle w:val="BookText"/>
        <w:rPr/>
      </w:pPr>
      <w:bookmarkEnd w:id="644"/>
      <w:r>
        <w:rPr>
          <w:rFonts w:ascii="Amiri" w:hAnsi="Amiri" w:eastAsia="Amiri" w:cs="Amiri"/>
          <w:color w:val="111111"/>
          <w:sz w:val="28"/>
          <w:sz w:val="28"/>
          <w:szCs w:val="28"/>
          <w:rtl w:val="true"/>
          <w:lang w:bidi="ar-SA"/>
        </w:rPr>
        <w:t>والمورد بها، فلا يمكن استفادة حكم العقود الفاسدة التي لم يعلم أنّ لها حالتين منها،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التفصيل بين الأمين وغيره في الضمان، أعمّ من وجه مع المدّعى</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495625_2142443653"/>
      <w:bookmarkStart w:id="646" w:name="_Toc228"/>
      <w:bookmarkEnd w:id="645"/>
      <w:r>
        <w:rPr>
          <w:rtl w:val="true"/>
        </w:rPr>
        <w:t>الاستدلال بموثّقة إسحاق بن عمّار على عكس القاعدة</w:t>
      </w:r>
      <w:bookmarkEnd w:id="646"/>
    </w:p>
    <w:p>
      <w:pPr>
        <w:pStyle w:val="BookText"/>
        <w:rPr/>
      </w:pPr>
      <w:r>
        <w:rPr>
          <w:rFonts w:ascii="Amiri" w:hAnsi="Amiri" w:eastAsia="Amiri" w:cs="Amiri"/>
          <w:color w:val="111111"/>
          <w:sz w:val="28"/>
          <w:sz w:val="28"/>
          <w:szCs w:val="28"/>
          <w:rtl w:val="true"/>
          <w:lang w:bidi="ar-SA"/>
        </w:rPr>
        <w:t>وأمّا التشبّث بموثّقة إسحاق بن عمّار</w:t>
      </w:r>
      <w:r>
        <w:rPr>
          <w:rStyle w:val="FootnoteAnchor"/>
          <w:rtl w:val="true"/>
        </w:rPr>
        <w:footnoteReference w:id="9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يرهن الغلام والدار فتصيبه الآفة، على من يكون؟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قتل قتيلاً، على من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فلِمَ يذهب مال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كان ثمنه مائة دينار، فزاد وبلغ مائتي دينار، لمن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يكون عليه ما يكون 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العلّية من ذيلها،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له الغنم فعليه الغرم</w:t>
      </w:r>
      <w:r>
        <w:rPr>
          <w:rFonts w:eastAsia="Amiri" w:cs="Amiri" w:ascii="Amiri" w:hAnsi="Amiri"/>
          <w:color w:val="111111"/>
          <w:sz w:val="28"/>
          <w:szCs w:val="28"/>
          <w:rtl w:val="true"/>
          <w:lang w:bidi="ar-SA"/>
        </w:rPr>
        <w:t xml:space="preserve">» </w:t>
      </w:r>
      <w:bookmarkStart w:id="647" w:name="pg15195_150816"/>
    </w:p>
    <w:p>
      <w:pPr>
        <w:pStyle w:val="BookText"/>
        <w:rPr/>
      </w:pPr>
      <w:bookmarkEnd w:id="647"/>
      <w:r>
        <w:rPr>
          <w:rFonts w:ascii="Amiri" w:hAnsi="Amiri" w:eastAsia="Amiri" w:cs="Amiri"/>
          <w:color w:val="111111"/>
          <w:sz w:val="28"/>
          <w:sz w:val="28"/>
          <w:szCs w:val="28"/>
          <w:rtl w:val="true"/>
          <w:lang w:bidi="ar-SA"/>
        </w:rPr>
        <w:t>ومعلوم أنّ في فاسد تلك العقود يكون الغنم لصاحب المال، فالغرم عليه، فلا يضمن بفاسدها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خبير بما فيه؛ لعدم الدليل على كونه علّة للحكم، بل الظاهر أنّه تقريب إلى ذهن السائل في المورد، كما أنّ صدرها الراجع إلى قتل العبد تقريب لا تعليل، ولو كان تعليلاً للزم منه التخصيص الكثير بل المستهجن؛ لأنّ كلّية موارد الضمان من الغصب، والأيادي غير المحقّة ولو لم تكن غصباً، والمقبوض بالعقود الفاسدة التي فيها ضمان، والمقبوض بالسوم، وغيرها خارجة عنه</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2495627_2142443653"/>
      <w:bookmarkStart w:id="649" w:name="_Toc229"/>
      <w:bookmarkEnd w:id="648"/>
      <w:r>
        <w:rPr>
          <w:rtl w:val="true"/>
        </w:rPr>
        <w:t>جواز شرط الضمان فيما لا ضمان وبالعكس</w:t>
      </w:r>
      <w:bookmarkEnd w:id="649"/>
    </w:p>
    <w:p>
      <w:pPr>
        <w:pStyle w:val="BookText"/>
        <w:rPr/>
      </w:pPr>
      <w:r>
        <w:rPr>
          <w:rFonts w:ascii="IRNazanin" w:hAnsi="IRNazanin" w:eastAsia="IRNazanin"/>
          <w:color w:val="111111"/>
          <w:sz w:val="28"/>
          <w:sz w:val="28"/>
          <w:szCs w:val="28"/>
          <w:rtl w:val="true"/>
          <w:lang w:bidi="fa-IR"/>
        </w:rPr>
        <w:t>ثمّ إنّ المستفاد من الأدلّة الواردة في هذه الأبواب، هل هو الضمان في مورده، وعدمه في مورده بنحو الاقتضاء، كما في إيجاب الصلاة وتحريم الخمر، فلا يجوز شرط عدمه في مورد يقتضي الضمان، ولا شرط الضمان في مورد يقتضي عدمه، ويكون الاشتراط مخالفاً للشرع؛ بدعوى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ضمان على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مخالف لشرط الضمان، وكذا شرط عدم الضمان مخالف لقوله صلی الله علیه و آله وسلم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w:t>
      </w:r>
      <w:r>
        <w:rPr>
          <w:rStyle w:val="FootnoteAnchor"/>
          <w:rtl w:val="true"/>
        </w:rPr>
        <w:footnoteReference w:id="922"/>
      </w:r>
      <w:r>
        <w:rPr>
          <w:rFonts w:ascii="Amiri" w:hAnsi="Amiri" w:eastAsia="Amiri" w:cs="Amiri"/>
          <w:color w:val="111111"/>
          <w:sz w:val="28"/>
          <w:sz w:val="28"/>
          <w:szCs w:val="28"/>
          <w:rtl w:val="true"/>
          <w:lang w:bidi="ar-SA"/>
        </w:rPr>
        <w:t>إلى آخره، وللأدلّة الخاصّة للضمان؟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شرط عدم الضمان في مورد الضمان مخالفاً للشرع، دون شرط الضمان في مورد عدمه؛ بدعوى أنّ الظاهر من جعل الضمان أنّه حكم اقتضائي؛ لأنّ ثبوت الحكم لا يكون إلاّ عن اقتضاء، وأمّا أدلّة نفي الضمان فلا تدلّ إلاّ </w:t>
      </w:r>
    </w:p>
    <w:p>
      <w:pPr>
        <w:pStyle w:val="BookText"/>
        <w:rPr/>
      </w:pPr>
      <w:r>
        <w:rPr>
          <w:rFonts w:ascii="Amiri" w:hAnsi="Amiri" w:eastAsia="Amiri" w:cs="Amiri"/>
          <w:color w:val="111111"/>
          <w:sz w:val="28"/>
          <w:sz w:val="28"/>
          <w:szCs w:val="28"/>
          <w:rtl w:val="true"/>
          <w:lang w:bidi="ar-SA"/>
        </w:rPr>
        <w:t>على عدمه، وهو لا يقتضي إلاّ عدم ثبوته؛ لعدم اقتضائه، وكونه عن اقتضاء لا بدّ فيه من الدلالة، وهي مفقودة؟</w:t>
      </w:r>
    </w:p>
    <w:p>
      <w:pPr>
        <w:pStyle w:val="BookText"/>
        <w:rPr/>
      </w:pPr>
      <w:r>
        <w:rPr>
          <w:rFonts w:ascii="Amiri" w:hAnsi="Amiri" w:eastAsia="Amiri" w:cs="Amiri"/>
          <w:color w:val="111111"/>
          <w:sz w:val="28"/>
          <w:sz w:val="28"/>
          <w:szCs w:val="28"/>
          <w:rtl w:val="true"/>
          <w:lang w:bidi="ar-SA"/>
        </w:rPr>
        <w:t>أو يكون شرط عدم الضمان في مورده أيضاً غير مخالف للشرع؛ بدعوى أنّ الضمان إنّما هو لمراعاة المالك، فالأدلّة منصرفة عن مورد الاشتراط برضا المالك؟</w:t>
      </w:r>
    </w:p>
    <w:p>
      <w:pPr>
        <w:pStyle w:val="BookText"/>
        <w:rPr/>
      </w:pPr>
      <w:r>
        <w:rPr>
          <w:rFonts w:ascii="IRNazanin" w:hAnsi="IRNazanin" w:eastAsia="IRNazanin"/>
          <w:color w:val="111111"/>
          <w:sz w:val="28"/>
          <w:sz w:val="28"/>
          <w:szCs w:val="28"/>
          <w:rtl w:val="true"/>
          <w:lang w:bidi="fa-IR"/>
        </w:rPr>
        <w:t>لا يبعد رجحان هذا الأخير، ويدلّ عليه الروايات الدالّة على جواز الشرط في العارية؛ فإنّها تدلّ على جواز شرط الضمان فيما لا ضمان مع عدمه، وجواز شرط عدم الضمان فيما فيه الضمان، كالذهب والفضّة، ففي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العارية مضمونة؟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استعرته فَتَوى فلا يلزمك تواه، إلاّ الذهب والفضّة، فإنّهما يلزمان، إلاّ أن تشترط عليه أنّه متى توى لم يلزمك تواه، وكذلك جميع ما استعرت فاشترط عليك لزمك، والذهب والفضّة لازم لك وإن لم يشترط عليك</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صحيحةٍ اُخرى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وديعة الذهب والفضّة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وديعة، ولم تكن مضمونة، لا تلزم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اشتراط عدم الضمان، وإلاّ فمن قبيل توضيح الواضح، </w:t>
      </w:r>
      <w:bookmarkStart w:id="650" w:name="pg15195_150818"/>
    </w:p>
    <w:p>
      <w:pPr>
        <w:pStyle w:val="BookText"/>
        <w:rPr/>
      </w:pPr>
      <w:bookmarkEnd w:id="650"/>
      <w:r>
        <w:rPr>
          <w:rFonts w:ascii="Amiri" w:hAnsi="Amiri" w:eastAsia="Amiri" w:cs="Amiri"/>
          <w:color w:val="111111"/>
          <w:sz w:val="28"/>
          <w:sz w:val="28"/>
          <w:szCs w:val="28"/>
          <w:rtl w:val="true"/>
          <w:lang w:bidi="ar-SA"/>
        </w:rPr>
        <w:t>وتدلّ عليه بعض الروايات في كتاب الإجارة</w:t>
      </w:r>
      <w:r>
        <w:rPr>
          <w:rStyle w:val="FootnoteAnchor"/>
          <w:rtl w:val="true"/>
        </w:rPr>
        <w:footnoteReference w:id="92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بحسب القواعد ومقتضى تلك الروايات، وأمّا البحث الفقهي الجامع فمحتاج إلى المراجعة والتفصيل</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495629_2142443653"/>
      <w:bookmarkStart w:id="652" w:name="_Toc230"/>
      <w:bookmarkEnd w:id="651"/>
      <w:r>
        <w:rPr>
          <w:rtl w:val="true"/>
        </w:rPr>
        <w:t>استدلال المحقّق النائيني لعكس القاعدة</w:t>
      </w:r>
      <w:bookmarkEnd w:id="652"/>
    </w:p>
    <w:p>
      <w:pPr>
        <w:pStyle w:val="BookText"/>
        <w:rPr/>
      </w:pPr>
      <w:r>
        <w:rPr>
          <w:rFonts w:ascii="Amiri" w:hAnsi="Amiri" w:eastAsia="Amiri" w:cs="Amiri"/>
          <w:color w:val="111111"/>
          <w:sz w:val="28"/>
          <w:sz w:val="28"/>
          <w:szCs w:val="28"/>
          <w:rtl w:val="true"/>
          <w:lang w:bidi="ar-SA"/>
        </w:rPr>
        <w:t>ثمّ إنّه قد يستدلّ للعكس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المالك في القبض الصحيح، إذا سلّط القابض على ماله مجّاناً، تخرج يده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تخصّصاً، أو تخصيصاً، وملاكه في الفاسد بعينه هو الملاك في الصحيح، ولا أولوية لأحدهما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التسليط في مثل عقد الإجارة والرهن ليس مجّاناً؛ لأنّ التسليم لأجل الحقّ القائم بالعين لاستيفاء المنفعة، ولو فرض أنّ الثمن في الإجارة في مقابل المنفعة، لكن للمستأجر حقّ على العين لاستيفائها، والتسليم لأجل هذا الحقّ، لا المجّان، مع أنّه لم يرد دليل في التسليم 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هذا النحو من التسليم، الذي هو لإعطاء مورد حقّ الغير، في غير محلّها، ولو سلّم الانصراف عن صحاح تلك العقود فلم يتّضح وجه لانصرافه عن فاسدها، كما لا دليل على التخصيص</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الأولوية</w:t>
      </w:r>
      <w:r>
        <w:rPr>
          <w:rStyle w:val="FootnoteAnchor"/>
          <w:rtl w:val="true"/>
        </w:rPr>
        <w:footnoteReference w:id="927"/>
      </w:r>
      <w:r>
        <w:rPr>
          <w:rFonts w:ascii="Amiri" w:hAnsi="Amiri" w:eastAsia="Amiri" w:cs="Amiri"/>
          <w:color w:val="111111"/>
          <w:sz w:val="28"/>
          <w:sz w:val="28"/>
          <w:szCs w:val="28"/>
          <w:rtl w:val="true"/>
          <w:lang w:bidi="ar-SA"/>
        </w:rPr>
        <w:t>غير وجيهة؛ لأنّ التسليم في الفاسد بزعم تعلّق حقّ الغير به، فمثله غير خارج عن عموم اليد تخصّصاً أو تخصيصاً</w:t>
      </w:r>
      <w:r>
        <w:rPr>
          <w:rFonts w:eastAsia="Amiri" w:cs="Amiri" w:ascii="Amiri" w:hAnsi="Amiri"/>
          <w:color w:val="111111"/>
          <w:sz w:val="28"/>
          <w:szCs w:val="28"/>
          <w:rtl w:val="true"/>
          <w:lang w:bidi="ar-SA"/>
        </w:rPr>
        <w:t xml:space="preserve">. </w:t>
      </w:r>
      <w:bookmarkStart w:id="653" w:name="pg15195_150819"/>
    </w:p>
    <w:p>
      <w:pPr>
        <w:pStyle w:val="BookText"/>
        <w:rPr/>
      </w:pPr>
      <w:bookmarkEnd w:id="653"/>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من قبيل الدواعي على التسليم، لا العنوان للعقد الصحيح</w:t>
      </w:r>
      <w:r>
        <w:rPr>
          <w:rStyle w:val="FootnoteAnchor"/>
          <w:rtl w:val="true"/>
        </w:rPr>
        <w:footnoteReference w:id="928"/>
      </w:r>
      <w:r>
        <w:rPr>
          <w:rFonts w:ascii="Amiri" w:hAnsi="Amiri" w:eastAsia="Amiri" w:cs="Amiri"/>
          <w:color w:val="111111"/>
          <w:sz w:val="28"/>
          <w:sz w:val="28"/>
          <w:szCs w:val="28"/>
          <w:rtl w:val="true"/>
          <w:lang w:bidi="ar-SA"/>
        </w:rPr>
        <w:t>، غير وجيهة؛ ضرورة أنّ التسليم لأجل الوفاء بالعقد لا غير، والوفاء إنّما هو في العقود الصحيحة لدى المتعاملين، فتوهّم إطلاق الرضا في غير محلّه، كما مرّ نحوه في البيع الفاسد</w:t>
      </w:r>
      <w:r>
        <w:rPr>
          <w:rStyle w:val="FootnoteAnchor"/>
          <w:rtl w:val="true"/>
        </w:rPr>
        <w:footnoteReference w:id="92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تأتي الإشارة إليه في ضمن النقض الآتي</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495631_2142443653"/>
      <w:bookmarkStart w:id="655" w:name="_Toc231"/>
      <w:bookmarkEnd w:id="654"/>
      <w:r>
        <w:rPr>
          <w:rtl w:val="true"/>
        </w:rPr>
        <w:t>النقض على عكس القاعدة بالإجارة</w:t>
      </w:r>
      <w:bookmarkEnd w:id="655"/>
    </w:p>
    <w:p>
      <w:pPr>
        <w:pStyle w:val="Heading4"/>
        <w:numPr>
          <w:ilvl w:val="3"/>
          <w:numId w:val="1"/>
        </w:numPr>
        <w:rPr/>
      </w:pPr>
      <w:bookmarkStart w:id="656" w:name="__RefHeading___Toc2495633_2142443653"/>
      <w:bookmarkStart w:id="657" w:name="_Toc232"/>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ثمّ إنّه قد يرد النقض على العكس بعقد الإجارة؛ فإنّ صحيحه لا يضمن به بلا إشكال، لكن فاسده يضمن به على 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وظاهر كلمات الأصحاب كما عن الأردبيلي قدّس سرّه </w:t>
      </w:r>
      <w:r>
        <w:rPr>
          <w:rStyle w:val="FootnoteAnchor"/>
          <w:rtl w:val="true"/>
        </w:rPr>
        <w:footnoteReference w:id="931"/>
      </w:r>
      <w:r>
        <w:rPr>
          <w:rFonts w:ascii="IRNazanin" w:hAnsi="IRNazanin" w:eastAsia="IRNazanin"/>
          <w:color w:val="111111"/>
          <w:sz w:val="28"/>
          <w:sz w:val="28"/>
          <w:szCs w:val="28"/>
          <w:rtl w:val="true"/>
          <w:lang w:bidi="fa-IR"/>
        </w:rPr>
        <w:t>، وإن ادّعى خلافه المحقّق الثاني رحمه الله علیه على ما حكي عنه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2495635_2142443653"/>
      <w:bookmarkStart w:id="659" w:name="_Toc233"/>
      <w:bookmarkEnd w:id="658"/>
      <w:r>
        <w:rPr>
          <w:rtl w:val="true"/>
        </w:rPr>
        <w:t xml:space="preserve">ولا بدّ في المقام من تقديم اُمور حتّى يتّضح المقصود </w:t>
      </w:r>
      <w:r>
        <w:rPr>
          <w:rtl w:val="true"/>
        </w:rPr>
        <w:t>:</w:t>
      </w:r>
      <w:bookmarkEnd w:id="659"/>
    </w:p>
    <w:p>
      <w:pPr>
        <w:pStyle w:val="Heading4"/>
        <w:numPr>
          <w:ilvl w:val="3"/>
          <w:numId w:val="1"/>
        </w:numPr>
        <w:rPr/>
      </w:pPr>
      <w:bookmarkStart w:id="660" w:name="__RefHeading___Toc2495637_2142443653"/>
      <w:bookmarkStart w:id="661" w:name="_Toc234"/>
      <w:bookmarkEnd w:id="660"/>
      <w:r>
        <w:rPr>
          <w:rtl w:val="true"/>
        </w:rPr>
        <w:t xml:space="preserve">الأوّل </w:t>
      </w:r>
      <w:r>
        <w:rPr>
          <w:rtl w:val="true"/>
        </w:rPr>
        <w:t xml:space="preserve">: </w:t>
      </w:r>
      <w:r>
        <w:rPr>
          <w:rtl w:val="true"/>
        </w:rPr>
        <w:t>بيان ماهية الإجارة</w:t>
      </w:r>
      <w:bookmarkEnd w:id="66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ماهية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عبارة عن نقل المنافع؛ بحيث لا تكون في إيقاع عقدها إضافة بين المستأجر والعين المستأجرة، بل الإضافة </w:t>
      </w:r>
    </w:p>
    <w:p>
      <w:pPr>
        <w:pStyle w:val="BookText"/>
        <w:rPr/>
      </w:pPr>
      <w:r>
        <w:rPr>
          <w:rFonts w:ascii="Amiri" w:hAnsi="Amiri" w:eastAsia="Amiri" w:cs="Amiri"/>
          <w:color w:val="111111"/>
          <w:sz w:val="28"/>
          <w:sz w:val="28"/>
          <w:szCs w:val="28"/>
          <w:rtl w:val="true"/>
          <w:lang w:bidi="ar-SA"/>
        </w:rPr>
        <w:t xml:space="preserve">بينه وبين المنافع هي إضافة الملكية، فيكون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منافع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اللفظ الصريح،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الكناية؛ لعدم صراحتهما في تمليك المنفعة ونقلها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عبارة عن إضافة بين العين المستأجرة والمستأجر، من غير تضمّنها لنقل المنافع، وإنّما يكون نقلها تبعاً للإضافة المذكورة، لا بسببية الإجارة ابتداءً، نظير نقل منافع العين في البيع؛ فإنّها ليست تحت جعل المتعاملين، وإنّما تنتقل إلى المشتري تبعاً لنقل العين، لا بسببية العقد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الاحتمالان في طرفي الإفراط والتفريط، ومخالفان لاعتبار العقلاء في ماهية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عبارة عن إضافة خاصّة لاستيفاء المنفعة، أو للانتفاع بالعين؛ بمعنى كون الاستيفاء والانتفاع غاية ملحوظة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إضافةٍ متضمّنة لنقل المنفعة، فتكون إضافة بين العين والمستأجر، متضمّنة لنقل المنفعة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إضافةٍ لازمها البيّن نقل المنافع، فيكون عقد الإجارة سبباً للإضافة الناقلة، فيكون النقل أيضاً مسبّباً ملحوظاً، ولازماً بيّناً له، وبهذا يفترق عن الاحتمال المتقدّم الذي زيّفناه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في الضعف الاحتمال الأوّل من الاحتمالات الأخيرة؛ فإنّ لازمه عدم نقل المنافع، والعرف على خلافه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ضعف احتمال كونها عبارة عن التسليط على العين للانتفاع أو استيفاء المنفعة، فبقي الاحتمالان</w:t>
      </w:r>
      <w:r>
        <w:rPr>
          <w:rFonts w:eastAsia="Amiri" w:cs="Amiri" w:ascii="Amiri" w:hAnsi="Amiri"/>
          <w:color w:val="111111"/>
          <w:sz w:val="28"/>
          <w:szCs w:val="28"/>
          <w:rtl w:val="true"/>
          <w:lang w:bidi="ar-SA"/>
        </w:rPr>
        <w:t xml:space="preserve">. </w:t>
      </w:r>
      <w:bookmarkStart w:id="662" w:name="pg15195_150821"/>
    </w:p>
    <w:p>
      <w:pPr>
        <w:pStyle w:val="BookText"/>
        <w:rPr/>
      </w:pPr>
      <w:bookmarkEnd w:id="662"/>
      <w:r>
        <w:rPr>
          <w:rFonts w:ascii="Amiri" w:hAnsi="Amiri" w:eastAsia="Amiri" w:cs="Amiri"/>
          <w:color w:val="111111"/>
          <w:sz w:val="28"/>
          <w:sz w:val="28"/>
          <w:szCs w:val="28"/>
          <w:rtl w:val="true"/>
          <w:lang w:bidi="ar-SA"/>
        </w:rPr>
        <w:t>ولا يبعد أقربية الثاني بحسب الفهم العرفي، فالإجارة إضافة خاصّة لازمها نقل المنافع،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أكريت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أعطيتها بالأجر، هو اللفظ الصريح لعقد الإجارة،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إيقاع الإجارة، فإنّه ليس بصريح</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2495639_2142443653"/>
      <w:bookmarkStart w:id="664" w:name="_Toc235"/>
      <w:bookmarkEnd w:id="663"/>
      <w:r>
        <w:rPr>
          <w:rtl w:val="true"/>
        </w:rPr>
        <w:t xml:space="preserve">الثاني </w:t>
      </w:r>
      <w:r>
        <w:rPr>
          <w:rtl w:val="true"/>
        </w:rPr>
        <w:t xml:space="preserve">: </w:t>
      </w:r>
      <w:r>
        <w:rPr>
          <w:rtl w:val="true"/>
        </w:rPr>
        <w:t>عدم اقتضاء الإجارة استيلاء المستأجر على العين</w:t>
      </w:r>
      <w:bookmarkEnd w:id="664"/>
    </w:p>
    <w:p>
      <w:pPr>
        <w:pStyle w:val="BookText"/>
        <w:rPr/>
      </w:pPr>
      <w:r>
        <w:rPr>
          <w:rFonts w:ascii="Amiri" w:hAnsi="Amiri" w:eastAsia="Amiri" w:cs="Amiri"/>
          <w:color w:val="111111"/>
          <w:sz w:val="28"/>
          <w:sz w:val="28"/>
          <w:szCs w:val="28"/>
          <w:rtl w:val="true"/>
          <w:lang w:bidi="ar-SA"/>
        </w:rPr>
        <w:t xml:space="preserve">الظاهر أنّ عقد الإجارة بما هو، لا يقتضي لزوم جعل المستأجر مستولياً على العين المستأجرة، سواء كان مورد الإجارة الحرّ، أو الدابّة، أو المساكن؛ لأنّ ماهية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عبارة عن نقل المنافع، أو الإضافة المستلزمة لذلك، أو غيرهما من الاحتمالات المتقدّمة، عدا احتمال أن تكون عبارة عن التسليط على العين لاستيفاء المنفعة، الذي زيّفناه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إلاّ تمكين المستأجر لاستيفاء حقّه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غير الاستيلاء، ولا يستلزمه؛ فإنّ الاستيلاء عبارة عن الاستبداد والتسلّط على الشيء، ومجرّد التمكين للتصرّف لا يقتضيه، فإذا آجر دابّة، وكانت بيد المؤجر وتحت استيلائه، وأذن المستأجر لاستيفاء حقّه منها، عمل بمقتضى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المساكن وغيرها، فإذا آجر بيتاً من السفينة أو القطار، وأذن في استيفاء المنفعة منه، عمل بمقتضاها، مع أنّ المستأجر ليس ذا يدٍ عليه ومستولياً، بل السفينة والقطار بجميع بيوتهما تحت استيلاء مديرهما، وكذا بيوتات الملك القاهر تحت سلطته ولو آجر بعضها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هو مقتضى القواعد، ومقتضى الإجارة في نفسها</w:t>
      </w:r>
      <w:r>
        <w:rPr>
          <w:rFonts w:eastAsia="Amiri" w:cs="Amiri" w:ascii="Amiri" w:hAnsi="Amiri"/>
          <w:color w:val="111111"/>
          <w:sz w:val="28"/>
          <w:szCs w:val="28"/>
          <w:rtl w:val="true"/>
          <w:lang w:bidi="ar-SA"/>
        </w:rPr>
        <w:t xml:space="preserve">. </w:t>
      </w:r>
      <w:bookmarkStart w:id="665" w:name="pg15195_150822"/>
    </w:p>
    <w:p>
      <w:pPr>
        <w:pStyle w:val="BookText"/>
        <w:rPr/>
      </w:pPr>
      <w:bookmarkEnd w:id="665"/>
      <w:r>
        <w:rPr>
          <w:rFonts w:ascii="Amiri" w:hAnsi="Amiri" w:eastAsia="Amiri" w:cs="Amiri"/>
          <w:color w:val="111111"/>
          <w:sz w:val="28"/>
          <w:sz w:val="28"/>
          <w:szCs w:val="28"/>
          <w:rtl w:val="true"/>
          <w:lang w:bidi="ar-SA"/>
        </w:rPr>
        <w:t>ولو فرض في بعض الموارد تعارف يوجب إيقاع العقد مبنيّاً عليه، فهو خارج عن المقتضى، وكالشرط الضمني</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495641_2142443653"/>
      <w:bookmarkStart w:id="667" w:name="_Toc236"/>
      <w:bookmarkEnd w:id="666"/>
      <w:r>
        <w:rPr>
          <w:rtl w:val="true"/>
        </w:rPr>
        <w:t>بطلان تفصيل المحقّق النائيني في موارد الإجارة</w:t>
      </w:r>
      <w:bookmarkEnd w:id="667"/>
    </w:p>
    <w:p>
      <w:pPr>
        <w:pStyle w:val="BookText"/>
        <w:rPr/>
      </w:pPr>
      <w:r>
        <w:rPr>
          <w:rFonts w:ascii="Amiri" w:hAnsi="Amiri" w:eastAsia="Amiri" w:cs="Amiri"/>
          <w:color w:val="111111"/>
          <w:sz w:val="28"/>
          <w:sz w:val="28"/>
          <w:szCs w:val="28"/>
          <w:rtl w:val="true"/>
          <w:lang w:bidi="ar-SA"/>
        </w:rPr>
        <w:t>فما قد يقال بأنّ إجارة الحرّ تقتضي عدم الاستيلاء؛ لعدم إمكان أن يدخل تحت اليد، وإجارة مثل الدابّة لا تقتضيه، وتكون بالنسبة إلى الاستيلاء بنحو اللا اقتضاء، ومثل إجارة الدار الاُجرة مقابلة لكون العين مدّة الإجارة في يد المستأجر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مرضيّ؛ لأنّ الحرّ قد يقع تحت الاستيلاء، ضرورة أنّ الأسير والمحبوس تحت اليد والاستيلاء عرفاً وواقعاً، وعدم صيرورة الحرّ مضموناً باليد، غير عدم إمكان دخوله تحتها، ولولا انصراف دليل اليد عن غير الأموال، لقلنا في النفوس بالضمان مع الاستيلاء العرفي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مثل إجارة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الاُجرة في مقابل كون العين في يد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 يخفى؛ فإنّ الاُجرة لو لم تكن في مقابل المنفعة صرفاً، فلا أقلّ من كونها في مقابل الإضافة المستلزمة لنقل المنفعة؛ بحيث يكون نقلها من المقوّمات، لا بنحو دخول التقييد وخروج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العين، لا عين ماهية الإجارة ولا لازمها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الإجارة حقيقة واحدة، لا يعقل أن تكون في مورد </w:t>
      </w:r>
      <w:bookmarkStart w:id="668" w:name="pg15195_150823"/>
    </w:p>
    <w:p>
      <w:pPr>
        <w:pStyle w:val="BookText"/>
        <w:rPr/>
      </w:pPr>
      <w:bookmarkEnd w:id="668"/>
      <w:r>
        <w:rPr>
          <w:rFonts w:ascii="Amiri" w:hAnsi="Amiri" w:eastAsia="Amiri" w:cs="Amiri"/>
          <w:color w:val="111111"/>
          <w:sz w:val="28"/>
          <w:sz w:val="28"/>
          <w:szCs w:val="28"/>
          <w:rtl w:val="true"/>
          <w:lang w:bidi="ar-SA"/>
        </w:rPr>
        <w:t>مقتضية لشيءٍ، وفي مورد لعدمه، وفي ثالث لا تقتضي شيئاً، فالتحقيق أنّها لا تقتضي الاستيلاء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منه رحمه الله علیه حيث قال في صدر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بناءً على أنّ العقد متعلّق بالعين، لا يكون في الفاسد والصحيح ضمان؛ لأنّ العين على هذا الوجه أمانة مالكية، ومقتضى كون العين تحت يد المستأجر مجّاناً أن لا تكون مضمونة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المقام في بيان مبنى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الاُجرة تقع في مثل الدار والعقار، مقابلةً لكون العين المستأجرة تحت اليد</w:t>
      </w:r>
      <w:r>
        <w:rPr>
          <w:rStyle w:val="FootnoteAnchor"/>
          <w:rtl w:val="true"/>
        </w:rPr>
        <w:footnoteReference w:id="935"/>
      </w:r>
      <w:r>
        <w:rPr>
          <w:rFonts w:ascii="Amiri" w:hAnsi="Amiri" w:eastAsia="Amiri" w:cs="Amiri"/>
          <w:color w:val="111111"/>
          <w:sz w:val="28"/>
          <w:sz w:val="28"/>
          <w:szCs w:val="28"/>
          <w:rtl w:val="true"/>
          <w:lang w:bidi="ar-SA"/>
        </w:rPr>
        <w:t xml:space="preserve">، فما معنى المجّانية الرافعة للضمان، مع كون الاُجرة 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يفرّق بين كون الاُجرة في مقابل ذات العين، أو مقابل الاستيلاء عليها، وهو كما ترى</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2495643_2142443653"/>
      <w:bookmarkStart w:id="670" w:name="_Toc237"/>
      <w:bookmarkEnd w:id="669"/>
      <w:r>
        <w:rPr>
          <w:rtl w:val="true"/>
        </w:rPr>
        <w:t xml:space="preserve">الثالث </w:t>
      </w:r>
      <w:r>
        <w:rPr>
          <w:rtl w:val="true"/>
        </w:rPr>
        <w:t xml:space="preserve">: </w:t>
      </w:r>
      <w:r>
        <w:rPr>
          <w:rtl w:val="true"/>
        </w:rPr>
        <w:t>عدم ضمان المستأجر</w:t>
      </w:r>
      <w:bookmarkEnd w:id="670"/>
    </w:p>
    <w:p>
      <w:pPr>
        <w:pStyle w:val="BookText"/>
        <w:rPr/>
      </w:pPr>
      <w:r>
        <w:rPr>
          <w:rFonts w:ascii="Amiri" w:hAnsi="Amiri" w:eastAsia="Amiri" w:cs="Amiri"/>
          <w:color w:val="111111"/>
          <w:sz w:val="28"/>
          <w:sz w:val="28"/>
          <w:szCs w:val="28"/>
          <w:rtl w:val="true"/>
          <w:lang w:bidi="ar-SA"/>
        </w:rPr>
        <w:t>بناءً على ما ذكرناه من أنّ عقد الإجارة لا يقتضي لزوم جعل مورد الإجارة تحت يد المستأجر، لو سلّط المؤجر، مع علمه بذلك، المستأجر على العين، يكون ذلك التسليط الذي برضاه، مع فقد ما يقتضيه شرعاً أو لدى العقلاء، غير موجب للضمان جزماً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لو شكّ في اقتضاء الإجارة للتسليط؛ فإنّ تسليطه على ماله حينئذٍ تسليط ورضىً به على أيّ حال، سيّما إذا كان المورد من موارد جريان الاُصول العقلية والشرعية، ففي مثله يخرج المورد عن دليل ضمان اليد، من غير </w:t>
      </w:r>
      <w:bookmarkStart w:id="671" w:name="pg15195_150824"/>
    </w:p>
    <w:p>
      <w:pPr>
        <w:pStyle w:val="BookText"/>
        <w:rPr/>
      </w:pPr>
      <w:bookmarkEnd w:id="671"/>
      <w:r>
        <w:rPr>
          <w:rFonts w:ascii="Amiri" w:hAnsi="Amiri" w:eastAsia="Amiri" w:cs="Amiri"/>
          <w:color w:val="111111"/>
          <w:sz w:val="28"/>
          <w:sz w:val="28"/>
          <w:szCs w:val="28"/>
          <w:rtl w:val="true"/>
          <w:lang w:bidi="ar-SA"/>
        </w:rPr>
        <w:t>فرق في الموردين بين الصحيح والفاسد؛ فإنّ تسليطه ذلك ليس باقتضاء العقد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التسليط في العقد الفاسد ولو كان بزعم صحّته، لكن زعمه صار موجباً للتسليط بلا اقتضاء أمر وإلزام من الشارع أو العقلاء، وفي مثله لا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اعتقد أنّ عقدها يقتضي جعل العين تحت يد المستأجر، فجعلها تحت يده عملاً بمقتضى الإجارة، فالظاهر الضمان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الأدلّة الخارجية، لكان مقتضى القواعد الضمان في الصحيح أيضاً؛ لعدم تسليطه برضاه مطلقاً، بل عمل على طبق مقتضى المعاملة، ومثله مشمول دليل اليد</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2495645_2142443653"/>
      <w:bookmarkStart w:id="673" w:name="_Toc238"/>
      <w:bookmarkEnd w:id="672"/>
      <w:r>
        <w:rPr>
          <w:rtl w:val="true"/>
        </w:rPr>
        <w:t xml:space="preserve">الرابع </w:t>
      </w:r>
      <w:r>
        <w:rPr>
          <w:rtl w:val="true"/>
        </w:rPr>
        <w:t xml:space="preserve">: </w:t>
      </w:r>
      <w:r>
        <w:rPr>
          <w:rtl w:val="true"/>
        </w:rPr>
        <w:t>النقض بالإجارة يختلف باختلاف المباني</w:t>
      </w:r>
      <w:bookmarkEnd w:id="673"/>
    </w:p>
    <w:p>
      <w:pPr>
        <w:pStyle w:val="BookText"/>
        <w:rPr/>
      </w:pPr>
      <w:r>
        <w:rPr>
          <w:rFonts w:ascii="Amiri" w:hAnsi="Amiri" w:eastAsia="Amiri" w:cs="Amiri"/>
          <w:color w:val="111111"/>
          <w:sz w:val="28"/>
          <w:sz w:val="28"/>
          <w:szCs w:val="28"/>
          <w:rtl w:val="true"/>
          <w:lang w:bidi="ar-SA"/>
        </w:rPr>
        <w:t>بناءً على ما قلناه في مقتضى الإجارة، لا تكون هي نقضاً على عكس القاعدة، في مورد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الضمان في الصحيح والفاسد، كبعض الموارد المتقدّمة، سواء قلنا بأنّ نفي الضمان هو نفي الاقتضاء، أم قلنا باقتضاء النفي، أو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قلنا فيه بالضمان في الصحيح والفاسد، وهو مورد اعتقاد المالك أنّ مقتضاها التسليط على العين، ومورد الاشتراط الضمني، فإن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من حيث ذات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يراد أنّ كلّ عقد صحيحه سبب من حيث ذاته للضمان، ففاسده كذلك، وكذا في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النقض أيضاً؛ لأنّ عقد </w:t>
      </w:r>
    </w:p>
    <w:p>
      <w:pPr>
        <w:pStyle w:val="BookText"/>
        <w:rPr/>
      </w:pPr>
      <w:r>
        <w:rPr>
          <w:rFonts w:ascii="Amiri" w:hAnsi="Amiri" w:eastAsia="Amiri" w:cs="Amiri"/>
          <w:color w:val="111111"/>
          <w:sz w:val="28"/>
          <w:sz w:val="28"/>
          <w:szCs w:val="28"/>
          <w:rtl w:val="true"/>
          <w:lang w:bidi="ar-SA"/>
        </w:rPr>
        <w:t>الإجارة صحيحه وفاسده من حيث ذاته، بلا نظر إلى الأدلّة والجهات الخارجية، يقتضي الضمان في الموردين المتقدّمين،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اُريد به أنّ كلّ عقد لا يكون فيه ضمان،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أو لا يكون سببا له ولو بالجهات الخارجية، فيكون الموردان نقضا عليه؛ لأنّ عقد الإجارة صحيحه لا يوجب الضمان بحسب الأدلّة الشرعية، مع أنّ القاعدة تقتضي الضمان في فاسده،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العقد يقتضي التسليط على العين المستأجرة، فالظاهر ورود النقض عليه، سواء قلنا بأنّ الإجارة عبارة عن نقل المنافع، أو قلنا بأنّها إضافة</w:t>
      </w:r>
    </w:p>
    <w:p>
      <w:pPr>
        <w:pStyle w:val="BookText"/>
        <w:rPr/>
      </w:pPr>
      <w:r>
        <w:rPr>
          <w:rFonts w:ascii="Amiri" w:hAnsi="Amiri" w:eastAsia="Amiri" w:cs="Amiri"/>
          <w:color w:val="111111"/>
          <w:sz w:val="28"/>
          <w:sz w:val="28"/>
          <w:szCs w:val="28"/>
          <w:rtl w:val="true"/>
          <w:lang w:bidi="ar-SA"/>
        </w:rPr>
        <w:t>خاصّة بين العين والمستأجر، أو غير ذلك؛ فإنّه على جميع الاحتمالات، لا تنبغي الشبهة في أنّ العقد سبب لإيقاع حقّ للمستأجر على العين المستأجرة، وهو حقّ استيفاء المنفعة منها، كما هو مقتضى ارتكاز العقلاء في ماهية الإجارة، فحينئذٍ تكون العين أيضاً بنحوٍ مصبّ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بكونها مصبّاً، أنّ عقد الإجارة موجب لنقلها كما هو واضح، بل المراد منه أعمّ من ذلك، وإلاّ فعلى أيّ احتمال لا تكون مصبّاً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المستأجرة تصير بسبب العقد متعلّقة لحقّ المستأجر، وهو كافٍ في مصبّيتها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المراد بالضمان في الصحيح ضمان المسمّى، يكون العين في الإجارة غير مضمونة به، فتكون الإجارة خارجة عن القاعدة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قلنا بعدم تعلّق حقّ عليها، بل الإجارة ناقلة للمنفعة فقط، كان للتفصيل مجال، لكنّه خلاف مقتضى الإجارة بحسب ارتكاز العقلاء</w:t>
      </w:r>
      <w:r>
        <w:rPr>
          <w:rFonts w:eastAsia="Amiri" w:cs="Amiri" w:ascii="Amiri" w:hAnsi="Amiri"/>
          <w:color w:val="111111"/>
          <w:sz w:val="28"/>
          <w:szCs w:val="28"/>
          <w:rtl w:val="true"/>
          <w:lang w:bidi="ar-SA"/>
        </w:rPr>
        <w:t xml:space="preserve">. </w:t>
      </w:r>
      <w:bookmarkStart w:id="674" w:name="pg15195_150826"/>
    </w:p>
    <w:p>
      <w:pPr>
        <w:pStyle w:val="Heading3"/>
        <w:numPr>
          <w:ilvl w:val="2"/>
          <w:numId w:val="1"/>
        </w:numPr>
        <w:rPr/>
      </w:pPr>
      <w:bookmarkStart w:id="675" w:name="__RefHeading___Toc2495647_2142443653"/>
      <w:bookmarkStart w:id="676" w:name="_Toc239"/>
      <w:bookmarkEnd w:id="674"/>
      <w:bookmarkEnd w:id="675"/>
      <w:r>
        <w:rPr>
          <w:rtl w:val="true"/>
        </w:rPr>
        <w:t>النقض على عكس القاعدة بضمان الصيد على المحرم</w:t>
      </w:r>
      <w:bookmarkEnd w:id="676"/>
    </w:p>
    <w:p>
      <w:pPr>
        <w:pStyle w:val="BookText"/>
        <w:rPr/>
      </w:pPr>
      <w:r>
        <w:rPr>
          <w:rFonts w:ascii="Amiri" w:hAnsi="Amiri" w:eastAsia="Amiri" w:cs="Amiri"/>
          <w:color w:val="111111"/>
          <w:sz w:val="28"/>
          <w:sz w:val="28"/>
          <w:szCs w:val="28"/>
          <w:rtl w:val="true"/>
          <w:lang w:bidi="ar-SA"/>
        </w:rPr>
        <w:t>ومن الموارد التي قيل بنقضه على العكس ضمان الصيد على المحرم، إذا استعار من المحلّ، مع أنّ صحيح العارية لا يضمن به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فرض الكلام في إعارته خارج الحرم، وهو موضوع كلام القوم؛ حيث جعلوا المانع عدم جواز إمساك المستعير المحرم</w:t>
      </w:r>
      <w:r>
        <w:rPr>
          <w:rStyle w:val="FootnoteAnchor"/>
          <w:rtl w:val="true"/>
        </w:rPr>
        <w:footnoteReference w:id="937"/>
      </w:r>
      <w:r>
        <w:rPr>
          <w:rFonts w:ascii="Amiri" w:hAnsi="Amiri" w:eastAsia="Amiri" w:cs="Amiri"/>
          <w:color w:val="111111"/>
          <w:sz w:val="28"/>
          <w:sz w:val="28"/>
          <w:szCs w:val="28"/>
          <w:rtl w:val="true"/>
          <w:lang w:bidi="ar-SA"/>
        </w:rPr>
        <w:t>، مع أنّ في الحرم لا يجوز الإعارة أيضاً، بل يجب الإرسال على المحلّ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والنقض إنّما يتوجّه بعد ثبوت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تلك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فرض صحّتها لا يكون الضمان نقضاً، بل تقييد لأدلّة عدم ضمان العارية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فسادها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بعد ظهور الصيد في المصيد؛ أي الحيوان الوحشي، ولا يراد به المعنى المصدري؛ وذلك بقرينة إضافته إلى البرّ وإلى البحر في الآية المتقدّمة عليها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وَلِلسَّيَّارَةِ</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وبقرينة الآيتين المتقدّمتين؛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بِشَىْ‌ءٍ مِنَ الصَّيْدِ تَنَالُهُ أَيْدِيكُمْ وَرِمَاحُكُمْ</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لاَتَقْتُلُوا الصَّيْدَ وَأَنْتُمْ حُرُمٌ</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وإنّما أطلق على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في معرض الاصطياد، وهو إطلاق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الآية الكريمة ذات الصيد، وتحريمها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في الأشباه والنظائر</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دعوى كونها بتمام حقيقتها حراماً ممنوعاً، ومصحّح الدعوى كون الصيد ممنوعاً بجميع تقلّباته؛ اصطياداً، وحيازةً، وتملّكاً، وبيعاً، وشراءً، وإعارةً، واستعارةً، واستئماناً، وإمساكاً،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تكليفاً ووضعاً ليست بمعنيين مختلفين</w:t>
      </w:r>
      <w:r>
        <w:rPr>
          <w:rStyle w:val="FootnoteAnchor"/>
          <w:rtl w:val="true"/>
        </w:rPr>
        <w:footnoteReference w:id="943"/>
      </w:r>
      <w:r>
        <w:rPr>
          <w:rFonts w:ascii="Amiri" w:hAnsi="Amiri" w:eastAsia="Amiri" w:cs="Amiri"/>
          <w:color w:val="111111"/>
          <w:sz w:val="28"/>
          <w:sz w:val="28"/>
          <w:szCs w:val="28"/>
          <w:rtl w:val="true"/>
          <w:lang w:bidi="ar-SA"/>
        </w:rPr>
        <w:t>، حتّى يقال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جامع بينهما </w:t>
      </w:r>
      <w:r>
        <w:rPr>
          <w:rStyle w:val="FootnoteAnchor"/>
          <w:rtl w:val="true"/>
        </w:rPr>
        <w:footnoteReference w:id="944"/>
      </w:r>
      <w:r>
        <w:rPr>
          <w:rFonts w:ascii="Amiri" w:hAnsi="Amiri" w:eastAsia="Amiri" w:cs="Amiri"/>
          <w:color w:val="111111"/>
          <w:sz w:val="28"/>
          <w:sz w:val="28"/>
          <w:szCs w:val="28"/>
          <w:rtl w:val="true"/>
          <w:lang w:bidi="ar-SA"/>
        </w:rPr>
        <w:t>، بل هي بمعنى المنع، وهو في جميع الموارد معنىً واحد، لكن المنع عن الاُمور النفسية كشرب الخمر، والاصطياد، ظاهر في ممنوعية نفسها في الشريعة، وهي مساوقة للحرمة التكليفية، وإذا نسب إلى الاُمور الآلية وما هو وسيلة إلى حصول أثر كالبيع، والصلح، والأجزاء والشروط في المركّبات، يكون ظاهراً في الوضع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بعينه كالنهي المتعلّق تارةً بمثل الشرب والأكل ونحوهما من النفسيات، </w:t>
      </w:r>
    </w:p>
    <w:p>
      <w:pPr>
        <w:pStyle w:val="BookText"/>
        <w:rPr/>
      </w:pPr>
      <w:r>
        <w:rPr>
          <w:rFonts w:ascii="Amiri" w:hAnsi="Amiri" w:eastAsia="Amiri" w:cs="Amiri"/>
          <w:color w:val="111111"/>
          <w:sz w:val="28"/>
          <w:sz w:val="28"/>
          <w:szCs w:val="28"/>
          <w:rtl w:val="true"/>
          <w:lang w:bidi="ar-SA"/>
        </w:rPr>
        <w:t>واُخرى بمثل البيع وشيءٍ في المركّبات،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النهي في معنيين، بل استعمل في الزجر عن متعلّقه، لكنّ الزجر عن النفسيات ظاهر في المنع النفسي والحرمة التكليفية، وعن غيرها كالبيع ونحوه ظاهر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عَلَيْكُمْ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حرمة اصطياده، وإمساكه، والانتفاع به، كشرب لبنه، وأكل بيضه ونحوهما، وبطلان بيعه، وشرائه، وعاريته، ووديعته، وإجارته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بطلان العارية بما دلّ على عدم جواز الانتفاع به</w:t>
      </w:r>
      <w:r>
        <w:rPr>
          <w:rStyle w:val="FootnoteAnchor"/>
          <w:rtl w:val="true"/>
        </w:rPr>
        <w:footnoteReference w:id="945"/>
      </w:r>
      <w:r>
        <w:rPr>
          <w:rFonts w:ascii="Amiri" w:hAnsi="Amiri" w:eastAsia="Amiri" w:cs="Amiri"/>
          <w:color w:val="111111"/>
          <w:sz w:val="28"/>
          <w:sz w:val="28"/>
          <w:szCs w:val="28"/>
          <w:rtl w:val="true"/>
          <w:lang w:bidi="ar-SA"/>
        </w:rPr>
        <w:t>وحرمة إمساكه</w:t>
      </w:r>
      <w:r>
        <w:rPr>
          <w:rStyle w:val="FootnoteAnchor"/>
          <w:rtl w:val="true"/>
        </w:rPr>
        <w:footnoteReference w:id="946"/>
      </w:r>
      <w:r>
        <w:rPr>
          <w:rFonts w:ascii="Amiri" w:hAnsi="Amiri" w:eastAsia="Amiri" w:cs="Amiri"/>
          <w:color w:val="111111"/>
          <w:sz w:val="28"/>
          <w:sz w:val="28"/>
          <w:szCs w:val="28"/>
          <w:rtl w:val="true"/>
          <w:lang w:bidi="ar-SA"/>
        </w:rPr>
        <w:t>ضرورة أنّ الانتفاع بالمستعار من مقوّمات العارية، ولا يجمع عرفاً بين تحريم جميع الانتفاعات، وإنفاذ عاريته، ومع عدم الإنفاذ شرعاً 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ملكية المعير المحلّ تسلب بمجرّد وقوع الصيد في يد المحرم، لكان البطلان أوضح؛ لأنّ بقاء ملكية المستعار في ملك المعير من مقوّمات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زوال ملكية المعير المحلّ بمجرّد تسليم العين إلى المحرم المستعير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مع زوالها لا يكون الضمان على فرضه مربوطاً بالعارية الفاسدة، لأنّ </w:t>
      </w:r>
    </w:p>
    <w:p>
      <w:pPr>
        <w:pStyle w:val="BookText"/>
        <w:rPr/>
      </w:pPr>
      <w:r>
        <w:rPr>
          <w:rFonts w:ascii="Amiri" w:hAnsi="Amiri" w:eastAsia="Amiri" w:cs="Amiri"/>
          <w:color w:val="111111"/>
          <w:sz w:val="28"/>
          <w:sz w:val="28"/>
          <w:szCs w:val="28"/>
          <w:rtl w:val="true"/>
          <w:lang w:bidi="ar-SA"/>
        </w:rPr>
        <w:t>التسليم إلى المحرم، وتسلّم المحرم بأيّ نحوٍ كان، موجب لسقوط ملكه، وهذا غير مرتبط بالإعارة وعقدها، بل لا يكون الضمان حينئذٍ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الدليل الدالّ على زوال ملك المحرم عن الصيد الذي عنده، زوال ملك المعير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بل زوال ملك المحرم أيضاً محلّ كلام، ويظهر من جملة من الروايات بقاء ملكه</w:t>
      </w:r>
      <w:r>
        <w:rPr>
          <w:rStyle w:val="FootnoteAnchor"/>
          <w:rtl w:val="true"/>
        </w:rPr>
        <w:footnoteReference w:id="948"/>
      </w:r>
      <w:r>
        <w:rPr>
          <w:rFonts w:ascii="Amiri" w:hAnsi="Amiri" w:eastAsia="Amiri" w:cs="Amiri"/>
          <w:color w:val="111111"/>
          <w:sz w:val="28"/>
          <w:sz w:val="28"/>
          <w:szCs w:val="28"/>
          <w:rtl w:val="true"/>
          <w:lang w:bidi="ar-SA"/>
        </w:rPr>
        <w:t>وهو الآن ليس محطّ بحثنا، وأمّا زوال ملك المعير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ما ورد في باب الإحرام، أنّ كلّما وقع الصيد تحت يده وإن كان ملك غيره، يخرج من المملوكية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دعوى بلا شاهد، بل لو وجب على المستعير المحرم إرسال الصيد، لا يلزم منه زوال ملك المعير بمجرّد تسليمه، بل زوال ملكه بعد الإرسال غير معلوم، كما يأتي الكلام فيه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 انتساب زواله إلى المشهور</w:t>
      </w:r>
      <w:r>
        <w:rPr>
          <w:rStyle w:val="FootnoteAnchor"/>
          <w:rtl w:val="true"/>
        </w:rPr>
        <w:footnoteReference w:id="951"/>
      </w:r>
      <w:r>
        <w:rPr>
          <w:rFonts w:ascii="Amiri" w:hAnsi="Amiri" w:eastAsia="Amiri" w:cs="Amiri"/>
          <w:color w:val="111111"/>
          <w:sz w:val="28"/>
          <w:sz w:val="28"/>
          <w:szCs w:val="28"/>
          <w:rtl w:val="true"/>
          <w:lang w:bidi="ar-SA"/>
        </w:rPr>
        <w:t>، فالظاهر من كلمات القوم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 رجلٍ حلال صيد، لم يجز للمحرم أن يستعير منه؛ لأنّه لا يجوز له إمساكه، فإن استعار منه بشرط الضمان ضمنه باليد، وإن تلف في يده لزمته قيمته لصاحبه، والجزاء للّه‌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للمحرم أن يستعير من محلٍّ صيداً؛ لأنّه ليس له</w:t>
      </w:r>
    </w:p>
    <w:p>
      <w:pPr>
        <w:pStyle w:val="BookText"/>
        <w:rPr/>
      </w:pPr>
      <w:r>
        <w:rPr>
          <w:rFonts w:ascii="Amiri" w:hAnsi="Amiri" w:eastAsia="Amiri" w:cs="Amiri"/>
          <w:color w:val="111111"/>
          <w:sz w:val="28"/>
          <w:sz w:val="28"/>
          <w:szCs w:val="28"/>
          <w:rtl w:val="true"/>
          <w:lang w:bidi="ar-SA"/>
        </w:rPr>
        <w:t>إمساكه، ولو أمسكه ضمنه وإن لم يشترط</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للمحرم استعارة الصيد من محرم ولا محلّ، فإن أمسكه ضمنه للمحلّ وإن لم يشترط عليه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للمحرم استعارة الصيد من المحرم ولا من المحلّ؛ لأنّه يحرم عليه إمساكه، فلو استعاره يجب عليه إرساله، وضمن للمالك قيمته، ولو تلف في يده ضمنه أيضاً بالقيمة لصاحبه المحلّ، وبالجزاء للّه تعالى، بل يضمنه بمجرّد الإمساك وإن لم يشترط صاحبه الضمان عليه، فلو دفعه إلى صاحبه برئ منه وضمن للّه تعالى</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العبارات كما ترى ظاهرة من وجوه في بقاء ملك المعير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يتمسّك بالآية الكريمة</w:t>
      </w:r>
      <w:r>
        <w:rPr>
          <w:rStyle w:val="FootnoteAnchor"/>
          <w:rtl w:val="true"/>
        </w:rPr>
        <w:footnoteReference w:id="956"/>
      </w:r>
      <w:r>
        <w:rPr>
          <w:rFonts w:ascii="Amiri" w:hAnsi="Amiri" w:eastAsia="Amiri" w:cs="Amiri"/>
          <w:color w:val="111111"/>
          <w:sz w:val="28"/>
          <w:sz w:val="28"/>
          <w:szCs w:val="28"/>
          <w:rtl w:val="true"/>
          <w:lang w:bidi="ar-SA"/>
        </w:rPr>
        <w:t>لزوال ملكه</w:t>
      </w:r>
      <w:r>
        <w:rPr>
          <w:rStyle w:val="FootnoteAnchor"/>
          <w:rtl w:val="true"/>
        </w:rPr>
        <w:footnoteReference w:id="957"/>
      </w:r>
      <w:r>
        <w:rPr>
          <w:rFonts w:ascii="Amiri" w:hAnsi="Amiri" w:eastAsia="Amiri" w:cs="Amiri"/>
          <w:color w:val="111111"/>
          <w:sz w:val="28"/>
          <w:sz w:val="28"/>
          <w:szCs w:val="28"/>
          <w:rtl w:val="true"/>
          <w:lang w:bidi="ar-SA"/>
        </w:rPr>
        <w:t xml:space="preserve">، وغاية ما يمكن في تقريبها </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حرمة ذات الصيد بنحو الحقيقة الادّعائية، ومصحّحها حرمة جميع التقلّبات تكليفاً ووضعاً، ومنه حرمة الاصطياد مباشرةً وتسبيباً، بل ودلالةً وإشارةً، ومنه حرمة إرجاع الصيد إلى بيت مغلق، ومنه إرجاعه إلى الصيّاد؛ فإنّه نحو إمساك أو تسبيب له، فيستفاد منها وجوب إرساله، ولازمه الخروج عن ملك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وجوب إرسال مال الغير، وحرمة إرجاعه إلى صاحبه من الآية، مشكلة جدّاً؛ إذ لا إطلاق لها يشمل مورد كون الصيد مال الغير، ولو سلّم وجوبه، لكن كونه ملازماً لخروجه عن ملكه ممنوع، كما أنّ إيجاب أكل مال الغير في المخمصة، لا يلازم خروجه عن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التي ذكرت، أو ما يمكن أن يقال له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الإرسال مساوق لسلب جميع الانتفاعات به، وهو مساوق لسلب الملكية؛ لأنّ اعتبار الملكية إنّما هو بلحاظ الآثار، وما لا أثر له لا يعتبر ملكيته، نظير أمر الشارع بإهراق الخمر، فإنّه كاشف عن عدم كونها مملوكة، وكأمره بإرسال المحرم صيده المملوك له، فإنّه كاشف عن سلب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التسليم في المثالين، لكن لا نسلّم في المقام؛ لأنّ الحكم بالإتلاف مع الضمان مؤكّد الملكية لا مزيلها، ومقتضى دليل ضمان الإتلاف كونه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على عدم ضمانه بالإرسال، كان لما ذكر وجه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قيل من أنّ الأمر في المقام دائر بين التخصيص والتخصّص، </w:t>
      </w:r>
    </w:p>
    <w:p>
      <w:pPr>
        <w:pStyle w:val="BookText"/>
        <w:rPr/>
      </w:pPr>
      <w:r>
        <w:rPr>
          <w:rFonts w:ascii="Amiri" w:hAnsi="Amiri" w:eastAsia="Amiri" w:cs="Amiri"/>
          <w:color w:val="111111"/>
          <w:sz w:val="28"/>
          <w:sz w:val="28"/>
          <w:szCs w:val="28"/>
          <w:rtl w:val="true"/>
          <w:lang w:bidi="ar-SA"/>
        </w:rPr>
        <w:t>وأصالة العموم تقتضي عدم التخصيص؛ لأنّ جواز التصرّف والإرسال مع بقاء الملكية، تخصيص لدليل حرمة التصرّف في مال الغير، فأصالة الإطلاق كاشفة عن خروجه عن ملكه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الخروج عن ملك صاحبه قهراً تقييد لدليل السلطنة، بل وعدم حلّ مال الغير بغير طيب نفسه، بناءً على كونه أعمّ من الوضع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والإطلاق غير جاريتين مع العلم بمراد المتكلّم والشكّ في التخصيص والتقييد، كما هو مقرّر في محلّه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لو تلف الصيد تحت يد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عدمه لا يكون نقضاً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بمقالة الشيخ الأعظم قدّس سرّه؛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الموارد، وإنّما خرج المقبوض بصحاح العقود وفاسدها بمخصّص؛ هو عموم ما دلّ على أنّ من لم يضمّنه المالك واستأمنه على ملكه فهو غير ضامن</w:t>
      </w:r>
      <w:r>
        <w:rPr>
          <w:rStyle w:val="FootnoteAnchor"/>
          <w:rtl w:val="true"/>
        </w:rPr>
        <w:footnoteReference w:id="960"/>
      </w:r>
      <w:r>
        <w:rPr>
          <w:rFonts w:ascii="Amiri" w:hAnsi="Amiri" w:eastAsia="Amiri" w:cs="Amiri"/>
          <w:color w:val="111111"/>
          <w:sz w:val="28"/>
          <w:sz w:val="28"/>
          <w:szCs w:val="28"/>
          <w:rtl w:val="true"/>
          <w:lang w:bidi="ar-SA"/>
        </w:rPr>
        <w:t>، فيمكن أن يدّعى انصراف الدليل المخصّص عن مورد حرّم الشارع إمساكه، فيبقى المورد تحت دليل اليد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 بانصراف دليل اليد عن الأمانات العرفية حتّى الفاسد منها؛ لأنّ تسليم المالك فيها ليس بإ لزام شرعي أو عقلائي، وفي مثله دليل اليد قاصر عن شموله، فلا ضمان ولا 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مورد لا يكون المعير العاقد للعارية، يرى نفسه ملزماً بالوفاء بعقده ولو في محيطه؛ فإنّ ترك العمل بالوعد وعدم الوفاء بالقرار، عارٍ على بعض النفوس، فيكون العمل على طبقه بإ لزام عرفي، وفي مثله يمكن دعوى عموم دليل اليد حتّى في صحاح العقود الأمانية، إلاّ أنّها خارجة بالأدلّة الشرعية، ويبقى فاسدها، فيكون نقضاً عليها، فتأمّل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موارد النقض على القاعدة عكساً أو أصلاً، لا توجب طعناً فيها على فرض تماميتها؛ لأنّها عامّ قابل للتخصيص والتقييد</w:t>
      </w:r>
      <w:r>
        <w:rPr>
          <w:rFonts w:eastAsia="Amiri" w:cs="Amiri" w:ascii="Amiri" w:hAnsi="Amiri"/>
          <w:color w:val="111111"/>
          <w:sz w:val="28"/>
          <w:szCs w:val="28"/>
          <w:rtl w:val="true"/>
          <w:lang w:bidi="ar-SA"/>
        </w:rPr>
        <w:t xml:space="preserve">. </w:t>
      </w:r>
      <w:bookmarkStart w:id="677" w:name="pg15195_150834"/>
    </w:p>
    <w:p>
      <w:pPr>
        <w:pStyle w:val="Heading3"/>
        <w:numPr>
          <w:ilvl w:val="2"/>
          <w:numId w:val="1"/>
        </w:numPr>
        <w:rPr/>
      </w:pPr>
      <w:bookmarkStart w:id="678" w:name="__RefHeading___Toc2495649_2142443653"/>
      <w:bookmarkStart w:id="679" w:name="_Toc240"/>
      <w:bookmarkEnd w:id="677"/>
      <w:bookmarkEnd w:id="678"/>
      <w:r>
        <w:rPr>
          <w:rtl w:val="true"/>
        </w:rPr>
        <w:t xml:space="preserve">الأمر الثاني </w:t>
      </w:r>
      <w:r>
        <w:rPr>
          <w:rtl w:val="true"/>
        </w:rPr>
        <w:t xml:space="preserve">: </w:t>
      </w:r>
      <w:r>
        <w:rPr>
          <w:rtl w:val="true"/>
        </w:rPr>
        <w:t>في وجوب الردّ فوراً</w:t>
      </w:r>
      <w:bookmarkEnd w:id="679"/>
    </w:p>
    <w:p>
      <w:pPr>
        <w:pStyle w:val="Heading4"/>
        <w:numPr>
          <w:ilvl w:val="3"/>
          <w:numId w:val="1"/>
        </w:numPr>
        <w:rPr/>
      </w:pPr>
      <w:bookmarkStart w:id="680" w:name="__RefHeading___Toc2495651_2142443653"/>
      <w:bookmarkStart w:id="681" w:name="_Toc241"/>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من الاُمور المتفرّعة على المقبوض بالبيع الفاسد، وجوب ردّه فوراً</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495653_2142443653"/>
      <w:bookmarkStart w:id="683" w:name="_Toc242"/>
      <w:bookmarkEnd w:id="682"/>
      <w:r>
        <w:rPr>
          <w:rtl w:val="true"/>
        </w:rPr>
        <w:t>استدلال الشيخ الأعظم على وجوب الردّ بحرمة الإمساك</w:t>
      </w:r>
      <w:bookmarkEnd w:id="683"/>
    </w:p>
    <w:p>
      <w:pPr>
        <w:pStyle w:val="BookText"/>
        <w:rPr/>
      </w:pPr>
      <w:r>
        <w:rPr>
          <w:rFonts w:ascii="Amiri" w:hAnsi="Amiri" w:eastAsia="Amiri" w:cs="Amiri"/>
          <w:color w:val="111111"/>
          <w:sz w:val="28"/>
          <w:sz w:val="28"/>
          <w:szCs w:val="28"/>
          <w:rtl w:val="true"/>
          <w:lang w:bidi="ar-SA"/>
        </w:rPr>
        <w:t xml:space="preserve">وقد تمسّك الشيخ قدّس سرّه </w:t>
      </w:r>
      <w:r>
        <w:rPr>
          <w:rStyle w:val="FootnoteAnchor"/>
          <w:rtl w:val="true"/>
        </w:rPr>
        <w:footnoteReference w:id="961"/>
      </w:r>
      <w:r>
        <w:rPr>
          <w:rFonts w:ascii="Amiri" w:hAnsi="Amiri" w:eastAsia="Amiri" w:cs="Amiri"/>
          <w:color w:val="111111"/>
          <w:sz w:val="28"/>
          <w:sz w:val="28"/>
          <w:szCs w:val="28"/>
          <w:rtl w:val="true"/>
          <w:lang w:bidi="ar-SA"/>
        </w:rPr>
        <w:t xml:space="preserve">لذلك بما دلّ على حرمة إمساكه، كالتوقيع المنسوب إلى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تبعد دلالتها على حرمة الإمساك والحبس على المالك بمناسبة الحكم والموضوع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حيث دلّ على حرمة المال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 في نظائره</w:t>
      </w:r>
      <w:r>
        <w:rPr>
          <w:rStyle w:val="FootnoteAnchor"/>
          <w:rtl w:val="true"/>
        </w:rPr>
        <w:footnoteReference w:id="964"/>
      </w:r>
      <w:r>
        <w:rPr>
          <w:rFonts w:ascii="Amiri" w:hAnsi="Amiri" w:eastAsia="Amiri" w:cs="Amiri"/>
          <w:color w:val="111111"/>
          <w:sz w:val="28"/>
          <w:sz w:val="28"/>
          <w:szCs w:val="28"/>
          <w:rtl w:val="true"/>
          <w:lang w:bidi="ar-SA"/>
        </w:rPr>
        <w:t>أنّ الانتساب إلى الذات، مبنيّ على حقيقة ادّعائية، ومصحّح الدعوى أنّها محرّمة بجميع شؤونها، وفي المقام يكون من شؤونها الإمساك والحبس، فإذا كان الإمساك حراماً كان الردّ واجباً؛ لفهم العقلاء من حرمته وجوب ردّه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الشيخ قدّس سرّه من الاستدلال بحرمة الإمساك على وجوب الردّ</w:t>
      </w:r>
      <w:r>
        <w:rPr>
          <w:rStyle w:val="FootnoteAnchor"/>
          <w:rtl w:val="true"/>
        </w:rPr>
        <w:footnoteReference w:id="965"/>
      </w:r>
      <w:r>
        <w:rPr>
          <w:rFonts w:ascii="Amiri" w:hAnsi="Amiri" w:eastAsia="Amiri" w:cs="Amiri"/>
          <w:color w:val="111111"/>
          <w:sz w:val="28"/>
          <w:sz w:val="28"/>
          <w:szCs w:val="28"/>
          <w:rtl w:val="true"/>
          <w:lang w:bidi="ar-SA"/>
        </w:rPr>
        <w:t>، هو دعوى فهم العرف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 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الردّ إلى صاحبه، سيّما من مثل هذه الرواية المصدّرة بلزوم ردّ الأمانات إلى أهلها، معلّلة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ولا ماله إلاّ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انطباق الكبرى الكلّية التي هي تعليل أو بمنزلته، على الصغرى، فإن لم تكن الكبرى دالّة على وجوب الردّ، لم يصحّ جعلها تعليلاً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الأمانة لا يلازم إيصالها إلى صاحبها، بل يراد منه رفع اليد والتخلية بينها وبين صاحبها، لكنّه خلاف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يكون مراد الشيخ الاستدلال من حرمة الضدّ على وجوب ضدّه، أو من وجوب نقيض الإمساك على وجوب الردّ؛ فإنّه أمر لا يمكن أن يغفل الشيخ الأعظم قدّس سرّه عن فساده، ولا يمكن توهّم رجوعه عن مبناه في الاُصول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على القول به لا يلزم وجوب الردّ؛ لأنّ الردّ متقوّم برفع يد الدافع </w:t>
      </w:r>
      <w:bookmarkStart w:id="684" w:name="pg15195_150836"/>
    </w:p>
    <w:p>
      <w:pPr>
        <w:pStyle w:val="BookText"/>
        <w:rPr/>
      </w:pPr>
      <w:bookmarkEnd w:id="684"/>
      <w:r>
        <w:rPr>
          <w:rFonts w:ascii="Amiri" w:hAnsi="Amiri" w:eastAsia="Amiri" w:cs="Amiri"/>
          <w:color w:val="111111"/>
          <w:sz w:val="28"/>
          <w:sz w:val="28"/>
          <w:szCs w:val="28"/>
          <w:rtl w:val="true"/>
          <w:lang w:bidi="ar-SA"/>
        </w:rPr>
        <w:t>وإثبات يد القابض، والرفع مقدّم على الإثبات دائماً، فيتّصف هو بالوجوب، دون ما تأخّر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الخراساني إشارةً</w:t>
      </w:r>
      <w:r>
        <w:rPr>
          <w:rStyle w:val="FootnoteAnchor"/>
          <w:rtl w:val="true"/>
        </w:rPr>
        <w:footnoteReference w:id="9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المدقّق تفصيلاً</w:t>
      </w:r>
      <w:r>
        <w:rPr>
          <w:rStyle w:val="FootnoteAnchor"/>
          <w:rtl w:val="true"/>
        </w:rPr>
        <w:footnoteReference w:id="968"/>
      </w:r>
      <w:r>
        <w:rPr>
          <w:rFonts w:ascii="Amiri" w:hAnsi="Amiri" w:eastAsia="Amiri" w:cs="Amiri"/>
          <w:color w:val="111111"/>
          <w:sz w:val="28"/>
          <w:sz w:val="28"/>
          <w:szCs w:val="28"/>
          <w:rtl w:val="true"/>
          <w:lang w:bidi="ar-SA"/>
        </w:rPr>
        <w:t xml:space="preserve">، كأنّه في غير محلّه، 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وجوهاً من الخلل</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2495655_2142443653"/>
      <w:bookmarkStart w:id="686" w:name="_Toc243"/>
      <w:bookmarkEnd w:id="685"/>
      <w:r>
        <w:rPr>
          <w:rtl w:val="true"/>
        </w:rPr>
        <w:t>بيان وجوه الخلل في كلام المحقّق الأصفهاني</w:t>
      </w:r>
      <w:bookmarkEnd w:id="68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والردّ بمعنى الإيصال من مقولة واحدة، وهما مثلان لا ضدّان؛ لأنّ استيلاء المشتري واستيلاء المالك مقولة واحدة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بمعنى الإيصال غير استيلاء المالك، بل هو فعل المشتري، والاستيلاء صفة المالك بعد الإيصال إليه، والإيصال لا يكون مع الاستيلاء من مقولة واحدة لو قلنا بأنّ هذه الاُمور من المقولات،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ضدّان أو شبيهان بالضدّ، وليسا مثلين،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بمعنى رفع اليد من المال أمر عدمي، وهو نقيض الإمساك لا ضدّه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الإمساك هو عدمه، المجامع مع عدم وضع اليد على المال رأساً، ومع رفع اليد بعد الوضع، فلو كان رفع اليد نقيضه، لزم جواز ارتفاع النقيضين؛ فإنّ عدم وضع اليد رأساً لا إمساك، ولا رفع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رفع اليد عن المال ليس معنى عدمياً، بل له نحو من الثبوت، والمعنى العدمي هو سلب اليد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قلنا بأنّ رفع اليد دائماً مقدّم على الإيصال، يختصّ الرفع بالوجوب، ولا تصل النوبة إلى الإيصال، فيشكل ما أفاده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الإيصال لا يتوقّف على رفع اليد، بل هو أمر مقابل له، فقد يتحقّق الإيصال مقابل الإمساك، وقد يتحقّق رفع اليد بلا إيصال، كان الأمر كما أفاد المحقّق الخراساني من كون التخلية ثالث الضدّين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التخلية المعنى الوجودي، وهو تمكين المالك</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احتمال أن تكون التخلية بمعنى التمكين؛ إذ قد يتحقّق التمكين عقيب التخلية، وقد لا يتحقّق، فكيف تكون هو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ما 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المالك عن ملكه ليس مشمولاً لقوله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الأفعال المشمولة له ما يمكن صدوره عن طيب نفسه، وصدوره لا عنه، ومنع المالك ليس له حالان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حصر الحلّية في أمر واحد، وهو طيب نفس المالك، وما لا يكون كذلك داخل في المستثنى منه، سواء كان له حالان أم لا، وهو ظاهر</w:t>
      </w:r>
      <w:r>
        <w:rPr>
          <w:rFonts w:eastAsia="Amiri" w:cs="Amiri" w:ascii="Amiri" w:hAnsi="Amiri"/>
          <w:color w:val="111111"/>
          <w:sz w:val="28"/>
          <w:szCs w:val="28"/>
          <w:rtl w:val="true"/>
          <w:lang w:bidi="ar-SA"/>
        </w:rPr>
        <w:t xml:space="preserve">. </w:t>
      </w:r>
      <w:bookmarkStart w:id="687" w:name="pg15195_150838"/>
    </w:p>
    <w:p>
      <w:pPr>
        <w:pStyle w:val="Heading4"/>
        <w:numPr>
          <w:ilvl w:val="3"/>
          <w:numId w:val="1"/>
        </w:numPr>
        <w:rPr/>
      </w:pPr>
      <w:bookmarkStart w:id="688" w:name="__RefHeading___Toc2495657_2142443653"/>
      <w:bookmarkStart w:id="689" w:name="_Toc244"/>
      <w:bookmarkEnd w:id="687"/>
      <w:bookmarkEnd w:id="688"/>
      <w:r>
        <w:rPr>
          <w:rtl w:val="true"/>
        </w:rPr>
        <w:t xml:space="preserve">الاستدلال بحديث </w:t>
      </w:r>
      <w:r>
        <w:rPr>
          <w:rtl w:val="true"/>
        </w:rPr>
        <w:t>«</w:t>
      </w:r>
      <w:r>
        <w:rPr>
          <w:rtl w:val="true"/>
        </w:rPr>
        <w:t>على اليد</w:t>
      </w:r>
      <w:r>
        <w:rPr>
          <w:rtl w:val="true"/>
        </w:rPr>
        <w:t xml:space="preserve">» </w:t>
      </w:r>
      <w:r>
        <w:rPr>
          <w:rtl w:val="true"/>
        </w:rPr>
        <w:t>على وجوب الردّ</w:t>
      </w:r>
      <w:bookmarkEnd w:id="689"/>
    </w:p>
    <w:p>
      <w:pPr>
        <w:pStyle w:val="BookText"/>
        <w:rPr/>
      </w:pPr>
      <w:r>
        <w:rPr>
          <w:rFonts w:ascii="Amiri" w:hAnsi="Amiri" w:eastAsia="Amiri" w:cs="Amiri"/>
          <w:color w:val="111111"/>
          <w:sz w:val="28"/>
          <w:sz w:val="28"/>
          <w:szCs w:val="28"/>
          <w:rtl w:val="true"/>
          <w:lang w:bidi="ar-SA"/>
        </w:rPr>
        <w:t xml:space="preserve">ثمّ لا تبعد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وجوب الردّ، بناءً على أنّ الظاهر منه عهدة نفس العين، لا ضمان تلفها فقط، ولازم عهدتها وجوب إيصالها، وبمناسبة الحكم والموضوع تفهم الفورية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ممّا ذكر عدم التناسب بين المغيّا والغاية؛ للفرق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لأنّ الثاني مسوق لبيان العهدة، التي هي أعمّ من الضمان عند التلف والنقصان، وفي مثله لا حزازة في الغاية، فتدبّر، لكن في المبنى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لوجوب الردّ بروايات متفرّقة في أبواب اللقطة</w:t>
      </w:r>
      <w:r>
        <w:rPr>
          <w:rStyle w:val="FootnoteAnchor"/>
          <w:rtl w:val="true"/>
        </w:rPr>
        <w:footnoteReference w:id="975"/>
      </w:r>
      <w:r>
        <w:rPr>
          <w:rFonts w:ascii="IRNazanin" w:hAnsi="IRNazanin" w:eastAsia="IRNazanin"/>
          <w:color w:val="111111"/>
          <w:sz w:val="28"/>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والتجارة</w:t>
      </w:r>
      <w:r>
        <w:rPr>
          <w:rStyle w:val="FootnoteAnchor"/>
          <w:rtl w:val="true"/>
        </w:rPr>
        <w:footnoteReference w:id="976"/>
      </w:r>
      <w:r>
        <w:rPr>
          <w:rFonts w:ascii="IRNazanin" w:hAnsi="IRNazanin" w:eastAsia="IRNazanin"/>
          <w:color w:val="111111"/>
          <w:sz w:val="28"/>
          <w:sz w:val="28"/>
          <w:szCs w:val="28"/>
          <w:rtl w:val="true"/>
          <w:lang w:bidi="fa-IR"/>
        </w:rPr>
        <w:t>، والجهاد</w:t>
      </w:r>
      <w:r>
        <w:rPr>
          <w:rStyle w:val="FootnoteAnchor"/>
          <w:rtl w:val="true"/>
        </w:rPr>
        <w:footnoteReference w:id="977"/>
      </w:r>
      <w:r>
        <w:rPr>
          <w:rFonts w:ascii="Amiri" w:hAnsi="Amiri" w:eastAsia="Amiri" w:cs="Amiri"/>
          <w:color w:val="111111"/>
          <w:sz w:val="28"/>
          <w:sz w:val="28"/>
          <w:szCs w:val="28"/>
          <w:rtl w:val="true"/>
          <w:lang w:bidi="ar-SA"/>
        </w:rPr>
        <w:t>، والوديعة</w:t>
      </w:r>
      <w:r>
        <w:rPr>
          <w:rStyle w:val="FootnoteAnchor"/>
          <w:rtl w:val="true"/>
        </w:rPr>
        <w:footnoteReference w:id="978"/>
      </w:r>
      <w:r>
        <w:rPr>
          <w:rFonts w:ascii="Amiri" w:hAnsi="Amiri" w:eastAsia="Amiri" w:cs="Amiri"/>
          <w:color w:val="111111"/>
          <w:sz w:val="28"/>
          <w:sz w:val="28"/>
          <w:szCs w:val="28"/>
          <w:rtl w:val="true"/>
          <w:lang w:bidi="ar-SA"/>
        </w:rPr>
        <w:t xml:space="preserve">، وغيرها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690" w:name="pg15195_150839"/>
    </w:p>
    <w:p>
      <w:pPr>
        <w:pStyle w:val="Heading4"/>
        <w:numPr>
          <w:ilvl w:val="3"/>
          <w:numId w:val="1"/>
        </w:numPr>
        <w:rPr/>
      </w:pPr>
      <w:bookmarkStart w:id="691" w:name="__RefHeading___Toc2495659_2142443653"/>
      <w:bookmarkStart w:id="692" w:name="_Toc245"/>
      <w:bookmarkEnd w:id="690"/>
      <w:bookmarkEnd w:id="691"/>
      <w:r>
        <w:rPr>
          <w:rtl w:val="true"/>
        </w:rPr>
        <w:t>تفصيل السيّد الطباطبائي بين علم الدافع وجهله في جواز التصرّف</w:t>
      </w:r>
      <w:bookmarkEnd w:id="692"/>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عدم جواز التصرّف فيه مع جهل الدافع، لا مع علمه؛ لتحقّق الإذن في ضمن التمليك، والإذن مقيّد بالملكية العرفية، لا الشرعية، وهي حاصلة، والمقيّد بالقيد الحاصل كالمطلق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البائع لم يصدر منه إلاّ التمليك، وقد صار لغواً، فأين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التمليك له حيثيتان، فهو إذن من حيثية، وتمليك من اُخرى، وبطلان التمليك لا يوجب بطلان الإذن؛ لأنّه غير مشروط بصيغة خاصّة، فيكون تصرّفه بطيب نفسه، فهو جائز، ولا يجب الردّ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الإشارة إليه غير مرّة</w:t>
      </w:r>
      <w:r>
        <w:rPr>
          <w:rStyle w:val="FootnoteAnchor"/>
          <w:rtl w:val="true"/>
        </w:rPr>
        <w:footnoteReference w:id="981"/>
      </w:r>
      <w:r>
        <w:rPr>
          <w:rFonts w:ascii="Amiri" w:hAnsi="Amiri" w:eastAsia="Amiri" w:cs="Amiri"/>
          <w:color w:val="111111"/>
          <w:sz w:val="28"/>
          <w:sz w:val="28"/>
          <w:szCs w:val="28"/>
          <w:rtl w:val="true"/>
          <w:lang w:bidi="ar-SA"/>
        </w:rPr>
        <w:t>من أنّ الإذن في التصرّف في التمليك ونحوه ممّا لا معنى له، ولا يرجع إلى محصّل؛ لأنّه إمّا أن يتعلّق بالمبيع قبل نقله، فهو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يتعلّق به بعده، فلا يعقل الجدّ إليه؛ لأنّه إذن في تصرّف المشتري في ماله، وهو لا يمكن جدّه، ولا أثر لإذنه وطيب نفسه في تصرّف صاحب المال في ماله إذا تخلّف عن الواقع وكان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اشتمال التمليك على حيثية الإذن، خلاف الواقع والوجدان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ما ذكره، فنفي الإشكال عن عدم جواز التصرّف مع جهل الدافع، غير وجيه؛ لأنّ الجاهل بالحكم الشرعي إذا لم يكن مبالياً بحكم الشرع، وكان </w:t>
      </w:r>
      <w:bookmarkStart w:id="693" w:name="pg15195_150840"/>
    </w:p>
    <w:p>
      <w:pPr>
        <w:pStyle w:val="BookText"/>
        <w:rPr/>
      </w:pPr>
      <w:bookmarkEnd w:id="693"/>
      <w:r>
        <w:rPr>
          <w:rFonts w:ascii="Amiri" w:hAnsi="Amiri" w:eastAsia="Amiri" w:cs="Amiri"/>
          <w:color w:val="111111"/>
          <w:sz w:val="28"/>
          <w:sz w:val="28"/>
          <w:szCs w:val="28"/>
          <w:rtl w:val="true"/>
          <w:lang w:bidi="ar-SA"/>
        </w:rPr>
        <w:t>تمام همّه المعاملة العرفية، من غير فرق بين علمه وعدمه، حاله حال العالم، فلا بدّ من التفصيل بين الجاهل المبالي بحكم الشرع وغيره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2495661_2142443653"/>
      <w:bookmarkStart w:id="695" w:name="_Toc246"/>
      <w:bookmarkEnd w:id="694"/>
      <w:r>
        <w:rPr>
          <w:rtl w:val="true"/>
        </w:rPr>
        <w:t>نقد كلام المحقّق الأصفهاني</w:t>
      </w:r>
      <w:bookmarkEnd w:id="695"/>
    </w:p>
    <w:p>
      <w:pPr>
        <w:pStyle w:val="BookText"/>
        <w:rPr/>
      </w:pPr>
      <w:r>
        <w:rPr>
          <w:rFonts w:ascii="Amiri" w:hAnsi="Amiri" w:eastAsia="Amiri" w:cs="Amiri"/>
          <w:color w:val="111111"/>
          <w:sz w:val="28"/>
          <w:sz w:val="28"/>
          <w:szCs w:val="28"/>
          <w:rtl w:val="true"/>
          <w:lang w:bidi="ar-SA"/>
        </w:rPr>
        <w:t>ويتلوه في الضعف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تسليط المالك للمشتري يكون على وجه الداعي لا العنوانية، فاعتقاد وجوب الوفاء واستحقاق المشتري يدعوه إلى دفعه عن رضاه، لا أنّ الرضا يتعلّق بالدفع بعنوان ما يستحقّه، وهو وجداني</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الواقع والوجدان على خلافه؛ ضرورة أنّ البائع إنّما يدفع العين عملاً بعقده، ووفاءً به، ودفعاً لملك الغير إليه، وهذا التسليط لا يوجب الإذن في التصرّف كيف ما كان، ولا الإذن في ماله، فلا وجه للخروج عن حرمة التصرّف في مال الغير بغير طيبة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في الضعف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تسليط المشتري على ماله وإن لم يكن مجّاناً، لكنّه يسلّطه عليه عن رضاه، بإزاء سلطانه على مال المشتري عن رضاه، وإن اعتقد حصول الملك شرعاً إمّا بالعقد السابق، أو بنفس تسليطه الذي قصد به حصول الملكية، والغرض من التمليك حصول هذا المعنى بنحو أوفى</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التسليط إنّما هو بعنوان الوفاء بالعقد، أو بعنوان التمليك بعين التسليط، لا التسليط على ماله، والتسليط كذلك لا يفيد شيئاً بعد بطلان المعاملة وبقاء العين على ملك صاحبها، وليس التسليط عن رضاه في مقابل تسليط </w:t>
      </w:r>
      <w:bookmarkStart w:id="696" w:name="pg15195_150841"/>
    </w:p>
    <w:p>
      <w:pPr>
        <w:pStyle w:val="BookText"/>
        <w:rPr/>
      </w:pPr>
      <w:bookmarkEnd w:id="696"/>
      <w:r>
        <w:rPr>
          <w:rFonts w:ascii="Amiri" w:hAnsi="Amiri" w:eastAsia="Amiri" w:cs="Amiri"/>
          <w:color w:val="111111"/>
          <w:sz w:val="28"/>
          <w:sz w:val="28"/>
          <w:szCs w:val="28"/>
          <w:rtl w:val="true"/>
          <w:lang w:bidi="ar-SA"/>
        </w:rPr>
        <w:t>غيره، بل التسليم باعتبار كونه ملك غيره، والتسلّم بعنوان كونه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التمليك حصول هذا المعنى بنحو أوفى، غير تامّ؛ لأنّ الغرض من التمليك صيرورة الشيء ملكاً له، وأمّا تسلّطه على ماله فمن شؤون ملكيته، ولو كان الغرض حصول السلطنة، فلا محالة يقصد التمليك؛ لأجل حصولها عقيبه، لا التمليك مع أثره؛ فإنّه غير معقول أو غيرواقع</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495663_2142443653"/>
      <w:bookmarkStart w:id="698" w:name="_Toc247"/>
      <w:bookmarkEnd w:id="697"/>
      <w:r>
        <w:rPr>
          <w:rtl w:val="true"/>
        </w:rPr>
        <w:t>حكم العقود الإذنية</w:t>
      </w:r>
      <w:bookmarkEnd w:id="698"/>
    </w:p>
    <w:p>
      <w:pPr>
        <w:pStyle w:val="BookText"/>
        <w:rPr/>
      </w:pPr>
      <w:r>
        <w:rPr>
          <w:rFonts w:ascii="Amiri" w:hAnsi="Amiri" w:eastAsia="Amiri" w:cs="Amiri"/>
          <w:color w:val="111111"/>
          <w:sz w:val="28"/>
          <w:sz w:val="28"/>
          <w:szCs w:val="28"/>
          <w:rtl w:val="true"/>
          <w:lang w:bidi="ar-SA"/>
        </w:rPr>
        <w:t>هذا كلّه في البيع ونحوه، حتّى الهبة بلا عوض؛ فإنّ الواهب لا ينشئ إلاّ التمليك، ومبادئ التمليك تخالف مبادئ الرضا بالتصرّف، ومبادئ الإذن فيه، ولا يعقل أن تكون مبادئ أحدهما عين مبادئ الآخر، كما لا يعقل أن تكون للتمليك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ذاته، وحيثية اُخرى،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التي قد يطلق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الإذنية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الوكالة، والوديعة، والعارية، وغيرها ممّا هي بهذه المثابة،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عناوينها غير مشتملة على الإذن، ولا ملزومة لها، وإنّما يترتّب عليها أحكام شرعية وعقلائية، من قبيل الجواز التكليفي والوضعي، فحالها حال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باشتمالها على الإذن أو لزوم الإذن لها، فلا شبهة في أنّ العناوين بحقائقها العرفية كذلك، ولا دخل للصحّة الشرعية فيه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يترتّب على فاسدها أحكامها الشرعية، لكن تصرّفات القابض مأذون فيها؛ لتحقّق الإذن، وعدم الدوران فيه بين الصحّة والفساد، بل بين الوجود والعدم، والفرض أنّه موجود</w:t>
      </w:r>
      <w:r>
        <w:rPr>
          <w:rFonts w:eastAsia="Amiri" w:cs="Amiri" w:ascii="Amiri" w:hAnsi="Amiri"/>
          <w:color w:val="111111"/>
          <w:sz w:val="28"/>
          <w:szCs w:val="28"/>
          <w:rtl w:val="true"/>
          <w:lang w:bidi="ar-SA"/>
        </w:rPr>
        <w:t xml:space="preserve">. </w:t>
      </w:r>
      <w:bookmarkStart w:id="699" w:name="pg15195_150842"/>
    </w:p>
    <w:p>
      <w:pPr>
        <w:pStyle w:val="BookText"/>
        <w:rPr/>
      </w:pPr>
      <w:bookmarkEnd w:id="699"/>
      <w:r>
        <w:rPr>
          <w:rFonts w:ascii="Amiri" w:hAnsi="Amiri" w:eastAsia="Amiri" w:cs="Amiri"/>
          <w:color w:val="111111"/>
          <w:sz w:val="28"/>
          <w:sz w:val="28"/>
          <w:szCs w:val="28"/>
          <w:rtl w:val="true"/>
          <w:lang w:bidi="ar-SA"/>
        </w:rPr>
        <w:t>فلو وكّله في بيع داره، وقلنا بأنّها مشتملة على الإذن في بيعه، فبطلان الوكالة شرعاً لا يستلزم 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متقيّد بالوكالة الصحيحة شرعاً،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الطباطبائي قدّس سرّه في مطلق العقود</w:t>
      </w:r>
      <w:r>
        <w:rPr>
          <w:rStyle w:val="FootnoteAnchor"/>
          <w:rtl w:val="true"/>
        </w:rPr>
        <w:footnoteReference w:id="984"/>
      </w:r>
      <w:r>
        <w:rPr>
          <w:rFonts w:ascii="Amiri" w:hAnsi="Amiri" w:eastAsia="Amiri" w:cs="Amiri"/>
          <w:color w:val="111111"/>
          <w:sz w:val="28"/>
          <w:sz w:val="28"/>
          <w:szCs w:val="28"/>
          <w:rtl w:val="true"/>
          <w:lang w:bidi="ar-SA"/>
        </w:rPr>
        <w:t>، يصحّ في تلك العقود على هذا المبنى وعلى ما قرّرناه، لا على ما قرّره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495665_2142443653"/>
      <w:bookmarkStart w:id="701" w:name="_Toc248"/>
      <w:bookmarkEnd w:id="700"/>
      <w:r>
        <w:rPr>
          <w:rtl w:val="true"/>
        </w:rPr>
        <w:t>مؤونة الردّ على من تكون؟</w:t>
      </w:r>
      <w:bookmarkEnd w:id="701"/>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الردّ، هل تكون مؤونته على القابض مطلقاً، أو على المالك كذلك، أو فيه تفصيل؟</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المؤونة التي يقتضيها طبع الردّ إلى صاحبه، وبين المؤونة الزائدة على المتعارف، فالأوّل على القابض دون الثاني؛ فإنّ أدلّة الضرر متقيّدة بما هو في طبعه ضرر، وأمّا الزائد فينفى بدليل نفي الضرر، ذهب إليه المحقّق الخراساني</w:t>
      </w:r>
      <w:r>
        <w:rPr>
          <w:rStyle w:val="FootnoteAnchor"/>
          <w:rtl w:val="true"/>
        </w:rPr>
        <w:footnoteReference w:id="985"/>
      </w:r>
      <w:r>
        <w:rPr>
          <w:rFonts w:ascii="IRNazanin" w:hAnsi="IRNazanin" w:eastAsia="IRNazanin"/>
          <w:color w:val="111111"/>
          <w:sz w:val="28"/>
          <w:sz w:val="28"/>
          <w:szCs w:val="28"/>
          <w:rtl w:val="true"/>
          <w:lang w:bidi="fa-IR"/>
        </w:rPr>
        <w:t>، وتبعه بعض أعاظم العصر</w:t>
      </w:r>
      <w:r>
        <w:rPr>
          <w:rStyle w:val="FootnoteAnchor"/>
          <w:rtl w:val="true"/>
        </w:rPr>
        <w:footnoteReference w:id="986"/>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الردّ بما هو لا يقتضي مؤونة رأساً، وإنّما يكون في مقدّمات بعض مصاديقه مؤونة، فإن كان المراد من الاقتضاء بالطبع هو اقتضاء ذاته، فلا يوجد مورد يكون الردّ بذاته ذا مؤونة، بل هي في المقدّمات أحياناً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الردّ في الجملة كذلك، لكن لا شبهة في أنّه لا يقتضيها بذاته </w:t>
      </w:r>
    </w:p>
    <w:p>
      <w:pPr>
        <w:pStyle w:val="BookText"/>
        <w:rPr/>
      </w:pPr>
      <w:r>
        <w:rPr>
          <w:rFonts w:ascii="Amiri" w:hAnsi="Amiri" w:eastAsia="Amiri" w:cs="Amiri"/>
          <w:color w:val="111111"/>
          <w:sz w:val="28"/>
          <w:sz w:val="28"/>
          <w:szCs w:val="28"/>
          <w:rtl w:val="true"/>
          <w:lang w:bidi="ar-SA"/>
        </w:rPr>
        <w:t>وطبعه، وإلاّ لم تكن منفكّة عن مصاديقه، والواقع خلافه، فيعلم من ذلك عدم الاقتضاء طبعاً وذاتاً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والاقتضاء في بعض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للخصوصية الشخصية، لا لطبع الردّ، ومثله يكون مشمولاً لدليل نفي الضرر، فكما أنّ الوضوء والغسل ضرريان ببعض مصاديقهما لا بطبعهما، ودليل نفي الضرر حاكم على أدلّتهما، كذلك المقام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فيما إذا كان شيء بطبعه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الضرر ليس حاكماً على دليله؛ لأجل لزوم لغوية الجعل، وقيام القرينة العقلية، والمورد ليس كذلك؛ لأنّ الردّ ليس بطبعه ضررياً، ومقتضى حكومة دليل نفي الضرر، أنّ المؤونة على المالك مطلقاً، كانت متعارفة، أم زائدة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ضرري ببعض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المؤونة في المقدّمة، لا في نفس الردّ، كما هو كذلك،</w:t>
      </w:r>
    </w:p>
    <w:p>
      <w:pPr>
        <w:pStyle w:val="BookText"/>
        <w:rPr/>
      </w:pPr>
      <w:r>
        <w:rPr>
          <w:rFonts w:ascii="Amiri" w:hAnsi="Amiri" w:eastAsia="Amiri" w:cs="Amiri"/>
          <w:color w:val="111111"/>
          <w:sz w:val="28"/>
          <w:sz w:val="28"/>
          <w:szCs w:val="28"/>
          <w:rtl w:val="true"/>
          <w:lang w:bidi="ar-SA"/>
        </w:rPr>
        <w:t>فإن قلنا بأنّ المقدّمة واجبة شرعاً، فالكلام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الوجوب الشرعي، بل لزومها من قبيل اللا بدّية العقلية كما هو التحقيق</w:t>
      </w:r>
      <w:r>
        <w:rPr>
          <w:rStyle w:val="FootnoteAnchor"/>
          <w:rtl w:val="true"/>
        </w:rPr>
        <w:footnoteReference w:id="987"/>
      </w:r>
      <w:r>
        <w:rPr>
          <w:rFonts w:ascii="Amiri" w:hAnsi="Amiri" w:eastAsia="Amiri" w:cs="Amiri"/>
          <w:color w:val="111111"/>
          <w:sz w:val="28"/>
          <w:sz w:val="28"/>
          <w:szCs w:val="28"/>
          <w:rtl w:val="true"/>
          <w:lang w:bidi="ar-SA"/>
        </w:rPr>
        <w:t>، فإن قلنا بأنّ دليل نفي الضرر يستفاد منه نفي الحكم الذي جاء من قبله الضرر، سواء كان في نفس الموضوع أو مقدّماته، فالأمر كما تقدّم أيضاً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خصّصناه بالضرر الجائي من قبل ذات الموضوع، فالمؤونة مطلقاً على القابض؛ لوجوب الردّ عليه مطلقاً، ولا دليل على نفي الحكم الجائي من قبله الضرر، فالتفصيل غير وجيه على أيّ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مورد قلنا بأنّ الردّ ضرري، أو يلزم منه الضرر، يكون الردّ غير واجب، لا أنّه واجب، والمؤونة على الطرف، نعم، بعد عدم وجوبه وجب عليه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الغضّ عمّا ذكرناه في محلّه؛ من الإشكال في حكومة دليل نفي الضرر على أدلّة الأحكام، وأنّ مفاده نهي سلطاني من قبل رسول اللّه صلي الله عليه و آله وسلم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ذكرناه يظهر حال دليل نفي الحرج، فيما لزم من المؤونة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تفصيل آخر أشار إليه السيّد الطباطبائي</w:t>
      </w:r>
      <w:r>
        <w:rPr>
          <w:rStyle w:val="FootnoteAnchor"/>
          <w:rtl w:val="true"/>
        </w:rPr>
        <w:footnoteReference w:id="989"/>
      </w:r>
      <w:r>
        <w:rPr>
          <w:rFonts w:ascii="Amiri" w:hAnsi="Amiri" w:eastAsia="Amiri" w:cs="Amiri"/>
          <w:color w:val="111111"/>
          <w:sz w:val="28"/>
          <w:sz w:val="28"/>
          <w:szCs w:val="28"/>
          <w:rtl w:val="true"/>
          <w:lang w:bidi="ar-SA"/>
        </w:rPr>
        <w:t>، وذكره بعض أعاظم العصر، وهو أنّه يجب الردّ إذا نقل القابض المال إلى بلد آخر، مع كون المالك في بلد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المقبوض في بلد القبض، وانتقل المالك إلى مكان آخر، فلا يجب نقله إليه، بل يردّه إلى وكيله أو الحاكم؛ لعدم دليل على لزوم الدفع إلى شخص المالك في هذه الصورة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وجوب الردّ إلى المالك في هذه الصورة، إطلاق دليل وجوب الردّ، كقوله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بناءً على دلالته على المطلوب، كما ذهب إليه ثاني القائلين</w:t>
      </w:r>
      <w:r>
        <w:rPr>
          <w:rStyle w:val="FootnoteAnchor"/>
          <w:rtl w:val="true"/>
        </w:rPr>
        <w:footnoteReference w:id="991"/>
      </w:r>
      <w:r>
        <w:rPr>
          <w:rFonts w:ascii="IRNazanin" w:hAnsi="IRNazanin" w:eastAsia="IRNazanin"/>
          <w:color w:val="111111"/>
          <w:sz w:val="28"/>
          <w:sz w:val="28"/>
          <w:szCs w:val="28"/>
          <w:rtl w:val="true"/>
          <w:lang w:bidi="fa-IR"/>
        </w:rPr>
        <w:t>، وسائر ما تقدّم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الوكيل وكيلاً في القبض أو في مطلق الاُمور، فالردّ إليه ردّ إلى موكّله في هذه الصورة وفي غيرها، فالقول بعدم الدليل على وجوب الردّ، ليس على ما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الحال في فرع آخر، وهو أنّه لو نقله القابض من بلد القبض إلى بلدٍ آخر، وانتقل المالك إلى بلد ثالث، فإنّ مقتضى وجوب الردّ إلى المالك هو النقل إليه، إلاّ أن يتقيّد بدليل نفي الضرر أو الحرج،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 بعض الأعاظم قدّس سرّه من أنّه يحتمل أن لا يكون الردّ إلى بلد القبض، أو البلد الذي انتقل إليه المالك واجباً، إلاّ إذا كان في بلد القبض خصوصية؛ بأن يكون قيمته أغلى، أو راغبه أكثر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بوجيه؛ لعدم الدليل على لزوم الردّ إلى بلد القبض، وإنّما الدليل على وجوب الردّ إلى مالكه، كان في بلد القبض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إذا كان جاهلاً بالفساد مع مبالاته بالشرع؛ بحيث لو كان عالماً لما أقدم على المعاملة، ولم يدفع ماله إلى القابض، وكان القابض عالماً بالحكم وحال الدافع، كانت المؤونة على القابض، سواء كانت متعارفة أم زائدة عليها، بل ولو لزم من دفعها الحرج عليه؛ لكونه بحكم الغاصب،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المأخوذ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لانصراف أدلّة نفي الضرر والحرج عن مثله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القابض جاهلاً مع مبالاته بالشرع، والدافع عالماً بالحكم وحال القابض، فليست المؤونة عليه مطلقاً، سواء قلنا بشمول دليل نفي الضرر لمثل المورد أم لا، ولا يجب عليه الردّ؛ لانصراف دليل وجوبه عنه، نعم يجب عليه التخلية ورفع اليد عنه</w:t>
      </w:r>
      <w:r>
        <w:rPr>
          <w:rFonts w:eastAsia="Amiri" w:cs="Amiri" w:ascii="Amiri" w:hAnsi="Amiri"/>
          <w:color w:val="111111"/>
          <w:sz w:val="28"/>
          <w:szCs w:val="28"/>
          <w:rtl w:val="true"/>
          <w:lang w:bidi="ar-SA"/>
        </w:rPr>
        <w:t xml:space="preserve">. </w:t>
      </w:r>
      <w:bookmarkStart w:id="702" w:name="pg15195_150846"/>
    </w:p>
    <w:p>
      <w:pPr>
        <w:pStyle w:val="Heading3"/>
        <w:numPr>
          <w:ilvl w:val="2"/>
          <w:numId w:val="1"/>
        </w:numPr>
        <w:rPr/>
      </w:pPr>
      <w:bookmarkStart w:id="703" w:name="__RefHeading___Toc2495667_2142443653"/>
      <w:bookmarkStart w:id="704" w:name="_Toc249"/>
      <w:bookmarkEnd w:id="702"/>
      <w:bookmarkEnd w:id="703"/>
      <w:r>
        <w:rPr>
          <w:rtl w:val="true"/>
        </w:rPr>
        <w:t xml:space="preserve">الأمر الثالث </w:t>
      </w:r>
      <w:r>
        <w:rPr>
          <w:rtl w:val="true"/>
        </w:rPr>
        <w:t xml:space="preserve">: </w:t>
      </w:r>
      <w:r>
        <w:rPr>
          <w:rtl w:val="true"/>
        </w:rPr>
        <w:t>في ضمان المنافع</w:t>
      </w:r>
      <w:bookmarkEnd w:id="704"/>
    </w:p>
    <w:p>
      <w:pPr>
        <w:pStyle w:val="Heading4"/>
        <w:numPr>
          <w:ilvl w:val="3"/>
          <w:numId w:val="1"/>
        </w:numPr>
        <w:rPr/>
      </w:pPr>
      <w:bookmarkStart w:id="705" w:name="__RefHeading___Toc2495669_2142443653"/>
      <w:bookmarkStart w:id="706" w:name="_Toc250"/>
      <w:bookmarkEnd w:id="705"/>
      <w:r>
        <w:rPr>
          <w:rtl w:val="true"/>
        </w:rPr>
        <w:t>ما يدلّ على الضمان في المنافع المستوفاة</w:t>
      </w:r>
      <w:bookmarkEnd w:id="706"/>
    </w:p>
    <w:p>
      <w:pPr>
        <w:pStyle w:val="BookText"/>
        <w:rPr/>
      </w:pPr>
      <w:r>
        <w:rPr>
          <w:rFonts w:ascii="Amiri" w:hAnsi="Amiri" w:eastAsia="Amiri" w:cs="Amiri"/>
          <w:color w:val="111111"/>
          <w:sz w:val="28"/>
          <w:sz w:val="28"/>
          <w:szCs w:val="28"/>
          <w:rtl w:val="true"/>
          <w:lang w:bidi="ar-SA"/>
        </w:rPr>
        <w:t xml:space="preserve">لو كان للعين المبتاعة منفعة استوفاها المشتري قبل الردّ، كان عليه عوضها؛ لقاعدة اليد بما تقدّم الكلام فيها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ولقاعدة الإتلاف التي هي قاعدة عقلائية، لم يردع عنها الشارع، بل أمضاها في موارد كثيرة، بل يمكن استفادتها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الروايات الواردة في شهادة الزور، كصحيحة جميل، عن أبي عبداللّه عليه السلام في شهادة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قائماً، وإلاّ ضمن بقدر ما أتلف من مال الرجل</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بعض ما وردت في تلف الرهن بتفريط المرتهن، كموثّقة إسحاق بن عمّار</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يرهن الرهن بمائة درهم، وهو يساوي ثلاث مائة درهم فيهلك، أ على الرجل أن يردّ على صاحبه مائتي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أخذ رهناً فيه فضل فضيّعه</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ونحوها في رواية الصدوق،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التعليل على أنّ كلّ من ضيّع مال الغير فهو ضامن، ومعلوم أنّ تمام العلّة بنظر العرف هو التضييع، لا تضييع الرهن، فعلى رواية الصدوق عين قاعدة الإتلاف، وعلى رواية الكليني عينها أو أعمّ منها ومن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المؤمن كحرمة دمه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على إشكال تعرّضنا له في باب الفضولي</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الإتلاف عبارة عن تضييع المال، لا إفنائه بالأكل والشرب، فلا تشمل قاعدة الإتلاف لمثله</w:t>
      </w:r>
      <w:r>
        <w:rPr>
          <w:rStyle w:val="FootnoteAnchor"/>
          <w:rtl w:val="true"/>
        </w:rPr>
        <w:footnoteReference w:id="1001"/>
      </w:r>
      <w:r>
        <w:rPr>
          <w:rFonts w:ascii="Amiri" w:hAnsi="Amiri" w:eastAsia="Amiri" w:cs="Amiri"/>
          <w:color w:val="111111"/>
          <w:sz w:val="28"/>
          <w:sz w:val="28"/>
          <w:szCs w:val="28"/>
          <w:rtl w:val="true"/>
          <w:lang w:bidi="ar-SA"/>
        </w:rPr>
        <w:t xml:space="preserve">في غاية الضعف؛ لأنّ قاعدة الإتلاف عقلائية، وما عند العقلاء 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إعدام مال الغير بأيّ نحوٍ كان، كما هو واضح</w:t>
      </w:r>
      <w:r>
        <w:rPr>
          <w:rFonts w:eastAsia="Amiri" w:cs="Amiri" w:ascii="Amiri" w:hAnsi="Amiri"/>
          <w:color w:val="111111"/>
          <w:sz w:val="28"/>
          <w:szCs w:val="28"/>
          <w:rtl w:val="true"/>
          <w:lang w:bidi="ar-SA"/>
        </w:rPr>
        <w:t xml:space="preserve">. </w:t>
      </w:r>
      <w:bookmarkStart w:id="707" w:name="pg15195_150848"/>
    </w:p>
    <w:p>
      <w:pPr>
        <w:pStyle w:val="BookText"/>
        <w:rPr/>
      </w:pPr>
      <w:bookmarkEnd w:id="707"/>
      <w:r>
        <w:rPr>
          <w:rFonts w:ascii="Amiri" w:hAnsi="Amiri" w:eastAsia="Amiri" w:cs="Amiri"/>
          <w:color w:val="111111"/>
          <w:sz w:val="28"/>
          <w:sz w:val="28"/>
          <w:szCs w:val="28"/>
          <w:rtl w:val="true"/>
          <w:lang w:bidi="ar-SA"/>
        </w:rPr>
        <w:t>مضافاً إلى أنّ الإتلاف أعمّ من التضييع، ولو بمناسبة الحكم والموضوع، كما أنّ ما في روايات شهادة الزور أيضاً ليس الإتلاف بمعنى التضييع، فالقاعدة محكّمة ممضاة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ذلك ابن حمزة رحمه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لقاعدة الخراج بالضمان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495671_2142443653"/>
      <w:bookmarkStart w:id="709" w:name="_Toc251"/>
      <w:bookmarkEnd w:id="708"/>
      <w:r>
        <w:rPr>
          <w:rtl w:val="true"/>
        </w:rPr>
        <w:t>الكلام حول قاعدة الخراج بالضمان</w:t>
      </w:r>
      <w:bookmarkEnd w:id="709"/>
    </w:p>
    <w:p>
      <w:pPr>
        <w:pStyle w:val="BookText"/>
        <w:rPr/>
      </w:pPr>
      <w:r>
        <w:rPr>
          <w:rFonts w:ascii="Amiri" w:hAnsi="Amiri" w:eastAsia="Amiri" w:cs="Amiri"/>
          <w:color w:val="111111"/>
          <w:sz w:val="28"/>
          <w:sz w:val="28"/>
          <w:szCs w:val="28"/>
          <w:rtl w:val="true"/>
          <w:lang w:bidi="ar-SA"/>
        </w:rPr>
        <w:t xml:space="preserve">وقد تمسّك بها شيخ الطائفة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المصرّاة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اللبن الحادث؛ لأنّ النبي صلي الله عليه و آله وسلم قضى أنّ الخراج بالضمان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كسب المبيع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الكسب بلا خلاف؛ لقوله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اشترى جارية حاملاً، فولدت في ملك المشتري عبداً مملوكاً، ثمّ وجد بالاُمّ عيباً، فإنّه يردّ الاُمّ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نسب قبيل تلك المسألة إلى 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وسلم قضى أنّ الخراج بالضمان</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710" w:name="pg15195_150849"/>
    </w:p>
    <w:p>
      <w:pPr>
        <w:pStyle w:val="BookText"/>
        <w:rPr/>
      </w:pPr>
      <w:bookmarkEnd w:id="710"/>
      <w:r>
        <w:rPr>
          <w:rFonts w:ascii="Amiri" w:hAnsi="Amiri" w:eastAsia="Amiri" w:cs="Amiri"/>
          <w:color w:val="111111"/>
          <w:sz w:val="28"/>
          <w:sz w:val="28"/>
          <w:szCs w:val="28"/>
          <w:rtl w:val="true"/>
          <w:lang w:bidi="ar-SA"/>
        </w:rPr>
        <w:t>والرواية منقولة عن صحاح العامّة</w:t>
      </w:r>
      <w:r>
        <w:rPr>
          <w:rStyle w:val="FootnoteAnchor"/>
          <w:rtl w:val="true"/>
        </w:rPr>
        <w:footnoteReference w:id="1007"/>
      </w:r>
      <w:r>
        <w:rPr>
          <w:rFonts w:ascii="Amiri" w:hAnsi="Amiri" w:eastAsia="Amiri" w:cs="Amiri"/>
          <w:color w:val="111111"/>
          <w:sz w:val="28"/>
          <w:sz w:val="28"/>
          <w:szCs w:val="28"/>
          <w:rtl w:val="true"/>
          <w:lang w:bidi="ar-SA"/>
        </w:rPr>
        <w:t xml:space="preserve">،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وإنّما رووها فيما قضى عمر بن عبدالعزيز في عبد اشترى واستعمله، ثمّ انكشف كونه معيباً، فقضى أنّ عمله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عليه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مثله في حياة رسول اللّه صلي الله عليه و آله وسلم، فقال رسول اللّه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عمله للمشتري؛ لأنّ الخراج بالضمان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ماجة،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اشترى عبداً فاستغلّه، ثمّ وجد فيه عيباً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قد استغلّ 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رواية عائشة 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في ذيل قضاء ابن عبدالعزيز، وإن أمكن أن تكون تقطيعاً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الاستناد إليها محلّ إشكال، ومجرّد تمسّك الشيخ وابن حمزة بها لا يجبر سندها</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495673_2142443653"/>
      <w:bookmarkStart w:id="712" w:name="_Toc252"/>
      <w:bookmarkEnd w:id="711"/>
      <w:r>
        <w:rPr>
          <w:rtl w:val="true"/>
        </w:rPr>
        <w:t>بحث في مفاد الخراج بالضمان</w:t>
      </w:r>
      <w:bookmarkEnd w:id="71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مفادها، فتارةً يلاحظ مع قطع النظر عن المورد في قصّة عمر بن عبدالعزيز، واُخرى مع لحاظه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الخراج المضروب على الأراضي أو الرؤوس أيضاً،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تعهّدات والي المسلمين تدبير اُمورهم، وسدّ حاجاتهم، وجميع ما على الوالي في صلاح دولة الإسلام وحال المسلمين، فالمراد أنّ الخراج المأخوذ من الأراضي وغيرها، بإزاء ما على الوالي من التعهّدات على إدارة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المنافع،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الإتلاف، أو الضمان بعد التلف، فالمراد أنّ العين إذا تلفت أو اُتلفت، وكان ضمانها بالمثل أو القيمة على المتلف، أو على من تلفت عنده، تكون منافع العين بإزاء ذلك الضمان، فالعين المضمونة بالتلف لا تضمن منافعها، بل ضمان العين كافٍ عن ضمان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غير ما ذهب إليه أبو حنيفة على ما في صحيحة أبي ولاّد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اليد، كضمان الغصب، والمقبوض بالبيع الفاسد، فيراد أنّ العين إذا كانت على عهدة شخص وضمانه، فالخراج بإزائه، فيوافق رأي أبي حنيفة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المراد أعمّ من ضمان الإتلاف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المراد الضمان الجعلي،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مالك في البحر، وعليّ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مالك في مكان كذا وعليّ ضمانه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الأعمّ منه وممّا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المعنى المصدري؛ أي الانتفاع بالشيء، فيختصّ بالمنافع المستوفاة، أو يراد به حاصله؛ أي كلّ ما هو خارج من الشيء ومنفعة له، فيكون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الضمان في الاحتمالات المتقدّمة ما عدا الأوّل هو الضمان العرفي المعهود؛ أي الغرامة وعهدة جبران الخسارة، ولو بنحو التعليق على التلف،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مورد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مورد اشتراء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الضمان فيه بالمعنى العرفي والعقلائي؛ لأنّ العقد والقرار والتمليك والتملّك والتقبيل والتقبّل، ليس شيء منها ضماناً عرفاً، كما أنّ خسارة المال من كيس صاحبه ليس ضماناً عرفاً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 ولو بمناسبة الحكم والموضوع هو الضمان الجعلي المالكي الممضى شرعاً، فينحصر مورده بالبيع الصحيح</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لأنّ البيع والشراء ليسا عبارة عن جعل الضمان، ولا متضمّنين لذلك،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الاحتمال ليست للسببية، ولا للمقابلة؛ فإنّ منافع مال الإنسان له لأجل كونه ماله، لا لتعهّده وضمانه، ولا بإزائهما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الرواية مراد بلا شبهة، وداخل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التجوّز والتأوّل، وإرادة غيره لا بدّ وأن تكون بنحو استعمال اللفظ في أكثر من معنى واحد، أو في معنى جامع انتزاعي لو فرض </w:t>
      </w:r>
    </w:p>
    <w:p>
      <w:pPr>
        <w:pStyle w:val="BookText"/>
        <w:rPr/>
      </w:pPr>
      <w:r>
        <w:rPr>
          <w:rFonts w:ascii="Amiri" w:hAnsi="Amiri" w:eastAsia="Amiri" w:cs="Amiri"/>
          <w:color w:val="111111"/>
          <w:sz w:val="28"/>
          <w:sz w:val="28"/>
          <w:szCs w:val="28"/>
          <w:rtl w:val="true"/>
          <w:lang w:bidi="ar-SA"/>
        </w:rPr>
        <w:t>وجوده، وهو على التقديرين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لازمه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معنيين، وهو خلاف الأصل على فرض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الرواية دليلاً على فتوى أبي حنيفة وابن حمزة، ولا على فتوى شيخ الطائفة،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من المبيع نماء قبل القبض، كان ذلك للبائع إذا أراد الردّ بالعيب؛ لأنّ ضمانه على البائع، لظاهر الخبر</w:t>
      </w:r>
      <w:r>
        <w:rPr>
          <w:rStyle w:val="FootnoteAnchor"/>
          <w:rtl w:val="true"/>
        </w:rPr>
        <w:footnoteReference w:id="1012"/>
      </w:r>
      <w:r>
        <w:rPr>
          <w:rFonts w:ascii="Amiri" w:hAnsi="Amiri" w:eastAsia="Amiri" w:cs="Amiri"/>
          <w:color w:val="111111"/>
          <w:sz w:val="28"/>
          <w:sz w:val="28"/>
          <w:szCs w:val="28"/>
          <w:rtl w:val="true"/>
          <w:lang w:bidi="ar-SA"/>
        </w:rPr>
        <w:t xml:space="preserve">أي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فسّره بغير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الخراج لمن يكون المال يتلف في ملكه، ولمّا كان المبيع يتلف في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الضمان انتقل إليه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الخراج 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التفسير بملاحظة مورد الرواية، لا أنّه معنى الضمان عرفاً، ولو كان معناه ما ذكره أوّلاً، لا يكون ظاهراً في الضمان المعهود؛ لما تقدّم من أنّه مع إرادة نماء الملك في البيع الصحيح، لا يحمل على الضمان المعهود، فلا بدّ من دليل على إرادة غير مورد البيع، وهو مفقود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احتمال آخر، ذكره بعض المحشّين</w:t>
      </w:r>
      <w:r>
        <w:rPr>
          <w:rStyle w:val="FootnoteAnchor"/>
          <w:rtl w:val="true"/>
        </w:rPr>
        <w:footnoteReference w:id="101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خسارة الضامن، فيراد أنّ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خسارة منفعة خدمة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تثبت بسبب الضمان، وحيث لا ضمان في المنفعة؛ لفرض كون العبد ملك المشتري، </w:t>
      </w:r>
    </w:p>
    <w:p>
      <w:pPr>
        <w:pStyle w:val="BookText"/>
        <w:rPr/>
      </w:pPr>
      <w:r>
        <w:rPr>
          <w:rFonts w:ascii="Amiri" w:hAnsi="Amiri" w:eastAsia="Amiri" w:cs="Amiri"/>
          <w:color w:val="111111"/>
          <w:sz w:val="28"/>
          <w:sz w:val="28"/>
          <w:szCs w:val="28"/>
          <w:rtl w:val="true"/>
          <w:lang w:bidi="ar-SA"/>
        </w:rPr>
        <w:t>فلا غرامة، واستشهد لذلك بما نقله الفخر</w:t>
      </w:r>
      <w:r>
        <w:rPr>
          <w:rStyle w:val="FootnoteAnchor"/>
          <w:rtl w:val="true"/>
        </w:rPr>
        <w:footnoteReference w:id="1015"/>
      </w:r>
      <w:r>
        <w:rPr>
          <w:rFonts w:ascii="Amiri" w:hAnsi="Amiri" w:eastAsia="Amiri" w:cs="Amiri"/>
          <w:color w:val="111111"/>
          <w:sz w:val="28"/>
          <w:sz w:val="28"/>
          <w:szCs w:val="28"/>
          <w:rtl w:val="true"/>
          <w:lang w:bidi="ar-SA"/>
        </w:rPr>
        <w:t>عن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الخراج ما لزمك أداؤه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آخر غير بعيد بملاحظة مورد الرواية،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المنفعة، لا لغةً، ولا عرفاً، فلا يقال لمنفعة الدابّة والدار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عبارة عمّا وضعته الدول على الأراضي والرؤوس، أو مطلق ما أخذوا بعنوان الضرائب، ويطلق على ضريبة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الطائفة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للعبد الذي ضرب عليه مقدار من الكسب في كلّ يوم أو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مخارج</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يمكن أن يكون المورد ممّا كان استعمال العبد بنحو الضريبة؛ بقرينة ذكر الخراج، ويكون المراد أنّ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ضريبة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تعهّدات مولاه في تدبير أمره، وتأمين معاشه، وغير ذلك ممّا يجب شرعاً ويثبت عرفاً على المولى بالنسبة إلى عبده ومملوكه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 هذا المعنى المخالف للقواعد العقلائية والشرعية بهذه الرواية المجملة الضعيفة السند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الواردة في باب شرط الخيار</w:t>
      </w:r>
      <w:r>
        <w:rPr>
          <w:rStyle w:val="FootnoteAnchor"/>
          <w:rtl w:val="true"/>
        </w:rPr>
        <w:footnoteReference w:id="1017"/>
      </w:r>
      <w:r>
        <w:rPr>
          <w:rFonts w:ascii="IRNazanin" w:hAnsi="IRNazanin" w:eastAsia="IRNazanin"/>
          <w:color w:val="111111"/>
          <w:sz w:val="28"/>
          <w:sz w:val="28"/>
          <w:szCs w:val="28"/>
          <w:rtl w:val="true"/>
          <w:lang w:bidi="fa-IR"/>
        </w:rPr>
        <w:t>، والرهن</w:t>
      </w:r>
      <w:r>
        <w:rPr>
          <w:rStyle w:val="FootnoteAnchor"/>
          <w:rtl w:val="true"/>
        </w:rPr>
        <w:footnoteReference w:id="1018"/>
      </w:r>
      <w:r>
        <w:rPr>
          <w:rFonts w:ascii="Amiri" w:hAnsi="Amiri" w:eastAsia="Amiri" w:cs="Amiri"/>
          <w:color w:val="111111"/>
          <w:sz w:val="28"/>
          <w:sz w:val="28"/>
          <w:szCs w:val="28"/>
          <w:rtl w:val="true"/>
          <w:lang w:bidi="ar-SA"/>
        </w:rPr>
        <w:t xml:space="preserve">، ففيها إرجاع إلى </w:t>
      </w:r>
      <w:bookmarkStart w:id="713" w:name="pg15195_150854"/>
    </w:p>
    <w:p>
      <w:pPr>
        <w:pStyle w:val="BookText"/>
        <w:rPr/>
      </w:pPr>
      <w:bookmarkEnd w:id="713"/>
      <w:r>
        <w:rPr>
          <w:rFonts w:ascii="Amiri" w:hAnsi="Amiri" w:eastAsia="Amiri" w:cs="Amiri"/>
          <w:color w:val="111111"/>
          <w:sz w:val="28"/>
          <w:sz w:val="28"/>
          <w:szCs w:val="28"/>
          <w:rtl w:val="true"/>
          <w:lang w:bidi="ar-SA"/>
        </w:rPr>
        <w:t>المعنى العقلائي، وهو تبعية نماء الملك له، وكون خسارة الملك على مالكه، فهي أجنبيّة عن فتوى أبي حنيفة</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495675_2142443653"/>
      <w:bookmarkStart w:id="715" w:name="_Toc253"/>
      <w:bookmarkEnd w:id="714"/>
      <w:r>
        <w:rPr>
          <w:rtl w:val="true"/>
        </w:rPr>
        <w:t>استظهار المحقّق النائيني من قاعدة الخراج بالضمان</w:t>
      </w:r>
      <w:bookmarkEnd w:id="715"/>
    </w:p>
    <w:p>
      <w:pPr>
        <w:pStyle w:val="BookText"/>
        <w:rPr/>
      </w:pPr>
      <w:r>
        <w:rPr>
          <w:rFonts w:ascii="Amiri" w:hAnsi="Amiri" w:eastAsia="Amiri" w:cs="Amiri"/>
          <w:color w:val="111111"/>
          <w:sz w:val="28"/>
          <w:sz w:val="28"/>
          <w:szCs w:val="28"/>
          <w:rtl w:val="true"/>
          <w:lang w:bidi="ar-SA"/>
        </w:rPr>
        <w:t>ثمّ إنّ بعض الأعاظم قدّس سرّه استظهر من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 يخلو التعرّض له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بمناسبة الحكم والموضوع، هو الضمان الجعلي الفعلي الأصلي الممضى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دعوى عدم شموله للبيع الفاسد والضمان القهري، كما في ضمان المغصوب،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الاحتمال في التعهّد المصدري الذي أمضاه الشرع، وهذا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تعهّد لشيءٍ كان مالكاً لمنافعه وخواصّه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الإعارة بشرط الضمان، وعارية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ضمان العين، والداعي إليه هو تملّك المنافع، فينحصر بباب البيع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المعنى الأخير؛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إمّا في السببية، أو المقابلة، ومقتضاهما أن تكون السببية والمقابلة من الطرفين؛ أي تملّك المنافع صار داعياً للضمان، والضمان صار سبباً لكون المنافع له، كما في كلّ علّة غائية، وهذا يختصّ بضمان المشتري المبيع؛ فإنّ المقصود الأصلي من ضمان المبيع وجعل الثمن بإزائه هو أن ينتفع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من القاعدة أنّ الضمان فعلي، وهو يناسب باب البيع؛ فإنّ المشتري ضامن للمبيع، والبائع ضامن للثمن، فلهما منافعهما </w:t>
      </w:r>
      <w:r>
        <w:rPr>
          <w:rStyle w:val="FootnoteAnchor"/>
          <w:rtl w:val="true"/>
        </w:rPr>
        <w:footnoteReference w:id="10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المعاطاة عند تعرّضه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ضمان البائع للثمن، والمشتري للمثمن، أنّ دركهما عليهما؛ بحيث لو تلف ثمّ طرأ على المعاوضة فسخ أو انفساخ، يجب عليهما ردّ مثله أو قيمته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بما فيه من وجوه، كدعوى ظهور الخبر في المعنى الأخير؛ لما عرفت</w:t>
      </w:r>
      <w:r>
        <w:rPr>
          <w:rStyle w:val="FootnoteAnchor"/>
          <w:rtl w:val="true"/>
        </w:rPr>
        <w:footnoteReference w:id="1021"/>
      </w:r>
      <w:r>
        <w:rPr>
          <w:rFonts w:ascii="Amiri" w:hAnsi="Amiri" w:eastAsia="Amiri" w:cs="Amiri"/>
          <w:color w:val="111111"/>
          <w:sz w:val="28"/>
          <w:sz w:val="28"/>
          <w:szCs w:val="28"/>
          <w:rtl w:val="true"/>
          <w:lang w:bidi="ar-SA"/>
        </w:rPr>
        <w:t>أنّ الضمان لا ينطبق على جعل الثمن مقابل العين وبالعكس، ولا على القرار والعقد؛ فإنّها ليست ضماناً عرفاً ولغةً، هذا إذا كان المراد بالضمان ما هو ظاهره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مراده به ما صرّح به في تفسيره في المعاطاة، فالنظر فيه أوضح؛ لأنّ ذلك الضمان المشروط بالتلف وفسخ المعاملة لا تحقّق له فعلاً، مع أنّه ادّعى ظهور الخبر في الضمان الفعلي، فيكون معنى الخبر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منافع المبيع فعلاً للمشتري؛ بسبب الضمان المفقود فعلاً، المتحقّق على فرض التلف وفسخ العقد، وهو كما ترى من غرائب التوجيه والاستظهار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الضمان المشروط بالفسخ والتلف ضمان اليد، وهو ضمان قهري لا جعلي، وقد ادّعى ظهور الخبر في الجعلي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منه أنّه جعل مبنى استظهاره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السببية أو المقابلة، </w:t>
      </w:r>
      <w:bookmarkStart w:id="716" w:name="pg15195_150856"/>
    </w:p>
    <w:p>
      <w:pPr>
        <w:pStyle w:val="BookText"/>
        <w:rPr/>
      </w:pPr>
      <w:bookmarkEnd w:id="716"/>
      <w:r>
        <w:rPr>
          <w:rFonts w:ascii="Amiri" w:hAnsi="Amiri" w:eastAsia="Amiri" w:cs="Amiri"/>
          <w:color w:val="111111"/>
          <w:sz w:val="28"/>
          <w:sz w:val="28"/>
          <w:szCs w:val="28"/>
          <w:rtl w:val="true"/>
          <w:lang w:bidi="ar-SA"/>
        </w:rPr>
        <w:t>وادّعى أنّ مقتضى السببية أن تكون من الطرفين، مع أنّها لا تقتضي ذلك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السبب على العلّة الغائية خلاف ظاهر آخر، كما أنّ المقابلة من الطرفين لا 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الضمان بالمعنى الذي فسّره، لم يكن الخراج داعياً له؛ ضرورة أنّ المشتري يشتري لأجل الفائدة والنفع، لا أنّه يجعل ضمانه عليه بالمعنى المدّعى لأجل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هاهنا وفيما تقدّم، لا يخلو من تهافت، واضطراب، وضعف، وخلل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الشارع إذا أخرج هذا الفرد من الضمان من المفهوم النفس الأمري، وخطّأ العرف في تطبيق المفهوم على المصداق</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أنّه لا معنى للتخطئة في مثل المقام، ممّا لا واقعية للموضوع إلاّ ما اعتبره العقلاء، وهو واضح</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495677_2142443653"/>
      <w:bookmarkStart w:id="718" w:name="_Toc254"/>
      <w:bookmarkEnd w:id="717"/>
      <w:r>
        <w:rPr>
          <w:rtl w:val="true"/>
        </w:rPr>
        <w:t>ثبوت الضمان في المنافع غير المستوفاة</w:t>
      </w:r>
      <w:bookmarkEnd w:id="718"/>
    </w:p>
    <w:p>
      <w:pPr>
        <w:pStyle w:val="BookText"/>
        <w:rPr/>
      </w:pPr>
      <w:r>
        <w:rPr>
          <w:rFonts w:ascii="Amiri" w:hAnsi="Amiri" w:eastAsia="Amiri" w:cs="Amiri"/>
          <w:color w:val="111111"/>
          <w:sz w:val="28"/>
          <w:sz w:val="28"/>
          <w:szCs w:val="28"/>
          <w:rtl w:val="true"/>
          <w:lang w:bidi="ar-SA"/>
        </w:rPr>
        <w:t>هذا كلّه في المنافع المستوفاة، وأمّا غيرها الفائتة تحت يده، فهي أيضاً مضمونة عليه؛ لقاعدة اليد</w:t>
      </w:r>
      <w:r>
        <w:rPr>
          <w:rStyle w:val="FootnoteAnchor"/>
          <w:rtl w:val="true"/>
        </w:rPr>
        <w:footnoteReference w:id="1023"/>
      </w:r>
      <w:r>
        <w:rPr>
          <w:rFonts w:ascii="Amiri" w:hAnsi="Amiri" w:eastAsia="Amiri" w:cs="Amiri"/>
          <w:color w:val="111111"/>
          <w:sz w:val="28"/>
          <w:sz w:val="28"/>
          <w:szCs w:val="28"/>
          <w:rtl w:val="true"/>
          <w:lang w:bidi="ar-SA"/>
        </w:rPr>
        <w:t>، لما تقدّم من أنّ للمنافع نحو وجود تدريجي يقع</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اليد تبعاً للعين، وتتلف تدريجاً، وتصير مضمونة تدريجاً، وقد تقدّم أنّ </w:t>
      </w:r>
      <w:bookmarkStart w:id="719" w:name="pg15195_150857"/>
    </w:p>
    <w:p>
      <w:pPr>
        <w:pStyle w:val="BookText"/>
        <w:rPr/>
      </w:pPr>
      <w:bookmarkEnd w:id="719"/>
      <w:r>
        <w:rPr>
          <w:rFonts w:ascii="Amiri" w:hAnsi="Amiri" w:eastAsia="Amiri" w:cs="Amiri"/>
          <w:color w:val="111111"/>
          <w:sz w:val="28"/>
          <w:sz w:val="28"/>
          <w:szCs w:val="28"/>
          <w:rtl w:val="true"/>
          <w:lang w:bidi="ar-SA"/>
        </w:rPr>
        <w:t>تلك المنافع قد يستوفيها المشتري، وقد لا يستوفيها وتصير تالفةً، وليس الاستيفاء دخيلاً في تحقّق النفع كما توهّم، فراجع</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ولقاعدة احترام مال المسلم؛ وأنّ احترامه كاحترام دمه</w:t>
      </w:r>
      <w:r>
        <w:rPr>
          <w:rStyle w:val="FootnoteAnchor"/>
          <w:rtl w:val="true"/>
        </w:rPr>
        <w:footnoteReference w:id="1025"/>
      </w:r>
      <w:r>
        <w:rPr>
          <w:rFonts w:ascii="Amiri" w:hAnsi="Amiri" w:eastAsia="Amiri" w:cs="Amiri"/>
          <w:color w:val="111111"/>
          <w:sz w:val="28"/>
          <w:sz w:val="28"/>
          <w:szCs w:val="28"/>
          <w:rtl w:val="true"/>
          <w:lang w:bidi="ar-SA"/>
        </w:rPr>
        <w:t>، فكما أنّ دمه لا يهراق، ولو اُهريق لا يذهب هدراً، فكذا ماله؛ لعموم التشبيه، مع أنّه موافق للقاعدة العقلائية في المقام، فالتمسّك بالأصل لنفي الضمان</w:t>
      </w:r>
      <w:r>
        <w:rPr>
          <w:rStyle w:val="FootnoteAnchor"/>
          <w:rtl w:val="true"/>
        </w:rPr>
        <w:footnoteReference w:id="1026"/>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495679_2142443653"/>
      <w:bookmarkStart w:id="721" w:name="_Toc255"/>
      <w:bookmarkEnd w:id="720"/>
      <w:r>
        <w:rPr>
          <w:rtl w:val="true"/>
        </w:rPr>
        <w:t>نقد كلام الشيخ في المقام</w:t>
      </w:r>
      <w:bookmarkEnd w:id="721"/>
    </w:p>
    <w:p>
      <w:pPr>
        <w:pStyle w:val="BookText"/>
        <w:rPr/>
      </w:pPr>
      <w:r>
        <w:rPr>
          <w:rFonts w:ascii="Amiri" w:hAnsi="Amiri" w:eastAsia="Amiri" w:cs="Amiri"/>
          <w:color w:val="111111"/>
          <w:sz w:val="28"/>
          <w:sz w:val="28"/>
          <w:szCs w:val="28"/>
          <w:rtl w:val="true"/>
          <w:lang w:bidi="ar-SA"/>
        </w:rPr>
        <w:t>ثمّ إنّ الشيخ الأعظم قدّس سرّه بعد الذهاب إلى عدم تمامية دليل الضمان تمسّك بالأصل لنفيه مطلقاً، ولنفيه مع علم البائع بالفساد</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بالأصل لنفيه مطلقاً، بناءً على عدم الدليل عليه صحيح، لكن في مورد التفصيل بين علم البائع وجهله غير وجيه؛ لأنّ مبنى التفصيل هو البناء على إطلاق أدلّة الضمان؛ وشمولها للمنافع المستوفاة وغيرها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مورد علم البائع عنها؛ لاندراجه تحت دليل نفي الضمان عن الأمانات، لأنّ تسليطه مع علمه يكون مجّاناً وبلا عوض، فصارت العين أمانة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مفيدة؛ لأنّ نفي الضمان حينئذٍ مستند إلى الأدلّة الاجتهادية لا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أدلّة الضمان منصرفة عن مورد الأمانات المالكية والشرعية، لكان المعوّل في نفي الضمان هو أدلّة الأمانات والقاعدة العقلائية في الأمانات المالكية، لا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التفصيل بين علم البائع وجهله</w:t>
      </w:r>
      <w:r>
        <w:rPr>
          <w:rStyle w:val="FootnoteAnchor"/>
          <w:rtl w:val="true"/>
        </w:rPr>
        <w:footnoteReference w:id="1028"/>
      </w:r>
      <w:r>
        <w:rPr>
          <w:rFonts w:ascii="Amiri" w:hAnsi="Amiri" w:eastAsia="Amiri" w:cs="Amiri"/>
          <w:color w:val="111111"/>
          <w:sz w:val="28"/>
          <w:sz w:val="28"/>
          <w:szCs w:val="28"/>
          <w:rtl w:val="true"/>
          <w:lang w:bidi="ar-SA"/>
        </w:rPr>
        <w:t>لا وجه له، بعد كون المعاملة عقلائية، والمتعاملين غير مباليين بحكم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التفصيل بين كون المشتري جاهلاً مبالياً بحكم الشرع، مع علم البائع بالفساد وبحال المشتري،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التمسّك في مثله بقاعدة الغرور؛ لدفع الضمان، حتّى ضمان الإتلاف عن المشتري، وبين غيره</w:t>
      </w:r>
      <w:r>
        <w:rPr>
          <w:rStyle w:val="FootnoteAnchor"/>
          <w:rtl w:val="true"/>
        </w:rPr>
        <w:footnoteReference w:id="1029"/>
      </w:r>
      <w:r>
        <w:rPr>
          <w:rFonts w:ascii="Amiri" w:hAnsi="Amiri" w:eastAsia="Amiri" w:cs="Amiri"/>
          <w:color w:val="111111"/>
          <w:sz w:val="28"/>
          <w:sz w:val="28"/>
          <w:szCs w:val="28"/>
          <w:rtl w:val="true"/>
          <w:lang w:bidi="ar-SA"/>
        </w:rPr>
        <w:t>، فيكون ذلك قولاً سادساً في ضمان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فغير وجيه، لا لما قال السيّد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المنافع ملحوظة في البيع، فلا تكون مجّانية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لأنّ لحاظ المنافع من قبيل الدواعي، والثمن بإزاء المبيع خاصّة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 الظاهر من القاعدة هو سلب الاقتضاء، لا اقتضاء السلب كما تقدّم</w:t>
      </w:r>
      <w:r>
        <w:rPr>
          <w:rStyle w:val="FootnoteAnchor"/>
          <w:rtl w:val="true"/>
        </w:rPr>
        <w:footnoteReference w:id="1032"/>
      </w:r>
      <w:r>
        <w:rPr>
          <w:rFonts w:ascii="Amiri" w:hAnsi="Amiri" w:eastAsia="Amiri" w:cs="Amiri"/>
          <w:color w:val="111111"/>
          <w:sz w:val="28"/>
          <w:sz w:val="28"/>
          <w:szCs w:val="28"/>
          <w:rtl w:val="true"/>
          <w:lang w:bidi="ar-SA"/>
        </w:rPr>
        <w:t>، فلا تنافي ثبوت الضمان بوجود 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المنافع ليست مصبّ العقد، فهي خارجة من القاعدة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ثابتة بنفسها بإجماع أو غيره، فلا بدّ من لحاظ مدركها، ومع لحاظه يكون الضمان موافقاً للقاعدة بدليل اليد وغيره؛ لعدم تسليم المبيع مجّاناً وبلا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المشار إليها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نقل بعضها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بصدد بيان المنافع، ولهذا سكتت عن المنافع المستوفاة أيضاً،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زرارة على إحدى النسختين</w:t>
      </w:r>
      <w:r>
        <w:rPr>
          <w:rStyle w:val="FootnoteAnchor"/>
          <w:rtl w:val="true"/>
        </w:rPr>
        <w:footnoteReference w:id="1036"/>
      </w:r>
      <w:r>
        <w:rPr>
          <w:rFonts w:ascii="Amiri" w:hAnsi="Amiri" w:eastAsia="Amiri" w:cs="Amiri"/>
          <w:color w:val="111111"/>
          <w:sz w:val="28"/>
          <w:sz w:val="28"/>
          <w:szCs w:val="28"/>
          <w:rtl w:val="true"/>
          <w:lang w:bidi="ar-SA"/>
        </w:rPr>
        <w:t>، دلالة على المنافع المستوفاة، لكن وجود منافع غير مستوفاة للأمة التي تؤخذ للاستيلاد زائدة على اللبن والخدمة غير معلوم، لو لم نقل إنّه معلوم العدم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المنافع التي استوفاها غير القابض، أو تلفت تحت يده، فربّما يأتي الكلام فيها في تعاقب الأيادي</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722" w:name="pg15195_150860"/>
    </w:p>
    <w:p>
      <w:pPr>
        <w:pStyle w:val="Heading3"/>
        <w:numPr>
          <w:ilvl w:val="2"/>
          <w:numId w:val="1"/>
        </w:numPr>
        <w:rPr/>
      </w:pPr>
      <w:bookmarkStart w:id="723" w:name="__RefHeading___Toc2495681_2142443653"/>
      <w:bookmarkStart w:id="724" w:name="_Toc256"/>
      <w:bookmarkEnd w:id="722"/>
      <w:bookmarkEnd w:id="723"/>
      <w:r>
        <w:rPr>
          <w:rtl w:val="true"/>
        </w:rPr>
        <w:t xml:space="preserve">الأمر الرابع </w:t>
      </w:r>
      <w:r>
        <w:rPr>
          <w:rtl w:val="true"/>
        </w:rPr>
        <w:t xml:space="preserve">: </w:t>
      </w:r>
      <w:r>
        <w:rPr>
          <w:rtl w:val="true"/>
        </w:rPr>
        <w:t>في ضمان المثل في المثلي</w:t>
      </w:r>
      <w:bookmarkEnd w:id="724"/>
    </w:p>
    <w:p>
      <w:pPr>
        <w:pStyle w:val="Heading4"/>
        <w:numPr>
          <w:ilvl w:val="3"/>
          <w:numId w:val="1"/>
        </w:numPr>
        <w:rPr/>
      </w:pPr>
      <w:bookmarkStart w:id="725" w:name="__RefHeading___Toc2495683_2142443653"/>
      <w:bookmarkStart w:id="726" w:name="_Toc257"/>
      <w:bookmarkEnd w:id="725"/>
      <w:r>
        <w:rPr>
          <w:rtl w:val="true"/>
        </w:rPr>
        <w:t>الاستدلال بآية الاعتداء على الضمان</w:t>
      </w:r>
      <w:bookmarkEnd w:id="726"/>
    </w:p>
    <w:p>
      <w:pPr>
        <w:pStyle w:val="BookText"/>
        <w:rPr/>
      </w:pPr>
      <w:r>
        <w:rPr>
          <w:rFonts w:ascii="Amiri" w:hAnsi="Amiri" w:eastAsia="Amiri" w:cs="Amiri"/>
          <w:color w:val="111111"/>
          <w:sz w:val="28"/>
          <w:sz w:val="28"/>
          <w:szCs w:val="28"/>
          <w:rtl w:val="true"/>
          <w:lang w:bidi="ar-SA"/>
        </w:rPr>
        <w:t>إذا تلف المبيع فإن كان مثلياً وجب مثله، أو قيمياً وجبت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شيخ الطائفة قدّس سرّه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المنافع المضمونة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والمثل مثلان، مثل من حيث الصورة، ومثل من حيث القيمة، فلمّا لم يكن للمنافع مثل من حيث الصورة، وجب أن يلزمه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إجماع الفرقة عليه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ظاهر الآية هو الاعتداء بالمثل، وهو يناسب التقاصّ لا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بأخذ مثل ما اعتدى عليه أو قيمته، كاشف عرفاً عن كون الآخذ ذا حقّ عليه، فيكون الأخذ بهما بحقّ </w:t>
      </w:r>
    </w:p>
    <w:p>
      <w:pPr>
        <w:pStyle w:val="BookText"/>
        <w:rPr/>
      </w:pPr>
      <w:r>
        <w:rPr>
          <w:rFonts w:ascii="Amiri" w:hAnsi="Amiri" w:eastAsia="Amiri" w:cs="Amiri"/>
          <w:color w:val="111111"/>
          <w:sz w:val="28"/>
          <w:sz w:val="28"/>
          <w:szCs w:val="28"/>
          <w:rtl w:val="true"/>
          <w:lang w:bidi="ar-SA"/>
        </w:rPr>
        <w:t>وتقاصّاً لما اشتغلت ذمّته به، لا أخذاً مجّاناً وبلا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إجازة الأخذ بالمثل والقيمة أنّ الاعتداء موجب للضمان، ولا يكون محرّماً صرفاً، ولا إجازة الأخذ إجازة ارتكاب محرّم في مقابل ارتكاب المتعدّي محرّماً، ولهذا لا يفهم من الآية الكريمة إجازة ارتكاب التجاوز بأهل من ارتكب التجاوز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الآية أنّ المأخوذ من مال المتعدّي يصير ملكاً للمظلوم، ويكون الأخذ بالحقّ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لم تدلّ على الضمان، بل تدلّ على جواز التقاصّ</w:t>
      </w:r>
      <w:r>
        <w:rPr>
          <w:rStyle w:val="FootnoteAnchor"/>
          <w:rtl w:val="true"/>
        </w:rPr>
        <w:footnoteReference w:id="1040"/>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إجازة الاعتداء بالمثل، لا زائداً عليه، وهو دليل على الضمان، كما هو مبنى استدلال شيخ الطائفة، والطبرسي</w:t>
      </w:r>
      <w:r>
        <w:rPr>
          <w:rStyle w:val="FootnoteAnchor"/>
          <w:rtl w:val="true"/>
        </w:rPr>
        <w:footnoteReference w:id="1041"/>
      </w:r>
      <w:r>
        <w:rPr>
          <w:rFonts w:ascii="Amiri" w:hAnsi="Amiri" w:eastAsia="Amiri" w:cs="Amiri"/>
          <w:color w:val="111111"/>
          <w:sz w:val="28"/>
          <w:sz w:val="28"/>
          <w:szCs w:val="28"/>
          <w:rtl w:val="true"/>
          <w:lang w:bidi="ar-SA"/>
        </w:rPr>
        <w:t xml:space="preserve">وغيرهما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على الضمان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دخول الاعتداء بالحرب في الآية، لو لم نقل باختصاصها به؛ لأجل كونها في خلال آيات الجهاد،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تُقَاتِلُوهُمْ عِنْدَ الْمَسْجِدِ الْحَرَامِ حَتَّى يُقَاتِلُوكُمْ فِيهِ فَإِنْ قَاتَلُوكُمْ فَاقْتُلُوهُمْ</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فِى سَبِيلِ اللّه‌ِ 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على ما قال المفسّرون</w:t>
      </w:r>
      <w:r>
        <w:rPr>
          <w:rStyle w:val="FootnoteAnchor"/>
          <w:rtl w:val="true"/>
        </w:rPr>
        <w:footnoteReference w:id="1046"/>
      </w:r>
      <w:r>
        <w:rPr>
          <w:rFonts w:ascii="Amiri" w:hAnsi="Amiri" w:eastAsia="Amiri" w:cs="Amiri"/>
          <w:color w:val="111111"/>
          <w:sz w:val="28"/>
          <w:sz w:val="28"/>
          <w:szCs w:val="28"/>
          <w:rtl w:val="true"/>
          <w:lang w:bidi="ar-SA"/>
        </w:rPr>
        <w:t>، راجعة إلى وقعة الحديبية، وصدّ المشركين رسول اللّه صلي الله عليه و آله وسلم في عام الستّ في ذي القعدة عن المناسك، ودخل في سنة السبع في ذي القعدة للمناسك، واعتمر وقضى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أنّ ذا القعدة الذي قضيتم مناسككم فيه، بإزاء ذي القعدة في السنة السابقة التي فيها منعتم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أنّ قتالكم معهم في الشهر الحرام بإزاء قتالهم معكم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الثاني، يراد به ظاهراً أنّ القتال في الحرم، والشهر الحرام، والبلد الحرام قصاص، في مقابل حربهم معكم وهتكهم الحرمات الثلاث</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ذلك، فهو إمّا مختصّ بالحرب، فلا دلالة فيه على الضمان المطلوب، أو كبرى كلّية، فلا محالة يكون الاعتداء بالحرب داخلاً فيها، ولا يمكن إخراج المورد عنها وتخصيصها بمورد الماليات</w:t>
      </w:r>
      <w:r>
        <w:rPr>
          <w:rFonts w:eastAsia="Amiri" w:cs="Amiri" w:ascii="Amiri" w:hAnsi="Amiri"/>
          <w:color w:val="111111"/>
          <w:sz w:val="28"/>
          <w:szCs w:val="28"/>
          <w:rtl w:val="true"/>
          <w:lang w:bidi="ar-SA"/>
        </w:rPr>
        <w:t xml:space="preserve">. </w:t>
      </w:r>
      <w:bookmarkStart w:id="727" w:name="pg15195_150863"/>
    </w:p>
    <w:p>
      <w:pPr>
        <w:pStyle w:val="BookText"/>
        <w:rPr/>
      </w:pPr>
      <w:bookmarkEnd w:id="727"/>
      <w:r>
        <w:rPr>
          <w:rFonts w:ascii="Amiri" w:hAnsi="Amiri" w:eastAsia="Amiri" w:cs="Amiri"/>
          <w:color w:val="111111"/>
          <w:sz w:val="28"/>
          <w:sz w:val="28"/>
          <w:szCs w:val="28"/>
          <w:rtl w:val="true"/>
          <w:lang w:bidi="ar-SA"/>
        </w:rPr>
        <w:t>ومع دخول الحرب وكونها مورد الآية، لا يمكن إرادة المثلية في المعتدى به؛ بأن يراد أنّ المقاتلين إذا قتلوا منكم عدداً معلوماً، اقتلوا منهم بهذا العدد خاصّاً، وإذا أصاب سهم واحد منهم عضواً خاصّاً منكم، لا يجوز لكم التعدّي عن ذلك العضو، وهذا واضح، فلا يراد بالمثل في مورد ورود الآية المماثلة في مقدار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المراد منه أنّ الكفّار إن اعتدوا عليكم، فاعتدوا عليهم كما أنّهم اعتدوا عليكم، فإذا لم يكن المثل في موردها، كذلك لا يمكن استفادة ضمان المثل في غير موردها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والمثلية في أصل الاعتداء لا تفيد في إثبات المطلوب، بل القرينة المذكورة، أي عدم تقدير المقابلة بالمثل، وجواز التجاوز عنه، قائمة على عدم دخول الماليات فيها، فهي إمّا مختصّة بالحرب، أو شاملة لما هو نظيرها، كمدافعة اللصّ والمهاجم</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2495685_2142443653"/>
      <w:bookmarkStart w:id="729" w:name="_Toc258"/>
      <w:bookmarkEnd w:id="728"/>
      <w:r>
        <w:rPr>
          <w:rtl w:val="true"/>
        </w:rPr>
        <w:t>الاستدلال بدليل اليد على ضمان المثل في المثلي وتقريبه</w:t>
      </w:r>
      <w:bookmarkEnd w:id="72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العين المأخوذة قد دخلت في العهدة بحيثية شخصها، وطبيعتها التي لها أفراد مماثلة، وماليتها، وأداؤها بنفسها أداء بجميع شؤونها، فإذا تلفت فقد امتنع الخروج عن عهدة تشخّصها، دون الحيثيتين الاُخريين، فيجب أداء مثلها؛ فإنّه أداء لهما، ومع تعذّر المثل بقي إمكان الخروج عن عهدة ماليتها، فيجب أداء قيمتها، فلها مراتب من الأداء</w:t>
      </w:r>
      <w:r>
        <w:rPr>
          <w:rStyle w:val="FootnoteAnchor"/>
          <w:rtl w:val="true"/>
        </w:rPr>
        <w:footnoteReference w:id="10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وتقريبه على وجه لا يرد عليه بعض الإيرادات المتوهّمة</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بدخول العين في العهدة بجميع شؤونها، ليس دخولها مستقلاًّ، حتّى تكون مضمونة بشخصها مستقلاًّ، وبنوعها وماليتها كذلك، فيكون على عهدة الآخذ منّ شخصي من الحنطة، ومنّ كلّي، ودرهم، كلّ منها مستقلاًّ؛ فإنّ ذلك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 جميع الشؤون موجودة بوجودٍ واحدٍ، فيكون عليه شيء واحد ذو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 أنّه لو غصب منّاً من الحنطة، اشتغلت ذمّته بمنّ شخصي، وكلّي، ودرهم هو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بالشؤون المذكورة، هي الشؤون التي يساعد عليها العرف في باب الضمانات والغرامات، لا الحيثيات العقلية الفلسفية، والعرف لا يساعد إلاّ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 ما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لازم ذلك أن تقع على عهدته الأجناس القريبة والبعيدة إلى جنس الأجناس</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لأنّ ذلك خلط بين العرفيات والعقليات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بالمالية هو ما يعتبرها العقلاء بحسب اختلاف الأزمان من الأثمان، لا الأعمّ منها ومن كلّ ما له مالية من العروض؛ فإنّ مالية الشيء لدى العقلاء تتقدّر بالأثمان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أنّه في محيط أو زمان كان ميزان المالية ومقياسها غير الأثمان، كان ذلك ماليتها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ذكرت جواز أداء القيمة بعروض آخر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بقاء الطبيعي والمالية بعد تلف العين، هو البقاء عرفاً لا عقلاً، وقد حكم العرف بأنّ المهملة توجد بوجود فردٍ ما، وتنعدم بعدم جميع الأفراد، وليس ذلك إلاّ لأجل أنّ الطبيعي بنظر العرف شيء واحد، باقٍ ببقاء فردٍ ما، كما هو رأي الرجل الهمداني</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المبنى لجريان الاستصحاب في القسم الثاني والثالث من الكلّي، وإلاّ فعلى حكم العقل الدقيق البرهاني أنّ الطبيعي كما يوجد بوجود فردٍ ما، ينعدم بعدم فردٍ ما، فلا يجري الاستصحاب؛ لعدم العلم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 متكثّر بتكثّر الأفراد، وأنّ الطبيعي الموجود في فرد غير الطبيعي الموجود مع فردٍ آخر؛ فإنّه موجود بوجودات متعدّدة</w:t>
      </w:r>
      <w:r>
        <w:rPr>
          <w:rStyle w:val="FootnoteAnchor"/>
          <w:rtl w:val="true"/>
        </w:rPr>
        <w:footnoteReference w:id="1052"/>
      </w:r>
      <w:r>
        <w:rPr>
          <w:rFonts w:ascii="Amiri" w:hAnsi="Amiri" w:eastAsia="Amiri" w:cs="Amiri"/>
          <w:color w:val="111111"/>
          <w:sz w:val="28"/>
          <w:sz w:val="28"/>
          <w:szCs w:val="28"/>
          <w:rtl w:val="true"/>
          <w:lang w:bidi="ar-SA"/>
        </w:rPr>
        <w:t>فإنّ ذلك خلط بين حكم العقل والعرف، هذا غاية تقريبه والدفاع عنه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 بعد البناء على حكم العرف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 إذا وجد بفردٍ ما في مكان خاصّ، وانحصر وجوده بذلك الفرد فيه، فكما أنّ وجوده بوجود هذا الفرد في ذلك المكان، عدمه أيضاً بعدمه فيه؛ لفرض انحصاره به، والعدم في المكان الخاصّ لا ينافي الوجود مطلقاً وفي غير ذلك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العهدة بمنزلة المكان الخاصّ، فإذا وقعت العين تحت يده، يقع شخص واحد على عهدته، فإذا انعدم انعدم الطبيعي، وخرج عن العهدة بانعدامه وامتناعه، كما ينعدم بانعدام الفرد المنحصر في البيت، ووجوده خارج البيت وعلى غير العهدة أجنبيّ عنهما، والمفروض أنّ الشؤون موجودة بوجود واحد، وليس لها استقلال في الضمان والذمّة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المذكور لا ينطبق على حكم العقل ولا العرف؛ إذ لا يعقل بقاء الطبيعي المنحصر بالفرد مع انعدامه، والطبيعي المضاف إلى العهدة والواقع تحت اليد منحصر بالفرد، كما هو المفروض، وكذا الكلام في المالية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اليد إلاّ على الفرد والطبيعي والمالية المتّحدين معه، ولا معنى لعهدةٍ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على عهدته أفراد من الطبيعي، بقي ما بقي فردٍ ما على عهدته، لكنّه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بالوقوع على العهدة أنّ العين بوجودها الخارجي على العهدة؛ بمعنى أنّ الضامن كالكفيل من الشخص، متعهّد للعين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أنّ العين المأخوذة تعتبر في العهدة، كما تعتبر الكلّيات فيها؛ بمعنى أنّ الشخص الخارجي اعتبر على عهدته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المعتبر باقٍ بوجوده الاعتباري على العهدة إلى زمان الأداء؛ عيناً في حال وجوده، ومثلاً أو قيمةً في حال تلفه، وانعدام الوجود الخارجي غير مربوط بالوجود الاعتباري</w:t>
      </w:r>
      <w:r>
        <w:rPr>
          <w:rFonts w:eastAsia="Amiri" w:cs="Amiri" w:ascii="Amiri" w:hAnsi="Amiri"/>
          <w:color w:val="111111"/>
          <w:sz w:val="28"/>
          <w:szCs w:val="28"/>
          <w:rtl w:val="true"/>
          <w:lang w:bidi="ar-SA"/>
        </w:rPr>
        <w:t xml:space="preserve">. </w:t>
      </w:r>
      <w:bookmarkStart w:id="730" w:name="pg15195_150867"/>
    </w:p>
    <w:p>
      <w:pPr>
        <w:pStyle w:val="BookText"/>
        <w:rPr/>
      </w:pPr>
      <w:bookmarkEnd w:id="730"/>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الشخص الخارجي في الذمّة، إن كان بمعنى انسلاخه عن الوجود الخارجي اعتباراً، وحكّ الخارج عنه، وتقديره في الذمّة، فيكون الوجود الخارجي معدوماً في الاعتبار وتعبّداً، فيلزم منه أن يجوز التصرّف فيه بلا إذن صاحبه، وأن لا يكون تلفه أو إتلافه موجباً للضمان،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الوجود الخارجي محفوظاً، ويقدّر هو في الذمّة أيضاً، فإن كان المقدّر فانياً في الخارج ولا حكم له بحياله، يلزم الإشكال المتقدّم من 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الخارج فانياً في المقدّر اعتباراً وتعبّداً، يلزم الإشكال الأخير؛ من عدم الضمان بتلفه وإتلافه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كلّ من المقدّر والخارج مستقلاًّ بحياله، يلزم أن يكون للشخص مال في الخارج، ومال آخر في ذمّة الآخذ، ومع تعاقب الأيادي أموال حسب تعدّدها، وهو كما ترى، وسيأتي التحقيق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2495687_2142443653"/>
      <w:bookmarkStart w:id="732" w:name="_Toc259"/>
      <w:bookmarkEnd w:id="731"/>
      <w:r>
        <w:rPr>
          <w:rtl w:val="true"/>
        </w:rPr>
        <w:t>بناء العقلاء هو الوجه في ضمان المثلي والقيمي</w:t>
      </w:r>
      <w:bookmarkEnd w:id="73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الضمان أمر عقلائي، لا يختصّ بمحيط الشرع ولا بالمسلمين، وحكم العقلاء في الغرامات والضمانات؛ في المثليات بالمثل، ومع فقد المثل بالقيمة، وليست المسألة لا في أصلها، ولا في تعيين المثلي والقيمي من الإجماعيات والتعبّديات</w:t>
      </w:r>
      <w:r>
        <w:rPr>
          <w:rFonts w:eastAsia="Amiri" w:cs="Amiri" w:ascii="Amiri" w:hAnsi="Amiri"/>
          <w:color w:val="111111"/>
          <w:sz w:val="28"/>
          <w:szCs w:val="28"/>
          <w:rtl w:val="true"/>
          <w:lang w:bidi="ar-SA"/>
        </w:rPr>
        <w:t xml:space="preserve">. </w:t>
      </w:r>
      <w:bookmarkStart w:id="733" w:name="pg15195_150868"/>
    </w:p>
    <w:p>
      <w:pPr>
        <w:pStyle w:val="BookText"/>
        <w:rPr/>
      </w:pPr>
      <w:bookmarkEnd w:id="733"/>
      <w:r>
        <w:rPr>
          <w:rFonts w:ascii="Amiri" w:hAnsi="Amiri" w:eastAsia="Amiri" w:cs="Amiri"/>
          <w:color w:val="111111"/>
          <w:sz w:val="28"/>
          <w:sz w:val="28"/>
          <w:szCs w:val="28"/>
          <w:rtl w:val="true"/>
          <w:lang w:bidi="ar-SA"/>
        </w:rPr>
        <w:t xml:space="preserve">واستدلال شيخ الطائفة قدّس سرّه وغيره بآية الاعتداء وغيرها </w:t>
      </w:r>
      <w:r>
        <w:rPr>
          <w:rStyle w:val="FootnoteAnchor"/>
          <w:rtl w:val="true"/>
        </w:rPr>
        <w:footnoteReference w:id="1054"/>
      </w:r>
      <w:r>
        <w:rPr>
          <w:rFonts w:ascii="Amiri" w:hAnsi="Amiri" w:eastAsia="Amiri" w:cs="Amiri"/>
          <w:color w:val="111111"/>
          <w:sz w:val="28"/>
          <w:sz w:val="28"/>
          <w:szCs w:val="28"/>
          <w:rtl w:val="true"/>
          <w:lang w:bidi="ar-SA"/>
        </w:rPr>
        <w:t>، مع عدم تمامية دلالة غالبها، إنّما هو تشبّثات وتخريجات لأمرٍ واضح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المثل أقرب، وبعده القيمة</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لعلّه لا يريد دوران الأمر مدار الأقربية،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مع فقد المثل من جميع الجهات، مراعاته من بعض الجهات، ولعلّ مراده بيان نكتة حكم العقلاء في المثلي والقيمي</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495689_2142443653"/>
      <w:bookmarkStart w:id="735" w:name="_Toc260"/>
      <w:bookmarkEnd w:id="734"/>
      <w:r>
        <w:rPr>
          <w:rtl w:val="true"/>
        </w:rPr>
        <w:t>نكتة حكم العقلائي في المثلي والقيمي</w:t>
      </w:r>
      <w:bookmarkEnd w:id="735"/>
    </w:p>
    <w:p>
      <w:pPr>
        <w:pStyle w:val="BookText"/>
        <w:rPr/>
      </w:pPr>
      <w:r>
        <w:rPr>
          <w:rFonts w:ascii="Amiri" w:hAnsi="Amiri" w:eastAsia="Amiri" w:cs="Amiri"/>
          <w:color w:val="111111"/>
          <w:sz w:val="28"/>
          <w:sz w:val="28"/>
          <w:szCs w:val="28"/>
          <w:rtl w:val="true"/>
          <w:lang w:bidi="ar-SA"/>
        </w:rPr>
        <w:t>ويمكن أن يقال في نكتة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المماثل للشيء إذا لم يكن مختلفاً مع مماثله في الأوصاف والخواصّ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من حنطة من صبرة مع آخر منها، ومثل ما يحصل من المكائن الحديثة، حيث لا اختلاف بين أفراده في الجنس والوصف والخاصّية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أداؤه أداءً للتالف المماثل بجميع ما هو دخيل في أغراض العقلاء؛ فإنّ الرغبات إنّما تتعلّق بالأشياء بلحاظ آثارها، وخواصّها، ومنافعها، والمثلان متّحدان في جميع ذلك، والاختلاف بينهما بشيءٍ ليس مورد رغبتهم وأغراضهم، ككون أحدهما هوية غير هوية الآخر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أتلف كأساً من مصنوعات معمل خاصّ، وأدّى عوضه كأساً آخر من مصنوعاته، فقد أدّى ما أتلفه بجميع الجهات الدخيلة في أغراض العقلاء </w:t>
      </w:r>
    </w:p>
    <w:p>
      <w:pPr>
        <w:pStyle w:val="BookText"/>
        <w:rPr/>
      </w:pPr>
      <w:r>
        <w:rPr>
          <w:rFonts w:ascii="Amiri" w:hAnsi="Amiri" w:eastAsia="Amiri" w:cs="Amiri"/>
          <w:color w:val="111111"/>
          <w:sz w:val="28"/>
          <w:sz w:val="28"/>
          <w:szCs w:val="28"/>
          <w:rtl w:val="true"/>
          <w:lang w:bidi="ar-SA"/>
        </w:rPr>
        <w:t>ورغباتهم، فيكون أداؤه تأدية لما أتلفه؛ لأنّ اختلاف الهويتين غير منظور فيه بوجه من الوجوه، وما هو منظور فيه هو الجنس، والوصف، والخاصّية، وهما مشتركان فيها بلا 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 المثل، كذلك يحكم العقلاء بجبران القيمة، فإذا أتلف منّاً من حنطة جيّدة، وأراد تأدية منّ رديء، لم يعدّ ذلك أداءً لما أتلفه، ولكن القيمة جبران له، والمراد بالقيمة هو النقد الرائج، لا العروض المتقوّمة، كما هو المعلوم من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والشارع الأقدس أوكل أمر كيفية الضمان على العرف، ولهذا لم يتعرّض لضمان المثلي، مع كثرة ما وردت في الغرامات والضمانات في أبواب متفرّقة؛ وذلك لعدم تعبّد في كيفية الضمان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لا تحتاج إلى زيادة مؤونة وتشبّث، لا في أنّ الضمان في المثلي بالمثل، وفي القيمي بالقيمة، ولا في تعيين المثلي والقيمي؛ فإنّ الأوّل عقلائي، والثاني موكول إلى العرف كسائر 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اشتهيت زيادة تشبّث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بعد ظهوره في الحكم الوضعي والضمان، وبُعد إرادة الحكم التكليفي المحض منه، فلا محالة يشمل حال التلف تحت يده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البناء على ظهوره في أنّ نفس ما أخذت، عليه إلى زمان التأدية</w:t>
      </w:r>
      <w:r>
        <w:rPr>
          <w:rStyle w:val="FootnoteAnchor"/>
          <w:rtl w:val="true"/>
        </w:rPr>
        <w:footnoteReference w:id="1056"/>
      </w:r>
      <w:r>
        <w:rPr>
          <w:rFonts w:ascii="Amiri" w:hAnsi="Amiri" w:eastAsia="Amiri" w:cs="Amiri"/>
          <w:color w:val="111111"/>
          <w:sz w:val="28"/>
          <w:sz w:val="28"/>
          <w:szCs w:val="28"/>
          <w:rtl w:val="true"/>
          <w:lang w:bidi="ar-SA"/>
        </w:rPr>
        <w:t>، والحمل على عهدة نفسه ما دام موجوداً، وبدله في زمان التلف</w:t>
      </w:r>
      <w:r>
        <w:rPr>
          <w:rStyle w:val="FootnoteAnchor"/>
          <w:rtl w:val="true"/>
        </w:rPr>
        <w:footnoteReference w:id="1057"/>
      </w:r>
      <w:r>
        <w:rPr>
          <w:rFonts w:ascii="Amiri" w:hAnsi="Amiri" w:eastAsia="Amiri" w:cs="Amiri"/>
          <w:color w:val="111111"/>
          <w:sz w:val="28"/>
          <w:sz w:val="28"/>
          <w:szCs w:val="28"/>
          <w:rtl w:val="true"/>
          <w:lang w:bidi="ar-SA"/>
        </w:rPr>
        <w:t xml:space="preserve">، في غاية </w:t>
      </w:r>
      <w:bookmarkStart w:id="736" w:name="pg15195_150870"/>
    </w:p>
    <w:p>
      <w:pPr>
        <w:pStyle w:val="BookText"/>
        <w:rPr/>
      </w:pPr>
      <w:bookmarkEnd w:id="736"/>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أنّ الحمل على الضمان بالمثل أو القيمة ابتداءً</w:t>
      </w:r>
      <w:r>
        <w:rPr>
          <w:rStyle w:val="FootnoteAnchor"/>
          <w:rtl w:val="true"/>
        </w:rPr>
        <w:footnoteReference w:id="1058"/>
      </w:r>
      <w:r>
        <w:rPr>
          <w:rFonts w:ascii="Amiri" w:hAnsi="Amiri" w:eastAsia="Amiri" w:cs="Amiri"/>
          <w:color w:val="111111"/>
          <w:sz w:val="28"/>
          <w:sz w:val="28"/>
          <w:szCs w:val="28"/>
          <w:rtl w:val="true"/>
          <w:lang w:bidi="ar-SA"/>
        </w:rPr>
        <w:t>، خلاف الظاهر،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ظاهره أنّ ما أخذ، عليه إلى زمان التأدية، فإمّا أن يراد التعليق على المحال، والمقصود بقاء الضمان دائماً؛ لتعذّر الأداء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سقوط الضمان بالتلف؛ لتعذّر الغاية، ولغوية بقاء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خلاف فهم العقلاء، بل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محالة يكون التعليق على ممكن، ولازمه أنّ أداء المأخوذ بعد التلف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حكم العقلاء في المثلي، وبالقيمة 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لدى الشارع الأقدس؛ لأنّه لو كان للأداء بعد تعذّر العين وتلفها كيفية لدى الشارع غير ما عند العقلاء، لكان عليه البيان في هذه القضيّة المبتلى بها، ومع عدمه يكشف أنّ الأداء هو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سيأتي</w:t>
      </w:r>
      <w:r>
        <w:rPr>
          <w:rStyle w:val="FootnoteAnchor"/>
          <w:rtl w:val="true"/>
        </w:rPr>
        <w:footnoteReference w:id="1059"/>
      </w:r>
      <w:r>
        <w:rPr>
          <w:rFonts w:ascii="Amiri" w:hAnsi="Amiri" w:eastAsia="Amiri" w:cs="Amiri"/>
          <w:color w:val="111111"/>
          <w:sz w:val="28"/>
          <w:sz w:val="28"/>
          <w:szCs w:val="28"/>
          <w:rtl w:val="true"/>
          <w:lang w:bidi="ar-SA"/>
        </w:rPr>
        <w:t xml:space="preserve">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عليه المحقّقون المتأخّرون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2495691_2142443653"/>
      <w:bookmarkStart w:id="738" w:name="_Toc261"/>
      <w:bookmarkEnd w:id="737"/>
      <w:r>
        <w:rPr>
          <w:rtl w:val="true"/>
        </w:rPr>
        <w:t>مرجع تشخيص المثلي والقيمي</w:t>
      </w:r>
      <w:bookmarkEnd w:id="73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ما كان الضمان بما ذكر من القواعد العقلائية، لا يمكن إثبات إجماع أو شهرة معتمدة في الباب، كما لا يصحّ دعواهما في تشخيص المثلي والقيمي، </w:t>
      </w:r>
      <w:bookmarkStart w:id="739" w:name="pg15195_150871"/>
    </w:p>
    <w:p>
      <w:pPr>
        <w:pStyle w:val="BookText"/>
        <w:rPr/>
      </w:pPr>
      <w:bookmarkEnd w:id="739"/>
      <w:r>
        <w:rPr>
          <w:rFonts w:ascii="Amiri" w:hAnsi="Amiri" w:eastAsia="Amiri" w:cs="Amiri"/>
          <w:color w:val="111111"/>
          <w:sz w:val="28"/>
          <w:sz w:val="28"/>
          <w:szCs w:val="28"/>
          <w:rtl w:val="true"/>
          <w:lang w:bidi="ar-SA"/>
        </w:rPr>
        <w:t>فهما موكولان إلى العرف، سيّما الثاني منهما؛ فإنّهما كسائر العناوين المأخوذة في الأدلّة، التي مرجع تشخيصها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حكم العرف في ضمان المثل في المثلي إنّما هو فيما له مثل عادةً كالحبوبات، ولا يلاحظ فيه الشاذّ النادر، فما لا مثل له عادة ليس بمثلي وإن وجد له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التعاريف المذكورة للمثلي لا تخلو من مناقشة، والظاهر أنّ تعاريف أصحابنا في الأعصار التي لم تحدث فيها المعامل الحديثة، كانت على طبق المثليات في تلك الأعصار، وأظنّ أنّ شيخ الطائفة قدّس سرّه وغيره</w:t>
      </w:r>
      <w:r>
        <w:rPr>
          <w:rStyle w:val="FootnoteAnchor"/>
          <w:rtl w:val="true"/>
        </w:rPr>
        <w:footnoteReference w:id="1061"/>
      </w:r>
      <w:r>
        <w:rPr>
          <w:rFonts w:ascii="Amiri" w:hAnsi="Amiri" w:eastAsia="Amiri" w:cs="Amiri"/>
          <w:color w:val="111111"/>
          <w:sz w:val="28"/>
          <w:sz w:val="28"/>
          <w:szCs w:val="28"/>
          <w:rtl w:val="true"/>
          <w:lang w:bidi="ar-SA"/>
        </w:rPr>
        <w:t>، ممّن نسب إليهم تعريف المثلي بما نسب لو كانت في عصرهم هذه المعامل، لعرّفوه بما يشمل محصولها؛ فإنّه من أوضح مصاديق المثلي</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2495693_2142443653"/>
      <w:bookmarkStart w:id="741" w:name="_Toc262"/>
      <w:bookmarkEnd w:id="740"/>
      <w:r>
        <w:rPr>
          <w:rtl w:val="true"/>
        </w:rPr>
        <w:t>مقتضى الأصل عند الشكّ في كون شيء مثلياً أو قيمياً</w:t>
      </w:r>
      <w:bookmarkEnd w:id="741"/>
    </w:p>
    <w:p>
      <w:pPr>
        <w:pStyle w:val="BookText"/>
        <w:rPr/>
      </w:pPr>
      <w:r>
        <w:rPr>
          <w:rFonts w:ascii="Amiri" w:hAnsi="Amiri" w:eastAsia="Amiri" w:cs="Amiri"/>
          <w:color w:val="111111"/>
          <w:sz w:val="28"/>
          <w:sz w:val="28"/>
          <w:szCs w:val="28"/>
          <w:rtl w:val="true"/>
          <w:lang w:bidi="ar-SA"/>
        </w:rPr>
        <w:t>ولو شكّ في كون شيء مثلياً أو قيمياً، لا بدّ من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مقتضاه لا بدّ من مقدّمة نافعة في المقام وغيره، وهي</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495695_2142443653"/>
      <w:bookmarkStart w:id="743" w:name="_Toc263"/>
      <w:bookmarkEnd w:id="742"/>
      <w:r>
        <w:rPr>
          <w:rtl w:val="true"/>
        </w:rPr>
        <w:t xml:space="preserve">مقدّمة </w:t>
      </w:r>
      <w:r>
        <w:rPr>
          <w:rtl w:val="true"/>
        </w:rPr>
        <w:t xml:space="preserve">: </w:t>
      </w:r>
      <w:r>
        <w:rPr>
          <w:rtl w:val="true"/>
        </w:rPr>
        <w:t>في بيان ما يشتغل به الذمّة في باب الضمانات</w:t>
      </w:r>
      <w:bookmarkEnd w:id="74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الذمّة في باب الضمانات هل تشتغل بنفس الأعيان، وتكون نفس العين </w:t>
      </w:r>
      <w:bookmarkStart w:id="744" w:name="pg15195_150872"/>
    </w:p>
    <w:p>
      <w:pPr>
        <w:pStyle w:val="BookText"/>
        <w:rPr/>
      </w:pPr>
      <w:bookmarkEnd w:id="744"/>
      <w:r>
        <w:rPr>
          <w:rFonts w:ascii="Amiri" w:hAnsi="Amiri" w:eastAsia="Amiri" w:cs="Amiri"/>
          <w:color w:val="111111"/>
          <w:sz w:val="28"/>
          <w:sz w:val="28"/>
          <w:szCs w:val="28"/>
          <w:rtl w:val="true"/>
          <w:lang w:bidi="ar-SA"/>
        </w:rPr>
        <w:t>على عهدة الضامن مطلقاً، سواء كان الضمان ضمان اليد أو الإتلاف، وكان أداء المثل والقيمة أداءً لها؛ كما مرّ تقريبه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يتعلّق الضمان بالمثل مطلقاً، وكان أداء القيمة مع تعذّره نحو أداء له، أو بدلاً اضطرارياً؟</w:t>
      </w:r>
    </w:p>
    <w:p>
      <w:pPr>
        <w:pStyle w:val="BookText"/>
        <w:rPr/>
      </w:pPr>
      <w:r>
        <w:rPr>
          <w:rFonts w:ascii="Amiri" w:hAnsi="Amiri" w:eastAsia="Amiri" w:cs="Amiri"/>
          <w:color w:val="111111"/>
          <w:sz w:val="28"/>
          <w:sz w:val="28"/>
          <w:szCs w:val="28"/>
          <w:rtl w:val="true"/>
          <w:lang w:bidi="ar-SA"/>
        </w:rPr>
        <w:t>أو يتعلّق ابتداءً في المثلي بالمثل، وفي القيمي بالقيمة مطلقاً، كما نسب</w:t>
      </w:r>
    </w:p>
    <w:p>
      <w:pPr>
        <w:pStyle w:val="BookText"/>
        <w:rPr/>
      </w:pPr>
      <w:r>
        <w:rPr>
          <w:rFonts w:ascii="IRNazanin" w:hAnsi="IRNazanin" w:eastAsia="IRNazanin"/>
          <w:color w:val="111111"/>
          <w:sz w:val="28"/>
          <w:sz w:val="28"/>
          <w:szCs w:val="28"/>
          <w:rtl w:val="true"/>
          <w:lang w:bidi="fa-IR"/>
        </w:rPr>
        <w:t>إلى المشهور</w:t>
      </w:r>
      <w:r>
        <w:rPr>
          <w:rStyle w:val="FootnoteAnchor"/>
          <w:rtl w:val="true"/>
        </w:rPr>
        <w:footnoteReference w:id="10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يتعلّق بالقيمة مطلقاً حتّى في ضمان اليد؟</w:t>
      </w:r>
    </w:p>
    <w:p>
      <w:pPr>
        <w:pStyle w:val="BookText"/>
        <w:rPr/>
      </w:pPr>
      <w:r>
        <w:rPr>
          <w:rFonts w:ascii="Amiri" w:hAnsi="Amiri" w:eastAsia="Amiri" w:cs="Amiri"/>
          <w:color w:val="111111"/>
          <w:sz w:val="28"/>
          <w:sz w:val="28"/>
          <w:szCs w:val="28"/>
          <w:rtl w:val="true"/>
          <w:lang w:bidi="ar-SA"/>
        </w:rPr>
        <w:t>أو تفصيل بين ضمان اليد وغيره؟</w:t>
      </w:r>
    </w:p>
    <w:p>
      <w:pPr>
        <w:pStyle w:val="Heading4"/>
        <w:numPr>
          <w:ilvl w:val="3"/>
          <w:numId w:val="1"/>
        </w:numPr>
        <w:rPr/>
      </w:pPr>
      <w:bookmarkStart w:id="745" w:name="__RefHeading___Toc2495697_2142443653"/>
      <w:bookmarkStart w:id="746" w:name="_Toc264"/>
      <w:bookmarkEnd w:id="745"/>
      <w:r>
        <w:rPr>
          <w:rtl w:val="true"/>
        </w:rPr>
        <w:t>القول باشتغال الذمّة بالمالية ودفعه</w:t>
      </w:r>
      <w:bookmarkEnd w:id="746"/>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بني على الاعتماد على المتعارف، وتنزيل إطلاقات الضمان عليه، فهو ليس إلاّ الضمان بالمالية مطلقاً، وليست الخصوصيات العينية ملحوظة في نظر العرف إلاّ عبرة إلى مرتبة مالية المال، ولذا لو سقط المثل عن المالية، لم يلتفتوا إليه أصلاً، ولا يرون دفعه تداركاً، وكذا لو زاد في المالية لا يرون المالك مستحقّاً لأزيد من قيمة ماله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النظر في الأموال إلاّ إلى ماليتها، بل لو كانت خصوصية مال مطلوبة، كان ذلك عرضاً خارجياً، غير دخيل في حيثية الضمان، وإنّما يدور </w:t>
      </w:r>
    </w:p>
    <w:p>
      <w:pPr>
        <w:pStyle w:val="BookText"/>
        <w:rPr/>
      </w:pPr>
      <w:r>
        <w:rPr>
          <w:rFonts w:ascii="Amiri" w:hAnsi="Amiri" w:eastAsia="Amiri" w:cs="Amiri"/>
          <w:color w:val="111111"/>
          <w:sz w:val="28"/>
          <w:sz w:val="28"/>
          <w:szCs w:val="28"/>
          <w:rtl w:val="true"/>
          <w:lang w:bidi="ar-SA"/>
        </w:rPr>
        <w:t>الضمان مدار التموّل في أيّ عين كان، بلا خصوصية للنقدين، ولا للمماثل، ولا لغيرهما</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 لا يخفى؛ ضرورة أنّ اعتبار المالية في الأشياء إنّما هو لأجل الرغبات، فما لا يكون موردها إمّا لعدم خاصّية ونفع فيه، أو لكثرته وابتذاله، لا يكون متموّلاً، ولا يعتبر العقلاء فيه المالية، فالمالية تبع للرغبات، وهي تبع لخواصّ الأشياء ومنافعها، فالخصوصيات العينية ملحوظة ابتداءً، وبلحاظها تعتبر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يتّفق أن يكون النظر إلى مالية الشيء، وتغمض العين عن خصوصياته، ولكنّه ليس ميزاناً نوعياً أو كلّياً، فخصوصية الأعيان مطلوبة بالذات، وتتبعها المالية،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سقوط المثل عن المالية ليس ردّه تداركاً؛ وذلك لسقوط المنافع والخصوصيات، التي لأجلها تتعلّق الرغبات بها، أو لابتذالها الموجب لسلب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حيث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إذا زادت ماليته، لا يرى العقلاء استحقاق المالك لأزيد من قيمة يوم التلف، مع أنّ بناء العقلاء على خلاف ذلك، فلو أتلف كرّاً من حنطة، يرى العرف ضمانه بكرّ منها، لا بقيمتها يوم التلف</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جبران المالية يمكن بأيّ مال كان، فلو أتلف منّاً من الحنطة، كان له الجبران بأمنانٍ من التبن، تكون قيمتها مساوية للتالف، وليس </w:t>
      </w:r>
      <w:bookmarkStart w:id="747" w:name="pg15195_150874"/>
    </w:p>
    <w:p>
      <w:pPr>
        <w:pStyle w:val="BookText"/>
        <w:rPr/>
      </w:pPr>
      <w:bookmarkEnd w:id="747"/>
      <w:r>
        <w:rPr>
          <w:rFonts w:ascii="Amiri" w:hAnsi="Amiri" w:eastAsia="Amiri" w:cs="Amiri"/>
          <w:color w:val="111111"/>
          <w:sz w:val="28"/>
          <w:sz w:val="28"/>
          <w:szCs w:val="28"/>
          <w:rtl w:val="true"/>
          <w:lang w:bidi="ar-SA"/>
        </w:rPr>
        <w:t>للمالك مطالبة الحنطة، مع أنّه مخالف حكم العرف والعقلاء،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مطلقاً بالمالية، ممنوعة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2495699_2142443653"/>
      <w:bookmarkStart w:id="749" w:name="_Toc265"/>
      <w:bookmarkEnd w:id="748"/>
      <w:r>
        <w:rPr>
          <w:rtl w:val="true"/>
        </w:rPr>
        <w:t>الروايات الظاهرة في كون نفس العين على العهدة</w:t>
      </w:r>
      <w:bookmarkEnd w:id="749"/>
    </w:p>
    <w:p>
      <w:pPr>
        <w:pStyle w:val="BookText"/>
        <w:rPr/>
      </w:pPr>
      <w:r>
        <w:rPr>
          <w:rFonts w:ascii="Amiri" w:hAnsi="Amiri" w:eastAsia="Amiri" w:cs="Amiri"/>
          <w:color w:val="111111"/>
          <w:sz w:val="28"/>
          <w:sz w:val="28"/>
          <w:szCs w:val="28"/>
          <w:rtl w:val="true"/>
          <w:lang w:bidi="ar-SA"/>
        </w:rPr>
        <w:t>والأولى صرف الكلام إلى روايات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فظاهر في ضمان العين المأخوذة؛ بدعوى كون نفسها على العهدة كما مرّ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تنافيه آية الاعتداء</w:t>
      </w:r>
      <w:r>
        <w:rPr>
          <w:rStyle w:val="FootnoteAnchor"/>
          <w:rtl w:val="true"/>
        </w:rPr>
        <w:footnoteReference w:id="1066"/>
      </w:r>
      <w:r>
        <w:rPr>
          <w:rFonts w:ascii="Amiri" w:hAnsi="Amiri" w:eastAsia="Amiri" w:cs="Amiri"/>
          <w:color w:val="111111"/>
          <w:sz w:val="28"/>
          <w:sz w:val="28"/>
          <w:szCs w:val="28"/>
          <w:rtl w:val="true"/>
          <w:lang w:bidi="ar-SA"/>
        </w:rPr>
        <w:t>على فرض دلالتها على ضمان المثل والقيمة؛ لأنّ الظاهر منها هو تجويز الاعتداء بهما؛ أي التقاصّ، وغاية ما هو لازمه عرفاً أنّ ذلك بحقّ، وعلى عهدة الغاصب ما يكون تقاصّه بالمثل أو القيمة، وهو أعمّ من كون المثل أو القيمة على العهدة، أو نفس العين عليها؛ إذ لازم ذلك أيضاً التقاصّ بالمثل أو القيمة، فاللازم أعمّ، فلا تعارض الآية ما دلّت على ضمان نفس العين؛ فإنّ ذلك الظهور كاشف عن كيفية الضمان فيها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دليل احترام مال المؤمن وأنّه كدمه</w:t>
      </w:r>
      <w:r>
        <w:rPr>
          <w:rStyle w:val="FootnoteAnchor"/>
          <w:rtl w:val="true"/>
        </w:rPr>
        <w:footnoteReference w:id="1067"/>
      </w:r>
      <w:r>
        <w:rPr>
          <w:rFonts w:ascii="Amiri" w:hAnsi="Amiri" w:eastAsia="Amiri" w:cs="Amiri"/>
          <w:color w:val="111111"/>
          <w:sz w:val="28"/>
          <w:sz w:val="28"/>
          <w:szCs w:val="28"/>
          <w:rtl w:val="true"/>
          <w:lang w:bidi="ar-SA"/>
        </w:rPr>
        <w:t>لا يدلّ إلاّ على عدم هدره، ولا بدّ من جبره، ولازمه الضمان، لكن لا يدلّ على أنّ العين على العهدة أو المثل، ودليل اليد يرفع الإجمال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تنافيه الروايات الدالّة على الضمان بقول مطلق، من غير تعرّض لكون العين أو المثل على العهدة، وهي كثيرة، متفرّقة في أبواب العارية</w:t>
      </w:r>
      <w:r>
        <w:rPr>
          <w:rStyle w:val="FootnoteAnchor"/>
          <w:rtl w:val="true"/>
        </w:rPr>
        <w:footnoteReference w:id="1068"/>
      </w:r>
      <w:r>
        <w:rPr>
          <w:rFonts w:ascii="Amiri" w:hAnsi="Amiri" w:eastAsia="Amiri" w:cs="Amiri"/>
          <w:color w:val="111111"/>
          <w:sz w:val="28"/>
          <w:sz w:val="28"/>
          <w:szCs w:val="28"/>
          <w:rtl w:val="true"/>
          <w:lang w:bidi="ar-SA"/>
        </w:rPr>
        <w:t>، والوديعة</w:t>
      </w:r>
      <w:r>
        <w:rPr>
          <w:rStyle w:val="FootnoteAnchor"/>
          <w:rtl w:val="true"/>
        </w:rPr>
        <w:footnoteReference w:id="1069"/>
      </w:r>
      <w:r>
        <w:rPr>
          <w:rFonts w:ascii="Amiri" w:hAnsi="Amiri" w:eastAsia="Amiri" w:cs="Amiri"/>
          <w:color w:val="111111"/>
          <w:sz w:val="28"/>
          <w:sz w:val="28"/>
          <w:szCs w:val="28"/>
          <w:rtl w:val="true"/>
          <w:lang w:bidi="ar-SA"/>
        </w:rPr>
        <w:t>، والإجارة</w:t>
      </w:r>
      <w:r>
        <w:rPr>
          <w:rStyle w:val="FootnoteAnchor"/>
          <w:rtl w:val="true"/>
        </w:rPr>
        <w:footnoteReference w:id="1070"/>
      </w:r>
      <w:r>
        <w:rPr>
          <w:rFonts w:ascii="Amiri" w:hAnsi="Amiri" w:eastAsia="Amiri" w:cs="Amiri"/>
          <w:color w:val="111111"/>
          <w:sz w:val="28"/>
          <w:sz w:val="28"/>
          <w:szCs w:val="28"/>
          <w:rtl w:val="true"/>
          <w:lang w:bidi="ar-SA"/>
        </w:rPr>
        <w:t xml:space="preserve">وغيرها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طائفة اُخرى، لعلّ ظاهرها عهدة نفس العين، وهي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يضعها في منزله أو لم يأمره</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فوضعها في منزل جاره فضاعت، هل يجب عليه إذا خالف أمره وأخرجها من ملكه؟</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لها إن شاء اللّه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الوديعة،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دابّة، فأعطاها غيره فنفقت ما عليه؟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شرط أن لا يركبها غيره فهو ضامن لها، وإن لم يسمّ فليس عليه شيء</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 كبعض ما وردت في الاتّجار بمال اليتيم في كتاب الزكاة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وكرواية زيد بن علي</w:t>
      </w:r>
      <w:r>
        <w:rPr>
          <w:rStyle w:val="FootnoteAnchor"/>
          <w:rtl w:val="true"/>
        </w:rPr>
        <w:footnoteReference w:id="1076"/>
      </w:r>
      <w:r>
        <w:rPr>
          <w:rFonts w:ascii="Amiri" w:hAnsi="Amiri" w:eastAsia="Amiri" w:cs="Amiri"/>
          <w:color w:val="111111"/>
          <w:sz w:val="28"/>
          <w:sz w:val="28"/>
          <w:szCs w:val="28"/>
          <w:rtl w:val="true"/>
          <w:lang w:bidi="ar-SA"/>
        </w:rPr>
        <w:t xml:space="preserve">، المشتملة على تضمين أمير المؤمنين عليه السلام الحمّال الذي عليه قارورة فكسرها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وكبعض روايات عارية الذهب والفضّة، الدالّة على أنّ الذهب والفضّة مضمونان</w:t>
      </w:r>
      <w:r>
        <w:rPr>
          <w:rStyle w:val="FootnoteAnchor"/>
          <w:rtl w:val="true"/>
        </w:rPr>
        <w:footnoteReference w:id="1078"/>
      </w:r>
      <w:r>
        <w:rPr>
          <w:rFonts w:ascii="Amiri" w:hAnsi="Amiri" w:eastAsia="Amiri" w:cs="Amiri"/>
          <w:color w:val="111111"/>
          <w:sz w:val="28"/>
          <w:sz w:val="28"/>
          <w:szCs w:val="28"/>
          <w:rtl w:val="true"/>
          <w:lang w:bidi="ar-SA"/>
        </w:rPr>
        <w:t xml:space="preserve">، حيث إنّ الظاهر من نسبة الضمان إلى الأعيان أنّ نفسها على العهدة؛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الكفالة، وكفالة الشيء عبارة عن جعله على عهدته، ككفالة الشخص، ولازمها لزوم أدائه في ظرف وجوده، وأداء مثله أو قيمته في ظرف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عهدة المثل، أو القيمة، أو عهدة البدل، أو الخسارة، خلاف الظاهر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الطائفة الموافقة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المراد من الضمان في الطائفة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جعل العين على العهدة، بعد كون الأداء بالمثل أو القيمة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فإنّ في جعل العين على العهدة فائدة، هي أنّ الاعتبار في القيمي بقيمة يوم الأداء لا يوم التلف، ويختلف الحكم في مقام القضاء وجريان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مخالف لما ذكر</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كصحيحة أبي ولاّد، ففيها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له عليك مثل كِراء بغل ذاهباً من الكوفة إلى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ونفق أ ليس كان يلزمني؟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كذا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في جميع الموارد</w:t>
      </w:r>
      <w:r>
        <w:rPr>
          <w:rStyle w:val="FootnoteAnchor"/>
          <w:rtl w:val="true"/>
        </w:rPr>
        <w:footnoteReference w:id="1081"/>
      </w:r>
      <w:r>
        <w:rPr>
          <w:rFonts w:ascii="Amiri" w:hAnsi="Amiri" w:eastAsia="Amiri" w:cs="Amiri"/>
          <w:color w:val="111111"/>
          <w:sz w:val="28"/>
          <w:sz w:val="28"/>
          <w:szCs w:val="28"/>
          <w:rtl w:val="true"/>
          <w:lang w:bidi="ar-SA"/>
        </w:rPr>
        <w:t>، ولعلّه أصحّ وإن لم يفترق الحكم في المقام؛ لأنّ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كِراء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كراء أيّ بغلٍ، أو قيمة أيّ بغلٍ؛ فإنّه مخالف للضرورة، بل المراد كراء بغل مثل بغله، وقيمة مثله، وهو لا يفترق عن كراء شخص البغل وقيمته؛ لما تقدّم أنّ اختلاف الرغبات واختلاف القيم إنّما هو باختلاف الآثار، والخواصّ، والمنافع</w:t>
      </w:r>
      <w:r>
        <w:rPr>
          <w:rStyle w:val="FootnoteAnchor"/>
          <w:rtl w:val="true"/>
        </w:rPr>
        <w:footnoteReference w:id="10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شخص غير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الرغبة نوعاً، ولا تختلف القيم باختلاف الهويات مع التماثل في جميع الآثار، والخواصّ، والمنافع،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توهّم مخالفة الصحيحة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استظهار العهدة والذمّة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اللازم والواجب عليك أداء قيمة المتلف، وكان مبدأ اللزوم على فرض التلف، يوم المخالفة، فلو تلف قبله لم يلزمك شيء، ولا يجب عليك القيمة، ولا تعرّض فيها لكيفية الضمان؛ وأنّ الذمّة مشغولة بنفس العين، وأداء القيمة نحو أداء لها، أو مشغولة بالقيمة لدى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أنّ ما ذكرناه أحد الاحتمالين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أنّ القيمة على العهدة، مقابل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فهي إمّا ظاهرة فيما لا يخالف قاعدة اليد، أو غير ظاهرة فيما يخالفها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وكرواية زيد بن علي،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تكارى دابّة فهلكت، وأقرّ أنّه جاز بها الوقت، فضمّنه الثمن، ولم يجعل عليه كراء</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ضعف سندها بالحسين بن علوان</w:t>
      </w:r>
      <w:r>
        <w:rPr>
          <w:rStyle w:val="FootnoteAnchor"/>
          <w:rtl w:val="true"/>
        </w:rPr>
        <w:footnoteReference w:id="1084"/>
      </w:r>
      <w:r>
        <w:rPr>
          <w:rFonts w:ascii="Amiri" w:hAnsi="Amiri" w:eastAsia="Amiri" w:cs="Amiri"/>
          <w:color w:val="111111"/>
          <w:sz w:val="28"/>
          <w:sz w:val="28"/>
          <w:szCs w:val="28"/>
          <w:rtl w:val="true"/>
          <w:lang w:bidi="ar-SA"/>
        </w:rPr>
        <w:t>، ومتنها بموافقته لأبي حنيفة، ولهذا حملها الشيخ قدّس سرّه على التقيّة</w:t>
      </w:r>
      <w:r>
        <w:rPr>
          <w:rStyle w:val="FootnoteAnchor"/>
          <w:rtl w:val="true"/>
        </w:rPr>
        <w:footnoteReference w:id="1085"/>
      </w:r>
      <w:r>
        <w:rPr>
          <w:rFonts w:ascii="Amiri" w:hAnsi="Amiri" w:eastAsia="Amiri" w:cs="Amiri"/>
          <w:color w:val="111111"/>
          <w:sz w:val="28"/>
          <w:sz w:val="28"/>
          <w:szCs w:val="28"/>
          <w:rtl w:val="true"/>
          <w:lang w:bidi="ar-SA"/>
        </w:rPr>
        <w:t>، وما احتملناه سابقاً من أنّ سقوط الكراء فيما يضمن بالقيمة مع التلف، لعلّه لأجل عدم تضمين زائد على ضمان القيمة، ويكون الكراء داخلاً في ضمان القيمة</w:t>
      </w:r>
      <w:r>
        <w:rPr>
          <w:rStyle w:val="FootnoteAnchor"/>
          <w:rtl w:val="true"/>
        </w:rPr>
        <w:footnoteReference w:id="1086"/>
      </w:r>
      <w:r>
        <w:rPr>
          <w:rFonts w:ascii="Amiri" w:hAnsi="Amiri" w:eastAsia="Amiri" w:cs="Amiri"/>
          <w:color w:val="111111"/>
          <w:sz w:val="28"/>
          <w:sz w:val="28"/>
          <w:szCs w:val="28"/>
          <w:rtl w:val="true"/>
          <w:lang w:bidi="ar-SA"/>
        </w:rPr>
        <w:t>، لا يجري في الكراء المسمّى؛ لاحتمال كونه زائداً عن كراء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عهدته مشغولة بالثمن؛ لأنّ تضمين</w:t>
      </w:r>
    </w:p>
    <w:p>
      <w:pPr>
        <w:pStyle w:val="BookText"/>
        <w:rPr/>
      </w:pPr>
      <w:r>
        <w:rPr>
          <w:rFonts w:ascii="Amiri" w:hAnsi="Amiri" w:eastAsia="Amiri" w:cs="Amiri"/>
          <w:color w:val="111111"/>
          <w:sz w:val="28"/>
          <w:sz w:val="28"/>
          <w:szCs w:val="28"/>
          <w:rtl w:val="true"/>
          <w:lang w:bidi="ar-SA"/>
        </w:rPr>
        <w:t>أمير المؤمنين عليه السلام ليس بمعنى جعل الضمان تشريعاً، وهو واضح، بل بمعنى تضمينه في مقام القضاء، وتضمين الثمن في القيمي، لا يخالف كون العهدة مشغولة بالعين،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 اليد عمّا سبق بمثل هذه الرواية، هذا كلّه في كيفية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ضمان الإتلاف فيما إذا لم يكن فيه ضمان اليد، فظاهر جملة كثيرة من الروايات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نفس ما أتلفه على العهدة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مقتضى الأدلّة، ضمان العين في الإتلاف أيضاً، لا وجه للتحاشي عنه، بعد كون الميزان فيه هو الاعتبار، وصحّة اعتبار نفس العين في العهدة تالفة أو موجودة كما مرّ في ضمان اليد</w:t>
      </w:r>
      <w:r>
        <w:rPr>
          <w:rStyle w:val="FootnoteAnchor"/>
          <w:rtl w:val="true"/>
        </w:rPr>
        <w:footnoteReference w:id="1087"/>
      </w:r>
      <w:r>
        <w:rPr>
          <w:rFonts w:ascii="Amiri" w:hAnsi="Amiri" w:eastAsia="Amiri" w:cs="Amiri"/>
          <w:color w:val="111111"/>
          <w:sz w:val="28"/>
          <w:sz w:val="28"/>
          <w:szCs w:val="28"/>
          <w:rtl w:val="true"/>
          <w:lang w:bidi="ar-SA"/>
        </w:rPr>
        <w:t xml:space="preserve">، ومعها لا حجّة لترك </w:t>
      </w:r>
    </w:p>
    <w:p>
      <w:pPr>
        <w:pStyle w:val="BookText"/>
        <w:rPr/>
      </w:pPr>
      <w:r>
        <w:rPr>
          <w:rFonts w:ascii="Amiri" w:hAnsi="Amiri" w:eastAsia="Amiri" w:cs="Amiri"/>
          <w:color w:val="111111"/>
          <w:sz w:val="28"/>
          <w:sz w:val="28"/>
          <w:szCs w:val="28"/>
          <w:rtl w:val="true"/>
          <w:lang w:bidi="ar-SA"/>
        </w:rPr>
        <w:t>ظاهر الأدلّة بمجرّد الاستبعاد، سيّما مع ثمرة عملية لذلك الاعتبار، وهي كون الاعتبار بقيمة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مقتضى الأدلّة في باب الإتلاف ضمان المثل في المثلي، والقيمة في القيمي، أو ضمان القيمة مطلقاً، نلتزم به؛ إذ لا دليل عقلاً أو نقلاً على أنّ باب الضمانات مطلقاً على كيفية واحدة، ولو كان الضمان معنىً واحداً في جميع الأبواب، لكن لا يلزم أن يكون متعلّقه واحداً في جميعها، فلو كان مقتضى الأدلّة أنّ ضمان اليد متعلّق بنفس العين، وضمان الإتلاف بالمثل والقيمة، نلتزم به، ونحكم على مقتضاها، تأمّل وانتظر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تدلّ على أنّ ضمان الإتلاف كضمان اليد، رواية العلاء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صحيحة، إذ ليس في سندها من يناقش فيه إلاّ العبيدي ومحمّد بن سنان، وهما ثقتان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يسير على طريق من طرق المسلمين على دابّته، فتصيب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ما أصابت برجلها، وعليه ما أصابت بيدها، وإذا وقف فعليه ما أصابت بيدها ورجلها، وإن كان يسوقها فعليه ما أصابت بيدها ورجلها أيضاً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السكوني</w:t>
      </w:r>
      <w:r>
        <w:rPr>
          <w:rStyle w:val="FootnoteAnchor"/>
          <w:rtl w:val="true"/>
        </w:rPr>
        <w:footnoteReference w:id="1089"/>
      </w:r>
      <w:r>
        <w:rPr>
          <w:rFonts w:ascii="Amiri" w:hAnsi="Amiri" w:eastAsia="Amiri" w:cs="Amiri"/>
          <w:color w:val="111111"/>
          <w:sz w:val="28"/>
          <w:sz w:val="28"/>
          <w:szCs w:val="28"/>
          <w:rtl w:val="true"/>
          <w:lang w:bidi="ar-SA"/>
        </w:rPr>
        <w:t>،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ضمّن القائد، والسائق، والراكب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الرجل فعلى السائق، وما أصاب اليد فعلى القائد والراكب</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روايات اُخر</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أنّ الضمان متعلّق بنفس المتلف، وتقع هي في عهدة الضامن، فإنّ مضمون تلك الروايات موافق لقوله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شمولها لجناية الإنسان بالتلف وغيره؛ لأنّ مقتضى الكبرى الكلّية ضمان نفس الشيء، غاية الأمر جعل الشارع في جنايات الإنسان دية، ومقتضى تقديرها عدم اعتبار العين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رفع اليد عن ظهورها بالنسبة إلى غير الإنسان، حتّى في صحيحة الحلبي، التي سئل فيها عن إصابة الدابّة إنساناً برجلها، فأجاب بالكبرى الكلّية،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ما أصابت برجلها، ولكن عليه ما أصابت بيدها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بعد في عهدة نفس الإنسان أو جنايتها، وإن قدّرها الشارع بتقديرٍ </w:t>
      </w:r>
    </w:p>
    <w:p>
      <w:pPr>
        <w:pStyle w:val="BookText"/>
        <w:rPr/>
      </w:pPr>
      <w:r>
        <w:rPr>
          <w:rFonts w:ascii="Amiri" w:hAnsi="Amiri" w:eastAsia="Amiri" w:cs="Amiri"/>
          <w:color w:val="111111"/>
          <w:sz w:val="28"/>
          <w:sz w:val="28"/>
          <w:szCs w:val="28"/>
          <w:rtl w:val="true"/>
          <w:lang w:bidi="ar-SA"/>
        </w:rPr>
        <w:t>لا يتجاوز عنه، نظير تقدير دية الكلب</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الروايات عهدة نفس ما أصابت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يظهر المراد في مثل رواية عبداللّه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يضمّن الراكب ما وطأت الدابّة بيدها ورجلها، ويضمّن القائد ما أوطأت الدابّة بيدها، ويبرؤه من الرجل</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يستكشف المراد من الروايات الدالّة على أنّ المتلف ضامن لما أتلف؛ وأنّ تعلّق الضمان بشيءٍ عبارة عن كونه على عهدة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يستكشف ذلك من بعض ما وردت في الديات، مثل 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وإن انكسر فهو ضامن لدية ما ينكسر منه</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ضمان الدية عبارة عن كونها على عهدته، فيظهر منها أنّ تعلّق الضمان بالشيء عبارة عن كونه على العهدة، كما هو الظاهر منه عرفاً، والمقصود الاستشهاد والتأييد لما يفهم من الروايات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تدلّ على المقصود كلّ ما كان مضمونها كذلك، كموثّقة سماعة</w:t>
      </w:r>
      <w:r>
        <w:rPr>
          <w:rStyle w:val="FootnoteAnchor"/>
          <w:rtl w:val="true"/>
        </w:rPr>
        <w:footnoteReference w:id="10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يحفر البئر في داره أو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حفر في ملكه فليس عليه ضمان، وأمّا ما حفر في الطريق، أو في غير ما يملك، فهو ضامن لما يسقط فيه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أو كنيفاً، أو أوتد وتداً، أو أوثق دابّة، أو حفر شيئاً في طريق المسلمين، فأصاب شيئاً فعطب، فهو له ضامن</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وتعارض تلك الروايات صحيحة علي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ابن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بختي مغتلم قتل رجلاً، فقام أخو المقتول فعقر البختي وقتله، ما حاله؟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البختي دية المقتول، ولصاحب البختي ثمنه على الذي عقر بختيه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صحيحة الحلبي في مفروض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البختي ضامن للدية، ويقتصّ ثمن بختيّه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تدلّ على أنّ الثمن على العهدة؛ لاحتمال كون الاقتصاص لأجل أنّ البختي على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مخالفة ما وردت في شهادة الزور لما مرّ، لو لم نقل بموافقتها معها، كصحيحة محمّد بن مسلم،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 ما توبته؟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من المال الذي شهد عليه بقدر ما ذهب من ماله، إن كان النصف، أو الثلث، إن شهد هذا وآخر معه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جميل،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شاهد الزور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الشيء قائماً بعينه ردّ على صاحبه، وإن لم يكن قائماً </w:t>
      </w:r>
    </w:p>
    <w:p>
      <w:pPr>
        <w:pStyle w:val="BookText"/>
        <w:rPr/>
      </w:pPr>
      <w:r>
        <w:rPr>
          <w:rFonts w:ascii="IRNazanin" w:hAnsi="IRNazanin" w:eastAsia="IRNazanin"/>
          <w:color w:val="111111"/>
          <w:sz w:val="28"/>
          <w:sz w:val="28"/>
          <w:szCs w:val="28"/>
          <w:rtl w:val="true"/>
          <w:lang w:bidi="fa-IR"/>
        </w:rPr>
        <w:t>ضمن بقدر ما أتلف من مال الرجل</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إلاّ على وجوب أداء المقدار المتلف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ضمان نفس المال،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ثلثه، أو نحوهما كما في الاُولى،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لنصف ماله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السكوني، عن أبي عبداللّه عليه السلام في السفرة المطروحة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ما فيها ثمّ يؤكل؛ لأنّه يفسد وليس له بقاء، فإن جاء طالبها غرموا له الثمن</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أنّ التقويم قبل الإتلاف للإذن فيه، فما لم يقوّم لا يجوز له ذلك، وهو حكم تعبّدي لصلاح حال المالك؛ لئلاّ يفسد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التضمين قبل الإتلاف للإجازة في التصرّف، كما تشهد به 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يستعمله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وجدت طعاماً في مفازة فقوّمه على نفسك لصاحبه ثمَّ كُله، فإن جاء صاحبه فردّ عليه القيمة</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أنّ مريد الأكل لا بدّ له من تقويمه، وجعل القيمة على نفسه ثمّ يأكله، فجعل الضمان هنا اختياري للواجد وقبل الإتلاف، وإن كان بالإتلاف يستقرّ عليه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يخالف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روايات اُخر، ربّما تحتمل مخالفتها لما تقدّم، مثل ما وردت في نكاح البهيمة، كحسنة سدير</w:t>
      </w:r>
      <w:r>
        <w:rPr>
          <w:rStyle w:val="FootnoteAnchor"/>
          <w:rtl w:val="true"/>
        </w:rPr>
        <w:footnoteReference w:id="1108"/>
      </w:r>
      <w:r>
        <w:rPr>
          <w:rFonts w:ascii="Amiri" w:hAnsi="Amiri" w:eastAsia="Amiri" w:cs="Amiri"/>
          <w:color w:val="111111"/>
          <w:sz w:val="28"/>
          <w:sz w:val="28"/>
          <w:szCs w:val="28"/>
          <w:rtl w:val="true"/>
          <w:lang w:bidi="ar-SA"/>
        </w:rPr>
        <w:t xml:space="preserve">، المشتملة على تغريم قيمة البهيمة لصاحبها، معلّلة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أفسدها عليه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عبداللّه بن سنان، المشتملة على تقويم البهيمة وأخذ الثمن من الفاعل</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مخالفتهما لما مرّ،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بظهورهما في أنّ العين مضمونة؛ حيث إنّ الظاهر منهما أنّ المعتبر في التقويم والتغريم يوم الإحراق، مع أنّ يوم الإفساد يوم الوط‌ء، ولعلّ الفصل بينهما كان كثيراً؛ بحيث تختلف القيمة </w:t>
      </w:r>
    </w:p>
    <w:p>
      <w:pPr>
        <w:pStyle w:val="BookText"/>
        <w:rPr/>
      </w:pPr>
      <w:r>
        <w:rPr>
          <w:rFonts w:ascii="Amiri" w:hAnsi="Amiri" w:eastAsia="Amiri" w:cs="Amiri"/>
          <w:color w:val="111111"/>
          <w:sz w:val="28"/>
          <w:sz w:val="28"/>
          <w:szCs w:val="28"/>
          <w:rtl w:val="true"/>
          <w:lang w:bidi="ar-SA"/>
        </w:rPr>
        <w:t>في اليومين، مع أنّه لم يستفصل، فيظهر منه أنّ الميزان قيمة يوم الأداء، فينطبق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خروج البهيمة من ملك صاحبها بالوط‌ء، لكن لمّا كان الحكم الشرعي ذبحها، تقوّم وتذبح، فلا شاهد فيها لما ذكر، مع أنّه قد يكون يوم التغريم غير يوم الأداء،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وردت من أنّ في فقأ عين الدابّة ربع ثمنها يوم فقئت العين</w:t>
      </w:r>
      <w:r>
        <w:rPr>
          <w:rStyle w:val="FootnoteAnchor"/>
          <w:rtl w:val="true"/>
        </w:rPr>
        <w:footnoteReference w:id="1111"/>
      </w:r>
      <w:r>
        <w:rPr>
          <w:rFonts w:ascii="Amiri" w:hAnsi="Amiri" w:eastAsia="Amiri" w:cs="Amiri"/>
          <w:color w:val="111111"/>
          <w:sz w:val="28"/>
          <w:sz w:val="28"/>
          <w:szCs w:val="28"/>
          <w:rtl w:val="true"/>
          <w:lang w:bidi="ar-SA"/>
        </w:rPr>
        <w:t>، فهو أمر تعبّدي، على خلاف القواعد في أرش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وردت في دية الكلب</w:t>
      </w:r>
      <w:r>
        <w:rPr>
          <w:rStyle w:val="FootnoteAnchor"/>
          <w:rtl w:val="true"/>
        </w:rPr>
        <w:footnoteReference w:id="111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تخالف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تخالفه ما وردت في عتق أحد الشركاء حصّته، من أنّه يقوّم ويجعل قيمته على المعتق</w:t>
      </w:r>
      <w:r>
        <w:rPr>
          <w:rStyle w:val="FootnoteAnchor"/>
          <w:rtl w:val="true"/>
        </w:rPr>
        <w:footnoteReference w:id="1113"/>
      </w:r>
      <w:r>
        <w:rPr>
          <w:rFonts w:ascii="Amiri" w:hAnsi="Amiri" w:eastAsia="Amiri" w:cs="Amiri"/>
          <w:color w:val="111111"/>
          <w:sz w:val="28"/>
          <w:sz w:val="28"/>
          <w:szCs w:val="28"/>
          <w:rtl w:val="true"/>
          <w:lang w:bidi="ar-SA"/>
        </w:rPr>
        <w:t>فإنّ المراد إلزامه بالشراء، فهي أجنبيّة عن المقام، فراجعها، وإن أمكن استفادة قاعدة الإتلاف منها كما يأتي</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المقام صحيحة علي بن جعفر عليه السلام المتقدّمة</w:t>
      </w:r>
      <w:r>
        <w:rPr>
          <w:rStyle w:val="FootnoteAnchor"/>
          <w:rtl w:val="true"/>
        </w:rPr>
        <w:footnoteReference w:id="1115"/>
      </w:r>
      <w:r>
        <w:rPr>
          <w:rFonts w:ascii="Amiri" w:hAnsi="Amiri" w:eastAsia="Amiri" w:cs="Amiri"/>
          <w:color w:val="111111"/>
          <w:sz w:val="28"/>
          <w:sz w:val="28"/>
          <w:szCs w:val="28"/>
          <w:rtl w:val="true"/>
          <w:lang w:bidi="ar-SA"/>
        </w:rPr>
        <w:t>، الظاهرة في أنّ قيمة البختي على القاتل، فلا بدّ إمّا من التصرّف فيها بإرجاعها إلى سائر الروايات؛ بأن تحمل على الكناية عن وجوب الأداء</w:t>
      </w:r>
      <w:r>
        <w:rPr>
          <w:rFonts w:eastAsia="Amiri" w:cs="Amiri" w:ascii="Amiri" w:hAnsi="Amiri"/>
          <w:color w:val="111111"/>
          <w:sz w:val="28"/>
          <w:szCs w:val="28"/>
          <w:rtl w:val="true"/>
          <w:lang w:bidi="ar-SA"/>
        </w:rPr>
        <w:t xml:space="preserve">. </w:t>
      </w:r>
      <w:bookmarkStart w:id="750" w:name="pg15195_150888"/>
    </w:p>
    <w:p>
      <w:pPr>
        <w:pStyle w:val="BookText"/>
        <w:rPr/>
      </w:pPr>
      <w:bookmarkEnd w:id="750"/>
      <w:r>
        <w:rPr>
          <w:rFonts w:ascii="Amiri" w:hAnsi="Amiri" w:eastAsia="Amiri" w:cs="Amiri"/>
          <w:color w:val="111111"/>
          <w:sz w:val="28"/>
          <w:sz w:val="28"/>
          <w:szCs w:val="28"/>
          <w:rtl w:val="true"/>
          <w:lang w:bidi="ar-SA"/>
        </w:rPr>
        <w:t>أو تحمل على أنّ قيمة البختي في تلك الأزمنة كانت ثابتة، لم تختلف إلى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تقيّد سائر الروايات بها؛ فإنّها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إرجاع سائر الروايات إليها،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أصابت بيدها</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وما هي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درك ذلك أو خسارته وغرامته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إرجاعها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ويراد به أنّ عليه ضمانه، ويراد بالضمان بدله مثلاً أو قيمةً، وتحمل سائر ما اشتملت على ضمان العين، على ضمان المثل والقيمة، وضمان الدرك، والبدل،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إرجاع الصحيحة إلى سائر الروايات؛ لأنّ التصرّف في رواية واحدة، أولى من التصرّف في تلك الروايات الكثيرة، والتقييد المشار إليه بعيد؛ لأنّ القيميات هي المتيقّنة من المطلقات، بل التقييد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في تقريب كون العين على العهدة، كما ذهب إليه المحقّقون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2495701_2142443653"/>
      <w:bookmarkStart w:id="752" w:name="_Toc266"/>
      <w:bookmarkEnd w:id="751"/>
      <w:r>
        <w:rPr>
          <w:rtl w:val="true"/>
        </w:rPr>
        <w:t>الحقّ ثبوت عهدة الغرامة والخسارة دون نفس العين</w:t>
      </w:r>
      <w:bookmarkEnd w:id="75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المعهود المغروس في أذهان العقلاء، هو عهدة الغرامة والخسارة، ففي المثلي بالمثل، وفي القيمي بالقيمة يوم الإتلاف، وإنّ </w:t>
      </w:r>
    </w:p>
    <w:p>
      <w:pPr>
        <w:pStyle w:val="BookText"/>
        <w:rPr/>
      </w:pPr>
      <w:r>
        <w:rPr>
          <w:rFonts w:ascii="Amiri" w:hAnsi="Amiri" w:eastAsia="Amiri" w:cs="Amiri"/>
          <w:color w:val="111111"/>
          <w:sz w:val="28"/>
          <w:sz w:val="28"/>
          <w:szCs w:val="28"/>
          <w:rtl w:val="true"/>
          <w:lang w:bidi="ar-SA"/>
        </w:rPr>
        <w:t>ضمان العين بمعنى أنّ نفس العين على عهدة الضامن في المثليات والقيميات، خلاف المتعارف والمعهود عندهم، وفي مثله لا بدّ من ورود دليل صريح مخالف لبنائهم وديدنهم، كما في دية الكلب التي وردت فيها روايات صريحة معتبرة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مثل ما وردت في باب الضمانات، كضمان اليد والإتلاف، كحديث اليد وغيره ممّا مرّت دلالته على تعلّق الضمان بالأعيان، وما وردت في جنايات البهائم، وممّا هي دون ذلك في الدلالة، فلا ينقدح في ذهن العرف والعقلاء منها ما يخالف بناءهم في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يفهم من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المأخوذ حال التلف في العهدة، فضلاً عن سائر الروايات؛ فإنّ البناء على وقوع ما أصابت الدابّة على العهدة، أمر مستنكر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تلك الروايات على كثرتها على الضمان المعهود المغروس في أذهان العقلاء حمل قريب جدّاً، موافق لفهم العرف والعقلاء مع الغمض عن المعارض، وبه يدفع التعارض المتوهّم بين الروايات، فيكون الضمان في جميع أبوابه، ما هو المعروف بين الأصحاب، والمعهود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أقرب بنظر القاصر عجالةً، وإن خالف ما مرّ منّا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من حديث اليد غير ما أفاده المحقّقون</w:t>
      </w:r>
      <w:r>
        <w:rPr>
          <w:rStyle w:val="FootnoteAnchor"/>
          <w:rtl w:val="true"/>
        </w:rPr>
        <w:footnoteReference w:id="1121"/>
      </w:r>
      <w:r>
        <w:rPr>
          <w:rFonts w:ascii="IRNazanin" w:hAnsi="IRNazanin" w:eastAsia="IRNazanin"/>
          <w:color w:val="111111"/>
          <w:sz w:val="28"/>
          <w:sz w:val="28"/>
          <w:szCs w:val="28"/>
          <w:rtl w:val="true"/>
          <w:lang w:bidi="fa-IR"/>
        </w:rPr>
        <w:t xml:space="preserve">، ممّا لازمه التعرّض لأداء </w:t>
      </w:r>
    </w:p>
    <w:p>
      <w:pPr>
        <w:pStyle w:val="BookText"/>
        <w:rPr/>
      </w:pPr>
      <w:r>
        <w:rPr>
          <w:rFonts w:ascii="Amiri" w:hAnsi="Amiri" w:eastAsia="Amiri" w:cs="Amiri"/>
          <w:color w:val="111111"/>
          <w:sz w:val="28"/>
          <w:sz w:val="28"/>
          <w:szCs w:val="28"/>
          <w:rtl w:val="true"/>
          <w:lang w:bidi="ar-SA"/>
        </w:rPr>
        <w:t>التالف، حتّى يلتزم بأنّ أداء المثل والقيمة أداء للشيء بنحو، كما أشرنا إليه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المذكورة فيه غاية للضمان والعهدة في زمان وجود العين؛ فإنّ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أنّ الآخذ ضامن للمأخوذ؛ بمعنى أنّه لو تلف تكون خسارته عليه، وغاية هذا الأمر التعليقي؛ أي عهدة الخسارة على فرض التلف، هو أداء نفس العين ليس إلاّ، فلو استولى أحد على مال غيره يكون ضامناً؛ أي على عهدته خسارته، ما لم يصل المال إلى صاحبه وإن خرج عن استيلاء المستولي، وقع تحت استيلاء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حديث اليد، الموافق لبناء العقلاء في باب الضمان؛ فإنّ 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مالك في البحر وعليَّ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خسارته لو تلف، فالضمان عهدة الخسارة للمال بالتلف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توافق مضامين جميع الروايات في باب الضمانات؛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أصابت الدابّة بيدها ورجلها</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أي هو ضامن لإتلافه؛ أي عليه عهدة الخسارة، ضرورة أنّ الحمل على اعتبار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عهدة السائق أو الراكب، بأن يكون في يد مكسورة نفس اليد على العهدة، أمر غريب عند العرف والعقلاء، لو لم نقل إنّه مستنكر عندهم، فتجمع بما ذكرنا الروايات الواردة في القيميات، وسائر المطلقات الواردة في باب الضمان، فتدبّر تعرف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تقدّم من مفاسد اعتبار نفس العين على العهدة</w:t>
      </w:r>
      <w:r>
        <w:rPr>
          <w:rStyle w:val="FootnoteAnchor"/>
          <w:rtl w:val="true"/>
        </w:rPr>
        <w:footnoteReference w:id="11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753" w:name="pg15195_150891"/>
    </w:p>
    <w:p>
      <w:pPr>
        <w:pStyle w:val="BookText"/>
        <w:rPr/>
      </w:pPr>
      <w:bookmarkEnd w:id="753"/>
      <w:r>
        <w:rPr>
          <w:rFonts w:ascii="Amiri" w:hAnsi="Amiri" w:eastAsia="Amiri" w:cs="Amiri"/>
          <w:color w:val="111111"/>
          <w:sz w:val="28"/>
          <w:sz w:val="28"/>
          <w:szCs w:val="28"/>
          <w:rtl w:val="true"/>
          <w:lang w:bidi="ar-SA"/>
        </w:rPr>
        <w:t xml:space="preserve">والظاهر أنّ ما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 المثل في المثلي، والقيمة في القيمي، ليس لأمر تعبّدي، بل للارتكاز العقلائي، ولهذا حملوا تلك الروايات على المعهود ظاهراً فتدبّر</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495703_2142443653"/>
      <w:bookmarkStart w:id="755" w:name="_Toc267"/>
      <w:bookmarkEnd w:id="754"/>
      <w:r>
        <w:rPr>
          <w:rtl w:val="true"/>
        </w:rPr>
        <w:t>رجع إلى مقتضى الأصل عند الشكّ في مثلية الشيء أو قيميته</w:t>
      </w:r>
      <w:bookmarkEnd w:id="755"/>
    </w:p>
    <w:p>
      <w:pPr>
        <w:pStyle w:val="BookText"/>
        <w:rPr/>
      </w:pPr>
      <w:r>
        <w:rPr>
          <w:rFonts w:ascii="Amiri" w:hAnsi="Amiri" w:eastAsia="Amiri" w:cs="Amiri"/>
          <w:color w:val="111111"/>
          <w:sz w:val="28"/>
          <w:sz w:val="28"/>
          <w:szCs w:val="28"/>
          <w:rtl w:val="true"/>
          <w:lang w:bidi="ar-SA"/>
        </w:rPr>
        <w:t>ولو شككنا في أنّ شيئاً مثلي أو قيمي، فهل مقتضى الأصل الاشتغال، أو البراءة؟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إمّا مفهومية، كما لو شكّ في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ما يخرج من المعامل، أو مصداقية، كما لو أتلف شيئاً، ولم يعلم أنّه من هذا المثلي، أو ذاك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بحسب التصوّر، أن يكون الضمان متعلّقاً بالعين مطلقاً، وتكون هي على عهدة الضامن، وبإعطاء المثل في المثلي، والقيمة في القيمي، تسقط عن عهدته بحكم الشرع والعقلاء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متعلّقاً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متعلّقاً بالمثل كذلك، فيكون إعطاء القيمة عند إعواز المثل بدلاً عنه، ويسقط المثل بإعطائها عند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متعلّقاً بالقيمة مطلقاً حتّى في المثلي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متعلّقاً بالمثل في المثلي، وبالقيمة في القيمي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القيمة في جميع الموارد، إمّا أن تعتبر بلا خصوصية؛ بمعنى أنّ القيمة القابلة للأداء بكلّ قيمي، معتبرة ومتعلّقة للضمان، أو تعتبر بخصوصية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الحقّ فيها </w:t>
      </w:r>
      <w:r>
        <w:rPr>
          <w:rStyle w:val="FootnoteAnchor"/>
          <w:rtl w:val="true"/>
        </w:rPr>
        <w:footnoteReference w:id="1126"/>
      </w:r>
      <w:r>
        <w:rPr>
          <w:rFonts w:ascii="Amiri" w:hAnsi="Amiri" w:eastAsia="Amiri" w:cs="Amiri"/>
          <w:color w:val="111111"/>
          <w:sz w:val="28"/>
          <w:sz w:val="28"/>
          <w:szCs w:val="28"/>
          <w:rtl w:val="true"/>
          <w:lang w:bidi="ar-SA"/>
        </w:rPr>
        <w:t>، لكن لا بأس بذكر مقتضى الأصل على التقادير، ومقتضاه على فرض الشكّ في كيفية الضمان، وأنّه على أيّ نحو من الأنحاء المتقدّمة، ونحن نذكر بعض الصور، ويتّضح حال البقيّة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الضمان متعلّقاً بنفس العين،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القيمة بلا خصوصية، معتبرة في الأداء، فالقاعدة وإن تقتضي الاشتغال، لكن تحصل البراءة اليقينية بإعطاء مثل ساوت قيمته للتالف أو كانت أكثر؛ لأنّ المضمون إن كان مثلياً فهو مثله، وإن كان قيمياً كان قيمته بلا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قيمته أقلّ من التالف أو احتمل ذلك، فمع أداء المماثل وشيء تكون قيمته بمقدار النقيصة، يوجب القطع بالبراءة، من غير فرق في الموردين بين الشبهة المفهومية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للمضمون له الامتناع عن المثل مع مساواة قيمته للتالف، ولا للضامن الاكتفاء بالمثل مع نقصه عنه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القيمة عبارة عن خصوص الأثمان، فالضامن لا يقطع بالبراءة إلاّ بإعطائهما؛ أي المثل والقيمة، ومعه يقطع بها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يجب عليه تمليكهما؛ لقاعدة الضرر، بناءً على أنّ مفادها رفع الحكم </w:t>
      </w:r>
    </w:p>
    <w:p>
      <w:pPr>
        <w:pStyle w:val="BookText"/>
        <w:rPr/>
      </w:pPr>
      <w:r>
        <w:rPr>
          <w:rFonts w:ascii="Amiri" w:hAnsi="Amiri" w:eastAsia="Amiri" w:cs="Amiri"/>
          <w:color w:val="111111"/>
          <w:sz w:val="28"/>
          <w:sz w:val="28"/>
          <w:szCs w:val="28"/>
          <w:rtl w:val="true"/>
          <w:lang w:bidi="ar-SA"/>
        </w:rPr>
        <w:t>الضرري حتّى في مثل المورد، وإن كانت القاعدة أجنبيّة عن رفع الأحكام، وعلى فرض التسليم فجريانها في مثل المورد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دليل على وجوب تمليكهما له؛ لا عقلاً ولا نقلاً، وما يجب عليه هو إيصال ماله إليه، وهو يحصل بإعطائهما ليختار ما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القاعدة وجوب الاحتياط؛ إذ لا فرق بين المقدّمة العلمية والمقدّمة الواقعية، فكما لا تجري قاعدة نفي الضرر في الثانية، كذلك في الاُولى</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البناء على جريان القاعدة في المقدّمة الواقعية، والغضّ عن الإشكال الذي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ذكروا في جريانها في المقدّمة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طبيعة الردّ الواجب المتوقّف على المقدّمات ضررية، ودليل نفي الضرر لا يشمل ما كانت بطبعها ضررية</w:t>
      </w:r>
      <w:r>
        <w:rPr>
          <w:rStyle w:val="FootnoteAnchor"/>
          <w:rtl w:val="true"/>
        </w:rPr>
        <w:footnoteReference w:id="1128"/>
      </w:r>
      <w:r>
        <w:rPr>
          <w:rFonts w:ascii="Amiri" w:hAnsi="Amiri" w:eastAsia="Amiri" w:cs="Amiri"/>
          <w:color w:val="111111"/>
          <w:sz w:val="28"/>
          <w:sz w:val="28"/>
          <w:szCs w:val="28"/>
          <w:rtl w:val="true"/>
          <w:lang w:bidi="ar-SA"/>
        </w:rPr>
        <w:t>، وهو لا يجري في المقدّمة العلمية؛ لأنّ إيصال مال الغير لا يتوقّف على إيصالهما، فلا يكون الردّ ضررياً بطبعه، ولا متوقّفاً على إيصال شيءٍ أجنبيّ عنه، بل العلم بالبراءة يتوقّف عليه، فإيجاب إعطاء ماله مجّاناً ضرر منفيّ بالقاعدة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يتوقّف العلم بالبراءة على تمليكهما له وإعطائهما مجّاناً، بل لو جعلهما باختياره واختار أحدهما، سقط الاشتغال، فلو أخذهما بعنوان أخذ ما هو مضمون على الضامن، ولم يختر واحداً منهما، ولم يحصل التراضي بينهما، </w:t>
      </w:r>
    </w:p>
    <w:p>
      <w:pPr>
        <w:pStyle w:val="BookText"/>
        <w:rPr/>
      </w:pPr>
      <w:r>
        <w:rPr>
          <w:rFonts w:ascii="Amiri" w:hAnsi="Amiri" w:eastAsia="Amiri" w:cs="Amiri"/>
          <w:color w:val="111111"/>
          <w:sz w:val="28"/>
          <w:sz w:val="28"/>
          <w:szCs w:val="28"/>
          <w:rtl w:val="true"/>
          <w:lang w:bidi="ar-SA"/>
        </w:rPr>
        <w:t>فاللازم الرجوع إلى القرعة التي هي لكلّ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مصبّ أدلّة القرعة الشبهة الموضوعية المحضة، لا ما تستند إلى الحكمية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 لما قلناه في قاعدة القرعة من أنّ مقتضى الأدلّة أنّها لكلّ مجهول أو مشتبه، تزاحمت الحقوق فيه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اشتهر بين المتأخّرين من أنّ كثرة التخصيص الوارد على قاعدتها، موجبة لكشف قيد حافٍّ بدليلها، فلا بدّ في العمل بها من عمل المشهور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أساس له؛ لأنّ التوهّم ناشٍ عن توهّم إطلاق أدلّتها لكلّ مجهول، تزاحم الحقوق فيه أم لا، وقد فرغنا عن دفعه، فراجع رسالتنا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يتّضح لك الأمر</w:t>
      </w:r>
      <w:r>
        <w:rPr>
          <w:rStyle w:val="FootnoteAnchor"/>
          <w:rtl w:val="true"/>
        </w:rPr>
        <w:footnoteReference w:id="1132"/>
      </w:r>
      <w:r>
        <w:rPr>
          <w:rFonts w:ascii="Amiri" w:hAnsi="Amiri" w:eastAsia="Amiri" w:cs="Amiri"/>
          <w:color w:val="111111"/>
          <w:sz w:val="28"/>
          <w:sz w:val="28"/>
          <w:szCs w:val="28"/>
          <w:rtl w:val="true"/>
          <w:lang w:bidi="ar-SA"/>
        </w:rPr>
        <w:t>، لكن لا بدّ في القرعة من إرجاع الأمر إلى الحاكم الشرعي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لم يأخذهما، ولم يرضيا بالتصالح، فيرجع إلى الحاكم، وهو إمّا أن يلزمهما بالتصالح، أو يختار أحدهما، وهذا اختيار في مقام القضاء ورفع الخصومة، وهو غير الاختيار المذكور في الأخذ بأحد الخبرين للفتيا، فالقول بأنّ دليل الاختيار راجع إليه</w:t>
      </w:r>
      <w:r>
        <w:rPr>
          <w:rStyle w:val="FootnoteAnchor"/>
          <w:rtl w:val="true"/>
        </w:rPr>
        <w:footnoteReference w:id="1133"/>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bookmarkStart w:id="756" w:name="pg15195_150895"/>
    </w:p>
    <w:p>
      <w:pPr>
        <w:pStyle w:val="BookText"/>
        <w:rPr/>
      </w:pPr>
      <w:bookmarkEnd w:id="756"/>
      <w:r>
        <w:rPr>
          <w:rFonts w:ascii="Amiri" w:hAnsi="Amiri" w:eastAsia="Amiri" w:cs="Amiri"/>
          <w:color w:val="111111"/>
          <w:sz w:val="28"/>
          <w:sz w:val="28"/>
          <w:szCs w:val="28"/>
          <w:rtl w:val="true"/>
          <w:lang w:bidi="ar-SA"/>
        </w:rPr>
        <w:t xml:space="preserve">وممّا ذكرناه يظهر الحال في الصور التي يتعلّق عنوان بالذمّة، واُريد إسقاطه بأداء شيءٍ مردّد، كما لو قيل، بتعلّق المثل مطلقاً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المثل في الذمّة مطلقاً حتّى في القيمي، وإنّما كان أداء القيمة رافعاً للضمان في القيمي إرفاقاً بالضامن، فمقتضى القاعدة الاحتياط، وهو يحصل بأداء المثل</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495705_2142443653"/>
      <w:bookmarkStart w:id="758" w:name="_Toc268"/>
      <w:bookmarkEnd w:id="757"/>
      <w:r>
        <w:rPr>
          <w:rtl w:val="true"/>
        </w:rPr>
        <w:t>كلام المحقّق الأصفهاني وردّه</w:t>
      </w:r>
      <w:bookmarkEnd w:id="758"/>
    </w:p>
    <w:p>
      <w:pPr>
        <w:pStyle w:val="BookText"/>
        <w:rPr/>
      </w:pPr>
      <w:r>
        <w:rPr>
          <w:rFonts w:ascii="Amiri" w:hAnsi="Amiri" w:eastAsia="Amiri" w:cs="Amiri"/>
          <w:color w:val="111111"/>
          <w:sz w:val="28"/>
          <w:sz w:val="28"/>
          <w:szCs w:val="28"/>
          <w:rtl w:val="true"/>
          <w:lang w:bidi="ar-SA"/>
        </w:rPr>
        <w:t>وأمّا ما يقال في الفرض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المسألة تندرج في الشكّ في التعيين والتخيير، فكلّ على مسلكه في تلك المسألة، فإمّا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سقوط الذمّة اليقينية بأداء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وبغيره مشكوك، والأصل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المالية مقطوع، وثبوت تعيينها بالمماثلة من حيث الحقيقة مشكوك، وهو ضيق، والناس منه في سعة</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ما لا يخفى؛ فإنّ المفروض إذا كان ثبوت المثل مطلقاً حتّى في القيمي في الذمّة، والإرفاق إنّما هو في مقام الأداء؛ بمعنى أنّ أداء القيمة موجب لسقوط المثل عن الذمّة في القيمي، لا في مقام الثبوت في الذمّة، فلا وجه لدعوى أنّ ثبوت المالية مقطوع؛ فإنّها خلاف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الدوران بين التعيين والتخيير في المقام، إنّما هو في مقام الإسقاط، وهو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الدوران بين التعيين والتخيير؛ وأنّ المرجع فيه هل البراءة أو الاحتياط، أجنبيّ عن مثل المقام، بل هو في التكليف المردّد بينهما ثبوتاً، لا في الوضع الذي لا معنى للتخيير فيه،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البراءة بأنّ ضمان أصل المثل الجامع بين المثل في المثلي والقيمي معلوم، والخصوصيتين مشكوك فيهما، إلاّ أنّ في خصوصية مثل القيمي لا ضيق على المكلّف، فلا تكون مورد البراءة، بخلاف خصوصية مثل المثلي؛ فإنّها ضيق عليه، وهو في سعة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الشبهة المفهومية فلا يجري ذلك التقريب بوجه؛ فإنّ المضمون معلوم بجميع خصوصياته، فلو أتلف ثوباً من المعمل الكذائي، يتعلّق على ذمّته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المعمل، وهو مبيّن بجميع خصوصياته، والشكّ في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مجرى البراءة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الشبهة الموضوعية،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الترديد في أنّ هذا المثل على عهدته أو ذاك، يكون أصل المثل معلوماً، والشكّ في الخصوصية الزائدة، فتجري البراءة بالتقريب المتقدّم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المنتزع من المضمون بعد استقرار الضمان، لا يعقل أن يكون مضموناً، فما هو المضمون إمّا هذا أو ذاك، لا الجامع الانتزاعي بعد استقرار الضمان، مع أنّ الجامع بينهما لا مثلي ولا قيمي، فلا يعقل أن يكون ضمانه بأحدهما</w:t>
      </w:r>
      <w:r>
        <w:rPr>
          <w:rFonts w:eastAsia="Amiri" w:cs="Amiri" w:ascii="Amiri" w:hAnsi="Amiri"/>
          <w:color w:val="111111"/>
          <w:sz w:val="28"/>
          <w:szCs w:val="28"/>
          <w:rtl w:val="true"/>
          <w:lang w:bidi="ar-SA"/>
        </w:rPr>
        <w:t xml:space="preserve">. </w:t>
      </w:r>
      <w:bookmarkStart w:id="759" w:name="pg15195_150897"/>
    </w:p>
    <w:p>
      <w:pPr>
        <w:pStyle w:val="BookText"/>
        <w:rPr/>
      </w:pPr>
      <w:bookmarkEnd w:id="759"/>
      <w:r>
        <w:rPr>
          <w:rFonts w:ascii="Amiri" w:hAnsi="Amiri" w:eastAsia="Amiri" w:cs="Amiri"/>
          <w:color w:val="111111"/>
          <w:sz w:val="28"/>
          <w:sz w:val="28"/>
          <w:szCs w:val="28"/>
          <w:rtl w:val="true"/>
          <w:lang w:bidi="ar-SA"/>
        </w:rPr>
        <w:t>وجريان البراءة على فرض صحّته في إحدى الخصوصيتين، لا يثبت الخصوصية الاُخرى، وهو واضح، مع أنّ الإلزام بإحدى الخصوصيتين أيضاً 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لزوم الاحتياط لو قلنا بأنّ ما على الذمّة في المثلي مثله، وفي القيمي قيمته</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2495707_2142443653"/>
      <w:bookmarkStart w:id="761" w:name="_Toc269"/>
      <w:bookmarkEnd w:id="760"/>
      <w:r>
        <w:rPr>
          <w:rtl w:val="true"/>
        </w:rPr>
        <w:t>كلام المحقّق النائيني في المقام وجوابه</w:t>
      </w:r>
      <w:bookmarkEnd w:id="761"/>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الفرض أنّ الأصل تخيير الضامن؛ لأنّه يعلم إجمالاً باشتغال ذمّته بالمثل أو القيمة، وبعد قيام الإجماع على عدم وجوب الموافقة القطعية في الماليات، ينتهي الأمر إلى الموافقة الاحتمالية، وهي تحصل بأداء كلّ ما أراد، واشتغال ذمّته بإحدى الخصوصيتين التي اختارها المالك، غير معلوم، فالأصل هو البراءة عنها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مظنّة الإجماع، هو تمليك تمام الأطراف لتحصيل البراءة اليقينية، وأمّا لو أمكن تحصيلها بغير ذلك، فلا يكون مظنّة الإجماع، وفي المقام يمكن تحصيلها بإعطائهما لا على وجه التمليك، بل على أن يتعيّن ما في ذمّته بواحد منهما، فمع التسليم يعلم بسقوط ذمّته عمّا تعلّق بها، ويحصل علم إجمالي للطرفين؛ بأنّ أحدهما للقابض، والآخر للدافع</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دليل على لزوم رفع جهله، ولا على توقّف البراءة على علم الآخذ تفصيلاً بماله وجواز تصرّفه فيه، فلا بدّ في مثله من القرعة بعد الرجوع إلى الحاكم</w:t>
      </w:r>
      <w:r>
        <w:rPr>
          <w:rFonts w:eastAsia="Amiri" w:cs="Amiri" w:ascii="Amiri" w:hAnsi="Amiri"/>
          <w:color w:val="111111"/>
          <w:sz w:val="28"/>
          <w:szCs w:val="28"/>
          <w:rtl w:val="true"/>
          <w:lang w:bidi="ar-SA"/>
        </w:rPr>
        <w:t xml:space="preserve">. </w:t>
      </w:r>
      <w:bookmarkStart w:id="762" w:name="pg15195_150898"/>
    </w:p>
    <w:p>
      <w:pPr>
        <w:pStyle w:val="BookText"/>
        <w:rPr/>
      </w:pPr>
      <w:bookmarkEnd w:id="762"/>
      <w:r>
        <w:rPr>
          <w:rFonts w:ascii="Amiri" w:hAnsi="Amiri" w:eastAsia="Amiri" w:cs="Amiri"/>
          <w:color w:val="111111"/>
          <w:sz w:val="28"/>
          <w:sz w:val="28"/>
          <w:szCs w:val="28"/>
          <w:rtl w:val="true"/>
          <w:lang w:bidi="ar-SA"/>
        </w:rPr>
        <w:t>ويمكن تحصيل البراءة اليقينية بوجهٍ آخر، وهو جعلهما تحت اختيار القابض، ليختار أحدهما عوضاً عن ماله، فمع اختياره يسقط ذمّة الدافع، ولو لم يختر ولم يتسلّم يرجع الأمر إلى الحاكم؛ لفصل الخصومة بما يرى، فلا يرجع الأمر إلى اختيار الدافع، بعد إمكان الموافقة القطعية، وعدم كونها مخالفة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صورة البناء على أنّ الضمان مطلقاً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فيها فالأصل البراءة مع الشكّ في القيمة؛ لدوران الأمر في مقام الاشتغال بين الأقلّ والأكثر، سواء قلنا بأنّ المعتبر في القيمة هو الأثمان أم لا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495709_2142443653"/>
      <w:bookmarkStart w:id="764" w:name="_Toc270"/>
      <w:bookmarkEnd w:id="763"/>
      <w:r>
        <w:rPr>
          <w:rtl w:val="true"/>
        </w:rPr>
        <w:t>مقتضى الأصل عند إجمال أدلّة الضمان</w:t>
      </w:r>
      <w:bookmarkEnd w:id="764"/>
    </w:p>
    <w:p>
      <w:pPr>
        <w:pStyle w:val="BookText"/>
        <w:rPr/>
      </w:pPr>
      <w:r>
        <w:rPr>
          <w:rFonts w:ascii="Amiri" w:hAnsi="Amiri" w:eastAsia="Amiri" w:cs="Amiri"/>
          <w:color w:val="111111"/>
          <w:sz w:val="28"/>
          <w:sz w:val="28"/>
          <w:szCs w:val="28"/>
          <w:rtl w:val="true"/>
          <w:lang w:bidi="ar-SA"/>
        </w:rPr>
        <w:t>بقيت صورة اُخرى، وهي ما لو بنينا على إجمال الأدلّة، وعدم إحراز واحد من المحتملات، وكان جميع ما تقدّم طرف الاحتمال، فهل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باعتبار أنّ الاشتغال بالمالية السارية في المثل والقيمة معلوم، وبالخصوصيات الزائدة مشكوك فيه، فتجري البراءة عنها؟</w:t>
      </w:r>
    </w:p>
    <w:p>
      <w:pPr>
        <w:pStyle w:val="BookText"/>
        <w:rPr/>
      </w:pPr>
      <w:r>
        <w:rPr>
          <w:rFonts w:ascii="Amiri" w:hAnsi="Amiri" w:eastAsia="Amiri" w:cs="Amiri"/>
          <w:color w:val="111111"/>
          <w:sz w:val="28"/>
          <w:sz w:val="28"/>
          <w:szCs w:val="28"/>
          <w:rtl w:val="true"/>
          <w:lang w:bidi="ar-SA"/>
        </w:rPr>
        <w:t>أو الاشتغال؛ لأنّ من المحتملات وقوع نفس العين على الذمّة، وهي مباينة للقيمة السارية في المثل والقيمة، فيدور أطراف العلم بين المتباينين؟</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المثل أداء للقيمة السارية، فيرفع به الضمان، وتخرج العهدة عنه يقيناً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القيمة بخصوصية الأثمان على عهدته، ومعه لا يقطع بالبراءة</w:t>
      </w:r>
      <w:r>
        <w:rPr>
          <w:rFonts w:eastAsia="Amiri" w:cs="Amiri" w:ascii="Amiri" w:hAnsi="Amiri"/>
          <w:color w:val="111111"/>
          <w:sz w:val="28"/>
          <w:szCs w:val="28"/>
          <w:rtl w:val="true"/>
          <w:lang w:bidi="ar-SA"/>
        </w:rPr>
        <w:t xml:space="preserve">. </w:t>
      </w:r>
      <w:bookmarkStart w:id="765" w:name="pg15195_150899"/>
    </w:p>
    <w:p>
      <w:pPr>
        <w:pStyle w:val="BookText"/>
        <w:rPr/>
      </w:pPr>
      <w:bookmarkEnd w:id="765"/>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الإجمالي بأنّه إمّا أن اشتغلت ذمّته بالعين، أو بالمثل، أو بالبدل، أو بالقيمة بخصوصية الأثمان، أو بالقيمة السارية فيها وفي العروض، لا يمكن العلم بالبراءة بإعطاء المثل فقط، أو القيمة فقط، فيأتي في هذه الصورة أيضاً ما ذكرناه في الصور السالفة</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2495711_2142443653"/>
      <w:bookmarkStart w:id="767" w:name="_Toc271"/>
      <w:bookmarkEnd w:id="766"/>
      <w:r>
        <w:rPr>
          <w:rtl w:val="true"/>
        </w:rPr>
        <w:t>مختار المحقّق النائيني في هذه الصورة ونقده</w:t>
      </w:r>
      <w:bookmarkEnd w:id="767"/>
    </w:p>
    <w:p>
      <w:pPr>
        <w:pStyle w:val="BookText"/>
        <w:rPr/>
      </w:pPr>
      <w:r>
        <w:rPr>
          <w:rFonts w:ascii="Amiri" w:hAnsi="Amiri" w:eastAsia="Amiri" w:cs="Amiri"/>
          <w:color w:val="111111"/>
          <w:sz w:val="28"/>
          <w:sz w:val="28"/>
          <w:szCs w:val="28"/>
          <w:rtl w:val="true"/>
          <w:lang w:bidi="ar-SA"/>
        </w:rPr>
        <w:t>وقال بعض الأعاظم قدّس سرّه على فرض إجمال أدلّة الضمان مقتضى الاستصحاب تعلّق الخصوصيات الصنفية؛ أي الصفات، بالذمّة، ونشكّ في الفراغ بأداء القيمة، فالأصل تخيير المالك، وأوضحه في 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جواز المصالحة على التالف ولو كان قيمياً بأيّ مقدار من الذهب والفضّة</w:t>
      </w:r>
      <w:r>
        <w:rPr>
          <w:rStyle w:val="FootnoteAnchor"/>
          <w:rtl w:val="true"/>
        </w:rPr>
        <w:footnoteReference w:id="1136"/>
      </w:r>
      <w:r>
        <w:rPr>
          <w:rFonts w:ascii="Amiri" w:hAnsi="Amiri" w:eastAsia="Amiri" w:cs="Amiri"/>
          <w:color w:val="111111"/>
          <w:sz w:val="28"/>
          <w:sz w:val="28"/>
          <w:szCs w:val="28"/>
          <w:rtl w:val="true"/>
          <w:lang w:bidi="ar-SA"/>
        </w:rPr>
        <w:t>، وهو دليل على عدم انتقال القيميات إلى القيمة، وإلاّ لزم الربا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استقرار نفس العين في الذمّة حال الوجود، ومع التلف لا يمكن بقاؤها في العهدة، لا وضعاً، ولا تكليفاً، لكن سقوط شخص العين لا يقتضي أن تكون المالية المتقدّرة بقيمة خاصّة في الذمّة، بل يمكن أن يكون غير شخص العين من سائر الصفات في ذمّته، بل يمكن أن يتعلّق بها ماليته غير متقدّرة بالقيمة، والمالية في الجارية عبارة عمّا تخدم المالك، وفي الحنطة عمّا يشبعه،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اقتضى استقرار المثل في الذمّة في المثلي، والقيمة في القيمي، على ما هو المرتكز في الذهن،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مجملان مفهوماً، فلا بدّ من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يقتضي كون التخيير للمالك؛ وذلك لأنّ القابض دخل في عهدته تبعاً للعين جميع ما له دخل في مالية الشيء، غاية الأمر سقطت الخصوصية، وأمّا وصفه فلم يعلم سقوطه بالتلف، إلاّ إذا اُحرز كونه قيمياً، بناءً على الإجماع على كون القيمي مضموناً بالقيمة، فيستصحب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هو المثلية، إمّا للاستصحاب، أو لما أفاده الشيخ قدّس سرّه </w:t>
      </w:r>
      <w:r>
        <w:rPr>
          <w:rStyle w:val="FootnoteAnchor"/>
          <w:rtl w:val="true"/>
        </w:rPr>
        <w:footnoteReference w:id="1138"/>
      </w:r>
      <w:r>
        <w:rPr>
          <w:rFonts w:ascii="Amiri" w:hAnsi="Amiri" w:eastAsia="Amiri" w:cs="Amiri"/>
          <w:color w:val="111111"/>
          <w:sz w:val="28"/>
          <w:sz w:val="28"/>
          <w:szCs w:val="28"/>
          <w:rtl w:val="true"/>
          <w:lang w:bidi="ar-SA"/>
        </w:rPr>
        <w:t>من الأدلّة الاجتهادية وإجمال المخصّص</w:t>
      </w:r>
      <w:r>
        <w:rPr>
          <w:rStyle w:val="FootnoteAnchor"/>
          <w:rtl w:val="true"/>
        </w:rPr>
        <w:footnoteReference w:id="1139"/>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مخالفة المقدّمات للفرض الذي بناها عليه، ومن تناقض الصدر والذيل، ومن الخلل في نفسها، ومن عدم إنتاج ما أراد على فرض تماميتها، ونحن نشير إلى بعض موارد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منه رحمه الله عليه أنّ مقتضى المذهب المشهور من أنّ مقتضى كون الضمان في المثلي بالمثل، وفي القيمي بالقيمة، أنّ الأصل تخيير الضامن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الأمر الثالث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استقرار المثل في الذمّة في المثلي، والقيمة في القيمي، إلاّ أنّهما مجملان مفهوماً، فلا بدّ من الرجوع إلى الأصل، والاستصحاب يقتضي كون التخيير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عين فرض المشهور، فكيف بنى عليه تخيير الضامن تارةً، وتخيير المالك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نفس العين على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استقرار المثل في المثلي، والقيمة في القيمي، وقال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القابض بعد أن وضع يده على المال، استقرّ تمام ما له دخل في المالية على عهدته تبعاً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مناقضات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إجمال الأدلّة، وقيام الإجماع على أنّ ضمان القيمي بالقيمة، استصحب ضمان الوصف إلى زمان إحراز كونه قيمياً، مع أنّ الإجماع على فرضه قام على الواقع، ومع الشبهة المفهومية لم يعلم من أوّل الأمر أنّ الضمان بالمثل أو القيمة، فلا متيقّن حتّى يستصحب إلى زمان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الإجماع تكون القيميات مضمونة بالقيمة لا بالمثل، فلا يقين بتعلّق الخصوصيات الوصفية بالعهدة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المذكورة مبتنية في صدر كلامه على إجمال أدلّة الضمان، مع أنّ الظاهر من المقدّمة الثانية والثالثة هو دلالة الأدلّة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كيفية الضمان، فكيف الجمع بينهما؟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على فرض جريانه، لا ينتج تخيير المالك، بل مقتضاه لزوم المثل معيّناً، فلا يجوز له اختيار القيمة مع عدم رضا الدافع، وهو رحمه الله عليه 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مقتضاه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الأصل هو المثلية، إمّا للاستصحاب، أو لما قاله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الجمع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من بقاء المالية على الذمّة غير متقدّرة بمقدار من القيمة، ثمّ التجأ إلى جعل بعض الأوصاف أو الخواصّ عبارةً عن مالية الشيء، مع أنّهما مناط المالية لا نفسها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الأوّل لو تمّ لكان كافياً للاستصحاب؛ للكشف عن تعلّق بعض أوصاف العين وخصوصياتها بالذمّة، فيستصحب بقاؤها بعد التلف، ومقتضاه أصالة المثلية، والأمر الثاني أيضاً لا يخلو من دخالة ما في بعض الصور، فلم يكن احتياج إلى الأمر الثالث المخلّ بالمبنى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تمامية الأمر الأوّل تتوقّف على ثبوت شهرة اُخرى على جريان الربا في الصلح، وعلى ثبوت أنّ مبنى المشهور تعلّق الذهب والفضّة في القيميات بالذمّة، ومع احتمال أن يكون بناؤهم، أو بناء بعضهم المخلّ بالشهرة، على أنّ المالية الاعتبارية والقيمة الجامعة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بما لا تنطبق إلاّ على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بها، لا يستكشف بالشهرة المذكورة ما أراده؛ لعدم جريان الربا في مثل هذه المالية، بل لا بدّ أيضاً من إثبات أنّ الأثمان في جميع أعصار أهل الفتوى كانت منحصرة في النقدين، فتدبّر</w:t>
      </w:r>
      <w:r>
        <w:rPr>
          <w:rFonts w:eastAsia="Amiri" w:cs="Amiri" w:ascii="Amiri" w:hAnsi="Amiri"/>
          <w:color w:val="111111"/>
          <w:sz w:val="28"/>
          <w:szCs w:val="28"/>
          <w:rtl w:val="true"/>
          <w:lang w:bidi="ar-SA"/>
        </w:rPr>
        <w:t xml:space="preserve">. </w:t>
      </w:r>
      <w:bookmarkStart w:id="768" w:name="pg15195_150903"/>
    </w:p>
    <w:p>
      <w:pPr>
        <w:pStyle w:val="Heading3"/>
        <w:numPr>
          <w:ilvl w:val="2"/>
          <w:numId w:val="1"/>
        </w:numPr>
        <w:rPr/>
      </w:pPr>
      <w:bookmarkStart w:id="769" w:name="__RefHeading___Toc2495713_2142443653"/>
      <w:bookmarkStart w:id="770" w:name="_Toc272"/>
      <w:bookmarkEnd w:id="768"/>
      <w:bookmarkEnd w:id="769"/>
      <w:r>
        <w:rPr>
          <w:rtl w:val="true"/>
        </w:rPr>
        <w:t xml:space="preserve">الأمر الخامس </w:t>
      </w:r>
      <w:r>
        <w:rPr>
          <w:rtl w:val="true"/>
        </w:rPr>
        <w:t xml:space="preserve">: </w:t>
      </w:r>
      <w:r>
        <w:rPr>
          <w:rtl w:val="true"/>
        </w:rPr>
        <w:t>في حكم ما إذا لم يوجد المثل إلاّ بأكثر من ثمن المثل</w:t>
      </w:r>
      <w:bookmarkEnd w:id="770"/>
    </w:p>
    <w:p>
      <w:pPr>
        <w:pStyle w:val="Heading4"/>
        <w:numPr>
          <w:ilvl w:val="3"/>
          <w:numId w:val="1"/>
        </w:numPr>
        <w:rPr/>
      </w:pPr>
      <w:bookmarkStart w:id="771" w:name="__RefHeading___Toc2495715_2142443653"/>
      <w:bookmarkStart w:id="772" w:name="_Toc273"/>
      <w:bookmarkEnd w:id="771"/>
      <w:r>
        <w:rPr>
          <w:rtl w:val="true"/>
        </w:rPr>
        <w:t>صور زيادة قيمة المثل</w:t>
      </w:r>
      <w:bookmarkEnd w:id="772"/>
    </w:p>
    <w:p>
      <w:pPr>
        <w:pStyle w:val="BookText"/>
        <w:rPr/>
      </w:pPr>
      <w:r>
        <w:rPr>
          <w:rFonts w:ascii="Amiri" w:hAnsi="Amiri" w:eastAsia="Amiri" w:cs="Amiri"/>
          <w:color w:val="111111"/>
          <w:sz w:val="28"/>
          <w:sz w:val="28"/>
          <w:szCs w:val="28"/>
          <w:rtl w:val="true"/>
          <w:lang w:bidi="ar-SA"/>
        </w:rPr>
        <w:t xml:space="preserve">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يوجد المثل إلاّ بأكثر من ثمن المثل، ففي وجوب الشراء تردّد</w:t>
      </w:r>
      <w:r>
        <w:rPr>
          <w:rStyle w:val="FootnoteAnchor"/>
          <w:rtl w:val="true"/>
        </w:rPr>
        <w:footnoteReference w:id="114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توسعة دائرة البحث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قيمة المثل عن قيمة التالف يوم التلف،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لزيادة القيمة السوقية، مع عدم تعذّر المثل وندرته، بل مع كثرته زادت القيمة السوقية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لطريان الإعواز عليه، مع كونه مثلياً شائعاً زمان التلف، كما لو عرض على بعض الحبوب إعواز وغلت قيمته، ولكن كان مورد الرغبة، وهذه الصورة أيضاً من الزيادة السوقية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الإعواز مع عدم الرغبة وعدم زيادة القيمة السوقية، لكن المالك لا يرضى إلاّ بزيادة على قيمة المثل</w:t>
      </w:r>
      <w:r>
        <w:rPr>
          <w:rFonts w:eastAsia="Amiri" w:cs="Amiri" w:ascii="Amiri" w:hAnsi="Amiri"/>
          <w:color w:val="111111"/>
          <w:sz w:val="28"/>
          <w:szCs w:val="28"/>
          <w:rtl w:val="true"/>
          <w:lang w:bidi="ar-SA"/>
        </w:rPr>
        <w:t xml:space="preserve">. </w:t>
      </w:r>
      <w:bookmarkStart w:id="773" w:name="pg15195_150904"/>
    </w:p>
    <w:p>
      <w:pPr>
        <w:pStyle w:val="BookText"/>
        <w:rPr/>
      </w:pPr>
      <w:bookmarkEnd w:id="773"/>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الشيء في أصله نادر المثل، وإن وجد له مثل أو مثلان، ففي هذه الصورة،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زيادة القيمة لكثرة الرغبات،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بيع مالكه إلاّ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قد يكون الشيء مغصوباً، وقد يكون مقبوضاً بالبيع الفاسد ونحوه، مع العلم بالفساد، أو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المتعاملان مقدمين على المعاملة العقلائية، غير مباليين بحكم الشرع،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كما إذا أراد المشتري مثلاً التمتّع بالمبيع في الحال، وكان من نيّته الجبران؛ لما يرى من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 نتعرّض لمهمّاتها؛ ليظهر حال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لها لا بدّ من التنبيه على أمر، وهو</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495717_2142443653"/>
      <w:bookmarkStart w:id="775" w:name="_Toc274"/>
      <w:bookmarkEnd w:id="774"/>
      <w:r>
        <w:rPr>
          <w:rtl w:val="true"/>
        </w:rPr>
        <w:t xml:space="preserve">تنبيه </w:t>
      </w:r>
      <w:r>
        <w:rPr>
          <w:rtl w:val="true"/>
        </w:rPr>
        <w:t xml:space="preserve">: </w:t>
      </w:r>
      <w:r>
        <w:rPr>
          <w:rtl w:val="true"/>
        </w:rPr>
        <w:t>في تعارض دليل نفي الضرر مع نفي الحرج</w:t>
      </w:r>
      <w:bookmarkEnd w:id="775"/>
    </w:p>
    <w:p>
      <w:pPr>
        <w:pStyle w:val="BookText"/>
        <w:rPr/>
      </w:pPr>
      <w:r>
        <w:rPr>
          <w:rFonts w:ascii="Amiri" w:hAnsi="Amiri" w:eastAsia="Amiri" w:cs="Amiri"/>
          <w:color w:val="111111"/>
          <w:sz w:val="28"/>
          <w:sz w:val="28"/>
          <w:szCs w:val="28"/>
          <w:rtl w:val="true"/>
          <w:lang w:bidi="ar-SA"/>
        </w:rPr>
        <w:t>إ نّه لا إشكال في حكومة دليل نفي الحرج على الأدلّة الأوّلية، كما أنّه لا إشكال في حكومة دليل نفي الضرر عليها، بناءً على وروده لنفي الأحكام الضررية، فهل يكون لأحد دليلي نفي الحرج والضرر حكومة على الآخر، أم هما متعارضان في مورد اختلافهما؟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يمكن أن يقال لحكومة دليل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دليل نفي الضرر سلب تحقّق الضرر، ولازمه سلب جعل الحكم الضرري، ودليل نفي الحرج متعرّض بدلالته اللفظية لسلب جعله، ولمّا كان الجعل مقدّماً وسبباً لوجود المجعول، يكون الدليل المتعرّض لسلبه متعرّضاً لنفي السبب، وهو بلسانه مقدّم على ما </w:t>
      </w:r>
    </w:p>
    <w:p>
      <w:pPr>
        <w:pStyle w:val="BookText"/>
        <w:rPr/>
      </w:pPr>
      <w:r>
        <w:rPr>
          <w:rFonts w:ascii="Amiri" w:hAnsi="Amiri" w:eastAsia="Amiri" w:cs="Amiri"/>
          <w:color w:val="111111"/>
          <w:sz w:val="28"/>
          <w:sz w:val="28"/>
          <w:szCs w:val="28"/>
          <w:rtl w:val="true"/>
          <w:lang w:bidi="ar-SA"/>
        </w:rPr>
        <w:t>تعرّض لوجود المسبّب أو نفيه، وحاكم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الحرج متعرّض لما لا يتعرّض دليل نفي الضرر له، بل لا يصلح أن يتعرّض له، نظير تعرّض دليل لموضوع دليل آخر؛ توسعةً، أو 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تحكيم دليل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يكون بينهما عموم من وجه، والقاعدة العقلائية فيهما التعارض والتساقط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عقلائياً مقبولاً لدى العرف؛ بحيث لو عرض الدليلان على العقلاء، لا ينقدح في ذهنهم التعارض والتخالف، كدليل نفي الحرج مع الأدلّة الأوّلية؛ لكونه بمنزلة المفسّر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ورد في رواية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يُعرف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بين دليل وجوب الوضوء ودليل نفي الحرج، العموم من وجه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الرواية أنّ تقدّم دليل الحرج عليه أمر عقلائي، يعرفه العقلاء والعرف من كتاب اللّه، لا أنّه أمر تعبّدي، وإن كان إثبات المسح على المرارة تعبّدياً ظاهراً، فما يعرف من كتاب اللّه هو عدم وجوب المسح على البشرة بدليل نفي الحرج، وهو شاهد على أنّ الجمع والتقديم عقلائي، مع أنّه لا يحتاج إلى الشاهد، ودليل نفي الحرج والضرر ليسا بهذه المثابة، ولا يساعد </w:t>
      </w:r>
    </w:p>
    <w:p>
      <w:pPr>
        <w:pStyle w:val="BookText"/>
        <w:rPr/>
      </w:pPr>
      <w:r>
        <w:rPr>
          <w:rFonts w:ascii="Amiri" w:hAnsi="Amiri" w:eastAsia="Amiri" w:cs="Amiri"/>
          <w:color w:val="111111"/>
          <w:sz w:val="28"/>
          <w:sz w:val="28"/>
          <w:szCs w:val="28"/>
          <w:rtl w:val="true"/>
          <w:lang w:bidi="ar-SA"/>
        </w:rPr>
        <w:t>العرف على التقديم والتحكيم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وجه التحكيم غير مرضيّ في محيط العقلاء، ولا بدّ فيه من المقبولية العقلائية، وفرق بين المقام، وبين الدليل المتعرّض لموضوع دليل آخر توسعةً وتضييقاً،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مثلاً، بالنسبة إلى أدلّة الشكوك</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قيل في ضابط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تعرّض أحد الدليلين لما لا يتعرّضه الآخر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 بإطلاقه، بل لا مناص فيها عن مقبوليتها لدى العقلاء، وإلاّ فدليل الضرر أيضاً متعرّض لما لا يتعرّضه دليل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حكومة أحد الدليلين على الآخر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قلنا بحكومة دليل نفي الحرج على نفي الضرر، فإن كان في مورد من الصور المتقدّمة إيجاب أداء المثل حرجياً وضررياً، ومنع المالك عن المثل حرجياً لا ضررياً، يقع التعارض بين مصداقين من دليل الحرج، فيتمسّك بدليل نفي الضرر، فيحكم على الأدلّة الأوّلية، وإلاّ يقع التعارض بين دليل نفي الضرر والحرج من جانب، ودليل نفي الحرج من جانب آخر، وبعد السقوط تبقى الأدلّة الأوّلية بلا معارض، ومنه يظهر الحال في الصور جميعها</w:t>
      </w:r>
      <w:r>
        <w:rPr>
          <w:rFonts w:eastAsia="Amiri" w:cs="Amiri" w:ascii="Amiri" w:hAnsi="Amiri"/>
          <w:color w:val="111111"/>
          <w:sz w:val="28"/>
          <w:szCs w:val="28"/>
          <w:rtl w:val="true"/>
          <w:lang w:bidi="ar-SA"/>
        </w:rPr>
        <w:t xml:space="preserve">. </w:t>
      </w:r>
      <w:bookmarkStart w:id="776" w:name="pg15195_150907"/>
    </w:p>
    <w:p>
      <w:pPr>
        <w:pStyle w:val="BookText"/>
        <w:rPr/>
      </w:pPr>
      <w:bookmarkEnd w:id="776"/>
      <w:r>
        <w:rPr>
          <w:rFonts w:ascii="Amiri" w:hAnsi="Amiri" w:eastAsia="Amiri" w:cs="Amiri"/>
          <w:color w:val="111111"/>
          <w:sz w:val="28"/>
          <w:sz w:val="28"/>
          <w:szCs w:val="28"/>
          <w:rtl w:val="true"/>
          <w:lang w:bidi="ar-SA"/>
        </w:rPr>
        <w:t>نعم، في مورد الغصب لمّا كانت أدلّة نفي الحرج والضرر منصرفة عنه، يحكم بوجوب أداء المثل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مسلك القوم؛ من حكومة دليل نفي الضرر على أدلّة الأحكام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بناءً على ما سلكناه؛ من أنّ دليل نفيه نهي سلطاني سياسي أجنبيّ عن نفي الأحكام الضررية</w:t>
      </w:r>
      <w:r>
        <w:rPr>
          <w:rStyle w:val="FootnoteAnchor"/>
          <w:rtl w:val="true"/>
        </w:rPr>
        <w:footnoteReference w:id="1148"/>
      </w:r>
      <w:r>
        <w:rPr>
          <w:rFonts w:ascii="Amiri" w:hAnsi="Amiri" w:eastAsia="Amiri" w:cs="Amiri"/>
          <w:color w:val="111111"/>
          <w:sz w:val="28"/>
          <w:sz w:val="28"/>
          <w:szCs w:val="28"/>
          <w:rtl w:val="true"/>
          <w:lang w:bidi="ar-SA"/>
        </w:rPr>
        <w:t>، فلزوم الضرر لا يوجب 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منه الحرج يرفع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2495719_2142443653"/>
      <w:bookmarkStart w:id="778" w:name="_Toc275"/>
      <w:bookmarkEnd w:id="777"/>
      <w:r>
        <w:rPr>
          <w:rtl w:val="true"/>
        </w:rPr>
        <w:t>وجوب شراء المثل وإن زادت قيمته السوقية</w:t>
      </w:r>
      <w:bookmarkEnd w:id="778"/>
    </w:p>
    <w:p>
      <w:pPr>
        <w:pStyle w:val="BookText"/>
        <w:rPr/>
      </w:pPr>
      <w:r>
        <w:rPr>
          <w:rFonts w:ascii="Amiri" w:hAnsi="Amiri" w:eastAsia="Amiri" w:cs="Amiri"/>
          <w:color w:val="111111"/>
          <w:sz w:val="28"/>
          <w:sz w:val="28"/>
          <w:szCs w:val="28"/>
          <w:rtl w:val="true"/>
          <w:lang w:bidi="ar-SA"/>
        </w:rPr>
        <w:t>أمّا الصورة الاُولى والثانية، ممّا تكون الزيادة بالقيمة السوقية، فلا إشكال</w:t>
      </w:r>
    </w:p>
    <w:p>
      <w:pPr>
        <w:pStyle w:val="BookText"/>
        <w:rPr/>
      </w:pPr>
      <w:r>
        <w:rPr>
          <w:rFonts w:ascii="Amiri" w:hAnsi="Amiri" w:eastAsia="Amiri" w:cs="Amiri"/>
          <w:color w:val="111111"/>
          <w:sz w:val="28"/>
          <w:sz w:val="28"/>
          <w:szCs w:val="28"/>
          <w:rtl w:val="true"/>
          <w:lang w:bidi="ar-SA"/>
        </w:rPr>
        <w:t>في وجوب الشراء؛ لأدلّة الضمان، وإطلاق دليل السلطنة</w:t>
      </w:r>
      <w:r>
        <w:rPr>
          <w:rStyle w:val="FootnoteAnchor"/>
          <w:rtl w:val="true"/>
        </w:rPr>
        <w:footnoteReference w:id="1149"/>
      </w:r>
      <w:r>
        <w:rPr>
          <w:rFonts w:ascii="Amiri" w:hAnsi="Amiri" w:eastAsia="Amiri" w:cs="Amiri"/>
          <w:color w:val="111111"/>
          <w:sz w:val="28"/>
          <w:sz w:val="28"/>
          <w:szCs w:val="28"/>
          <w:rtl w:val="true"/>
          <w:lang w:bidi="ar-SA"/>
        </w:rPr>
        <w:t>، وعقلائية الحكم بعد فرض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شيخ الطائفة قدّس سرّه عدم الخلاف في الغصب</w:t>
      </w:r>
      <w:r>
        <w:rPr>
          <w:rStyle w:val="FootnoteAnchor"/>
          <w:rtl w:val="true"/>
        </w:rPr>
        <w:footnoteReference w:id="1150"/>
      </w:r>
      <w:r>
        <w:rPr>
          <w:rFonts w:ascii="Amiri" w:hAnsi="Amiri" w:eastAsia="Amiri" w:cs="Amiri"/>
          <w:color w:val="111111"/>
          <w:sz w:val="28"/>
          <w:sz w:val="28"/>
          <w:szCs w:val="28"/>
          <w:rtl w:val="true"/>
          <w:lang w:bidi="ar-SA"/>
        </w:rPr>
        <w:t>فلا يستفاد منها حكم المقام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 الفاسد يجري عند المحصّلين مجرى الغصب في </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Style w:val="FootnoteAnchor"/>
          <w:rtl w:val="true"/>
        </w:rPr>
        <w:footnoteReference w:id="1151"/>
      </w:r>
      <w:r>
        <w:rPr>
          <w:rFonts w:ascii="Amiri" w:hAnsi="Amiri" w:eastAsia="Amiri" w:cs="Amiri"/>
          <w:color w:val="111111"/>
          <w:sz w:val="28"/>
          <w:sz w:val="28"/>
          <w:szCs w:val="28"/>
          <w:rtl w:val="true"/>
          <w:lang w:bidi="ar-SA"/>
        </w:rPr>
        <w:t>، ليس دعوى الشهرة، ولا يظهر منه إلاّ أنّه مثل الغصب في أصل الضمان، لا في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الأدلّة دليل نفي الضرر؛ لعدم ضررية اشتراء الشيء بثمن مثله، وجبران خسارة مال الغير وإن كان ضررياً فيما إذا تلف عنده، لكن لا يرفع بدليل نفيه بالضرورة؛ لأنّه ضرري بطبعه، ولمعارضته بضرر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عدم النفع لا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من شرائه الحرج عليه، ينفى حكمه بدليله، إلاّ أن يلزم من منع المالك حرج عليه، فيتعارض الحرجان، ويبقى دليل لزوم أداء المثل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الحرج بما أنّه امتناني، لا يشمل ما لو كان الأمر على خلاف الامتنان بالنسبة إلى الطرف، فلا يجري في المقام، وإن لم يلزم حرج على المالك؛ فإنّ منعه خلاف الامتنان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اشتهر بينهم في أمثال المقام؛ من أنّ دليل الحرج، والرفع، والضرر، ونحوها ممّا تكون أحكاماً امتنانية لا إطلاق فيها إذا كان في موردٍ خلاف الامتنان</w:t>
      </w:r>
      <w:r>
        <w:rPr>
          <w:rStyle w:val="FootnoteAnchor"/>
          <w:rtl w:val="true"/>
        </w:rPr>
        <w:footnoteReference w:id="1152"/>
      </w:r>
      <w:r>
        <w:rPr>
          <w:rFonts w:ascii="Amiri" w:hAnsi="Amiri" w:eastAsia="Amiri" w:cs="Amiri"/>
          <w:color w:val="111111"/>
          <w:sz w:val="28"/>
          <w:sz w:val="28"/>
          <w:szCs w:val="28"/>
          <w:rtl w:val="true"/>
          <w:lang w:bidi="ar-SA"/>
        </w:rPr>
        <w:t>، ولهذا قالوا بصحّة الصوم الضرري أو الحرجي إذا أقدم المكلّف عليه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الموارد التي صار الخلط فيها بين الأحكام القانونية والشخصية سبباً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الامتنانية إنّما هي امتنانية بحسب القانون الكلّي، ولا يلاحظ فيه آحاد المكلّفين، فإذا كان في جعل قانون امتنان على الاُمّة، كان الحكم امتنانياً، وإن فرض مصادمته في موردٍ لشخص أو أشخاص، وكونه موجباً لحرمانهم عن حقّ أو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المصالح والمفاسد في الأحكام على رأي العدلية ليست بمعنى كون الحكم بالنسبة إلى كلّ أحد ذا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الأحكام السياسية والجزائية، فإنّها أحكام امتنانية على الاُمّة، وإن كان فيها ضرر وحرج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الرفع امتناني، مع أنّ جواز أكل مال الغير عند الاضطرار بلا إذن صاحبه أو مع نهيه، خلاف المنّة بالنسبة إليه، وهذا لا ينافي الامتنان بحسب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الأحكام القانونية والشخصية موجب لكثير من الاشتباهات،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رفع اليد عن إطلاق الأدلّة، لا يصحّ إلاّ مع إحراز الحجّة، ومع احتمال كون الامتنان في تلك الأدلّة نكتة التشريع، لا علّة الحكم، لا يصحّ رفع اليد عن الإطلاق، بل مع وجود الإطلاق واحتمال الانصراف لا يجوز رفع اليد عنه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الامتنان في تلك الأدلّة إنّما هو بالنسبة إلى صاحب العناوين المذكورة </w:t>
      </w:r>
      <w:bookmarkStart w:id="779" w:name="pg15195_150910"/>
    </w:p>
    <w:p>
      <w:pPr>
        <w:pStyle w:val="BookText"/>
        <w:rPr/>
      </w:pPr>
      <w:bookmarkEnd w:id="779"/>
      <w:r>
        <w:rPr>
          <w:rFonts w:ascii="Amiri" w:hAnsi="Amiri" w:eastAsia="Amiri" w:cs="Amiri"/>
          <w:color w:val="111111"/>
          <w:sz w:val="28"/>
          <w:sz w:val="28"/>
          <w:szCs w:val="28"/>
          <w:rtl w:val="true"/>
          <w:lang w:bidi="ar-SA"/>
        </w:rPr>
        <w:t>لا غيرهم، بلا إشكال وشبهة، ففي حديث الرفع إنّما يكون الامتنان على غير العالمين، وعلى المضطرّين، وغيرهما، لا على مطلق الاُمّة، فقوله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منّة على من لا يعلم، لا على العالم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منّة على من وقع في الحرج، لا على مطلق الاُمّة،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لو كان الحكم على خلاف الامتنان بالنسبة إلى صاحب العناوين،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مورداً لا يكون فيه الامتنان، وأمّا إذا كان بالنسبة إليه امتنانياً لا بالنسبة إلى غيره، فلا محيص إلاّ من الأخذ بالإطلاق، فتدبّر حتّى لا تتوهّم التناقض بين صدر كلامنا وذيله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2495721_2142443653"/>
      <w:bookmarkStart w:id="781" w:name="_Toc276"/>
      <w:bookmarkEnd w:id="780"/>
      <w:r>
        <w:rPr>
          <w:rtl w:val="true"/>
        </w:rPr>
        <w:t>عدم لزوم شراء المثل بأكثر من ثمنه عند الإعواز</w:t>
      </w:r>
      <w:bookmarkEnd w:id="781"/>
    </w:p>
    <w:p>
      <w:p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طرأ الإعواز على المثلي، وكان المثل عند من لا يبيعه إلاّ بأزيد من ثمن المثل زيادة يعتدّ بها، فالظاهر عدم وجوب الشراء على مسلكهم لأنّ اشتراء الشيء بأزيد من ثمنه ضرر عرفاً، منفيّ بدليله، وهذه الزيادة زائدة على طبع الخسارة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الأعظم قدّس سرّه مع اعترافه بلزوم الضرر عرفاً،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الأقوى مع ذلك وجوب الشراء؛ 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الخلاف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لعين ما ذكر في الصورة الاُولى</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الغصب، ولا تعرّض له للمقام إلاّ بضمّ قول الحلّي إليه، وقد عرفت ما فيه</w:t>
      </w:r>
      <w:r>
        <w:rPr>
          <w:rStyle w:val="FootnoteAnchor"/>
          <w:rtl w:val="true"/>
        </w:rPr>
        <w:footnoteReference w:id="1157"/>
      </w:r>
      <w:r>
        <w:rPr>
          <w:rFonts w:ascii="Amiri" w:hAnsi="Amiri" w:eastAsia="Amiri" w:cs="Amiri"/>
          <w:color w:val="111111"/>
          <w:sz w:val="28"/>
          <w:sz w:val="28"/>
          <w:szCs w:val="28"/>
          <w:rtl w:val="true"/>
          <w:lang w:bidi="ar-SA"/>
        </w:rPr>
        <w:t>، والتمسّك بأدلّة الضمان لا وجه له، بعد حكومة دليل نفي الضرر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تدفع الحكومة؛ بدعوى عدم لزوم الضرر في الدفع، ولزومه في الشراء لا يوجب رفع وجوبه؛ لكونه مقدّمة، ولزوم الضرر في المقدّمة خارج عن دليل الضرر</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هو ادّعاء عدم وجودهما في حومة التشريع، ومع إيجاب ذي المقدّمة الذي يلزم من مقدّماته الضرر، لا تصحّ الدعوى المذكورة، فنفي الضرر بعد ما لم يكن متعلّقاً بنفس الأحكام لعدم معنىً لضرريتها، لا محالة يرجع إلى أنّه لا يلزم من قبلها ضرر، والمقدّمة الوجودية الضررية يكون تحمّل ضررها من قبل حكم الشارع، فيشملها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القابض أقدم على الضرر، فلا يشمله دليله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الإقدام حتّى على الضمان، غير واقع في عمل المتعاملين اللذين أقدما على المعاملة العقلائية حتّى مع علمهما بفساد المعاملة، فضلاً عن الإقدام على الضرر، بل هما أقدما على كون كلّ عوض مقابل عوضه لا غير</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مع كون المتعامل معتنياً بالدين مع علمه بالفساد، يتّجه الضمان والإقدام؛ بمعنى أنّ العالم أراد أخذ مال غيره بصورة إيقاع المعاملة، لا المعاملة الحقيقية، لكنّه غاصب يؤخذ بأشقّ الأحوال، وخارج عن مورد الأخذ بالبيع الفاسد المتعارف بين الناس،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القبض إنّما يكون إقداماً على ضمان المثل وإن كان بأضعاف قيمته، إذا كان حكمه في الشريعة ذلك، فإذا علّل كون الحكم هو ذلك بالإقدام، كان دوراً</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الضمان تقتضي الضمان كائناً ما كان، من غير توقّفه على شيء، وإنّما يوجب الإقدام عدم شمول نفي الضرر لمورده، فثبوت حكم الضمان كائناً ما كان، لا يتوقّف على الإقدام، بل سلب الضمان بدليل نفي الضرر موقوف على عدمه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الشراء في صورة عدم وجوده إلاّ عند من لا يبيعه إلاّ </w:t>
      </w:r>
    </w:p>
    <w:p>
      <w:pPr>
        <w:pStyle w:val="BookText"/>
        <w:rPr/>
      </w:pPr>
      <w:r>
        <w:rPr>
          <w:rFonts w:ascii="Amiri" w:hAnsi="Amiri" w:eastAsia="Amiri" w:cs="Amiri"/>
          <w:color w:val="111111"/>
          <w:sz w:val="28"/>
          <w:sz w:val="28"/>
          <w:szCs w:val="28"/>
          <w:rtl w:val="true"/>
          <w:lang w:bidi="ar-SA"/>
        </w:rPr>
        <w:t>بثمن غالٍ، في غاية الإشكال، بل لا وجه له؛ لأنّ الشيء إذا لم يكن مثله كثيراً مبذولاً فهو قيمي، من غير فرق بين التعذّر الطارئ والبدوي؛ أي الذي أوجب كون الشيء قيمياً من أوّل الأمر، هو الذي أوجب سقوط المثل عن الذمّة ما دام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عند من لا يبيعه إلاّ بأضعاف قيمته في حكم التعذّر، ومقتضى قاعدة الضرر عدم وجوب شرائه على الضامن</w:t>
      </w:r>
      <w:r>
        <w:rPr>
          <w:rStyle w:val="FootnoteAnchor"/>
          <w:rtl w:val="true"/>
        </w:rPr>
        <w:footnoteReference w:id="11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قد يكون قيمياً لدى العقلاء، وهو ما لا يكون لماهيته مثل بحسب التعارف، ولو وجد له مثل أو مثلان اتّفاقاً لا يعدّ مثلياً، كالحيوانات، والأواني العتيقة التي توجد في الحفريات، وقد يكون بحسب طبعه وماهيته ذا مثل كالحبوب، فالحيوانات قيميات وإن وجد لها مثل ندرةً، والحبوب مثليات وإن طرأ عليها إعواز أحياناً، ومجرّد الإعواز لا يوجب التبديل بالقيمية، سيّما إذا طرأ عليها بعد الإتلاف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المثل ما دام التعذّر، إنّ الشيء إذا صار نادر الوجود تبدّل بالقيمة في الذمّة، وإذا صار كثير الوجود تبدّل بالمثل،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في المثليات بالمثل، أعوز أم لا، غاية الأمر أنّه عند الإعواز والتعذّر، يكون أداء القيمة مع المطالبة نحو أداء للمثل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مع دعوى سقوط المثل عن الذمّة في ظرف التعذّر، لا وجه للتشبّث بدليل نفي الضرر؛ لأنّ التمسّك به فرع البناء على أنّ المثل على عهدته، ووجب شراؤه، فيرفع بدليله</w:t>
      </w:r>
      <w:r>
        <w:rPr>
          <w:rFonts w:eastAsia="Amiri" w:cs="Amiri" w:ascii="Amiri" w:hAnsi="Amiri"/>
          <w:color w:val="111111"/>
          <w:sz w:val="28"/>
          <w:szCs w:val="28"/>
          <w:rtl w:val="true"/>
          <w:lang w:bidi="ar-SA"/>
        </w:rPr>
        <w:t xml:space="preserve">. </w:t>
      </w:r>
      <w:bookmarkStart w:id="782" w:name="pg15195_150914"/>
    </w:p>
    <w:p>
      <w:pPr>
        <w:pStyle w:val="Heading4"/>
        <w:numPr>
          <w:ilvl w:val="3"/>
          <w:numId w:val="1"/>
        </w:numPr>
        <w:rPr/>
      </w:pPr>
      <w:bookmarkStart w:id="783" w:name="__RefHeading___Toc2495723_2142443653"/>
      <w:bookmarkStart w:id="784" w:name="_Toc277"/>
      <w:bookmarkEnd w:id="782"/>
      <w:bookmarkEnd w:id="783"/>
      <w:r>
        <w:rPr>
          <w:rtl w:val="true"/>
        </w:rPr>
        <w:t xml:space="preserve">تذنيب فيه مسألتان </w:t>
      </w:r>
      <w:r>
        <w:rPr>
          <w:rtl w:val="true"/>
        </w:rPr>
        <w:t>:</w:t>
      </w:r>
      <w:bookmarkEnd w:id="784"/>
    </w:p>
    <w:p>
      <w:pPr>
        <w:pStyle w:val="Heading5"/>
        <w:numPr>
          <w:ilvl w:val="4"/>
          <w:numId w:val="1"/>
        </w:numPr>
        <w:rPr/>
      </w:pPr>
      <w:bookmarkStart w:id="785" w:name="__RefHeading___Toc2495725_2142443653"/>
      <w:bookmarkStart w:id="786" w:name="_Toc278"/>
      <w:bookmarkEnd w:id="785"/>
      <w:r>
        <w:rPr>
          <w:rtl w:val="true"/>
        </w:rPr>
        <w:t xml:space="preserve">الاُولى </w:t>
      </w:r>
      <w:r>
        <w:rPr>
          <w:rtl w:val="true"/>
        </w:rPr>
        <w:t xml:space="preserve">: </w:t>
      </w:r>
      <w:r>
        <w:rPr>
          <w:rtl w:val="true"/>
        </w:rPr>
        <w:t>جواز المطالبة بالمثل في أيّ مكان مع الإمكان</w:t>
      </w:r>
      <w:bookmarkEnd w:id="786"/>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جواز مطالبة المالك بالمثل بين كونه في مكان التلف، أو غيره</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في جواز مطالبة المالك ماله من العين أو المثل، في أيّ مكان كان؛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العين أو المثل موجوداً في ذلك المكان؛ إذ غايته أنّ معه ينتقل إلى القيمة</w:t>
      </w:r>
      <w:r>
        <w:rPr>
          <w:rFonts w:eastAsia="Amiri" w:cs="Amiri" w:ascii="Amiri" w:hAnsi="Amiri"/>
          <w:color w:val="111111"/>
          <w:sz w:val="28"/>
          <w:szCs w:val="28"/>
          <w:rtl w:val="true"/>
          <w:lang w:bidi="ar-SA"/>
        </w:rPr>
        <w:t>»</w:t>
      </w:r>
      <w:r>
        <w:rPr>
          <w:rStyle w:val="FootnoteAnchor"/>
          <w:rtl w:val="true"/>
        </w:rPr>
        <w:footnoteReference w:id="11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مطالبته بالعين أو المثل مع إمكان أدائهما، فلا إشكال فيه، ومع عدم إمكانه محلّ إشكال، ولا تبعد استفادة عدم الجواز من بعض ما دلّ على وجوب إنظار المعسر</w:t>
      </w:r>
      <w:r>
        <w:rPr>
          <w:rStyle w:val="FootnoteAnchor"/>
          <w:rtl w:val="true"/>
        </w:rPr>
        <w:footnoteReference w:id="1166"/>
      </w:r>
      <w:r>
        <w:rPr>
          <w:rFonts w:ascii="Amiri" w:hAnsi="Amiri" w:eastAsia="Amiri" w:cs="Amiri"/>
          <w:color w:val="111111"/>
          <w:sz w:val="28"/>
          <w:sz w:val="28"/>
          <w:szCs w:val="28"/>
          <w:rtl w:val="true"/>
          <w:lang w:bidi="ar-SA"/>
        </w:rPr>
        <w:t>بإ لغاء الخصوصية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في إمكان الجدّ في مطالبة ما لا يمكن أداؤه فعلاً كلاماً؛ لأنّ المطالبة الجدّية لا تعقل إلاّ مع حصول مبادئها، ومن المبادئ احتمال انبعاث المطالب منه ببعثه ومطالبته، ومع العلم بعدم إمكان انبعاثه، لا يعقل تحقّق الجدّ، وهو </w:t>
      </w:r>
    </w:p>
    <w:p>
      <w:pPr>
        <w:pStyle w:val="BookText"/>
        <w:rPr/>
      </w:pPr>
      <w:r>
        <w:rPr>
          <w:rFonts w:ascii="Amiri" w:hAnsi="Amiri" w:eastAsia="Amiri" w:cs="Amiri"/>
          <w:color w:val="111111"/>
          <w:sz w:val="28"/>
          <w:sz w:val="28"/>
          <w:szCs w:val="28"/>
          <w:rtl w:val="true"/>
          <w:lang w:bidi="ar-SA"/>
        </w:rPr>
        <w:t>كالأمر بأمر غير معقول مع العلم بعدم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الإنشاء قليل المؤونة</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لو كان المراد به أنّ التلفّظ بألفاظ الإنشاء كذلك، فهو ليس بإنشاء، وإن كان المراد أنّ الإنشاء جدّاً كذلك، فهو ممنوع، بل هو كسائر الأفعال الاختيارية منوط بمبادئ، لا يعقل تحقّقه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في نفس الإنشاء في المقام؛ لأنّه به ينتقل الشيء إلى القيمة، نظير ما يقال في باب قصد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تكون المصلحة في نفس القصد، لا في المقصود</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وفي باب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المصلحة في نفسه، لا في المأمور به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إنشاء المطالبة جدّاً بمعنى إرادة حصول المطلوب من الطرف جدّاً، لا يجتمع مع عدم إرادة إيجاده، حتّى تكون المصلحة في الإنشاء لا المنشأ، وكان المراد حصول الإنشاء لا المنشأ، وهذا أمر جارٍ في نظائر المقام؛ ممّا ذكر، أو لم يذكر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تكون المصلحة في الإنشاء الجدّي لا المنشأ، لكن يصير ذلك علّة لإرادة المنشأ جدّاً؛ لحصول المصلحة الكامنة في الإنشاء، فيكون المنشأ مطلوباً جدّاً بالعرض وثانياً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مع تعذّر المثل مطالبة قيمته، لكن هو خلاف ظاهر الطباطبائي قدّس سرّه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المطالبة جدّاً لمصلحة فيها على فرض صحّتها، لا توجب الانتقال إلى القيمة، مع الغضّ عمّا يأتي؛ لأنّ ما يوجب ذلك هو مطالبة العين جدّاً، بمعنى البعث إليها على أن تكون هي المطلوبة، لا نفس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السيّد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معه ينتقل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في العين، سواء أراد بما ذكر أنّه مع عدمها في ذلك المكان تنتقل إليها مطلقاً، أم أراد أنّه مع عدمها فيه والمطالبة تنتقل إليها؛ لعدم الدليل عليه، فلا دليل السلطنة يقتضي ذلك، ولا دليل اليد، حتّى بناءً على أنّ العين على العهدة إلى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العين عهدة تشخّصها، ونوعيتها، وماليتها، ومع تعذّر الشخص والمثل يبقى تعهّد القيمة</w:t>
      </w:r>
      <w:r>
        <w:rPr>
          <w:rStyle w:val="FootnoteAnchor"/>
          <w:rtl w:val="true"/>
        </w:rPr>
        <w:footnoteReference w:id="1170"/>
      </w:r>
      <w:r>
        <w:rPr>
          <w:rFonts w:ascii="Amiri" w:hAnsi="Amiri" w:eastAsia="Amiri" w:cs="Amiri"/>
          <w:color w:val="111111"/>
          <w:sz w:val="28"/>
          <w:sz w:val="28"/>
          <w:szCs w:val="28"/>
          <w:rtl w:val="true"/>
          <w:lang w:bidi="ar-SA"/>
        </w:rPr>
        <w:t>، ومقتضى دليل السلطنة جواز المطالبة عند فقدها في ذلك المكان بالمثل أو القيمة، ومع عدم المثل تبقى القيمة على عهدته، وله المطالبة بها ورفع اليد عن شخصها ونوعها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ذلك لا يصحّح كلامه؛ لأنّه مدّعٍ بأنّ التعذّر يوجب الانتقال إلى القيمة</w:t>
      </w:r>
      <w:r>
        <w:rPr>
          <w:rStyle w:val="FootnoteAnchor"/>
          <w:rtl w:val="true"/>
        </w:rPr>
        <w:footnoteReference w:id="1171"/>
      </w:r>
      <w:r>
        <w:rPr>
          <w:rFonts w:ascii="Amiri" w:hAnsi="Amiri" w:eastAsia="Amiri" w:cs="Amiri"/>
          <w:color w:val="111111"/>
          <w:sz w:val="28"/>
          <w:sz w:val="28"/>
          <w:szCs w:val="28"/>
          <w:rtl w:val="true"/>
          <w:lang w:bidi="ar-SA"/>
        </w:rPr>
        <w:t xml:space="preserve">، وهو غير ما ذكر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العهدة غير مشغولة بالعين، ونوعها، وماليتها، مستقلّة؛ بحيث يكون له إسقاط البعض، وإبقاء الآخر، وإلاّ كان له مع وجود العين وحضورها، إسقاط شخصيتها، ومثليتها الملازمة </w:t>
      </w:r>
      <w:bookmarkStart w:id="787" w:name="pg15195_150917"/>
    </w:p>
    <w:p>
      <w:pPr>
        <w:pStyle w:val="BookText"/>
        <w:rPr/>
      </w:pPr>
      <w:bookmarkEnd w:id="787"/>
      <w:r>
        <w:rPr>
          <w:rFonts w:ascii="Amiri" w:hAnsi="Amiri" w:eastAsia="Amiri" w:cs="Amiri"/>
          <w:color w:val="111111"/>
          <w:sz w:val="28"/>
          <w:sz w:val="28"/>
          <w:szCs w:val="28"/>
          <w:rtl w:val="true"/>
          <w:lang w:bidi="ar-SA"/>
        </w:rPr>
        <w:t>للشخصية، ومطالبة المثل في غير مورد الشخص، وكذا إسقاط المثل، والشخص، والقيمة الملازمة لهما، ومطالبة القيمة في غير العين،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دليل اليد إلاّ عهدة نفس العين لا غير، والجهات الاُخر مندكّة فيها، فلا يقتضي إلاّ عهدة واحدة لأمرٍ ذي شؤون، فلا وجه للانتقال إلى القيمة، فلو أمكن للقابض إحضار العين بلا حرج، يجب عليه، وإلاّ فلا، ويجب على المالك الصبر إلى زمان إمكانه، إلاّ أن يكون غاصباً، فيجب عليه الإحضار ولو مع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تلفها واستقرار الضمان بالمثل، فمجرّد عدم وجوده في بلد المطالبة، لا يوجب التبديل إلى القيمة، بل مع التعذّر أيضاً لا دليل على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التعذّر العرفي يكون الأداء بالقيمة نحو أداء للمثل، وهو غير الانتقال إلى القيمة قهراً</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2495727_2142443653"/>
      <w:bookmarkStart w:id="789" w:name="_Toc279"/>
      <w:bookmarkEnd w:id="788"/>
      <w:r>
        <w:rPr>
          <w:rtl w:val="true"/>
        </w:rPr>
        <w:t xml:space="preserve">الثانية </w:t>
      </w:r>
      <w:r>
        <w:rPr>
          <w:rtl w:val="true"/>
        </w:rPr>
        <w:t xml:space="preserve">: </w:t>
      </w:r>
      <w:r>
        <w:rPr>
          <w:rtl w:val="true"/>
        </w:rPr>
        <w:t>مدار مكان مطالبة المثل</w:t>
      </w:r>
      <w:bookmarkEnd w:id="789"/>
    </w:p>
    <w:p>
      <w:pPr>
        <w:pStyle w:val="BookText"/>
        <w:rPr/>
      </w:pPr>
      <w:r>
        <w:rPr>
          <w:rFonts w:ascii="Amiri" w:hAnsi="Amiri" w:eastAsia="Amiri" w:cs="Amiri"/>
          <w:color w:val="111111"/>
          <w:sz w:val="28"/>
          <w:sz w:val="28"/>
          <w:szCs w:val="28"/>
          <w:rtl w:val="true"/>
          <w:lang w:bidi="ar-SA"/>
        </w:rPr>
        <w:t>هل المدار في مطالبة المثل على مكان الغصب والاستيلاء، أو مكان التلف، أو مكان المطالبة، ولو مع اختلاف القيم فيها؟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 الأعظم قدّس سرّه إلى أنّ للمالك المطالبة، ولو كانت قيمته في مكان المطالبة أزيد منها في مكان التلف</w:t>
      </w:r>
      <w:r>
        <w:rPr>
          <w:rStyle w:val="FootnoteAnchor"/>
          <w:rtl w:val="true"/>
        </w:rPr>
        <w:footnoteReference w:id="1172"/>
      </w:r>
      <w:r>
        <w:rPr>
          <w:rFonts w:ascii="IRNazanin" w:hAnsi="IRNazanin" w:eastAsia="IRNazanin"/>
          <w:color w:val="111111"/>
          <w:sz w:val="28"/>
          <w:sz w:val="28"/>
          <w:szCs w:val="28"/>
          <w:rtl w:val="true"/>
          <w:lang w:bidi="fa-IR"/>
        </w:rPr>
        <w:t>، وفاقاً لجمع</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يقتضيه عدل الإسلام، والأدلّة، واُصول المذهب</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وعن ظاهر شيخ الطائفة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المثل على بلد الغصب</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على مكان وجود العين في يده إلى زمان التلف، فللمالك مطالبتها في أيّ مكان نقلها إليه، فلو أدارها في البلدان، له إلزامه بالردّ إلى كلّ واحد منها؛ لأنّ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اُريد بقاء مالي في ذلك البلد الذي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إلزامه بالنقل إلى مكان لم يصل إليه، وإن كان المالك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إلى المثل، له المطالبة به في جميع الأمكنة التي وصلت العين إليها إلى زمان التلف، ومع التعذّر، له قيمة المثل في تلك الأمكنة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الضمان؛ لأنّ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المغصوب مردود</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11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ونحو ذلك، وجوب الردّ والدفع في مكان ذلك المال</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العين الموجودة، فلا دليل على لزوم ردّ العين إلى كلّ مكان وصلت إليه، وإرادة المالك بقاء ماله في مكان لا يلزم تبعيتها، ومثل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المغصوب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وجوب ردّه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الإيصال إلى كلّ مكان وصل إليه، من غرائب الدعاوي، ولو فرض انصراف فهو بالنسبة إلى مكان الغصب، وهو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الفرق بين الأشياء التي تتعلّق الرغبات العقلائية بوجودها في مكان الغصب، أو كان لردّها إلى مكانه مؤونة أو مشقّة، فأراد الدافع ردّها إليه في غيره، والظاهر أنّ للمالك الامتناع عنه، ومطالبة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يكون كذلك، نحو خاتم غصب منه في مكان، وأراد ردّه في مكان آخر، لا تختلف الحال فيهما، فالظاهر وجوب قبوله، وعدم لزوم ردّه إلى مكان الغصب، كما أنّ للمالك مطالبته في ذلك المكان، وسيأتي الوجه فيه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دليل السلطنة تسلّط المالك على إبقاء العين في أيّ مكان وصلت إليه، ومع نقلها منه للمالك أن يطالبه بالإرجاع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دليلها ليس إلاّ عدم جواز التصرّف في سلطانه، وعدم جواز مزاحمته فيه زائداً على سلطانه في مطلق التصرّفات، فلا يجوز للغير نقل ماله من مكان إلى مكان، وأمّا إرجاعه إلى كلّ مكان أداره فيه، فلا يقتضيه دليل السلطنة؛ إذ هي سلطنة على الغير، لا على المال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تلف العين، وتعلّق المثل على الذمّة، فلا دليل على لزوم أدائه في كلّ </w:t>
      </w:r>
    </w:p>
    <w:p>
      <w:pPr>
        <w:pStyle w:val="BookText"/>
        <w:rPr/>
      </w:pPr>
      <w:r>
        <w:rPr>
          <w:rFonts w:ascii="Amiri" w:hAnsi="Amiri" w:eastAsia="Amiri" w:cs="Amiri"/>
          <w:color w:val="111111"/>
          <w:sz w:val="28"/>
          <w:sz w:val="28"/>
          <w:szCs w:val="28"/>
          <w:rtl w:val="true"/>
          <w:lang w:bidi="ar-SA"/>
        </w:rPr>
        <w:t>مكان دارت العين فيه، والانصراف ممنوع، ولو فرض انصراف، يكون إلى بلد الاستيلاء والغصب، أو بلد التلف، لا إلى كلّ بلد وصلت العين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مفاد دليل الضمان من هذه الحيثية، حتّى يتّضح الأمر من هذه الجهة ومن بعض جهات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يحتمل فيه بحسب التصوّر، أن يكون المراد بالموصول،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 المأخوذ بهويته الشخصية، وتكون العهدة مشغولة بها، لا الأوصاف والإضافات التي لا دخالة لها في اختلاف الشخصية، سواء كانت موجبة لاختلاف الرغبات والقيم أم لا، فمن غصب عين مال، وصارت عنده ناقصة ساقطة عن المالية فردّها إليه، لم يكن عليه شيء؛ لردّ المأخوذ المتشخّص بشخصيته، والجهات الاُخر غير مأخوذة ولا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الشخص بصفاته الوجودية مطلقاً، أو ما هي موجبة لاختلاف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أنّه مع بقاء العين يجب ردّها وجبر خسارة نقصها، ومع تلفها يجب أداء المثل، ولا بدّ فيه من مماثلته لها بجميع الخصوصيات والصفات الوجودية على الاحتمال الأوّل، وبجميع ما له دخل في الرغبات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الشخص بجميع صفاته الوجودية والانتزاعية مطلقاً، أو ما هي موجبة لاختلاف الرغبات، ولازمه مع بقاء العين ما مرّ، ومع تلفها أداء المماثل بنحو ما مرّ، فلو تلف الثلج في الصيف مضموناً عليه، يجب عليه أداؤه وجبران اختلاف القيمة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الشخص كذلك مع حيثية ماليته، حتّى يجب جبران اختلاف القيمة </w:t>
      </w:r>
    </w:p>
    <w:p>
      <w:pPr>
        <w:pStyle w:val="BookText"/>
        <w:rPr/>
      </w:pPr>
      <w:r>
        <w:rPr>
          <w:rFonts w:ascii="Amiri" w:hAnsi="Amiri" w:eastAsia="Amiri" w:cs="Amiri"/>
          <w:color w:val="111111"/>
          <w:sz w:val="28"/>
          <w:sz w:val="28"/>
          <w:szCs w:val="28"/>
          <w:rtl w:val="true"/>
          <w:lang w:bidi="ar-SA"/>
        </w:rPr>
        <w:t>السوقية، لو لم نقل بأنّ اختلافها ناشٍ من اختلاف الرغبات، الناشئ من اختلاف العين في 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أضعف الاحتمالات هو الأوّل، ولا يبعد أن يكون أقواها ما قبل الأخير، ولو باعتضاد ارتكاز العقلاء في باب الضمانات،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دليل اليد وغيره، هو وقوع المثل في المثلي على العهدة؛ جبراناً لخسارة المضمون له، والمثل في باب الضمانات وجبر الخسارات، هو ما يكون مماثلاً للتالف في الحيثيات التي تكون دخيلة في الرغبات واختلاف القيم، ولو لم تكن الحيثية من الأوصاف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دخل له في الرغبات واختلاف القيم، لا يصير مضموناً؛ إذ لا دخل له في جبر الخسارة والعوضية، ولو كانت من الصفات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اختلاف اللون في مثلي لا يوجب اختلاف الرغبة والقيمة، لا تجب المماثلة فيه؛ إذ لا معنى للضمان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أنّ اختلاف حيثية غير وجودية بل انتزاعية موجب لاختلافهما، تكون تلك الحيثية مضمونة، كالثلج في الصيف أو في المناطق الحارّة، فلو تلف الثلج في الصيف مضموناً عليه، وأراد أداء مقدار مماثل له في الوزن في الشتاء الذي سقطت فيه ماليته أو نقصت لأجل اختلاف الفصل، لا يعدّ ذلك أداء مماثل ما تلف عنده، ولا جبران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القيمة السوقية، فقد يكون لاختلاف حيثية في العين عرفاً، كالثلج في الصيف والشتاء، أو في المناطق الحارّة والباردة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يكون كذلك عرفاً، وإن فرض رجوعه بالآخرة إليه بتدقيق وتحقيق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مضمونة، دون الثاني؛ لمساعدة العرف والعقلاء في الأوّل دون الثاني، سيّما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غصب ثلجاً في الصيف، وأبقاه بعينه إلى الشتاء، وأراد تسليمه، لا يساعده العقلاء، بخلاف ما لو أراد تسليمه بعد يوم ولو مع نقص قيمته السوقية، وكذلك لو تلفت وأراد الجبران بالمماثل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الانتزاعيات لا تقع تحت اليد، ولا بدّ في الضمان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وقوعها تبعي بوقوع العين تحت اليد، ولا يلزم الوقوع استقلالاً، وإلاّ لزم عدم ضمان الأوصاف الوجودية أيضاً، ككون العبد عالماً صانعاً، وكون الدابّة مرتاضةً، والعين صحيحة سليمة، مع أنّها مضمونة؛ لوقوعها تحت اليد تبعاً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القول بوجوب ردّ العين أو المثل في كلّ مكان دارت العين، وأراد المالك ردّهما إليه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790" w:name="pg15195_150923"/>
    </w:p>
    <w:p>
      <w:pPr>
        <w:pStyle w:val="Heading3"/>
        <w:numPr>
          <w:ilvl w:val="2"/>
          <w:numId w:val="1"/>
        </w:numPr>
        <w:rPr/>
      </w:pPr>
      <w:bookmarkStart w:id="791" w:name="__RefHeading___Toc2495729_2142443653"/>
      <w:bookmarkStart w:id="792" w:name="_Toc280"/>
      <w:bookmarkEnd w:id="790"/>
      <w:bookmarkEnd w:id="791"/>
      <w:r>
        <w:rPr>
          <w:rtl w:val="true"/>
        </w:rPr>
        <w:t xml:space="preserve">الأمر السادس </w:t>
      </w:r>
      <w:r>
        <w:rPr>
          <w:rtl w:val="true"/>
        </w:rPr>
        <w:t xml:space="preserve">: </w:t>
      </w:r>
      <w:r>
        <w:rPr>
          <w:rtl w:val="true"/>
        </w:rPr>
        <w:t>في حكم تعذّر المثل في المثلي</w:t>
      </w:r>
      <w:bookmarkEnd w:id="792"/>
    </w:p>
    <w:p>
      <w:pPr>
        <w:pStyle w:val="Heading4"/>
        <w:numPr>
          <w:ilvl w:val="3"/>
          <w:numId w:val="1"/>
        </w:numPr>
        <w:rPr/>
      </w:pPr>
      <w:bookmarkStart w:id="793" w:name="__RefHeading___Toc2495731_2142443653"/>
      <w:bookmarkStart w:id="794" w:name="_Toc281"/>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لو تعذّر المثل في المثلي، فهل يجب على الضامن دفع القيمة مع مطالبة المالك أو لا؟</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هل للمالك حقّ مطالبة القيمة أم لا؟ فإنّ مطالبة المثل جدّاً غير ممكنة، ومطالبة القيمة إذا لم تكن بحقّ لم يترتّب عليها أثر، وجوازها وكونها بحقّ ملازم لوجوب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495733_2142443653"/>
      <w:bookmarkStart w:id="796" w:name="_Toc282"/>
      <w:bookmarkEnd w:id="795"/>
      <w:r>
        <w:rPr>
          <w:rtl w:val="true"/>
        </w:rPr>
        <w:t>ما استدلّ على جواز مطالبة القيمة</w:t>
      </w:r>
      <w:bookmarkEnd w:id="796"/>
    </w:p>
    <w:p>
      <w:pPr>
        <w:pStyle w:val="BookText"/>
        <w:rPr/>
      </w:pPr>
      <w:r>
        <w:rPr>
          <w:rFonts w:ascii="Amiri" w:hAnsi="Amiri" w:eastAsia="Amiri" w:cs="Amiri"/>
          <w:color w:val="111111"/>
          <w:sz w:val="28"/>
          <w:sz w:val="28"/>
          <w:szCs w:val="28"/>
          <w:rtl w:val="true"/>
          <w:lang w:bidi="ar-SA"/>
        </w:rPr>
        <w:t>استدلّ للأوّل بوجوه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دليل اليد؛ فإنّه ظاهر في أنّ نفس العين على عهدته ولو مع تلفها، وإنّما أداء المثل أو القيمة لكونهما نحو أداء لها؛ لأنّ أداء المثل أداء لها بجهتها النوعية المشتركة، وبجهتها المالية، فهو أقرب إليها، ومع عدم المثل </w:t>
      </w:r>
    </w:p>
    <w:p>
      <w:pPr>
        <w:pStyle w:val="BookText"/>
        <w:rPr/>
      </w:pPr>
      <w:r>
        <w:rPr>
          <w:rFonts w:ascii="Amiri" w:hAnsi="Amiri" w:eastAsia="Amiri" w:cs="Amiri"/>
          <w:color w:val="111111"/>
          <w:sz w:val="28"/>
          <w:sz w:val="28"/>
          <w:szCs w:val="28"/>
          <w:rtl w:val="true"/>
          <w:lang w:bidi="ar-SA"/>
        </w:rPr>
        <w:t>وإعوازه فالقيمة نحو أداء لها بجهتها المالية، وإنّما يجب أداء المثل مراعاةً لحال المالك؛ لكونه أقرب شيء إلى ماله المتلف، فمع إعواز المثل ومطالبة القيمة، يجب أداؤها؛ لأنّه مع إعراضه عن المرتبة الكاملة، يجب دفع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 من الإشكال في المبنى؛ بأنّ المتفاهم من دليل اليد هو ضمان المثل في المثلي، والقيمة في القيمي، وأنّ وقوع العين على العهدة خلاف فهم العرف والعقلاء</w:t>
      </w:r>
      <w:r>
        <w:rPr>
          <w:rStyle w:val="FootnoteAnchor"/>
          <w:rtl w:val="true"/>
        </w:rPr>
        <w:footnoteReference w:id="1184"/>
      </w:r>
      <w:r>
        <w:rPr>
          <w:rFonts w:ascii="Amiri" w:hAnsi="Amiri" w:eastAsia="Amiri" w:cs="Amiri"/>
          <w:color w:val="111111"/>
          <w:sz w:val="28"/>
          <w:sz w:val="28"/>
          <w:szCs w:val="28"/>
          <w:rtl w:val="true"/>
          <w:lang w:bidi="ar-SA"/>
        </w:rPr>
        <w:t>أنّ كون دليل الضمان بالمثل أو القيمة لمراعاة حال المالك؛ بحيث كان له الإعراض عن مرتبة، والأخذ بمرتبة اُخرى،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كان المثل في المثلي موجوداً، ليس له الإعراض عن المثلية، ومطالبة القيمة، بل هو ملزم بقبول المثل، والتفصيل بين حال الإعواز وعدمه من هذه الجهة غير وجيه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إذا وقعت على العين، وقعت عليها بخصوصيتها الشخصية، وبجهتها النوعية والمالية، فكلّ تلك الجهات وقعت على عهدته، ومقتضى دليل السلطنة جواز إلغاء خصوصية المثلية، ومطالبة خصوصية المالية، من غير فرق 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دليل اليد هو عهدة نفس العين بشؤونها، أو ضمان المثل في المثلي، والقيمة في القيمي؛ فإنّ ضمان المثل وكونه على العهدة، متضمّن لضمان القيمة أيضاً، فله إلغاء جهة المثلية، ومطالبة القيمة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 من أنّ لازم ذلك جواز إلغاء خصوصية المثل والعين، ومطالبة القيمة مع وجود العين والمثل</w:t>
      </w:r>
      <w:r>
        <w:rPr>
          <w:rStyle w:val="FootnoteAnchor"/>
          <w:rtl w:val="true"/>
        </w:rPr>
        <w:footnoteReference w:id="1186"/>
      </w:r>
      <w:r>
        <w:rPr>
          <w:rFonts w:ascii="Amiri" w:hAnsi="Amiri" w:eastAsia="Amiri" w:cs="Amiri"/>
          <w:color w:val="111111"/>
          <w:sz w:val="28"/>
          <w:sz w:val="28"/>
          <w:szCs w:val="28"/>
          <w:rtl w:val="true"/>
          <w:lang w:bidi="ar-SA"/>
        </w:rPr>
        <w:t xml:space="preserve">،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الضمان لا يدلّ إلاّ على ضمان نفس العين على المبنى الأوّل، والمثل في المثلي على المبنى الثاني، وليس في ضمان العين ضمانات، ولا في ضمان المثل ضمانان؛ عرضاً أو طولاً، حتّى يصحّ للمالك إسقاط جهة، ومطالبة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وشؤون العين ليست مضمونة، بل العين مضمونة وهي ذات مثل ومتقوّمة بقيمة، فالشؤون للعين المضمونة، لا مضمونة كالعين، وهكذا الكلام في المثل على المبنى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السلطنة على الأموال، فلا يقتضي مطالبة غير ما على عهدة الضامن، وهو المثل في المثلي، ولا معنى لاقتضائه أداء قيمة المال، إلاّ 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بتبدّل المثل بالقيمة عند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قدّس سرّه؛ من أنّ منع المالك ظلم، وإلزام الضامن بالمثل منفيّ بالتعذّر، ومقتضى الجمع بين الحقّين وجوب القيمة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المالك عن القيمة إنّما يكون ظلماً لو ثبتت القيمة على عهدة الضامن، وهو أوّل الكلام، ومع ضمان المثل، إلزام الضامن بغير ما للمضمون له لعلّه ظلم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 مشتمل على المالية، فتعذّر المثل لا يوجب سلب سلطنة المالك عن المالية، فقد مرّ جوابه؛ بأنّ العهدة لا تشتغل إلاّ بالمثل، لا به </w:t>
      </w:r>
    </w:p>
    <w:p>
      <w:pPr>
        <w:pStyle w:val="BookText"/>
        <w:rPr/>
      </w:pPr>
      <w:r>
        <w:rPr>
          <w:rFonts w:ascii="Amiri" w:hAnsi="Amiri" w:eastAsia="Amiri" w:cs="Amiri"/>
          <w:color w:val="111111"/>
          <w:sz w:val="28"/>
          <w:sz w:val="28"/>
          <w:szCs w:val="28"/>
          <w:rtl w:val="true"/>
          <w:lang w:bidi="ar-SA"/>
        </w:rPr>
        <w:t>وبالقيمة، ولا دليل على الانقلاب بمجرّد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التعذّر إلى الأبد، أو إلى أمدٍ بعيد جدّاً،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المالك ظلم، وهو لا يخلو من تأمّل أيضاً، لكن الرجوع إلى القيمة في الفرض عقلائي،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 كلام الشيخ يقتضي الحكم بوجوب القيمة مع التعذّر، ولو إلى أمدٍ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يتّضح مراده من الجمع بين الحقّين؛ إذ ليس للضامن حقّ، ضرورة أنّ كون الإلزام منفيّاً بالتعذّر، غير ثبوت الحقّ، وفي طرف المالك أيضاً محلّ إشكال؛ إذ ليس له حقّ المطالبة فعلاً مع تعذّره، وحقّ مطالبة القيمة غير ثابت مع كون الذمّة مشغولة بالمثل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أيضاً، وهو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فإنّ الضامن إذا اُلزم بالقيمة مع تعذّر المثل، لم يعتد عليه أزيد ممّا اعتدى</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تقدّم؛ من أنّ الآية بما أنّها راجعة إلى الاعتداء في الحرب، لا يمكن استفادة المثلية منها بالمعنى المنظور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كبرى كلّية</w:t>
      </w:r>
      <w:r>
        <w:rPr>
          <w:rStyle w:val="FootnoteAnchor"/>
          <w:rtl w:val="true"/>
        </w:rPr>
        <w:footnoteReference w:id="1190"/>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مع الغضّ عمّا ذكر، أنّ الاعتداء لا بدّ وأن يكون بالمثل، وإلزام الضامن بالقيمة اعتداء عليه بما وراء المثل، ولم يرخّصه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أنّ الآية كناية عن عدم الاعتداء زيادة على مقدار اعتداء الغاصب أو الضامن، لكن لا يفهم منها جواز الاعتداء والاقتصاص بكلّ شيء ليس مقدار ماليته أزيد من المضمون؛ لعدم كونها حينئذٍ إلاّ بصدد المنع عن التعدّي بالزيادة، لا جواز الأخذ بما لا يكون زائداً، فلا إطلاق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احتمال كون الآية إرشاداً إلى ضمان المثل في المثلي، والقيمة في القيمي</w:t>
      </w:r>
      <w:r>
        <w:rPr>
          <w:rStyle w:val="FootnoteAnchor"/>
          <w:rtl w:val="true"/>
        </w:rPr>
        <w:footnoteReference w:id="1191"/>
      </w:r>
      <w:r>
        <w:rPr>
          <w:rFonts w:ascii="Amiri" w:hAnsi="Amiri" w:eastAsia="Amiri" w:cs="Amiri"/>
          <w:color w:val="111111"/>
          <w:sz w:val="28"/>
          <w:sz w:val="28"/>
          <w:szCs w:val="28"/>
          <w:rtl w:val="true"/>
          <w:lang w:bidi="ar-SA"/>
        </w:rPr>
        <w:t>، بعيد غايته، مع ملاحظة سياقها وشأن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تشبّث به بعضهم وتبعه آخر، وهو أنّ الصبر إلى أن يوجد المثل ضرر عليه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ضرورة أنّ دليل نفي الضرر لو نفى الأحكام الضررية، فلا حكم ضرري في المقام؛ لأنّ ما على عهدة الضامن هو المثل، ولم يمنع الشارع بإطلاق دليل أو عمومه عن أخذه، ولزوم التأخير مع التعذّر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إثبات القيمة لا يمكن بدليل نفي الضرر؛ إذ ليس شأنه إلاّ نفي الحكم الضرري، لا إثبات أمر مباين أو مخالف، كإثبات القيمة مع ضمان المثل، مع أنّ التأخير ليس ضررياً دائماً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الكلام في دليل نفي الحرج، لو كان التأخير حرجياً؛ لأنّ دليل نفيه لا يفي بإثبات أمرٍ آخر، ولهذا قلنا في رواية عبد الأعلى في باب المسح</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تمسّك الإمام عليه السلام بدليل نفيه، إنّما هو لرفع وجوب المسح على البشرة، وأمّا أمره بالمسح على المرارة، فليس بمقتضى دليل الحرج</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حاكم على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بأنّه حكم سلطاني من رسول اللّه صلي الله عليه و آله وسلم على اُمّته، ونهي منه عن الإضرار بالغير وإيقاع الحرج عليه، فلا يصحّ التمسّك به أيضاً لإثبات القيمة؛ لأنّ تأخير أداء المثل لو كان حرجياً أو ضررياً، فلا يكون بفعل الضامن، وليس للمالك على الضامن قيمة المثل، حتّى يكون تأخير أدائها موجباً للإضرار أو إيقاع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ببناء العرف مع عدم ردع الشارع؛ بدعوى أنّ بناءهم عند تعذّر المثل مطالبة القيمة، وإلزام الضامن على أدائها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ثابت في التعذّر إلى أمد، سيّما إذا كان الأمد قريباً، واتّصاله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المعصوم عليه السلام، غير ثابت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بالانقلاب إلى القيمة عند تعذّر المثل؛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منتزع من التكليف، ولا يعقل التكليف بأداء المتعذّر، فلا بدّ من التكليف بأداء القيمة؛ لأنّ احتمال سقوط الضمان مطلقاً مخالف الضرورة، فمع التكليف بها ينتزع اشتغال الذمّة بالقيمة، وهو المطلوب، فللمالك مطالبتها، وليس للضامن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التحقيق إمكان جعل الوضع ابتداءً، ووقوعه وجعله لا يتوقّف على إمكان الأداء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أدلّة الضمان أنّ المثل على عهدة الضامن في المثلي ولو مع التعذّر، فيكشف منه تكليف مناسب لحال التعذّر، وهو التكليف التعليقي، فينتزع منه الوضع فعلاً؛ لأنّ التكليف فعلي متعلّق بأمرٍ استقبالي، وهو يصحّح الضمان بالمثل، وعدم الانقلاب إلى القيمة فيما إذا تعذّر إلى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بوجه آخر، ينتج عدم الانقلاب ولو مع التعذّر إلى الأبد، وهو أنّ التكاليف القانونية فعلية على موضوعاتها؛ غير مقيّدة، ولا معلّقة، والأعذار العقلية ليست قيوداً لها، فحرمة شرب الخمر مجعولة على عنوانها مطلقاً، والجاهل بحرمتها أو موضوعها، والمضطرّ إلى ارتكابها عقلاً، معذوران في ارتكاب الحرام الفعلي، كما فصّلناه في باب الاشتغال</w:t>
      </w:r>
      <w:r>
        <w:rPr>
          <w:rStyle w:val="FootnoteAnchor"/>
          <w:rtl w:val="true"/>
        </w:rPr>
        <w:footnoteReference w:id="1197"/>
      </w:r>
      <w:r>
        <w:rPr>
          <w:rFonts w:ascii="Amiri" w:hAnsi="Amiri" w:eastAsia="Amiri" w:cs="Amiri"/>
          <w:color w:val="111111"/>
          <w:sz w:val="28"/>
          <w:sz w:val="28"/>
          <w:szCs w:val="28"/>
          <w:rtl w:val="true"/>
          <w:lang w:bidi="ar-SA"/>
        </w:rPr>
        <w:t>، فيكون التكليف الفعلي القانوني المتعلّق بعنوانه، منشأً لانتزاع الوضع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في تقريب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المثل لدى تعذّره لغو، ولا سيّما إذا كان التعذّر إلى الأبد، كما أنّ التكليف به كذلك، بل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أمّا فيما إذا كان إلى أمد فواضح، وأمّا مع التعذّر مطلقاً فلوجود الأثر؛ لأنّ الاشتغال بالمثل موجب لاعتبار قيمة يوم الدفع، بخلاف ما إذا كان التبدّل من حين التعذّر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قلناه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اللغوية في المجعولات القانونية، تلاحظ </w:t>
      </w:r>
      <w:bookmarkStart w:id="797" w:name="pg15195_150930"/>
    </w:p>
    <w:p>
      <w:pPr>
        <w:pStyle w:val="BookText"/>
        <w:rPr/>
      </w:pPr>
      <w:bookmarkEnd w:id="797"/>
      <w:r>
        <w:rPr>
          <w:rFonts w:ascii="Amiri" w:hAnsi="Amiri" w:eastAsia="Amiri" w:cs="Amiri"/>
          <w:color w:val="111111"/>
          <w:sz w:val="28"/>
          <w:sz w:val="28"/>
          <w:szCs w:val="28"/>
          <w:rtl w:val="true"/>
          <w:lang w:bidi="ar-SA"/>
        </w:rPr>
        <w:t>بالنسبة إلى الحكم الكلّي القانوني، لا إلى آحاد المكلّفين وخصوصيات التكليف؛ للزوم توالٍ فاسدة، تعرّضنا لها في الباب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بالانقلاب، فكما يجب على الضامن عند المطالبة أداؤها، يجب على المالك قبولها، وليس له الردّ، ولو امتنع منه تلقى عنده، أو تردّ إلى الحاكم، فلا وجه للتفصيل</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2495735_2142443653"/>
      <w:bookmarkStart w:id="799" w:name="_Toc283"/>
      <w:bookmarkEnd w:id="798"/>
      <w:r>
        <w:rPr>
          <w:rtl w:val="true"/>
        </w:rPr>
        <w:t>بيان زمان اعتبار القيمة</w:t>
      </w:r>
      <w:bookmarkEnd w:id="799"/>
    </w:p>
    <w:p>
      <w:pPr>
        <w:pStyle w:val="Heading4"/>
        <w:numPr>
          <w:ilvl w:val="3"/>
          <w:numId w:val="1"/>
        </w:numPr>
        <w:rPr/>
      </w:pPr>
      <w:bookmarkStart w:id="800" w:name="__RefHeading___Toc2495737_2142443653"/>
      <w:bookmarkStart w:id="801" w:name="_Toc284"/>
      <w:bookmarkEnd w:id="800"/>
      <w:r>
        <w:rPr>
          <w:rtl w:val="true"/>
        </w:rPr>
        <w:t xml:space="preserve">ثمّ إنّ في زمان اعتبار القيمة احتمالات ووجوهاً كثيرة ، لا بدّ في تحقيق ما هو الحقّ من ذكر اُمور </w:t>
      </w:r>
      <w:r>
        <w:rPr>
          <w:rtl w:val="true"/>
        </w:rPr>
        <w:t>:</w:t>
      </w:r>
      <w:bookmarkEnd w:id="801"/>
    </w:p>
    <w:p>
      <w:pPr>
        <w:pStyle w:val="Heading5"/>
        <w:numPr>
          <w:ilvl w:val="4"/>
          <w:numId w:val="1"/>
        </w:numPr>
        <w:rPr/>
      </w:pPr>
      <w:bookmarkStart w:id="802" w:name="__RefHeading___Toc2495739_2142443653"/>
      <w:bookmarkStart w:id="803" w:name="_Toc285"/>
      <w:bookmarkEnd w:id="802"/>
      <w:r>
        <w:rPr>
          <w:rtl w:val="true"/>
        </w:rPr>
        <w:t xml:space="preserve">الأوّل </w:t>
      </w:r>
      <w:r>
        <w:rPr>
          <w:rtl w:val="true"/>
        </w:rPr>
        <w:t xml:space="preserve">: </w:t>
      </w:r>
      <w:r>
        <w:rPr>
          <w:rtl w:val="true"/>
        </w:rPr>
        <w:t>حول انقلاب المثل عند إعوازه إلى القيمة</w:t>
      </w:r>
      <w:bookmarkEnd w:id="803"/>
    </w:p>
    <w:p>
      <w:pPr>
        <w:pStyle w:val="BookText"/>
        <w:rPr/>
      </w:pPr>
      <w:r>
        <w:rPr>
          <w:rFonts w:ascii="Amiri" w:hAnsi="Amiri" w:eastAsia="Amiri" w:cs="Amiri"/>
          <w:color w:val="111111"/>
          <w:sz w:val="28"/>
          <w:sz w:val="28"/>
          <w:szCs w:val="28"/>
          <w:rtl w:val="true"/>
          <w:lang w:bidi="ar-SA"/>
        </w:rPr>
        <w:t>قد عرفت أنّه لا دليل على انقلاب المثل عند إعوازه إلى القيمة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استندنا في لزوم القيمة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إلى آخره، وإلى أنّ المتبادر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الرجوع إلى ما هو الأقرب إلى التالف بعد تعذّر المثل، توجّه القول بصيرورة التالف قيمياً بمجرّد تعذّر المثل؛ إذ لا فرق في تعذّره بين الابتدائي كما في القيميات، وبين الطارئ بعد التمكّن، كما فيما نحن فيه، ودعوى اختصاص الآية وإطلاقات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بتعذّر المثل ابتداءً لا تخلو من تحكّم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أفاد الشيخ الأعظم قدّس سرّه </w:t>
      </w:r>
      <w:r>
        <w:rPr>
          <w:rStyle w:val="FootnoteAnchor"/>
          <w:rtl w:val="true"/>
        </w:rPr>
        <w:footnoteReference w:id="1199"/>
      </w:r>
      <w:r>
        <w:rPr>
          <w:rFonts w:ascii="Amiri" w:hAnsi="Amiri" w:eastAsia="Amiri" w:cs="Amiri"/>
          <w:color w:val="111111"/>
          <w:sz w:val="28"/>
          <w:sz w:val="28"/>
          <w:szCs w:val="28"/>
          <w:rtl w:val="true"/>
          <w:lang w:bidi="ar-SA"/>
        </w:rPr>
        <w:t>، وتبعه في الجملة بعضهم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استندنا إلى الآية نظير استناد شيخ الطائفة قدّس سرّه </w:t>
      </w:r>
      <w:r>
        <w:rPr>
          <w:rStyle w:val="FootnoteAnchor"/>
          <w:rtl w:val="true"/>
        </w:rPr>
        <w:footnoteReference w:id="1201"/>
      </w:r>
      <w:r>
        <w:rPr>
          <w:rFonts w:ascii="Amiri" w:hAnsi="Amiri" w:eastAsia="Amiri" w:cs="Amiri"/>
          <w:color w:val="111111"/>
          <w:sz w:val="28"/>
          <w:sz w:val="28"/>
          <w:szCs w:val="28"/>
          <w:rtl w:val="true"/>
          <w:lang w:bidi="ar-SA"/>
        </w:rPr>
        <w:t xml:space="preserve">، وقلنا بأنّ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المثل في المثلي، والقيمة في غيره، فتدلّ على ضمان المثل في المثلي، سواء أعوز ابتداءً، أم طرأ عليه؛ فإنّ الإعواز لا يوجب خروج الشيء من المثلي إلى القيمي؛ لأنّ الميزان في القيمي ليس عدم وجود المثل له في الخارج اتّفاقاً، بل بعض الأشياء بحسب الخلقة الأصلية، أو بحسب الصناعة، مثلي ولو أعوز مثله، وبعضها قيمي كذلك ولو وجد له مثل نادراً، فالحنطة مثلية بحسب الخلقة ولو فرض عروض الإعواز والقحط حال وقوع اليد عليها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بناءً على ما ذكر، دالّة على ضمان المثل في المثلي، وكان الحكم متعلّقاً بنفس الطبيعة، كما هو الشأن في جميع الأحكام وموضوعاتها، وإعواز المثل أحياناً لا يخرج الشيء عن المثلية، ولا يرفع الحكم عن الموضوع؛ أي طبيعة المثل في المثلي، كما أنّ ارتكاز العقلاء أيضاً كذلك في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فرض الإعواز في مدّةٍ طويلة، ثمّ وجد المثل وشاع، يحكم العقلاء بوجوب أداء المثل، وكذا لو أعوز وأراد الضامن إعطاء الفرد النادر المماثل، ليس لصاحب المال عدم قبوله لدى العقلاء</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بالمثل قانون كلّي، لم يلاحظ فيه الإعواز وعدمه، ولو </w:t>
      </w:r>
      <w:bookmarkStart w:id="804" w:name="pg15195_150932"/>
    </w:p>
    <w:p>
      <w:pPr>
        <w:pStyle w:val="BookText"/>
        <w:rPr/>
      </w:pPr>
      <w:bookmarkEnd w:id="804"/>
      <w:r>
        <w:rPr>
          <w:rFonts w:ascii="Amiri" w:hAnsi="Amiri" w:eastAsia="Amiri" w:cs="Amiri"/>
          <w:color w:val="111111"/>
          <w:sz w:val="28"/>
          <w:sz w:val="28"/>
          <w:szCs w:val="28"/>
          <w:rtl w:val="true"/>
          <w:lang w:bidi="ar-SA"/>
        </w:rPr>
        <w:t>قلنا بلزوم أداء القيمة عند الإعواز، فليس لأجل انقلابه إليها، بل لأقربيتها إليه في مقام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قاعدة اليد ضمان نفس العين، وأداء المثل في المثلي، والقيمة في القيمي، نحو أداء لها من غير انقلاب العين إليهما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رحمه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فرق في تعذّر المثل بين تحقّقه ابتداءً كما في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فيما قال بعض أعاظم العصر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الذي يوجب في ضمان العين عند تلفها، استقرار القيمة في الذمّة لا المثل، هو الميزان للتعذّر الطارئ للمثل</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لما عرفت من أنّ ميزان القيمية والمثلية غير مربوط بالتعذّر وعدمه، فتدبّر جيّداً</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495741_2142443653"/>
      <w:bookmarkStart w:id="806" w:name="_Toc286"/>
      <w:bookmarkEnd w:id="805"/>
      <w:r>
        <w:rPr>
          <w:rtl w:val="true"/>
        </w:rPr>
        <w:t xml:space="preserve">الثاني </w:t>
      </w:r>
      <w:r>
        <w:rPr>
          <w:rtl w:val="true"/>
        </w:rPr>
        <w:t xml:space="preserve">: </w:t>
      </w:r>
      <w:r>
        <w:rPr>
          <w:rtl w:val="true"/>
        </w:rPr>
        <w:t>ضمان الصفات الدخيلة في الرغبات والقيم</w:t>
      </w:r>
      <w:bookmarkEnd w:id="806"/>
    </w:p>
    <w:p>
      <w:pPr>
        <w:pStyle w:val="BookText"/>
        <w:rPr/>
      </w:pPr>
      <w:r>
        <w:rPr>
          <w:rFonts w:ascii="Amiri" w:hAnsi="Amiri" w:eastAsia="Amiri" w:cs="Amiri"/>
          <w:color w:val="111111"/>
          <w:sz w:val="28"/>
          <w:sz w:val="28"/>
          <w:szCs w:val="28"/>
          <w:rtl w:val="true"/>
          <w:lang w:bidi="ar-SA"/>
        </w:rPr>
        <w:t>قد ذكرنا سابقاً أنّ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موجب لضمان العين المأخوذة بجميع صفاتها الحقيقية، والانتزاعية، والإضافية، ممّا هي دخيلة في الرغبات واختلاف القيم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فالدابّة مضمونة بوصف ارتياضها وصحّتها وسلامتها، والثلج المأخوذ في الصيف وفي قارّة أفريقيا مضمون بالوصف المذكور؛ لأنّه موجب لاختلاف </w:t>
      </w:r>
      <w:bookmarkStart w:id="807" w:name="pg15195_150933"/>
    </w:p>
    <w:p>
      <w:pPr>
        <w:pStyle w:val="BookText"/>
        <w:rPr/>
      </w:pPr>
      <w:bookmarkEnd w:id="807"/>
      <w:r>
        <w:rPr>
          <w:rFonts w:ascii="Amiri" w:hAnsi="Amiri" w:eastAsia="Amiri" w:cs="Amiri"/>
          <w:color w:val="111111"/>
          <w:sz w:val="28"/>
          <w:sz w:val="28"/>
          <w:szCs w:val="28"/>
          <w:rtl w:val="true"/>
          <w:lang w:bidi="ar-SA"/>
        </w:rPr>
        <w:t xml:space="preserve">الرغبات والقيم، وقد عرفت وقوعها تحت اليد تبعاً </w:t>
      </w:r>
      <w:r>
        <w:rPr>
          <w:rStyle w:val="FootnoteAnchor"/>
          <w:rtl w:val="true"/>
        </w:rPr>
        <w:footnoteReference w:id="1205"/>
      </w:r>
      <w:r>
        <w:rPr>
          <w:rFonts w:ascii="Amiri" w:hAnsi="Amiri" w:eastAsia="Amiri" w:cs="Amiri"/>
          <w:color w:val="111111"/>
          <w:sz w:val="28"/>
          <w:sz w:val="28"/>
          <w:szCs w:val="28"/>
          <w:rtl w:val="true"/>
          <w:lang w:bidi="ar-SA"/>
        </w:rPr>
        <w:t>، وهو كافٍ في الضمان، ولهذا يكون وصف الصحّة والسلامة مضموناً بلا إشكال؛ لوقوعه تحتها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وقع شيء تحت يده، واتّصف بصفاتٍ موجبة لزيادة الرغبات ولو بعمل من الآخذ، كما لو حكّ العقيق، وخاط الثوب، وجعل الدابّة مرتاضة،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زالت الصفات عنه، ضمن الغاصب صفاته، فمع وجود المغصوب يجب ردّه وأداء قيمة الصفات التالفة، ومع تلفه لا بدّ من ردّ مثله بصفاته إن كان مثلياً، وردّ أعلى القيم من زمن الغصب والأخذ بالبيع الفاسد إلى زمان التلف، إن كان علوّ القيمة لأجل صفات ولو انتزاعية وإضافية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زيادة القيمة السوقية إن لم ترجع إلى وصف أو فقد وصف، فضمانها مشكل؛ لعدم مساعدة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تعتبر للشيء بإزائه وإزاء صفاته الموجبة للرغبات، ولا تلاحظ وصفاً للشيء</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2495743_2142443653"/>
      <w:bookmarkStart w:id="809" w:name="_Toc287"/>
      <w:bookmarkEnd w:id="808"/>
      <w:r>
        <w:rPr>
          <w:rtl w:val="true"/>
        </w:rPr>
        <w:t xml:space="preserve">الثالث </w:t>
      </w:r>
      <w:r>
        <w:rPr>
          <w:rtl w:val="true"/>
        </w:rPr>
        <w:t xml:space="preserve">: </w:t>
      </w:r>
      <w:r>
        <w:rPr>
          <w:rtl w:val="true"/>
        </w:rPr>
        <w:t>بيان محتملات زمان اعتبار القيمة</w:t>
      </w:r>
      <w:bookmarkEnd w:id="809"/>
    </w:p>
    <w:p>
      <w:pPr>
        <w:pStyle w:val="BookText"/>
        <w:rPr/>
      </w:pPr>
      <w:r>
        <w:rPr>
          <w:rFonts w:ascii="Amiri" w:hAnsi="Amiri" w:eastAsia="Amiri" w:cs="Amiri"/>
          <w:color w:val="111111"/>
          <w:sz w:val="28"/>
          <w:sz w:val="28"/>
          <w:szCs w:val="28"/>
          <w:rtl w:val="true"/>
          <w:lang w:bidi="ar-SA"/>
        </w:rPr>
        <w:t>أنّ الاحتمالات ومبانيها كثيرة، نتعرّض لمهمّاتها ومهمّات مبانيها، ومحصّل الكلام فيها أنّه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نقول بأنّ مقتضى أدلّة الضمان هو وقوع العين على العهدة في المثلي والقيمي حال التلف والتعذّر، ولا تنقلب إلى غيرها إلى زمان الأداء بالمثل أو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نقول بأنّ مقتضاها ضمان المثل في المثلي، والقيمة في القيمي، وعلى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نقول ببقاء المثل على العهدة إلى زمان الأداء، حتّى مع تعذّره مطلقاً، وأنّ أداء القيمة عند التعذّر نحو أداء للمثل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 بانقلابه إلى القيمة وقت عروض التعذّر، وبانقلاب العين في الاحتمال الأوّل إلى القيمة وقت تعذّر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الاحتمالات هي المعتدّ بها من بين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من المحقّقين</w:t>
      </w:r>
      <w:r>
        <w:rPr>
          <w:rStyle w:val="FootnoteAnchor"/>
          <w:rtl w:val="true"/>
        </w:rPr>
        <w:footnoteReference w:id="1206"/>
      </w:r>
      <w:r>
        <w:rPr>
          <w:rFonts w:ascii="Amiri" w:hAnsi="Amiri" w:eastAsia="Amiri" w:cs="Amiri"/>
          <w:color w:val="111111"/>
          <w:sz w:val="28"/>
          <w:sz w:val="28"/>
          <w:szCs w:val="28"/>
          <w:rtl w:val="true"/>
          <w:lang w:bidi="ar-SA"/>
        </w:rPr>
        <w:t>أنّ الاعتبار بقيمة وقت الأداء؛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العين حاله لا تحتاج إلى عناية، بخلاف غير حاله كحال التعذّر، أو التلف، أو المطالبة، فإنّها تحتاج إلى عناية ومعيّن، بل نفس التكليف بأداء مالية العين، تقتضي تعيّن ماليتها عند تعلّق الأداء بها؛ لأنّها قيمتها بالفعل</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التقريب قاصر عن إثبات مطلوبهم؛ لأنّ التكليف على هذا المبنى لم يتعلّق بأداء القيمة والمالية؛ ضرورة عدم انقلاب العين إلى القيمة، وليس دليل لفظي دالّ على وجوب أداء قيمة العين، حتّى يستظهر منه ما ذكر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هذا المبنى وجوب الخروج عن عهدة العين التي تكون في ذمّته، بأداء قيمتها التي هي نحو أداء لها، وما هو نحو أداء </w:t>
      </w:r>
      <w:bookmarkStart w:id="810" w:name="pg15195_150935"/>
    </w:p>
    <w:p>
      <w:pPr>
        <w:pStyle w:val="BookText"/>
        <w:rPr/>
      </w:pPr>
      <w:bookmarkEnd w:id="810"/>
      <w:r>
        <w:rPr>
          <w:rFonts w:ascii="Amiri" w:hAnsi="Amiri" w:eastAsia="Amiri" w:cs="Amiri"/>
          <w:color w:val="111111"/>
          <w:sz w:val="28"/>
          <w:sz w:val="28"/>
          <w:szCs w:val="28"/>
          <w:rtl w:val="true"/>
          <w:lang w:bidi="ar-SA"/>
        </w:rPr>
        <w:t>لها عرفاً هو أداء قيمتها الفعلية، لا القيم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قيمتها حال الأداء مائة، وقبلها خمسون، فأداء الخمسين ليس نحو أداء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قيمتها قبلها مائتان، يكون أداء مائة أداءً لها، وأداء مائتين أداءً مع زيادة غير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لا ينافي ما ذكرناه؛ من لزوم اعتبار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تعلّقها</w:t>
      </w:r>
    </w:p>
    <w:p>
      <w:pPr>
        <w:pStyle w:val="BookText"/>
        <w:rPr/>
      </w:pPr>
      <w:r>
        <w:rPr>
          <w:rFonts w:ascii="Amiri" w:hAnsi="Amiri" w:eastAsia="Amiri" w:cs="Amiri"/>
          <w:color w:val="111111"/>
          <w:sz w:val="28"/>
          <w:sz w:val="28"/>
          <w:szCs w:val="28"/>
          <w:rtl w:val="true"/>
          <w:lang w:bidi="ar-SA"/>
        </w:rPr>
        <w:t xml:space="preserve">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جميع صفاتها الدخيلة في الرغبات والقيم</w:t>
      </w:r>
      <w:r>
        <w:rPr>
          <w:rStyle w:val="FootnoteAnchor"/>
          <w:rtl w:val="true"/>
        </w:rPr>
        <w:footnoteReference w:id="1208"/>
      </w:r>
      <w:r>
        <w:rPr>
          <w:rFonts w:ascii="Amiri" w:hAnsi="Amiri" w:eastAsia="Amiri" w:cs="Amiri"/>
          <w:color w:val="111111"/>
          <w:sz w:val="28"/>
          <w:sz w:val="28"/>
          <w:szCs w:val="28"/>
          <w:rtl w:val="true"/>
          <w:lang w:bidi="ar-SA"/>
        </w:rPr>
        <w:t>، فالعين بأوصافها على العهدة، وأداء قيمتها بلا لحاظ تلك الأوصاف، ليس أداءً لها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نظر الأعيان في اعتبار قيمة يوم الأداء هو قيمتها مع لحاظ الأوصاف المذكورة، وإلاّ فأدلّة الضمان حجّة عليهم</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495745_2142443653"/>
      <w:bookmarkStart w:id="812" w:name="_Toc288"/>
      <w:bookmarkEnd w:id="811"/>
      <w:r>
        <w:rPr>
          <w:rtl w:val="true"/>
        </w:rPr>
        <w:t>كلام المحقّق الأصفهاني في المقام والجواب عنه</w:t>
      </w:r>
      <w:bookmarkEnd w:id="812"/>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بلحاظ حال التلف، مالية حقيقية موجودة مضمونة، وأمّا المالية قبل التلف فموجودة، لكنّها غير مضمونة، ولهذا لا يجب تداركها مع دفع العين إذا نقصت ماليتها، والمالية بعد التلف ليست موجودة، بل مفروضة بفرض وجود العين، ولا تدارك حقيقة إلاّ للمالية المتحقّقة بتحقّق العين، لا المتقدّرة للعين المفروضة، فالاعتبار بقيمة يوم التلف، هذا على فرض كون العين على العهدة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 المثل عليها إلى وقت الأداء، فالاعتبار بيومه؛ لأنّ المثل كلّي </w:t>
      </w:r>
    </w:p>
    <w:p>
      <w:pPr>
        <w:pStyle w:val="BookText"/>
        <w:rPr/>
      </w:pPr>
      <w:r>
        <w:rPr>
          <w:rFonts w:ascii="Amiri" w:hAnsi="Amiri" w:eastAsia="Amiri" w:cs="Amiri"/>
          <w:color w:val="111111"/>
          <w:sz w:val="28"/>
          <w:sz w:val="28"/>
          <w:szCs w:val="28"/>
          <w:rtl w:val="true"/>
          <w:lang w:bidi="ar-SA"/>
        </w:rPr>
        <w:t>متحقّق في الذمّة، له مالية موجودة لا مفروضة، وهو الفارق بين بقاء العين على العهدة إلى زمان التفريغ، وبقاء المثل إلى زمان الأداء، فإنّ العين حيث كانت شخصية وقد تلفت، فلا وجود لها ولا مالية إلاّ بالفرض، بخلاف المثل، فإنّه كلّي لا يتوقّف اشتغال الذمّة به على وجود شيء يطابقه خارجاً، فلا تلف له، فماليته حال الأداء متحقّقة لا مفروضة</w:t>
      </w:r>
      <w:r>
        <w:rPr>
          <w:rStyle w:val="FootnoteAnchor"/>
          <w:rtl w:val="true"/>
        </w:rPr>
        <w:footnoteReference w:id="12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بما ذكره غير مرضيّ؛ لأنّ الكلّي إنّما له مالية لا باعتبار نفسه من حيث هي، بل باعتبار مالية مصاديقه المحقّقة أو المقدّرة، فتكون مصاديقه التي هي تحت قدرة الضامن أو البائع، جهةً تعليلية لصيرورة الكلّي في الذمّة مالاً، نظير الأوراق النقدية، فإنّها مال باعتبار الذهب والفضّة</w:t>
      </w:r>
    </w:p>
    <w:p>
      <w:pPr>
        <w:pStyle w:val="BookText"/>
        <w:rPr/>
      </w:pPr>
      <w:r>
        <w:rPr>
          <w:rFonts w:ascii="IRNazanin" w:hAnsi="IRNazanin" w:eastAsia="IRNazanin"/>
          <w:color w:val="111111"/>
          <w:sz w:val="28"/>
          <w:sz w:val="28"/>
          <w:szCs w:val="28"/>
          <w:rtl w:val="true"/>
          <w:lang w:bidi="fa-IR"/>
        </w:rPr>
        <w:t>وغيرهما التي هي بإزائها، ويقال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لو أسقطت الدولة اعتبارها سقطت ماليتها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والكلّي إذا كان على ذمّة معتبرة أمكن لصاحبها إيجاد مصاديقه مهما أراد، أو يطالب آجلاً أو عاجلاً، يكون مالاً، ومع عدم الإمكان مطلقاً لا تعتبر له المالية، فكما أنّ مالية الكلّي باعتبار غيره وهو مصاديقه، كذلك مالية العين التي هي في الذمّة باعتبار أنّها مضمونة وأنّ صاحب الذمّة قادر على أدائها بمثلها أو قيمتها، والعين المعدومة خارجاً غير معدومة في صقع الاعتبار، ولها مالية باعتبار إمكان تأديتها بالمثل والقيمة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الكلّي في الذمّة، وبين العين فيها، لا من جهة المعدومية من </w:t>
      </w:r>
      <w:bookmarkStart w:id="813" w:name="pg15195_150937"/>
    </w:p>
    <w:p>
      <w:pPr>
        <w:pStyle w:val="BookText"/>
        <w:rPr/>
      </w:pPr>
      <w:bookmarkEnd w:id="813"/>
      <w:r>
        <w:rPr>
          <w:rFonts w:ascii="Amiri" w:hAnsi="Amiri" w:eastAsia="Amiri" w:cs="Amiri"/>
          <w:color w:val="111111"/>
          <w:sz w:val="28"/>
          <w:sz w:val="28"/>
          <w:szCs w:val="28"/>
          <w:rtl w:val="true"/>
          <w:lang w:bidi="ar-SA"/>
        </w:rPr>
        <w:t>جهةٍ، والموجودية من اُخرى؛ فإنّ كلاًّ منهما معدوم خارجاً، وموجود اعتباراً، ولا من جهة المالية؛ فإنّ كلاًّ منهما بذاته، مع قطع النظر عن إمكان تحقّق ما، لا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يعتبر الكلّي في ذمّة من لا يمكنه إيجاد مصداقه عاجلاً ولا آجلاً، ولا مالية له، فالعين المعتبرة في ذمّة من أمكنه أداء مثلها أو قيمتها مال، والمسألة عقلائية لا عقلية، فالاعتبار على هذا المبنى بقيمة يوم الأداء، مع اعتبار جميع الأوصاف الدخيلة في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المالية قبل التلف غير مضمونة وإن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w:t>
      </w:r>
    </w:p>
    <w:p>
      <w:pPr>
        <w:pStyle w:val="BookText"/>
        <w:rPr/>
      </w:pPr>
      <w:r>
        <w:rPr>
          <w:rFonts w:ascii="Amiri" w:hAnsi="Amiri" w:eastAsia="Amiri" w:cs="Amiri"/>
          <w:color w:val="111111"/>
          <w:sz w:val="28"/>
          <w:sz w:val="28"/>
          <w:szCs w:val="28"/>
          <w:rtl w:val="true"/>
          <w:lang w:bidi="ar-SA"/>
        </w:rPr>
        <w:t>بها القيمة السوقية فلا كلام، وقد مرّ وجهه</w:t>
      </w:r>
      <w:r>
        <w:rPr>
          <w:rStyle w:val="FootnoteAnchor"/>
          <w:rtl w:val="true"/>
        </w:rPr>
        <w:footnoteReference w:id="1210"/>
      </w:r>
      <w:r>
        <w:rPr>
          <w:rFonts w:ascii="Amiri" w:hAnsi="Amiri" w:eastAsia="Amiri" w:cs="Amiri"/>
          <w:color w:val="111111"/>
          <w:sz w:val="28"/>
          <w:sz w:val="28"/>
          <w:szCs w:val="28"/>
          <w:rtl w:val="true"/>
          <w:lang w:bidi="ar-SA"/>
        </w:rPr>
        <w:t>، وإن أراد الأعمّ منها ومن الجهات والأوصاف الدخيلة في الرغبات، فقد مرّ أنّها مضمونة بدليل الضمان</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495747_2142443653"/>
      <w:bookmarkStart w:id="815" w:name="_Toc289"/>
      <w:bookmarkEnd w:id="814"/>
      <w:r>
        <w:rPr>
          <w:rtl w:val="true"/>
        </w:rPr>
        <w:t>بيان النسبة بين آية الاعتداء ودليل اليد</w:t>
      </w:r>
      <w:bookmarkEnd w:id="815"/>
    </w:p>
    <w:p>
      <w:pPr>
        <w:pStyle w:val="BookText"/>
        <w:rPr/>
      </w:pPr>
      <w:r>
        <w:rPr>
          <w:rFonts w:ascii="Amiri" w:hAnsi="Amiri" w:eastAsia="Amiri" w:cs="Amiri"/>
          <w:color w:val="111111"/>
          <w:sz w:val="28"/>
          <w:sz w:val="28"/>
          <w:szCs w:val="28"/>
          <w:rtl w:val="true"/>
          <w:lang w:bidi="ar-SA"/>
        </w:rPr>
        <w:t>ثمّ لو تمسّكنا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إلى آخرها، فتارةً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متعرّض للتقاصّ بعد الفراغ عن الضمان، ولا تعرّض له للضمان، وإن يستكشف منه أنّ ذمّة المقاصّ منه مشغولة بشيء، فلا يكون منافياً لدليل اليد لو قلنا بدلالته على أنّ نفس العين على العهدة حتّى بعد تلفها، فيكون الكلام حينئذٍ كما تقدّم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قلنا بدلالته على ضمان المثل في المثلي؛ وأنّ مفاد دليل اليد </w:t>
      </w:r>
      <w:bookmarkStart w:id="816" w:name="pg15195_150938"/>
    </w:p>
    <w:p>
      <w:pPr>
        <w:pStyle w:val="BookText"/>
        <w:rPr/>
      </w:pPr>
      <w:bookmarkEnd w:id="816"/>
      <w:r>
        <w:rPr>
          <w:rFonts w:ascii="Amiri" w:hAnsi="Amiri" w:eastAsia="Amiri" w:cs="Amiri"/>
          <w:color w:val="111111"/>
          <w:sz w:val="28"/>
          <w:sz w:val="28"/>
          <w:szCs w:val="28"/>
          <w:rtl w:val="true"/>
          <w:lang w:bidi="ar-SA"/>
        </w:rPr>
        <w:t>وغيره أيضاً ضمان المثل في المثلي، والقيمة في القيمي، وقلنا ببقاء المثل على الذمّة إلى وقت الأداء، من غير انقلابه إلى القيمة، فالكلام هو ما تقدّم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مفاد القاعدة ضمان نفس العين، ومفاد الآية ضمان المثل في المثلي، والقيمة في القيمي، يقع التعارض بينهما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كالنصّ في ضمان المثل، والقاعدة ظاهرة، فيجب تحكيم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ظاهرة فرضاً في عهدة نفس العين، والآية لو كانت نصّاً أو كالنصّ فإنّما هي نصّ في الاعتداء بالمثل، لا في ضمان المثل، والاعتداء بالمثل لازم أعمّ، غاية الأمر لو خلّيت ونفسها يمكن أن يقال باستكشاف ضمان المثل، لكن مع لحاظ قاعدة اليد الدالّة على ضمان العين وعهدتها، لا يستكشف منها إلاّ ذلك؛ لعدم التنافي بين كون العين على العهدة، والاعتداء بالمثل، بل لازم عهدتها الاعتداء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هو الأقرب بل المتعيّن، هذا على فرض تسليم ظهور القاعدة فيما ذكر، وكون الآية دليل الضمان، وإلاّ فلا تصل النوبة إلى ما ذكر</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495749_2142443653"/>
      <w:bookmarkStart w:id="818" w:name="_Toc290"/>
      <w:bookmarkEnd w:id="817"/>
      <w:r>
        <w:rPr>
          <w:rtl w:val="true"/>
        </w:rPr>
        <w:t>مقتضى القول بالانقلاب إلى القيمة عند التعذّر</w:t>
      </w:r>
      <w:bookmarkEnd w:id="818"/>
    </w:p>
    <w:p>
      <w:pPr>
        <w:pStyle w:val="BookText"/>
        <w:rPr/>
      </w:pPr>
      <w:r>
        <w:rPr>
          <w:rFonts w:ascii="Amiri" w:hAnsi="Amiri" w:eastAsia="Amiri" w:cs="Amiri"/>
          <w:color w:val="111111"/>
          <w:sz w:val="28"/>
          <w:sz w:val="28"/>
          <w:szCs w:val="28"/>
          <w:rtl w:val="true"/>
          <w:lang w:bidi="ar-SA"/>
        </w:rPr>
        <w:t>ولو قلنا بالانقلاب إلى القيمة عند التعذّر، فتارةً يكون التعذّر بدوياً؛ أي حين تلف العين كان المثل متعذّراً، واُخرى طارئاً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الاعتبار بقيمة العين يوم التلف؛ لأنّه يوم الانقلاب إليها، </w:t>
      </w:r>
      <w:bookmarkStart w:id="819" w:name="pg15195_150939"/>
    </w:p>
    <w:p>
      <w:pPr>
        <w:pStyle w:val="BookText"/>
        <w:rPr/>
      </w:pPr>
      <w:bookmarkEnd w:id="819"/>
      <w:r>
        <w:rPr>
          <w:rFonts w:ascii="Amiri" w:hAnsi="Amiri" w:eastAsia="Amiri" w:cs="Amiri"/>
          <w:color w:val="111111"/>
          <w:sz w:val="28"/>
          <w:sz w:val="28"/>
          <w:szCs w:val="28"/>
          <w:rtl w:val="true"/>
          <w:lang w:bidi="ar-SA"/>
        </w:rPr>
        <w:t>ولا وجه لاعتبار قيمة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بضمان القيم أيضاً، فتنقلب إلى أعلى القيم من حين الأخذ إلى حين التلف، مع مراعاة جميع الأوصاف الدخيلة في زيادة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إن قلنا بأنّ المثل والقيمة كليهما غرامة نفس العين، وأنّ ضمان المثل في المثلي؛ لسدّ خلل مال الغير بمقدار الإمكان، وهو ماهيتها النوعية، ومع عدم الإمكان من هذه الجهة لا بدّ من ضمان قيمتها؛ لأنّها سدّ لخللها في هذا الحال بالمقدار الممكن، فلا بدّ حينئذٍ من اعتبار قيمة يوم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العهدة مع التعذّر الطارئ تشتغل بالمثل، ولا بدّ من الخروج عن عهدته لا عهدة العين؛ لأنّ المفروض عدم كون العين على العهدة، فلا وجه لمراعاة قيمتها، فالمثل المضمون ينقلب إلى القيمة، لا العين المفقودة غير المضمونة، فحينئذٍ لا بدّ من اعتبار قيمة المثل يوم التعذّر، هذا إذا قلنا بضمان المثل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العين على العهدة إلى زمان تعذّر المثل، ثمّ تنقلب إلى القيمة، كان المدار قيمة يوم التعذّر</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2495751_2142443653"/>
      <w:bookmarkStart w:id="821" w:name="_Toc291"/>
      <w:bookmarkEnd w:id="820"/>
      <w:r>
        <w:rPr>
          <w:rtl w:val="true"/>
        </w:rPr>
        <w:t>وجه اعتبار أعلى القيم من حين الأخذ إلى حين التلف</w:t>
      </w:r>
      <w:bookmarkEnd w:id="82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الوجه في اعتبار أعلى القيم من حين الأخذ إلى حين التلف، هو 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العين مضمونة بجميع أوصافها الدخيلة في الرغبات</w:t>
      </w:r>
      <w:r>
        <w:rPr>
          <w:rStyle w:val="FootnoteAnchor"/>
          <w:rtl w:val="true"/>
        </w:rPr>
        <w:footnoteReference w:id="1212"/>
      </w:r>
      <w:r>
        <w:rPr>
          <w:rFonts w:ascii="IRNazanin" w:hAnsi="IRNazanin" w:eastAsia="IRNazanin"/>
          <w:color w:val="111111"/>
          <w:sz w:val="28"/>
          <w:sz w:val="28"/>
          <w:szCs w:val="28"/>
          <w:rtl w:val="true"/>
          <w:lang w:bidi="fa-IR"/>
        </w:rPr>
        <w:t xml:space="preserve">، </w:t>
      </w:r>
      <w:bookmarkStart w:id="822" w:name="pg15195_150940"/>
    </w:p>
    <w:p>
      <w:pPr>
        <w:pStyle w:val="BookText"/>
        <w:rPr/>
      </w:pPr>
      <w:bookmarkEnd w:id="822"/>
      <w:r>
        <w:rPr>
          <w:rFonts w:ascii="Amiri" w:hAnsi="Amiri" w:eastAsia="Amiri" w:cs="Amiri"/>
          <w:color w:val="111111"/>
          <w:sz w:val="28"/>
          <w:sz w:val="28"/>
          <w:szCs w:val="28"/>
          <w:rtl w:val="true"/>
          <w:lang w:bidi="ar-SA"/>
        </w:rPr>
        <w:t>فلو قلنا بأنّ وصف التقويم أيضاً من الأوصاف الواقعة تحت اليد تبعاً، فلا محالة تكون القيمة العالية مضمونة، ومع تنزّلها لا يرتفع الضمان، فلو تلفت العين صارت بقيمتها العالية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التلف، فلا وجه لضمان زيادة قيم الأمثال إلى حين التعذّر أو الأداء؛ لأنّ العين التالفة خرجت عن تحت اليد، ووقوعها على العهدة على القول به، أو وقوع مثلها، غير كونهما تحت اليد، فلا وجه لضمان زيادة قيم أمثال العين أو العين المفروضة الوجود، فيسقط كثير من الاحتمالات، كأعلى القيم من حين الأخذ إلى حين الإعواز، أو المطالبة، أو الأداء، أو من حين التلف إلى الأحيان المشار إليها</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2495753_2142443653"/>
      <w:bookmarkStart w:id="824" w:name="_Toc292"/>
      <w:bookmarkEnd w:id="823"/>
      <w:r>
        <w:rPr>
          <w:rtl w:val="true"/>
        </w:rPr>
        <w:t>توجيه المحقّق النائيني انقلاب القدر المشترك إلى القيمة</w:t>
      </w:r>
      <w:bookmarkEnd w:id="82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قال بعض أعاظم العصر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الانقلاب بالقدر المشترك بين العين والمثل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القيم من زمان الأخذ إلى زمان إعواز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لأنّه لو قلنا بضمان القيمي بأعلى القيم من حين الغصب إلى حين التلف، ينتج في المقام ضمانه بأعلى القيم من حين أخذ العين إلى زمان إعواز المثل؛ لأنّ معنى الضمان بأعلى القيم، هو استقرار مراتب القيمة السوقية في عهدة الضامن بشرط تلف المضمون، فإذا تعذّر ردّ المثل، بقي ارتفاع قيمته على العهدة، كما أنّ ارتفاع قيمة العين أيضاً عليها </w:t>
      </w:r>
      <w:r>
        <w:rPr>
          <w:rStyle w:val="FootnoteAnchor"/>
          <w:rtl w:val="true"/>
        </w:rPr>
        <w:footnoteReference w:id="12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825" w:name="pg15195_150941"/>
    </w:p>
    <w:p>
      <w:pPr>
        <w:pStyle w:val="BookText"/>
        <w:rPr/>
      </w:pPr>
      <w:bookmarkEnd w:id="825"/>
      <w:r>
        <w:rPr>
          <w:rFonts w:ascii="Amiri" w:hAnsi="Amiri" w:eastAsia="Amiri" w:cs="Amiri"/>
          <w:color w:val="111111"/>
          <w:sz w:val="28"/>
          <w:sz w:val="28"/>
          <w:szCs w:val="28"/>
          <w:rtl w:val="true"/>
          <w:lang w:bidi="ar-SA"/>
        </w:rPr>
        <w:t>ففيه ما عرفت من أنّ كون الشيء على العهدة غير كونه تحت اليد، والموجب للضمان هو الثاني، ولهذا لو كان عليه صاع من الحنطة بواسطة القرض أو البيع، ولم يؤدّه مع المطالبة، لم يضمن ارتفاع قيمته؛ وذلك لعدم وجه للضمان، لعدم كون ما في الذمّة تحت اليد، فالقول بضمان أعلى القيم في الغصب إلى زمان التلف، لا ينتج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آية الاعتداء لذلك؛ بزعم أنّ عدم أداء الدين والمثل حين ارتفاع قيمته اعتداء، يعتدى فيه بالمثل وهو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 الاعتداء مع المطالبة اعتداء في تأخير أداء ما في ذمّته، لا اعتداء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أنّ الآية الكريمة ليست دليلاً على الضمان</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ليس له وجه، فضلاً عن كونه وجيهاً</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2495755_2142443653"/>
      <w:bookmarkStart w:id="827" w:name="_Toc293"/>
      <w:bookmarkEnd w:id="826"/>
      <w:r>
        <w:rPr>
          <w:rtl w:val="true"/>
        </w:rPr>
        <w:t xml:space="preserve">وينبغي التنبيه على جهات </w:t>
      </w:r>
      <w:r>
        <w:rPr>
          <w:rtl w:val="true"/>
        </w:rPr>
        <w:t>:</w:t>
      </w:r>
      <w:bookmarkEnd w:id="827"/>
    </w:p>
    <w:p>
      <w:pPr>
        <w:pStyle w:val="Heading5"/>
        <w:numPr>
          <w:ilvl w:val="4"/>
          <w:numId w:val="1"/>
        </w:numPr>
        <w:rPr/>
      </w:pPr>
      <w:bookmarkStart w:id="828" w:name="__RefHeading___Toc2495757_2142443653"/>
      <w:bookmarkStart w:id="829" w:name="_Toc294"/>
      <w:bookmarkEnd w:id="828"/>
      <w:r>
        <w:rPr>
          <w:rtl w:val="true"/>
        </w:rPr>
        <w:t xml:space="preserve">الاُولى </w:t>
      </w:r>
      <w:r>
        <w:rPr>
          <w:rtl w:val="true"/>
        </w:rPr>
        <w:t xml:space="preserve">: </w:t>
      </w:r>
      <w:r>
        <w:rPr>
          <w:rtl w:val="true"/>
        </w:rPr>
        <w:t>المراد من إعواز المثل</w:t>
      </w:r>
      <w:bookmarkEnd w:id="829"/>
    </w:p>
    <w:p>
      <w:pPr>
        <w:pStyle w:val="BookText"/>
        <w:rPr/>
      </w:pPr>
      <w:r>
        <w:rPr>
          <w:rFonts w:ascii="Amiri" w:hAnsi="Amiri" w:eastAsia="Amiri" w:cs="Amiri"/>
          <w:color w:val="111111"/>
          <w:sz w:val="28"/>
          <w:sz w:val="28"/>
          <w:szCs w:val="28"/>
          <w:rtl w:val="true"/>
          <w:lang w:bidi="ar-SA"/>
        </w:rPr>
        <w:t xml:space="preserve">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بإعواز المثل أن لا يوجد في البلد وما حوله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ينقل عادة منه إليه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إلى العرف</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الأعاظم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يوجب في ضمان العين عند تلفها استقرار القيمة لا المثل، هو الميزان للتعذّر الطارئ للمثل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المماثل بحسب الخلقة الإلهية أو مطلقاً المقتضي لاستقرار قيمة العين في الذمّة عند تلفها، هو الموجب لصدق تعذّر المثل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بعض المباحث السالفة؛ من أنّ الميزان في القيمي لدى العرف، غير الميزان في تعذّر المثل، بعد كونه بحسب الماهية مثلياً </w:t>
      </w:r>
      <w:r>
        <w:rPr>
          <w:rStyle w:val="FootnoteAnchor"/>
          <w:rtl w:val="true"/>
        </w:rPr>
        <w:footnoteReference w:id="121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الرجوع إلى العرف في تشخيص الموضوع والعنوان، فصحيح لا محيص عنه إذا كان الموضوع مأخوذاً في دليل لفظي، أو معقد إجماع، وهو في المقام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اللفظي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فالظاهر عدم ثبوته؛ لأنّ المسألة عقلائية لا تعبّدية، ومن المحتمل قريباً رجوع كلمات القوم إلى الأمر العقلائي، فلا يمكن كشف إجماع تعبّدي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الاتّكال على بناء العقلاء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الإعواز سبباً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العقلاء لعدم الإلزام بالمثل، وجواز مطالبة القيمة، ولزوم أدائها لدى الإعواز،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التغريم موكولة إلى العرف، وهم يلزمون بالمثل عند </w:t>
      </w:r>
      <w:bookmarkStart w:id="830" w:name="pg15195_150943"/>
    </w:p>
    <w:p>
      <w:pPr>
        <w:pStyle w:val="BookText"/>
        <w:rPr/>
      </w:pPr>
      <w:bookmarkEnd w:id="830"/>
      <w:r>
        <w:rPr>
          <w:rFonts w:ascii="Amiri" w:hAnsi="Amiri" w:eastAsia="Amiri" w:cs="Amiri"/>
          <w:color w:val="111111"/>
          <w:sz w:val="28"/>
          <w:sz w:val="28"/>
          <w:szCs w:val="28"/>
          <w:rtl w:val="true"/>
          <w:lang w:bidi="ar-SA"/>
        </w:rPr>
        <w:t>وجوده، وأمّا عند تعذّره وإعوازه، فلا يلزمون به ولو بالحمل من البلاد النائية</w:t>
      </w:r>
      <w:r>
        <w:rPr>
          <w:rStyle w:val="FootnoteAnchor"/>
          <w:rtl w:val="true"/>
        </w:rPr>
        <w:footnoteReference w:id="1220"/>
      </w:r>
      <w:r>
        <w:rPr>
          <w:rFonts w:ascii="Amiri" w:hAnsi="Amiri" w:eastAsia="Amiri" w:cs="Amiri"/>
          <w:color w:val="111111"/>
          <w:sz w:val="28"/>
          <w:sz w:val="28"/>
          <w:szCs w:val="28"/>
          <w:rtl w:val="true"/>
          <w:lang w:bidi="ar-SA"/>
        </w:rPr>
        <w:t>فهو غير بعيد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إلزامهم بالقيمة مع إعواز المثل إلى أمد، فهو غير ثابت، سيّما إذا كان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الإعواز المطلق أو مع أمد بعيد جدّاً، فالظاهر الرجوع إلى القيمة، والإلزام بها في العرف</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2495759_2142443653"/>
      <w:bookmarkStart w:id="832" w:name="_Toc295"/>
      <w:bookmarkEnd w:id="831"/>
      <w:r>
        <w:rPr>
          <w:rtl w:val="true"/>
        </w:rPr>
        <w:t>مختار السيّد وجوابه</w:t>
      </w:r>
      <w:bookmarkEnd w:id="832"/>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مناط جواز المطالبة بالبدل، مجرّد عدم وجوده في البلد وما يقرب منه؛ ممّا يحتاج نقله إلى مضيّ زمان، فإنّ للمالك أن لا يصبر إلى زمان النقل؛ لأنّ مقتضى السلطنة على ماله جواز مطالبة ماليته فعلاً بأخذ البدل، وإن أمكن إعطاء نفس المال بعد مضيّ مقدار من الزمان حسبما ذكروه في بدل الحيلولة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هذا القائل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للمالك إلغاء جهة المثلية، والمطالبة بمالية ماله؛ بدليل السلطنة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ما فيه؛ من أنّ ما على الضامن ليس اُموراً متعدّدة، قابلة لإلغاء بعض، </w:t>
      </w:r>
      <w:bookmarkStart w:id="833" w:name="pg15195_150944"/>
    </w:p>
    <w:p>
      <w:pPr>
        <w:pStyle w:val="BookText"/>
        <w:rPr/>
      </w:pPr>
      <w:bookmarkEnd w:id="833"/>
      <w:r>
        <w:rPr>
          <w:rFonts w:ascii="Amiri" w:hAnsi="Amiri" w:eastAsia="Amiri" w:cs="Amiri"/>
          <w:color w:val="111111"/>
          <w:sz w:val="28"/>
          <w:sz w:val="28"/>
          <w:szCs w:val="28"/>
          <w:rtl w:val="true"/>
          <w:lang w:bidi="ar-SA"/>
        </w:rPr>
        <w:t xml:space="preserve">وإبقاء بعض، ولهذا لا يلتزم القائل ولا غيره بأنّه مع وجود العين، للمالك إلغاء ما عدا قيمتها والمطالبة بها، مع أنّ دليل السلطنة لو اقتضى ما زعمه، اقتضى ذلك أيضاً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الضامن في المثلي إلاّ المثل، ولا يفي دليل السلطنة عند تعذّره بالإلزام بالقيمة؛ فإنّها ليست على عهدته، وأمّا قضيّة بدل الحيلولة، فسيأتي إن شاء اللّه الكلام فيها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2495761_2142443653"/>
      <w:bookmarkStart w:id="835" w:name="_Toc296"/>
      <w:bookmarkEnd w:id="834"/>
      <w:r>
        <w:rPr>
          <w:rtl w:val="true"/>
        </w:rPr>
        <w:t>بيان كلام الشيخ في المقام</w:t>
      </w:r>
      <w:bookmarkEnd w:id="835"/>
    </w:p>
    <w:p>
      <w:pPr>
        <w:pStyle w:val="BookText"/>
        <w:rPr/>
      </w:pPr>
      <w:r>
        <w:rPr>
          <w:rFonts w:ascii="Amiri" w:hAnsi="Amiri" w:eastAsia="Amiri" w:cs="Amiri"/>
          <w:color w:val="111111"/>
          <w:sz w:val="28"/>
          <w:sz w:val="28"/>
          <w:szCs w:val="28"/>
          <w:rtl w:val="true"/>
          <w:lang w:bidi="ar-SA"/>
        </w:rPr>
        <w:t>وقال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عموم وجوب أداء مال الناس وتسليطهم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أعياناً كانت، أم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المثل، كما كان يجب ردّ العين أينما كانت ولو كانت في تحصيله مؤونة كثيرة، ولذا كان يجب تحصيل المثل بأيّ ثمن كان</w:t>
      </w:r>
      <w:r>
        <w:rPr>
          <w:rFonts w:eastAsia="Amiri" w:cs="Amiri" w:ascii="Amiri" w:hAnsi="Amiri"/>
          <w:color w:val="111111"/>
          <w:sz w:val="28"/>
          <w:szCs w:val="28"/>
          <w:rtl w:val="true"/>
          <w:lang w:bidi="ar-SA"/>
        </w:rPr>
        <w:t>»</w:t>
      </w:r>
      <w:r>
        <w:rPr>
          <w:rStyle w:val="FootnoteAnchor"/>
          <w:rtl w:val="true"/>
        </w:rPr>
        <w:footnoteReference w:id="12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مراده من عموم وجوب أداء مال الناس، هو مثل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انتساب نفي الحلّية إلى ذات المال، أنّه لا يحلّ بجهة من الجهات، ومنها حبسه وعدم ردّه إلى صاحبه، </w:t>
      </w:r>
      <w:bookmarkStart w:id="836" w:name="pg15195_150945"/>
    </w:p>
    <w:p>
      <w:pPr>
        <w:pStyle w:val="BookText"/>
        <w:rPr/>
      </w:pPr>
      <w:bookmarkEnd w:id="836"/>
      <w:r>
        <w:rPr>
          <w:rFonts w:ascii="Amiri" w:hAnsi="Amiri" w:eastAsia="Amiri" w:cs="Amiri"/>
          <w:color w:val="111111"/>
          <w:sz w:val="28"/>
          <w:sz w:val="28"/>
          <w:szCs w:val="28"/>
          <w:rtl w:val="true"/>
          <w:lang w:bidi="ar-SA"/>
        </w:rPr>
        <w:t>ولا يحلّ حبس الأموال التي في الذمّة وإبقاؤها فيها، بل يجب إخراجها إلى الخارج، وجعلها تحت سلطنة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العطف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وتسليطهم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 وأراد به دليل السلطنة؛ وأنّ مقتضى إطلاق دليلها، هو التسليط على إخراج ما في الذمم إلى الخارج بالمطالبة، فحبس ماله الذي في ذمّة الغير، مخالف لإطلاق سلطنته، فلا بدّ من نفيه، وإعطاء المثل ولو بالحمل من البلاد النائية وتحمّل مؤونة كثيرة، إلاّ إذا كان تحمّلها حرجياً</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2495763_2142443653"/>
      <w:bookmarkStart w:id="838" w:name="_Toc297"/>
      <w:bookmarkEnd w:id="837"/>
      <w:r>
        <w:rPr>
          <w:rtl w:val="true"/>
        </w:rPr>
        <w:t>بناء العقلاء مقيّد لدليل السلطنة</w:t>
      </w:r>
      <w:bookmarkEnd w:id="838"/>
    </w:p>
    <w:p>
      <w:pPr>
        <w:pStyle w:val="BookText"/>
        <w:rPr/>
      </w:pPr>
      <w:r>
        <w:rPr>
          <w:rFonts w:ascii="Amiri" w:hAnsi="Amiri" w:eastAsia="Amiri" w:cs="Amiri"/>
          <w:color w:val="111111"/>
          <w:sz w:val="28"/>
          <w:sz w:val="28"/>
          <w:szCs w:val="28"/>
          <w:rtl w:val="true"/>
          <w:lang w:bidi="ar-SA"/>
        </w:rPr>
        <w:t>ثمّ إنّ بناء العقلاء في باب الضمانات والغرامات، لو كان عدم الإلزام بالمثل لدى تعذّره عرفاً؛ بأن لا يوجد إلاّ نادراً يلحق بالمعدوم، أو في البلاد النائية، فهل يوجب ذلك تقييد دليل السلطنة، أو أنّ دليلها رادع لبنائهم؛ بدعوى أنّ بناءهم ليس بحجّة إلاّ مع الإمضاء وعدم الردع، وإطلاق دليل السلطنة رادع، كما قال بعض أهل التدقيق</w:t>
      </w:r>
      <w:r>
        <w:rPr>
          <w:rStyle w:val="FootnoteAnchor"/>
          <w:rtl w:val="true"/>
        </w:rPr>
        <w:footnoteReference w:id="12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الناس على أموالهم لمّا كانت عقلائية، لا يفهم من دليلها إلاّ ما هو المرتكز عندهم، والارتكاز العقلائي قرينة على أنّه يراد منه ما هو المرتكز عندهم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منصرف إلى ما هو المرتكز، ولا إطلاق له بالنسبة إلى غيره، فكانت النتيجة عدم صلاحيته للرادعية؛ فإنّ العقلاء مع قولهم بسلطنة </w:t>
      </w:r>
      <w:bookmarkStart w:id="839" w:name="pg15195_150946"/>
    </w:p>
    <w:p>
      <w:pPr>
        <w:pStyle w:val="BookText"/>
        <w:rPr/>
      </w:pPr>
      <w:bookmarkEnd w:id="839"/>
      <w:r>
        <w:rPr>
          <w:rFonts w:ascii="Amiri" w:hAnsi="Amiri" w:eastAsia="Amiri" w:cs="Amiri"/>
          <w:color w:val="111111"/>
          <w:sz w:val="28"/>
          <w:sz w:val="28"/>
          <w:szCs w:val="28"/>
          <w:rtl w:val="true"/>
          <w:lang w:bidi="ar-SA"/>
        </w:rPr>
        <w:t>الناس على أموالهم، بناؤهم على عدم إلزام الضامن بالمثل عند التعذّر، وإذا كان دليل السلطنة على طبق حكم العقلاء، فلا محالة لا يشمل مثل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برادعية مثل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 عدم الحلّية التكليفية، شرعية لا عقلائية، ومعه لا مانع من رادعيته، ولا يأتي فيه ما قلناه في دليل السلطنة</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2495765_2142443653"/>
      <w:bookmarkStart w:id="841" w:name="_Toc298"/>
      <w:bookmarkEnd w:id="840"/>
      <w:r>
        <w:rPr>
          <w:rtl w:val="true"/>
        </w:rPr>
        <w:t>عدم جواز المطالبة بقيمة المثل المتعذّر</w:t>
      </w:r>
      <w:bookmarkEnd w:id="841"/>
    </w:p>
    <w:p>
      <w:pPr>
        <w:pStyle w:val="BookText"/>
        <w:rPr/>
      </w:pPr>
      <w:r>
        <w:rPr>
          <w:rFonts w:ascii="Amiri" w:hAnsi="Amiri" w:eastAsia="Amiri" w:cs="Amiri"/>
          <w:color w:val="111111"/>
          <w:sz w:val="28"/>
          <w:sz w:val="28"/>
          <w:szCs w:val="28"/>
          <w:rtl w:val="true"/>
          <w:lang w:bidi="ar-SA"/>
        </w:rPr>
        <w:t>ثمّ إنّ إطلاق دليل عدم حلّ مال المسلم الشامل للمتعذّر عرفاً لا عقلاً، كما يستفاد منه جواز المطالبة بالمثل، ولزوم خروج الضامن عن عهدته ولو بالحمل من سائر البلاد ما لم يكن حرجياً، يستفاد منه عدم جواز المطالبة بالقيمة؛ لدلالته التزاماً على بقاء المثل في العهدة، وعدم الانقلاب عند التعذّر العرفي،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للتمسّك بدليل السلطنة وعدم حلّ مال الغير، لجواز مطالبة القيمة؛ ضرورة أنّها ليست على عهدته كما عرفت، فما هو مال الغير وله سلطان عليه هو المثل، ومقتضى دليل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حرمة مال الغير، هو الإلزام بالمثل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 أنّ للمالك إلغاء حيثية المثل والمطالبة بالقيمة قد تقدّم ما فيه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قيل من أنّ مقتضى دليل السلطنة، جواز المطالبة بالمثل والقيمة معاً </w:t>
      </w:r>
      <w:r>
        <w:rPr>
          <w:rStyle w:val="FootnoteAnchor"/>
          <w:rtl w:val="true"/>
        </w:rPr>
        <w:footnoteReference w:id="1229"/>
      </w:r>
      <w:r>
        <w:rPr>
          <w:rFonts w:ascii="Amiri" w:hAnsi="Amiri" w:eastAsia="Amiri" w:cs="Amiri"/>
          <w:color w:val="111111"/>
          <w:sz w:val="28"/>
          <w:sz w:val="28"/>
          <w:szCs w:val="28"/>
          <w:rtl w:val="true"/>
          <w:lang w:bidi="ar-SA"/>
        </w:rPr>
        <w:t>، لا يرجع إلى محصّل</w:t>
      </w:r>
      <w:r>
        <w:rPr>
          <w:rFonts w:eastAsia="Amiri" w:cs="Amiri" w:ascii="Amiri" w:hAnsi="Amiri"/>
          <w:color w:val="111111"/>
          <w:sz w:val="28"/>
          <w:szCs w:val="28"/>
          <w:rtl w:val="true"/>
          <w:lang w:bidi="ar-SA"/>
        </w:rPr>
        <w:t xml:space="preserve">. </w:t>
      </w:r>
      <w:bookmarkStart w:id="842" w:name="pg15195_150947"/>
    </w:p>
    <w:p>
      <w:pPr>
        <w:pStyle w:val="Heading5"/>
        <w:numPr>
          <w:ilvl w:val="4"/>
          <w:numId w:val="1"/>
        </w:numPr>
        <w:rPr/>
      </w:pPr>
      <w:bookmarkStart w:id="843" w:name="__RefHeading___Toc2495767_2142443653"/>
      <w:bookmarkStart w:id="844" w:name="_Toc299"/>
      <w:bookmarkEnd w:id="842"/>
      <w:bookmarkEnd w:id="843"/>
      <w:r>
        <w:rPr>
          <w:rtl w:val="true"/>
        </w:rPr>
        <w:t>بحث حول بعض أخبار السلم</w:t>
      </w:r>
      <w:bookmarkEnd w:id="844"/>
    </w:p>
    <w:p>
      <w:pPr>
        <w:pStyle w:val="BookText"/>
        <w:rPr/>
      </w:pPr>
      <w:r>
        <w:rPr>
          <w:rFonts w:ascii="Amiri" w:hAnsi="Amiri" w:eastAsia="Amiri" w:cs="Amiri"/>
          <w:color w:val="111111"/>
          <w:sz w:val="28"/>
          <w:sz w:val="28"/>
          <w:szCs w:val="28"/>
          <w:rtl w:val="true"/>
          <w:lang w:bidi="ar-SA"/>
        </w:rPr>
        <w:t>ثمّ إنّ الشيخ الأعظم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في بعض أخبار السلم أنّه إذا لم يقدر المسلم إليه على إيفاء المسلم فيه، تخيّر المشتري، ومن المعلوم أنّ المراد بعدم القدرة ليس التعذّر العقلي، بل الظاهر منه عرفاً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وهذا يستأنس به للحكم فيما نحن فيه</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المشار إليها على كثرتها أجنبيّة عن الدلالة على تخيير المشتري بين إلزام البائع بأداء القيمة، وبين الصبر، بل جملة منها تدلّ على أنّه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إعطاء جميع المسلم فيه، فلا بأس بأخذ بعض، وأخذ رأس مال البقيّة</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فكأنّ الشبهة فيها في جواز انحلال البيع الواحد، والصحّة في </w:t>
      </w:r>
    </w:p>
    <w:p>
      <w:pPr>
        <w:pStyle w:val="BookText"/>
        <w:rPr/>
      </w:pPr>
      <w:r>
        <w:rPr>
          <w:rFonts w:ascii="Amiri" w:hAnsi="Amiri" w:eastAsia="Amiri" w:cs="Amiri"/>
          <w:color w:val="111111"/>
          <w:sz w:val="28"/>
          <w:sz w:val="28"/>
          <w:szCs w:val="28"/>
          <w:rtl w:val="true"/>
          <w:lang w:bidi="ar-SA"/>
        </w:rPr>
        <w:t>بعض المبيع، والفسخ أو الانفساخ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تخييره بين أخذ رأس المال والإنظار</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وأنت خبير بأنّها أجنبيّة عن الذي نحن بصدده؛ من جواز الإلزام بالقيمة عند تعذّر المثل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يف البائع، كان المشتري أحقّ بماله</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وهو دليل على الانفساخ بمجرّد عدم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على رجل تمر، أو حنطة، ونحوهما، يجوز أخذ قيمتها مع تراضيهما</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الروايات ما يصحّ الاستئناس به للمقام، فراجعها، هذا إذا كان مراده الاستئناس من حكم تلك المسألة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المراد الاستئناس من التعذّر العرفي، على أنّ التعذّر في المقام </w:t>
      </w:r>
      <w:bookmarkStart w:id="845" w:name="pg15195_150949"/>
    </w:p>
    <w:p>
      <w:pPr>
        <w:pStyle w:val="BookText"/>
        <w:rPr/>
      </w:pPr>
      <w:bookmarkEnd w:id="845"/>
      <w:r>
        <w:rPr>
          <w:rFonts w:ascii="Amiri" w:hAnsi="Amiri" w:eastAsia="Amiri" w:cs="Amiri"/>
          <w:color w:val="111111"/>
          <w:sz w:val="28"/>
          <w:sz w:val="28"/>
          <w:szCs w:val="28"/>
          <w:rtl w:val="true"/>
          <w:lang w:bidi="ar-SA"/>
        </w:rPr>
        <w:t>عرفي، كما لا يبعد أن يكون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التعذّر الوارد في لسان الدليل في مسألة على العرفي، لا يوجب الاستئناس في مسألة أجنبيّة لم يرد فيها ذلك، وكان مقتضى إطلاق دليلها، جواز المطالبة مع التعذّر العرفي كما تقدّم ولو فرض الاستئناس، فلا يصحّ معه تقييد الدليل ورفع اليد عن إطلاق الحجّة</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2495769_2142443653"/>
      <w:bookmarkStart w:id="847" w:name="_Toc300"/>
      <w:bookmarkEnd w:id="846"/>
      <w:r>
        <w:rPr>
          <w:rtl w:val="true"/>
        </w:rPr>
        <w:t xml:space="preserve">الثانية </w:t>
      </w:r>
      <w:r>
        <w:rPr>
          <w:rtl w:val="true"/>
        </w:rPr>
        <w:t xml:space="preserve">: </w:t>
      </w:r>
      <w:r>
        <w:rPr>
          <w:rtl w:val="true"/>
        </w:rPr>
        <w:t>اختلاف القيمة باختلاف المباني</w:t>
      </w:r>
      <w:bookmarkEnd w:id="847"/>
    </w:p>
    <w:p>
      <w:pPr>
        <w:pStyle w:val="BookText"/>
        <w:rPr/>
      </w:pPr>
      <w:r>
        <w:rPr>
          <w:rFonts w:ascii="Amiri" w:hAnsi="Amiri" w:eastAsia="Amiri" w:cs="Amiri"/>
          <w:color w:val="111111"/>
          <w:sz w:val="28"/>
          <w:sz w:val="28"/>
          <w:szCs w:val="28"/>
          <w:rtl w:val="true"/>
          <w:lang w:bidi="ar-SA"/>
        </w:rPr>
        <w:t>الميزان في القيمة مع تعذّر المثل يختلف باختلاف المباني فإن قلنا ببقاء العين على العهدة إلى زمان الأداء</w:t>
      </w:r>
      <w:r>
        <w:rPr>
          <w:rStyle w:val="FootnoteAnchor"/>
          <w:rtl w:val="true"/>
        </w:rPr>
        <w:footnoteReference w:id="1236"/>
      </w:r>
      <w:r>
        <w:rPr>
          <w:rFonts w:ascii="Amiri" w:hAnsi="Amiri" w:eastAsia="Amiri" w:cs="Amiri"/>
          <w:color w:val="111111"/>
          <w:sz w:val="28"/>
          <w:sz w:val="28"/>
          <w:szCs w:val="28"/>
          <w:rtl w:val="true"/>
          <w:lang w:bidi="ar-SA"/>
        </w:rPr>
        <w:t>، فالميزان قيمتها يوم الأداء، مع لحاظ جميع الأوصاف المضمونة كما تقدّم الوجه فيه</w:t>
      </w:r>
      <w:r>
        <w:rPr>
          <w:rStyle w:val="FootnoteAnchor"/>
          <w:rtl w:val="true"/>
        </w:rPr>
        <w:footnoteReference w:id="1237"/>
      </w:r>
      <w:r>
        <w:rPr>
          <w:rFonts w:ascii="Amiri" w:hAnsi="Amiri" w:eastAsia="Amiri" w:cs="Amiri"/>
          <w:color w:val="111111"/>
          <w:sz w:val="28"/>
          <w:sz w:val="28"/>
          <w:szCs w:val="28"/>
          <w:rtl w:val="true"/>
          <w:lang w:bidi="ar-SA"/>
        </w:rPr>
        <w:t>، ومنها وصف الانحصار، وعزّة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 أنّ الميزان على ذلك قيمة يوم التلف؛ لأنّ العين في زمان فقدها لا تكون لها قيمة موجودة، وقبل زمان التلف قيمتها غير مضمونة، فما هي موجودة ومضمونة قيمة يوم التلف</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وجيه؛ لما عرفت</w:t>
      </w:r>
      <w:r>
        <w:rPr>
          <w:rStyle w:val="FootnoteAnchor"/>
          <w:rtl w:val="true"/>
        </w:rPr>
        <w:footnoteReference w:id="1239"/>
      </w:r>
      <w:r>
        <w:rPr>
          <w:rFonts w:ascii="Amiri" w:hAnsi="Amiri" w:eastAsia="Amiri" w:cs="Amiri"/>
          <w:color w:val="111111"/>
          <w:sz w:val="28"/>
          <w:sz w:val="28"/>
          <w:szCs w:val="28"/>
          <w:rtl w:val="true"/>
          <w:lang w:bidi="ar-SA"/>
        </w:rPr>
        <w:t xml:space="preserve">من أنّ العين على فرض كونها في العهدة، لها وجود </w:t>
      </w:r>
    </w:p>
    <w:p>
      <w:pPr>
        <w:pStyle w:val="BookText"/>
        <w:rPr/>
      </w:pPr>
      <w:r>
        <w:rPr>
          <w:rFonts w:ascii="Amiri" w:hAnsi="Amiri" w:eastAsia="Amiri" w:cs="Amiri"/>
          <w:color w:val="111111"/>
          <w:sz w:val="28"/>
          <w:sz w:val="28"/>
          <w:szCs w:val="28"/>
          <w:rtl w:val="true"/>
          <w:lang w:bidi="ar-SA"/>
        </w:rPr>
        <w:t>اعتباري، متقوّم باعتبار إمكان أداء غرامتها، كما أنّ متموّلية المثل باعتبار إمكان الوجود، وإلاّ فهو بنفسه ليس بمال، وقد عرفت أنّ بعض الأوصاف التالفة مضمونة حتّى مع وجود العين</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لو قلنا بعهدة المثل وبقائه إلى زمان الأداء، مع القول بأنّ اللازم أداء قيمة المثل، وأنّ له في الضمان استقلالاً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قلنا بأنّ أداء المثل بعنوان غرامة العين، ومع تعذّره تكون القيمة غرامة لها، فالمثل والقيمة غرامة العين على الترتيب</w:t>
      </w:r>
      <w:r>
        <w:rPr>
          <w:rStyle w:val="FootnoteAnchor"/>
          <w:rtl w:val="true"/>
        </w:rPr>
        <w:footnoteReference w:id="1242"/>
      </w:r>
      <w:r>
        <w:rPr>
          <w:rFonts w:ascii="Amiri" w:hAnsi="Amiri" w:eastAsia="Amiri" w:cs="Amiri"/>
          <w:color w:val="111111"/>
          <w:sz w:val="28"/>
          <w:sz w:val="28"/>
          <w:szCs w:val="28"/>
          <w:rtl w:val="true"/>
          <w:lang w:bidi="ar-SA"/>
        </w:rPr>
        <w:t>، فاللازم مراعاة قيمة يوم تلف العين؛ لأنّ المفروض أنّ العين لم تكن على العهدة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زمان الأداء لها وجود اعتباري متقوّم، والمثل الذي في العهدة لا تلاحظ قيمته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القيمة غرامة العين لا المثل، فلا بدّ من مراعاة قيمتها حال التلف، مع اعتبار جميع الخصوصيات الدخيلة في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القيمة لدى التعذّر</w:t>
      </w:r>
      <w:r>
        <w:rPr>
          <w:rStyle w:val="FootnoteAnchor"/>
          <w:rtl w:val="true"/>
        </w:rPr>
        <w:footnoteReference w:id="1243"/>
      </w:r>
      <w:r>
        <w:rPr>
          <w:rFonts w:ascii="Amiri" w:hAnsi="Amiri" w:eastAsia="Amiri" w:cs="Amiri"/>
          <w:color w:val="111111"/>
          <w:sz w:val="28"/>
          <w:sz w:val="28"/>
          <w:szCs w:val="28"/>
          <w:rtl w:val="true"/>
          <w:lang w:bidi="ar-SA"/>
        </w:rPr>
        <w:t>، فإن كان التعذّر من أوّل الأمر، كان الاعتبار بقيمة يوم التلف أيضاً، وإن كان طارئاً، وكان المثل أو العين على العهدة إلى زمان التعذّر، فالاعتبار بقيمة يوم التعذّر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جميع المسالك، لا بدّ من مراعاة القيمة، مع لحاظ التعذّر ومراتبه، </w:t>
      </w:r>
    </w:p>
    <w:p>
      <w:pPr>
        <w:pStyle w:val="BookText"/>
        <w:rPr/>
      </w:pPr>
      <w:r>
        <w:rPr>
          <w:rFonts w:ascii="Amiri" w:hAnsi="Amiri" w:eastAsia="Amiri" w:cs="Amiri"/>
          <w:color w:val="111111"/>
          <w:sz w:val="28"/>
          <w:sz w:val="28"/>
          <w:szCs w:val="28"/>
          <w:rtl w:val="true"/>
          <w:lang w:bidi="ar-SA"/>
        </w:rPr>
        <w:t>فلو فرض أنّ يوم الأداء كانت العين على فرض تحقّقها منحصرة بالفرد، وباعتباره قيمتها غالية، فلا بدّ من مراعاة تلك القيمة لدى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كانت في زمان وجودها تحت يد الضامن منحصرة، ولأجله كانت غالية القيمة، وفي زمان الأداء خرجت عن الانحصار، لا بدّ من تغريم وصف الانحصار، وهذا غير اختلاف القيمة السوقية التي قلنا بعدم ضمانها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بقيمتها حال انحصار الوجود أو عزّته، هي ما تلاحظ باعتبار رغبة العقلاء، لا باعتبار أغراض اُخر، كما أشار إليه الشيخ الأعظم قدّس سرّه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ذكرناه من اختلاف المباني في اعتبار زمان القيمة، يظهر الحال في اعتبار مكانها، فمع القول ببقاء العين أو المثل على العهدة بعنوان ذاته استقلالاً، فالاعتبار بقيمة بلد الأداء؛ فإنّ أداء قيمة بلده نحو أداء لهما، لا قيمة سائر البلاد، كما ذكرنا في زمان الأداء، ولا فرق بين الزمان والمكان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المثل على العهدة لا العين، وأداء القيمة عند تعذّر المثل غرامة للعين، فالمعتبر قيمة بلد تلف العين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بأنّ التعذّر موجب لضمان القيمة، فالتعذّر البدوي موجب لضمان قيمة بلد التلف، والتعذّر الطارئ موجب لضمان قيمة بلد التعذّر، وفي جميع الفروض لا بدّ من لحاظ الأوصاف التي تقدّم ذكرها</w:t>
      </w:r>
      <w:r>
        <w:rPr>
          <w:rFonts w:eastAsia="Amiri" w:cs="Amiri" w:ascii="Amiri" w:hAnsi="Amiri"/>
          <w:color w:val="111111"/>
          <w:sz w:val="28"/>
          <w:szCs w:val="28"/>
          <w:rtl w:val="true"/>
          <w:lang w:bidi="ar-SA"/>
        </w:rPr>
        <w:t xml:space="preserve">. </w:t>
      </w:r>
      <w:bookmarkStart w:id="848" w:name="pg15195_150952"/>
    </w:p>
    <w:p>
      <w:pPr>
        <w:pStyle w:val="Heading5"/>
        <w:numPr>
          <w:ilvl w:val="4"/>
          <w:numId w:val="1"/>
        </w:numPr>
        <w:rPr/>
      </w:pPr>
      <w:bookmarkStart w:id="849" w:name="__RefHeading___Toc2495771_2142443653"/>
      <w:bookmarkStart w:id="850" w:name="_Toc301"/>
      <w:bookmarkEnd w:id="848"/>
      <w:bookmarkEnd w:id="849"/>
      <w:r>
        <w:rPr>
          <w:rtl w:val="true"/>
        </w:rPr>
        <w:t xml:space="preserve">الثالثة </w:t>
      </w:r>
      <w:r>
        <w:rPr>
          <w:rtl w:val="true"/>
        </w:rPr>
        <w:t xml:space="preserve">: </w:t>
      </w:r>
      <w:r>
        <w:rPr>
          <w:rtl w:val="true"/>
        </w:rPr>
        <w:t>في ضمان العين التي سقطت ماليتها</w:t>
      </w:r>
      <w:bookmarkEnd w:id="850"/>
    </w:p>
    <w:p>
      <w:pPr>
        <w:pStyle w:val="BookText"/>
        <w:rPr/>
      </w:pPr>
      <w:r>
        <w:rPr>
          <w:rFonts w:ascii="Amiri" w:hAnsi="Amiri" w:eastAsia="Amiri" w:cs="Amiri"/>
          <w:color w:val="111111"/>
          <w:sz w:val="28"/>
          <w:sz w:val="28"/>
          <w:szCs w:val="28"/>
          <w:rtl w:val="true"/>
          <w:lang w:bidi="ar-SA"/>
        </w:rPr>
        <w:t xml:space="preserve">لو خرجت العين التي تحت يده عن التقويم وسقطت ماليتها، كما لو أخذ الثلج في الصيف، وحفظه إلى الشتاء وردّه، أو أخذ الماء في المفازة، وردّه عند دجلة، فمقتضى ما ذكرناه في دليل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الأوصاف الدخيلة في الرغبات وزيادة القيم مضمونة، من غير فرق بين الحقيقية وغيرها؛ لوقوعها تحت اليد تبعاً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ذلك، وهذا غير اختلاف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بعض أهل التحقيق، تبعاً لشيخه المحقّق الخراساني بأنّ عهدة اليد مغيّاة بأداء المأخوذ، فلا ينبغي الشكّ في خروج العين عنها بأدائها وإن سقطت عن المالية، كما لا ريب في الخروج عنها بأدائها مع تنزّل قيمتها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 في نحو المثالين المتقدّمين، ممّا هو متيقّن مورد البحث، هذا إذا كان دليل الضمان قاعدة اليد</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قاعدة الإتلاف،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هو إتلاف المال، لا إتلاف المالية، وإخراج العين من مكان إلى مكان آخر لا مالية لها فيه، إزالة لماليتها، وليس كجعل الخلّ خمراً بإعمال عمل فيه؛ فإنّه إزالة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ويتبعها زوال المالية، فضمانه من حيث إزالة الصفة، لا من حيث إزالة المالية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إزالة الصفة الدخيلة في المالية إذا كانت مضمونة، لا يفرّق فيها بين الصفات الحقيقية، والاعتبارية، والإضافية الدخيلة في المالية، فنقل الماء من المفازة إلى شاطئ دجلة، سلب لصفة دخيلة في التقويم، وإزالة تلك الصفة كإزالة صفة الخلّية إتلاف للمال، ومشمول لدليل الإتلاف، كما أنّ حبس الثلج من الصيف إلى الشتاء، إزالة صفة إضافية دخيلة في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ذكرناه في مفاد دليل اليد</w:t>
      </w:r>
      <w:r>
        <w:rPr>
          <w:rStyle w:val="FootnoteAnchor"/>
          <w:rtl w:val="true"/>
        </w:rPr>
        <w:footnoteReference w:id="1249"/>
      </w:r>
      <w:r>
        <w:rPr>
          <w:rFonts w:ascii="Amiri" w:hAnsi="Amiri" w:eastAsia="Amiri" w:cs="Amiri"/>
          <w:color w:val="111111"/>
          <w:sz w:val="28"/>
          <w:sz w:val="28"/>
          <w:szCs w:val="28"/>
          <w:rtl w:val="true"/>
          <w:lang w:bidi="ar-SA"/>
        </w:rPr>
        <w:t>، لا فرق بين بقاء العين كما تقدّم، وبين تلفها تحت يده، مع كونها موصوفة بصفة دخيلة في زيادة القيمة، ولو كانت عند تلفها زائلة، فلو سقطت العين عن القيمة لأجل زوال صفة دخيلة في المالية، صارت مضمونة بتلك الصفة، سواء قلنا بأنّ العين على العهدة،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الحال في إسقاط الدول الدرهم عن الاعتبار، فإنّ الدرهم مع وصف رواجه واعتباره، تحت يده ومضمون عليه، ولا بدّ من لحاظ هذه الصفة وتدارك العين الموصوفة بهذه الصفة، سواء كان سقوطه عن الاعتبار موجباً لزوال المالية أو لنقص القيمة؛ فإنّ دليل الضمان يشملهما باعتبار واحد</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 أنّه مع سقوط المالية كلّية، ليس أداء المثل تداركاً؛ لأنّ تغريم العين ليس إلاّ من حيث رعاية ماليتها، وما ليس بمال لا يتدارك به المال، ومع بقاء المالية في الجملة يكفي أداء المثل</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851" w:name="pg15195_150954"/>
    </w:p>
    <w:p>
      <w:pPr>
        <w:pStyle w:val="BookText"/>
        <w:rPr/>
      </w:pPr>
      <w:bookmarkEnd w:id="851"/>
      <w:r>
        <w:rPr>
          <w:rFonts w:ascii="Amiri" w:hAnsi="Amiri" w:eastAsia="Amiri" w:cs="Amiri"/>
          <w:color w:val="111111"/>
          <w:sz w:val="28"/>
          <w:sz w:val="28"/>
          <w:szCs w:val="28"/>
          <w:rtl w:val="true"/>
          <w:lang w:bidi="ar-SA"/>
        </w:rPr>
        <w:t>غير وجيه؛ لأنّ الغرامة إن كانت بلحاظ المالية، فكما أنّ ما ليس بمال لا يتدارك به المال، كذا المالية النازلة، لا تتدارك بها المالية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كما عرفت من ضمان الأوصاف الدخيلة في المالية مطلقاً </w:t>
      </w:r>
      <w:r>
        <w:rPr>
          <w:rStyle w:val="FootnoteAnchor"/>
          <w:rtl w:val="true"/>
        </w:rPr>
        <w:footnoteReference w:id="1251"/>
      </w:r>
      <w:r>
        <w:rPr>
          <w:rFonts w:ascii="Amiri" w:hAnsi="Amiri" w:eastAsia="Amiri" w:cs="Amiri"/>
          <w:color w:val="111111"/>
          <w:sz w:val="28"/>
          <w:sz w:val="28"/>
          <w:szCs w:val="28"/>
          <w:rtl w:val="true"/>
          <w:lang w:bidi="ar-SA"/>
        </w:rPr>
        <w:t>، لا ضمان المالية</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2495773_2142443653"/>
      <w:bookmarkStart w:id="853" w:name="_Toc302"/>
      <w:bookmarkEnd w:id="852"/>
      <w:r>
        <w:rPr>
          <w:rtl w:val="true"/>
        </w:rPr>
        <w:t>بحث في أخبار الدراهم التي أسقط السلطان اعتبارها</w:t>
      </w:r>
      <w:bookmarkEnd w:id="853"/>
    </w:p>
    <w:p>
      <w:pPr>
        <w:pStyle w:val="BookText"/>
        <w:rPr/>
      </w:pPr>
      <w:r>
        <w:rPr>
          <w:rFonts w:ascii="Amiri" w:hAnsi="Amiri" w:eastAsia="Amiri" w:cs="Amiri"/>
          <w:color w:val="111111"/>
          <w:sz w:val="28"/>
          <w:sz w:val="28"/>
          <w:szCs w:val="28"/>
          <w:rtl w:val="true"/>
          <w:lang w:bidi="ar-SA"/>
        </w:rPr>
        <w:t xml:space="preserve">ثمّ إنّ النصوص الواردة في باب الدين والقرض، فيما إذا أسقط السلطان الدراهم عن الرواج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الدراهم الرائجة، كما أخذ الرائجة</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 أداء الدراهم الساقطة، لا الرائجة</w:t>
      </w:r>
      <w:r>
        <w:rPr>
          <w:rFonts w:eastAsia="Amiri" w:cs="Amiri" w:ascii="Amiri" w:hAnsi="Amiri"/>
          <w:color w:val="111111"/>
          <w:sz w:val="28"/>
          <w:szCs w:val="28"/>
          <w:rtl w:val="true"/>
          <w:lang w:bidi="ar-SA"/>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حكم المقام؛ لأنّ باب ضمان اليد أجنبيّ عن باب القرض، فإنّ اليد واقعة على الشيء بجميع خصوصياته وصفاته، من غير دخالة الجعل والقرار فيها، وأمّا القرض فهو عقد واقع على نفس الدرهم والدينار، لا الدرهم في مكان أو زمان كذا، فمع تنزّل قيمة الدرهم بإسقاط السلطان ورواج ما هو الأعلى منه، ليس على المقترض إلاّ الدراهم الاُولى، فتأمّل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ومفروض السؤال في الروايات تنزّل القيمة، لا سقوطها عن المالية، وبينهما فرق عرفاً، 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قياس بين البابين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للأخبار المشار إليها وجه جمع مقبول عرفاً، وهو أنّ في صحيحة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ما إذا أعطى ما ينفق بين الناس، ثمّ سقطت الدراهم؛ بحيث لا تنفق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تأخذ منه ما ينفق بينهم، كما أعطيته ما ينفق بينهم</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صحيحته الاُخرى بطريق الشيخ</w:t>
      </w:r>
      <w:r>
        <w:rPr>
          <w:rStyle w:val="FootnoteAnchor"/>
          <w:rtl w:val="true"/>
        </w:rPr>
        <w:footnoteReference w:id="1255"/>
      </w:r>
      <w:r>
        <w:rPr>
          <w:rFonts w:ascii="Amiri" w:hAnsi="Amiri" w:eastAsia="Amiri" w:cs="Amiri"/>
          <w:color w:val="111111"/>
          <w:sz w:val="28"/>
          <w:sz w:val="28"/>
          <w:szCs w:val="28"/>
          <w:rtl w:val="true"/>
          <w:lang w:bidi="ar-SA"/>
        </w:rPr>
        <w:t>فالمفروض فيها ما يكون السقوط موجباً للوضيعة، لا عدم الإنفاق، فتكون الدراهم بعد إسقاط السلطان رائجة، وإن كان فيها وضيعة، فحكم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الدراهم الاُولى المأخوذة لا الثانية، ومعلوم أن لا اختلاف بينهما، وهذان الحكمان عقلائيان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صفوان فمضمرة، لا يعلم أنّ المسؤول عنه الإمام عليه السلام أو صفوان؛ لاحتمال أن يكون المسؤول عنه صفوان، وكان الحكم اجتهاداً منه، هذا حال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متنها فهو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معاوية بن سعيد عن رجل استقرض دراهم عن رجل، وسقطت تلك الدراهم، وتغيّرت ولا يباع بها شيء، أ لِصاحب الدراهم الدراهم الاُولى، أو الجائزة التي تجوز بين الناس؟</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الدراهم الدراهم الاُولى</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854" w:name="pg15195_150956"/>
    </w:p>
    <w:p>
      <w:pPr>
        <w:pStyle w:val="BookText"/>
        <w:rPr/>
      </w:pPr>
      <w:bookmarkEnd w:id="854"/>
      <w:r>
        <w:rPr>
          <w:rFonts w:ascii="Amiri" w:hAnsi="Amiri" w:eastAsia="Amiri" w:cs="Amiri"/>
          <w:color w:val="111111"/>
          <w:sz w:val="28"/>
          <w:sz w:val="28"/>
          <w:szCs w:val="28"/>
          <w:rtl w:val="true"/>
          <w:lang w:bidi="ar-SA"/>
        </w:rPr>
        <w:t xml:space="preserve">فيحتمل أن يكون المراد أنّها حين استقراضه كانت ساقطة ولم يعلم المستقرض، ولهذا لم يأت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جملة حالية للاستقراض، وعدم التصدير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فيكون الحكم فيها على موضوع ثالث، وهو الاستقراض في حال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يونس الاُولى صريحة في مفادها، وهو التفصيل بين الرواج وغيره، وهذه الصحيحة لها ظهور ضعيف قابل للحمل عرفاً على ما ذكر، فيحمل عليه جمعاً، فيرتفع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والشيخ</w:t>
      </w:r>
      <w:r>
        <w:rPr>
          <w:rStyle w:val="FootnoteAnchor"/>
          <w:rtl w:val="true"/>
        </w:rPr>
        <w:footnoteReference w:id="1257"/>
      </w:r>
      <w:r>
        <w:rPr>
          <w:rFonts w:ascii="IRNazanin" w:hAnsi="IRNazanin" w:eastAsia="IRNazanin"/>
          <w:color w:val="111111"/>
          <w:sz w:val="28"/>
          <w:sz w:val="28"/>
          <w:szCs w:val="28"/>
          <w:rtl w:val="true"/>
          <w:lang w:bidi="fa-IR"/>
        </w:rPr>
        <w:t>، وما أفاده بعض الأعاظم</w:t>
      </w:r>
      <w:r>
        <w:rPr>
          <w:rStyle w:val="FootnoteAnchor"/>
          <w:rtl w:val="true"/>
        </w:rPr>
        <w:footnoteReference w:id="1258"/>
      </w:r>
      <w:r>
        <w:rPr>
          <w:rFonts w:ascii="Amiri" w:hAnsi="Amiri" w:eastAsia="Amiri" w:cs="Amiri"/>
          <w:color w:val="111111"/>
          <w:sz w:val="28"/>
          <w:sz w:val="28"/>
          <w:szCs w:val="28"/>
          <w:rtl w:val="true"/>
          <w:lang w:bidi="ar-SA"/>
        </w:rPr>
        <w:t xml:space="preserve">قدّست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وجيهة فراجع</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2495775_2142443653"/>
      <w:bookmarkStart w:id="856" w:name="_Toc303"/>
      <w:bookmarkEnd w:id="855"/>
      <w:r>
        <w:rPr>
          <w:rtl w:val="true"/>
        </w:rPr>
        <w:t xml:space="preserve">الرابعة </w:t>
      </w:r>
      <w:r>
        <w:rPr>
          <w:rtl w:val="true"/>
        </w:rPr>
        <w:t xml:space="preserve">: </w:t>
      </w:r>
      <w:r>
        <w:rPr>
          <w:rtl w:val="true"/>
        </w:rPr>
        <w:t>حكم الشكّ في فراغ الذمّة بدفع ما سقط عن المالية</w:t>
      </w:r>
      <w:bookmarkEnd w:id="856"/>
    </w:p>
    <w:p>
      <w:pPr>
        <w:pStyle w:val="BookText"/>
        <w:rPr/>
      </w:pPr>
      <w:r>
        <w:rPr>
          <w:rFonts w:ascii="Amiri" w:hAnsi="Amiri" w:eastAsia="Amiri" w:cs="Amiri"/>
          <w:color w:val="111111"/>
          <w:sz w:val="28"/>
          <w:sz w:val="28"/>
          <w:szCs w:val="28"/>
          <w:rtl w:val="true"/>
          <w:lang w:bidi="ar-SA"/>
        </w:rPr>
        <w:t>لو شككنا في الخروج عن العهدة بأداء ما سقط عن المالية،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بقاء العين وسقوطها عن المالية،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بقاء العين على العهدة إلى زمان التدارك،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وقوع المثل عليها بتلف العين إلى زمانه،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انقلاب العين أو المثل إلى القيمة عند التعذّر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العين مع سقوطها عن القيمة، وشكّ في الخروج عن </w:t>
      </w:r>
      <w:bookmarkStart w:id="857" w:name="pg15195_150957"/>
    </w:p>
    <w:p>
      <w:pPr>
        <w:pStyle w:val="BookText"/>
        <w:rPr/>
      </w:pPr>
      <w:bookmarkEnd w:id="857"/>
      <w:r>
        <w:rPr>
          <w:rFonts w:ascii="Amiri" w:hAnsi="Amiri" w:eastAsia="Amiri" w:cs="Amiri"/>
          <w:color w:val="111111"/>
          <w:sz w:val="28"/>
          <w:sz w:val="28"/>
          <w:szCs w:val="28"/>
          <w:rtl w:val="true"/>
          <w:lang w:bidi="ar-SA"/>
        </w:rPr>
        <w:t>العهدة لأجل الشكّ في أنّ التدارك هل يجب بالمالية، أو بخصوصية العين، أو بكليهما؟ فمقتضى الأصل بقاء نفس العين على العهدة، وعدم سقوطها بأداء ما سقطت عن القيمة إلى أن يؤدّي قيمتها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خصوصية العين شيئاً مضموناً، وخصوصية المالية شيئاً آخر مضموناً مستقلاًّ،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خصوصية العين موجب لسقوط ضمانها، والاشتغال بخصوصية المال مشكوك فيه؛ ضرورة أنّ المضمون شيء واحد وإن كانت له مالية، لكن ماليته ليست مضمونة مستقلاًّ، والمفروض عدم إحراز ضمان المأخوذ بماليته، ومعه يشكّ في الخروج عن عهدة العين فيستصحب</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2495777_2142443653"/>
      <w:bookmarkStart w:id="859" w:name="_Toc304"/>
      <w:bookmarkEnd w:id="858"/>
      <w:r>
        <w:rPr>
          <w:rtl w:val="true"/>
        </w:rPr>
        <w:t>رأي المحقّق الأصفهاني وما فيه</w:t>
      </w:r>
      <w:bookmarkEnd w:id="859"/>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لهذا الأصل؛ إذ لم يثبت للعهدة أثر شرعاً وعرفاً إلاّ وجوب دفع العين، فلا معنى للتعبّد بالقيمة من أجل التعبّد ببقاء العين إلاّ بالأصل المثبت؛ لأنّ بقاءها مع دفع العين ملزوم عادةً أو عقلاً لوجوب التدارك بالمالية، نعم أصالة بقاء الخروج عن عهدة العين بدفعها قبل سقوطها عن المالية لا بأس بها </w:t>
      </w:r>
      <w:r>
        <w:rPr>
          <w:rStyle w:val="FootnoteAnchor"/>
          <w:rtl w:val="true"/>
        </w:rPr>
        <w:footnoteReference w:id="12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بقاء اشتغال الذمّة، لازمه عقلاً وجوب الخروج عن العهدة، وهذا لازم أعمّ للحكم الواقعي والظاهري، كما أنّ وجوب الطاعة لازم أعمّ للحكم الواقعي والظاهري، وفي مثله لا شائبة للمثبتية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 استصحاب وجوب صلاة الجمعة جارٍ، ولازمه العقلي لزوم الإطاعة والإتيان بالمستصحب؛ إذ مع عدم الإتيان يستحقّ العقوبة على الواقع لو فرض المصادفة؛ لتمامية الحجّة وانقطاع العذر، ولو كان حكم العقل بلزوم الإتيان من آثار الواقع، لما جرى الاستصحاب؛ لأنّ الأثر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المقام، إنّ لزوم الخروج عن العهدة حكم عقلي للأعمّ من الواقعي والظاهري، فكما أنّ العقل حاكم بلزوم الخروج عن عهدة مال الغير مع العلم بالاشتغال، كذلك مع استصحاب بقاء العهدة حاكم بلزوم الخروج عنها؛ لتمامية الحجّة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باستصحاب بقاء العهدة، ترتيب أثر الواقع على الموضوع،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أثر عقلي، لا يترتّب عليه إلاّ مع القول بالأصل المثبت، بل يراد إثبات الاشتغال فقط، ومعه يحكم العقل بلزوم الخروج عن العهدة بأيّ شيء يمكن، والمفروض أنّ أداء العين الساقطة عن المالية لا يوجب العلم بالخروج، فلا بدّ من أداء القيمة أيضاً؛ لتحصل البراءة القطعية، بل قاعدة الاشتغال لعلّها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الآخر الذي نفى البأس عنه، فلا أصل له؛ لأنّ الأصل التنجيزي لا معنى له؛ لعدم تحقّق الدفع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كذلك سابقاً، بل هو يرجع إلى التعليق في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دفعت العين قبل خروجها عن المالية، لكانت مسقطة للعهدة، والآن كذلك، وهو مبنيّ على جريان الاستصحاب في التعليقات الموضوعية، وهو ضعيف</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قاعدة اليد كما أفادت عهدة العين، أفادت حكماً تعليقياً، </w:t>
      </w:r>
    </w:p>
    <w:p>
      <w:pPr>
        <w:pStyle w:val="BookText"/>
        <w:rPr/>
      </w:pPr>
      <w:r>
        <w:rPr>
          <w:rFonts w:ascii="Amiri" w:hAnsi="Amiri" w:eastAsia="Amiri" w:cs="Amiri"/>
          <w:color w:val="111111"/>
          <w:sz w:val="28"/>
          <w:sz w:val="28"/>
          <w:szCs w:val="28"/>
          <w:rtl w:val="true"/>
          <w:lang w:bidi="ar-SA"/>
        </w:rPr>
        <w:t>وهو الخروج عن العهدة بالأداء، وكان هذا الحكم شرعياً لا عقلياً محضاً، جرى الاستصحاب التعليقي، وهو حاكم على التنجيزي كما قرّر في محلّه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ذكرناه يظهر الحال في سائر الصور، فإنّ استصحاب بقاء العين على العهدة في فرض تعلّقها على الذمّة حتّى بعد التلف، وبقائها إلى زمان التدارك، جارٍ مع الشكّ في أنّ أداء المثل الساقط عن القيمة، تدارك أو لا، وحكمه لزوم الخروج عن عهدتها بأداء القيمة أيضاً، والاستصحاب التعليقي المقابل غير جارٍ على فرض، وحاكم على 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القائل بعدم جريان الاستصحاب الأوّل في فرض وجود العين للمثبتية، وجريان الثاني، ذهب إلى جريان الأوّل في المقام دون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العين في العهدة وعدم سقوطها إلاّ بدفع القيمة والمثل؛ تداركاً لحيثية الطبيعة النوعية ولحيثية المالية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بعد الغضّ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العين على العهدة، لا يثبت لزوم التدارك بالمثل والقيمة جميعاً؛ لأنّه ليس أثراً شرعياً للواقع، بل العقل يحكم بلزوم أدائهما لتحصيل القطع بالبراءة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أداء المثل في المثلي، والقيمة عند التعذّر، حكم شرعي، ومع الاستصحاب يعلم إجمالاً بلزوم دفع أحدهما أو هما معاً، فأثر الاستصحاب حكم شرعي مردّد، والعلم الإجمالي بالحكم الظاهري منجّز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المبنى لا يكون ما ذكر شرعياً، بل عقلي لأجل الأقربية إلى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بيان عدم جريان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في السابق سقوط العهدة بأداء المثل بذاته، حتّى يقال ببقائه على حاله، بل بما هو أقرب إلى التالف، وهو أمر لبّي، فيشكّ فعلاً في أنّ الأقرب إليه في نظر الشارع هو المماثل في الصورة فقط، أو المماثل للمالية، أو هما معاً، فلا يقطع بسقوط العهدة إلاّ بهما معاً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الغضّ عمّا ذكرناه</w:t>
      </w:r>
      <w:r>
        <w:rPr>
          <w:rStyle w:val="FootnoteAnchor"/>
          <w:rtl w:val="true"/>
        </w:rPr>
        <w:footnoteReference w:id="1263"/>
      </w:r>
      <w:r>
        <w:rPr>
          <w:rFonts w:ascii="Amiri" w:hAnsi="Amiri" w:eastAsia="Amiri" w:cs="Amiri"/>
          <w:color w:val="111111"/>
          <w:sz w:val="28"/>
          <w:sz w:val="28"/>
          <w:szCs w:val="28"/>
          <w:rtl w:val="true"/>
          <w:lang w:bidi="ar-SA"/>
        </w:rPr>
        <w:t>، لا وقع لهذا الإشكال؛ لأنّ مصداق المثل الموجود في الخارج إذا سقط عن المالية،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الموجود كان دفعه مسقطاً لما في الذمّة في زمان ماليته، والآن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الشكّ كائناً ما كان لا يضرّ بالاستصحاب مع وحدة القضيّة المتيقّنة والمشكوك فيها؛ فإنّ كون المالية منشأً للأقربية، أو الصورة النوعية، أو هما معاً، محقّق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إذا علم أنّ زيداً واجب الإكرام، ولم يعلم أنّ منشأ وجوبه علمه أو هاشميته، فإنّه مع زوال علمه يشكّ في وجوب إكرامه، فيستصحب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البناء على أنّ المثل في العهدة عند تلف العين، لا مانع من جريان استصحاب بقائه، وحكمه العقلي ما عرفت</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القائل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منشأ الشكّ في كفاية أداء المثل، الشكّ في أنّ </w:t>
      </w:r>
    </w:p>
    <w:p>
      <w:pPr>
        <w:pStyle w:val="BookText"/>
        <w:rPr/>
      </w:pPr>
      <w:r>
        <w:rPr>
          <w:rFonts w:ascii="Amiri" w:hAnsi="Amiri" w:eastAsia="Amiri" w:cs="Amiri"/>
          <w:color w:val="111111"/>
          <w:sz w:val="28"/>
          <w:sz w:val="28"/>
          <w:szCs w:val="28"/>
          <w:rtl w:val="true"/>
          <w:lang w:bidi="ar-SA"/>
        </w:rPr>
        <w:t>المالية من مقوّمات المثل الذي اشتغلت الذمّة به، حتّى لا يسقط ذمّة المثل بأداء المماثل في الصورة فقط، أو من حالاته حتّى يسقط بأدائه، فالموضوع الذي قد اشتغلت الذمّة به، مردّد بين مقطوع البقاء بعد أداء المثل، ومقطوع الارتفاع بعد أدائه، وإذ لا موضوع محرز فلا مجال للاستصحاب</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الإشكال المعروف في القسم الثاني من استصحاب الكلّي</w:t>
      </w:r>
      <w:r>
        <w:rPr>
          <w:rStyle w:val="FootnoteAnchor"/>
          <w:rtl w:val="true"/>
        </w:rPr>
        <w:footnoteReference w:id="1266"/>
      </w:r>
      <w:r>
        <w:rPr>
          <w:rFonts w:ascii="Amiri" w:hAnsi="Amiri" w:eastAsia="Amiri" w:cs="Amiri"/>
          <w:color w:val="111111"/>
          <w:sz w:val="28"/>
          <w:sz w:val="28"/>
          <w:szCs w:val="28"/>
          <w:rtl w:val="true"/>
          <w:lang w:bidi="ar-SA"/>
        </w:rPr>
        <w:t>، وهو مدفوع في محلّه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العهدة إمّا المثل المتقوّم بالقيمة، أو المثل غير المتقوّم بها، وهما صنفان من الكلّي؛ أي المثل بلا شرط، فلا إشكال في صحّة استصحاب الطبيعي، ومعه يحكم بلزوم الخروج عن العهدة والقطع بالبراءة، وقضيّة الدوران بين مقطوع البقاء على فرض، ومقطوع الارتفاع على فرض آخر، محقّقة الشكّ أو لازمته، فكلّ أمر مشكوك فيه على فرض، يكون أحد طرفيه مقطوعاً به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بأنّ التعذّر يوجب الانقلاب إلى القيمة، ويشكّ في أنّ الخروج عن القيمة في المثل تعذّر أو لا، يستصحب بقاء المثل، وحكمه العقلي ما عرفت؛ من لزوم ردّ المثل والقيمة</w:t>
      </w:r>
      <w:r>
        <w:rPr>
          <w:rStyle w:val="FootnoteAnchor"/>
          <w:rtl w:val="true"/>
        </w:rPr>
        <w:footnoteReference w:id="1268"/>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bookmarkStart w:id="860" w:name="pg15195_150962"/>
    </w:p>
    <w:p>
      <w:pPr>
        <w:pStyle w:val="Heading5"/>
        <w:numPr>
          <w:ilvl w:val="4"/>
          <w:numId w:val="1"/>
        </w:numPr>
        <w:rPr/>
      </w:pPr>
      <w:bookmarkStart w:id="861" w:name="__RefHeading___Toc2495779_2142443653"/>
      <w:bookmarkStart w:id="862" w:name="_Toc305"/>
      <w:bookmarkEnd w:id="860"/>
      <w:bookmarkEnd w:id="861"/>
      <w:r>
        <w:rPr>
          <w:rtl w:val="true"/>
        </w:rPr>
        <w:t xml:space="preserve">الخامسة </w:t>
      </w:r>
      <w:r>
        <w:rPr>
          <w:rtl w:val="true"/>
        </w:rPr>
        <w:t xml:space="preserve">: </w:t>
      </w:r>
      <w:r>
        <w:rPr>
          <w:rtl w:val="true"/>
        </w:rPr>
        <w:t>حكم التمكّن من المثل بعد دفع القيمة</w:t>
      </w:r>
      <w:bookmarkEnd w:id="862"/>
    </w:p>
    <w:p>
      <w:pPr>
        <w:pStyle w:val="BookText"/>
        <w:rPr/>
      </w:pPr>
      <w:r>
        <w:rPr>
          <w:rFonts w:ascii="Amiri" w:hAnsi="Amiri" w:eastAsia="Amiri" w:cs="Amiri"/>
          <w:color w:val="111111"/>
          <w:sz w:val="28"/>
          <w:sz w:val="28"/>
          <w:szCs w:val="28"/>
          <w:rtl w:val="true"/>
          <w:lang w:bidi="ar-SA"/>
        </w:rPr>
        <w:t>لو دفع القيمة عند تعذّر المثل ثمّ تمكّن منه، فإن قلنا بأنّ العين على العهدة إلى زمان التدارك،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أداء المثل نحو أداء ناقص؛ للعذر عن أداء التمام بتلفها، وأنّ أداء القيمة عند تعذّر المثل أداء للعين بوجه أنقص من أداء المثل، وكذا لو قلنا بأنّ المثل على العهدة، وأداء القيمة نحو أداء ناقص للمثل؛ للعذر عن الأداء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وجدان المثل موجب لرفع العذر عن أداء ما في العهدة، وأنّ الأداء الناقص لا يعدّ أداءً عند رفع العذر، فكما أنّ العين لو رجعت بخرق العادة، لا بدّ من أدائها إلى مالكها وأخذ المثل أو القيمة، كذلك أداء القيمة أداء عذري لبعض مراتب العين أو المثل، ومع إمكان الأداء بجميع مراتبه أو بمرتبته الكاملة، لا بدّ من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أداء المثل في المثليات غرامة تامّة وجبران كامل للخسارة، وأداء القيمة عند تعذّره أيضاً غرامة كاملة وجبران تامّ في باب الغرامات، فلا بدّ من التفصيل بين رجوع العين خرقاً للعادة، وبين رفع العذر والتمكّن عن المثل بعد أداء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بما لها من الهوية الخاصّة، لا تجبر بالغرامة؛ لأنّ الهويات لا توجب اختلاف الرغبات، فمنّ من حنطة يجبر بمنّ آخر منها، مع تساويهما في جميع الأوصاف الموجبة لاختلاف الرغبات، وكونه ذا هوية خاصّة، لا دخالة له في باب الغرامات</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أتلف منّاً منها، وأدّى منّاً مماثلاً من جميع الجهات الموجبة لاختلاف الرغبات، فقد أدّى الغرامة تامّةً، وجبر الخسارة كاملةً، وخرج عن عهدة ما يكون مضموناً عليه، لكن لم يجبر الهوية الشخصية؛ لعدم كونها دخيلة في الغرامة، لأنّ الدخيل فيها عرفاً هو الطبيعة الموصوفة بصفات دخيلة في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رجوع العين بشخصها بخرق العادة، فللمالك مطالبة الهوية؛ لعدم جبرها فرضاً، والهوية ملكه، والمثل وإن كان تمام الغرامة، لكنّه غرامة لما هو دخيل في باب الغرامة والضمان، لا لما 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تعذّر المثل، فتكون القيمة تمام دركه وكمال جبره؛ وذلك لأنّ القيمة ليست في عرض سائر الأوصاف، كالعربية في الفرس، والخلوص والكون في بلد كذا في الحنطة، فالقيمة بدل من المثل وغرامة له تامّاً غير ناقص في الغرامة، فمع وجود المثل يكون هو تمام غرامة العين، ومع فقده أو كون العين قيمية، تكون القيمة تمام غرامتها وجابرة للخسارة، ومعه لا معنى لبقاء المثل على العهدة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الذي أفاده الشيخ قدّس سرّه </w:t>
      </w:r>
      <w:r>
        <w:rPr>
          <w:rStyle w:val="FootnoteAnchor"/>
          <w:rtl w:val="true"/>
        </w:rPr>
        <w:footnoteReference w:id="1269"/>
      </w:r>
      <w:r>
        <w:rPr>
          <w:rFonts w:ascii="Amiri" w:hAnsi="Amiri" w:eastAsia="Amiri" w:cs="Amiri"/>
          <w:color w:val="111111"/>
          <w:sz w:val="28"/>
          <w:sz w:val="28"/>
          <w:szCs w:val="28"/>
          <w:rtl w:val="true"/>
          <w:lang w:bidi="ar-SA"/>
        </w:rPr>
        <w:t>فغير وجيه، بل لو عكس الأمر وقال في صورة عدم سقوط المثل عن العهدة كانت القيمة من قبيل بدل الحيلولة؛ بدعوى أنّ القيمة غير جابرة لحيث النوع والمثل، وأمّا مع الانقلاب إلى القيمة، سواء كان الانقلاب للمغصوب أم مثله، فلا رجوع، لكان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مبنى الشقّ الأوّل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جواز الرجوع مع كون المثل على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للمالك إسقاط خصوصية المماثلة للطبيعة، ومطالبة حيثية المالية، ومع إسقاط الاُولى وأخذ الثانية، لا وجه للرجوع</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فإنّه مضافاً إلى 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إسقاط بعض الحيثيات وإبقاء بعضها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المبنى لو كان ذلك لكان اللازم التفصيل بين ما إذا أسقط المالك حيثية المثلية وطالب بالبقيّة، وبين ما إذا طالب بالقيمة بلا إسقاط، فإنّه مسلّط على ماله على فرضهم، مع أنّ الكلام في المقام ممحّض فيما إذا أخذ القيمة غرامة، من غير نظر إلى إسقاط المثلية، وأخذها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ما في كلام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فرضه المراضاة بين الغريم والمالك بأنّ القيمة عوض للمثل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فرض المراضاة بينهما، لم يكن فرق بين الصور، ولا يتّجه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المفروض أخذ الغرامة ولو من غير رضاه، لا المراضاة بالمعاوضة، ولو فرض مراضاة فإنّما هي لأخذ الغرامة لا للمعاوضة؛ فإنّ باب أخذ الغرامات أجنبيّ عن باب المعاوضات</w:t>
      </w:r>
      <w:r>
        <w:rPr>
          <w:rFonts w:eastAsia="Amiri" w:cs="Amiri" w:ascii="Amiri" w:hAnsi="Amiri"/>
          <w:color w:val="111111"/>
          <w:sz w:val="28"/>
          <w:szCs w:val="28"/>
          <w:rtl w:val="true"/>
          <w:lang w:bidi="ar-SA"/>
        </w:rPr>
        <w:t xml:space="preserve">. </w:t>
      </w:r>
      <w:bookmarkStart w:id="863" w:name="pg15195_150965"/>
    </w:p>
    <w:p>
      <w:pPr>
        <w:pStyle w:val="Heading3"/>
        <w:numPr>
          <w:ilvl w:val="2"/>
          <w:numId w:val="1"/>
        </w:numPr>
        <w:rPr/>
      </w:pPr>
      <w:bookmarkStart w:id="864" w:name="__RefHeading___Toc2495781_2142443653"/>
      <w:bookmarkStart w:id="865" w:name="_Toc306"/>
      <w:bookmarkEnd w:id="863"/>
      <w:bookmarkEnd w:id="864"/>
      <w:r>
        <w:rPr>
          <w:rtl w:val="true"/>
        </w:rPr>
        <w:t xml:space="preserve">الأمر السابع </w:t>
      </w:r>
      <w:r>
        <w:rPr>
          <w:rtl w:val="true"/>
        </w:rPr>
        <w:t xml:space="preserve">: </w:t>
      </w:r>
      <w:r>
        <w:rPr>
          <w:rtl w:val="true"/>
        </w:rPr>
        <w:t>في ضمان القيمة لو كان المأخوذ بالبيع الفاسد قيمياً</w:t>
      </w:r>
      <w:bookmarkEnd w:id="865"/>
    </w:p>
    <w:p>
      <w:pPr>
        <w:pStyle w:val="Heading4"/>
        <w:numPr>
          <w:ilvl w:val="3"/>
          <w:numId w:val="1"/>
        </w:numPr>
        <w:rPr/>
      </w:pPr>
      <w:bookmarkStart w:id="866" w:name="__RefHeading___Toc2495783_2142443653"/>
      <w:bookmarkStart w:id="867" w:name="_Toc307"/>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لو كان التالف في المأخوذ بالبيع الفاسد قيمياً، فلا إشكال في كونه مضموناً بالقيمة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ومحطّ الكلام هو أنّه كما أنّ المثلي المضمون بالمثل مع وجود مثله، يكون ضمانه بالمثل قهرياً إجبارياً في طرفي الضامن والمضمون له؛ بمعنى أنّ الضامن ملزم بأداء المثل، وليس له الخيار بينه وبين أداء القيمة حتّى الدراهم والدنانير، فضلاً عن القيمة السارية في سائر الأجناس، كما زعم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في باب الغرامات إنّما هو بالقيمة السارية في كلّ متقوّم، والمقصود جبر الخسارة بأيّ وجه كان</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مخالف لعمل العقلاء، وللمتفاهم من أدلّة الضمانات</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المضمون له ملزم بأخذ المثل، وليس له المطالبة بالقيمة، واحتمال كونه </w:t>
      </w:r>
    </w:p>
    <w:p>
      <w:pPr>
        <w:pStyle w:val="BookText"/>
        <w:rPr/>
      </w:pPr>
      <w:r>
        <w:rPr>
          <w:rFonts w:ascii="Amiri" w:hAnsi="Amiri" w:eastAsia="Amiri" w:cs="Amiri"/>
          <w:color w:val="111111"/>
          <w:sz w:val="28"/>
          <w:sz w:val="28"/>
          <w:szCs w:val="28"/>
          <w:rtl w:val="true"/>
          <w:lang w:bidi="ar-SA"/>
        </w:rPr>
        <w:t>بمقتضى دليل السلطنة مسلّطاً على إلغاء خصوصية المثل ومطالبة القيمة</w:t>
      </w:r>
      <w:r>
        <w:rPr>
          <w:rStyle w:val="FootnoteAnchor"/>
          <w:rtl w:val="true"/>
        </w:rPr>
        <w:footnoteReference w:id="1274"/>
      </w:r>
      <w:r>
        <w:rPr>
          <w:rFonts w:ascii="Amiri" w:hAnsi="Amiri" w:eastAsia="Amiri" w:cs="Amiri"/>
          <w:color w:val="111111"/>
          <w:sz w:val="28"/>
          <w:sz w:val="28"/>
          <w:szCs w:val="28"/>
          <w:rtl w:val="true"/>
          <w:lang w:bidi="ar-SA"/>
        </w:rPr>
        <w:t>، قد عرفت ما فيه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يكون حال القيمة في القيمي كذلك؛ بمعنى أنّ كلاًّ منهما ملزم بأداء القيمة وأخذها، بحيث لو وجد مثل للقيمي من جميع الجهات نادراً، كان للمضمون له إلزام الضامن بأداء القيمة، وكذا لو وجد ذلك في يد الضامن، كان له إلزام المضمون له بالقيمة؟</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القيمة في القيمي، قهري لا يجوز لهما التخلّف عنه، أو أنّ الضمان بها إرفاقي، فلو أراد الضامن تحصيل المثل وأداءه، ليس للمضمون له ردّه ومطالبة القيمة، وكذا لو كان المثل بحسب الاتّفاق تحت يد الضامن، كان للمضمون له مطالبته، وليس للضامن إلزامه بالقيمة؟</w:t>
      </w:r>
    </w:p>
    <w:p>
      <w:pPr>
        <w:pStyle w:val="BookText"/>
        <w:rPr/>
      </w:pPr>
      <w:r>
        <w:rPr>
          <w:rFonts w:ascii="Amiri" w:hAnsi="Amiri" w:eastAsia="Amiri" w:cs="Amiri"/>
          <w:color w:val="111111"/>
          <w:sz w:val="28"/>
          <w:sz w:val="28"/>
          <w:szCs w:val="28"/>
          <w:rtl w:val="true"/>
          <w:lang w:bidi="ar-SA"/>
        </w:rPr>
        <w:t>الظاهر عدم استفادة شيءٍ ممّا ذكر من نفس إطلاق أدلّة الضمان، كقاعدة اليد، والإتلاف، واحترام مال المسلم؛ فإنّها غير متعرّضة لهذه الخصوصيات</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أدلّة 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في الأبواب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متعرّضة لكيفية ضمان المثلي والقيمي، مع أنّ بيانها محلّ الحاجة جدّاً لو كان للشارع طريقة خاصّة؛ فإنّها أمر مورد للابتلاء في كلّ يوم مراراً، وفي مثله لا يصحّ إهماله مع اختلاف طريقته للعرف، فيستكشف منه أنّ طريقته هي طريقة العقلاء 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بالإطلاق في كلام الشيخ الأعظم قدّس سرّه </w:t>
      </w:r>
      <w:r>
        <w:rPr>
          <w:rStyle w:val="FootnoteAnchor"/>
          <w:rtl w:val="true"/>
        </w:rPr>
        <w:footnoteReference w:id="1276"/>
      </w:r>
      <w:r>
        <w:rPr>
          <w:rFonts w:ascii="Amiri" w:hAnsi="Amiri" w:eastAsia="Amiri" w:cs="Amiri"/>
          <w:color w:val="111111"/>
          <w:sz w:val="28"/>
          <w:sz w:val="28"/>
          <w:szCs w:val="28"/>
          <w:rtl w:val="true"/>
          <w:lang w:bidi="ar-SA"/>
        </w:rPr>
        <w:t>وغيره</w:t>
      </w:r>
      <w:r>
        <w:rPr>
          <w:rStyle w:val="FootnoteAnchor"/>
          <w:rtl w:val="true"/>
        </w:rPr>
        <w:footnoteReference w:id="1277"/>
      </w:r>
      <w:r>
        <w:rPr>
          <w:rFonts w:ascii="Amiri" w:hAnsi="Amiri" w:eastAsia="Amiri" w:cs="Amiri"/>
          <w:color w:val="111111"/>
          <w:sz w:val="28"/>
          <w:sz w:val="28"/>
          <w:szCs w:val="28"/>
          <w:rtl w:val="true"/>
          <w:lang w:bidi="ar-SA"/>
        </w:rPr>
        <w:t>ليس المعنى المعهود، بل المراد منه ذكر الضمان بلا بيان الكيفية في المثلي والقيمي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يقال في أدلّة تطهير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عدم بيان كيفيته، يمكن</w:t>
      </w:r>
    </w:p>
    <w:p>
      <w:pPr>
        <w:pStyle w:val="BookText"/>
        <w:rPr/>
      </w:pPr>
      <w:r>
        <w:rPr>
          <w:rFonts w:ascii="Amiri" w:hAnsi="Amiri" w:eastAsia="Amiri" w:cs="Amiri"/>
          <w:color w:val="111111"/>
          <w:sz w:val="28"/>
          <w:sz w:val="28"/>
          <w:szCs w:val="28"/>
          <w:rtl w:val="true"/>
          <w:lang w:bidi="ar-SA"/>
        </w:rPr>
        <w:t>استكشاف وحدة طريقة الشارع مع العرف في كيفية تطهيرها، وإلاّ كان عليه البيان مع هذا الابتلاء العامّ</w:t>
      </w:r>
      <w:r>
        <w:rPr>
          <w:rStyle w:val="FootnoteAnchor"/>
          <w:rtl w:val="true"/>
        </w:rPr>
        <w:footnoteReference w:id="1278"/>
      </w:r>
      <w:r>
        <w:rPr>
          <w:rFonts w:ascii="Amiri" w:hAnsi="Amiri" w:eastAsia="Amiri" w:cs="Amiri"/>
          <w:color w:val="111111"/>
          <w:sz w:val="28"/>
          <w:sz w:val="28"/>
          <w:szCs w:val="28"/>
          <w:rtl w:val="true"/>
          <w:lang w:bidi="ar-SA"/>
        </w:rPr>
        <w:t>، فالإهمال وعدم البيان في موارد كان للعرف طريق خاصّ فيها، وكان المورد محلّ الابتلاء، كافٍ في استكشاف وحدة الطريقتين، فلا بدّ في المقام مع الغضّ عن الأدلّة الخاصّة التي نتعرّض لها، والبناء على كون المرجع هو الأدلّة العامّة والقواعد الكلّية كقاعدة اليد وغيرها، من مراجعة طريقة العرف في باب الضمان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نظر العرف في ضمان المثلي بالمثل، والقيمي بالقيمة، أنّ المثل نحو أداء للمضمون وجبر لخسارة المضمون له، كما أنّ القيمة في القيمي أو عند تعذّر المثل في المثلي كذلك، وأنّ البناء على تضمين القيمة ليس بناءً تعبّدياً إلزامياً مطلقاً؛ أي حتّى مع وجود مثله في يد الضامن، أو مع إرادة الضامن أداء المثل من جميع الجهات بنظر العرف؛ فإنّ الإلزام بالقيمة مع ذلك كأنّه خلاف بناء العقلاء في الغرامات، وإن لم نقل به في باب القرض ونحوه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bookmarkStart w:id="868" w:name="pg15195_150968"/>
    </w:p>
    <w:p>
      <w:pPr>
        <w:pStyle w:val="Heading4"/>
        <w:numPr>
          <w:ilvl w:val="3"/>
          <w:numId w:val="1"/>
        </w:numPr>
        <w:rPr/>
      </w:pPr>
      <w:bookmarkStart w:id="869" w:name="__RefHeading___Toc2495785_2142443653"/>
      <w:bookmarkStart w:id="870" w:name="_Toc308"/>
      <w:bookmarkEnd w:id="868"/>
      <w:bookmarkEnd w:id="869"/>
      <w:r>
        <w:rPr>
          <w:rtl w:val="true"/>
        </w:rPr>
        <w:t>مقتضى الأخبار ضمان الأشياء بالقيمة حتّى في المثلي</w:t>
      </w:r>
      <w:bookmarkEnd w:id="870"/>
    </w:p>
    <w:p>
      <w:pPr>
        <w:pStyle w:val="BookText"/>
        <w:rPr/>
      </w:pPr>
      <w:r>
        <w:rPr>
          <w:rFonts w:ascii="Amiri" w:hAnsi="Amiri" w:eastAsia="Amiri" w:cs="Amiri"/>
          <w:color w:val="111111"/>
          <w:sz w:val="28"/>
          <w:sz w:val="28"/>
          <w:szCs w:val="28"/>
          <w:rtl w:val="true"/>
          <w:lang w:bidi="ar-SA"/>
        </w:rPr>
        <w:t>نعم، يمكن استفادة لزوم الغرامة بالقيمة في مطلق الضمانات من بعض روايات الرهن، كموثّقة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يرهن الرهن بمائة درهم، وهو يساوي ثلاث مائة درهم فيهلك، أ على الرجل أن يردّ على صاحبه مائتي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أخذ رهناً فيه فضل وضيّعه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نصف الرهن؟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فيترادّان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الصدوق، عن صفوان بن يحيى، عن إسحاق بن عمّار، نحوها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فيهلكه</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منها بترك الاستفصال، أنّ الرهن سواء كان مثلياً أم قيمياً، وسواء كان المثل متعذّراً أم لا، أو وجد للقيمي مثل أم لا، إذا هلك بتفريط منه مضمون بالقيمة؛ لأنّ سقوط مائة درهم دليل على أنّ الضمان بالقيمة، وإلاّ فلا وجه للسقوط، كما أنّ لزوم تأدية مائتي درهم، دليل على أنّ الدراهم على عهدته في المثلي والقيمي مطلقاً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التعليل أنّ إتلاف مال الغير مطلقاً بل التلف تحت يده تفريطاً </w:t>
      </w:r>
    </w:p>
    <w:p>
      <w:pPr>
        <w:pStyle w:val="BookText"/>
        <w:rPr/>
      </w:pPr>
      <w:r>
        <w:rPr>
          <w:rFonts w:ascii="Amiri" w:hAnsi="Amiri" w:eastAsia="Amiri" w:cs="Amiri"/>
          <w:color w:val="111111"/>
          <w:sz w:val="28"/>
          <w:sz w:val="28"/>
          <w:szCs w:val="28"/>
          <w:rtl w:val="true"/>
          <w:lang w:bidi="ar-SA"/>
        </w:rPr>
        <w:t>موجب لضمانها في المثليات والقيميات؛ ضرورة أنّ المتفاهم عرفاً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أخذ رهناً فيه فضل وضيّعه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العلّة للضمان هو التضييع، من غير دخالة للرهن والفضل فيه، وهو يفيد قاعدة الإتلاف مع الزيادة، وهي بيان كيفية الضمان؛ وأنّه بالقيمة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الشيخ والكليني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مضارع مجرّد، يمكن استفادة ضمان اليد في الجملة منها أيضاً، فلا شبهة في دلالتها على الضمان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الشيخ الأعظم قدّس سرّه ممّا دلّت على أنّه إذا تلف الرهن بتفريط المرتهن، سقط من ذمّته بحساب ذلك</w:t>
      </w:r>
      <w:r>
        <w:rPr>
          <w:rStyle w:val="FootnoteAnchor"/>
          <w:rtl w:val="true"/>
        </w:rPr>
        <w:footnoteReference w:id="1282"/>
      </w:r>
      <w:r>
        <w:rPr>
          <w:rFonts w:ascii="Amiri" w:hAnsi="Amiri" w:eastAsia="Amiri" w:cs="Amiri"/>
          <w:color w:val="111111"/>
          <w:sz w:val="28"/>
          <w:sz w:val="28"/>
          <w:szCs w:val="28"/>
          <w:rtl w:val="true"/>
          <w:lang w:bidi="ar-SA"/>
        </w:rPr>
        <w:t>هو هذه الرواية وما شابهها؛ ضرورة دلالتها على سقوط مائة درهم بتلف الرهن الذي يساوي ثلاث مائة، ودلّ ذيلها على الحساب بالنسبة لو تلف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السيّد الطباطبائي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هذا الخبر</w:t>
      </w:r>
      <w:r>
        <w:rPr>
          <w:rFonts w:eastAsia="Amiri" w:cs="Amiri" w:ascii="Amiri" w:hAnsi="Amiri"/>
          <w:color w:val="111111"/>
          <w:sz w:val="28"/>
          <w:szCs w:val="28"/>
          <w:rtl w:val="true"/>
          <w:lang w:bidi="ar-SA"/>
        </w:rPr>
        <w:t>»</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زعم أنّ مراد الشيخ وجود رواية 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فدلالة الروايات على السقوط بالحمل الشائع واضحة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حمل مثلها على التراضي بينهما واحتسابهما كذلك</w:t>
      </w:r>
      <w:r>
        <w:rPr>
          <w:rStyle w:val="FootnoteAnchor"/>
          <w:rtl w:val="true"/>
        </w:rPr>
        <w:footnoteReference w:id="1284"/>
      </w:r>
      <w:r>
        <w:rPr>
          <w:rFonts w:ascii="Amiri" w:hAnsi="Amiri" w:eastAsia="Amiri" w:cs="Amiri"/>
          <w:color w:val="111111"/>
          <w:sz w:val="28"/>
          <w:sz w:val="28"/>
          <w:szCs w:val="28"/>
          <w:rtl w:val="true"/>
          <w:lang w:bidi="ar-SA"/>
        </w:rPr>
        <w:t>غريب؛ ضرورة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أن يردّ على صاحبه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إلزامي دالّ على أنّ لزوم أداء القيمة لاشتغال ذمّته بها، وإلاّ لم يكن وجه </w:t>
      </w:r>
    </w:p>
    <w:p>
      <w:pPr>
        <w:pStyle w:val="BookText"/>
        <w:rPr/>
      </w:pPr>
      <w:r>
        <w:rPr>
          <w:rFonts w:ascii="Amiri" w:hAnsi="Amiri" w:eastAsia="Amiri" w:cs="Amiri"/>
          <w:color w:val="111111"/>
          <w:sz w:val="28"/>
          <w:sz w:val="28"/>
          <w:szCs w:val="28"/>
          <w:rtl w:val="true"/>
          <w:lang w:bidi="ar-SA"/>
        </w:rPr>
        <w:t xml:space="preserve">للزوم أدائها، وأين هذا من التراضي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المقصود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تلف النصف،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فيترادّان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صدّقه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هذه العبارة المنقولة عن أمير المؤمنين عليه السلام في الرهن على ما في بعض الروايات</w:t>
      </w:r>
      <w:r>
        <w:rPr>
          <w:rStyle w:val="FootnoteAnchor"/>
          <w:rtl w:val="true"/>
        </w:rPr>
        <w:footnoteReference w:id="1285"/>
      </w:r>
      <w:r>
        <w:rPr>
          <w:rFonts w:ascii="Amiri" w:hAnsi="Amiri" w:eastAsia="Amiri" w:cs="Amiri"/>
          <w:color w:val="111111"/>
          <w:sz w:val="28"/>
          <w:sz w:val="28"/>
          <w:szCs w:val="28"/>
          <w:rtl w:val="true"/>
          <w:lang w:bidi="ar-SA"/>
        </w:rPr>
        <w:t>، تدلّ على أنّ الضمان بالقيمة؛ لأنّ معنى ترادّ الفضل أنّ الدين يسقط بحساب الرهن التالف مضموناً، فإن زاد الرهن سقط من الضمان بمقدار الدين، وأخذ الراهن فضله، وإن نقص سقط بمقداره من الدين، وأخذ المرتهن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والسقوط والتهاتر لا معنى لهما إلاّ مع الضمان بالقيمة، فلو فرض أنّ العهدة مشتغلة بالمثل أو العين، لا وجه للتهاتر، بل لا بدّ في المثلي من أداء مثله، وفي القيمي تبقى العين على العهدة إلى زمان الأداء، فالسقوط والتهاتر القهري لا وجه له إلاّ مع الضمان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الروايات تصريحاً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يترادّان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يترادّان؟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الرهن أفضل ممّا رهن به ثمّ عطب، ردّ المرتهن الفضل على صاحبه، وإن كان لا يسوى ردّ الراهن ما نقص من حقّ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قول علي عليه السلام في الحيوان وغير ذلك</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الرهن إذا كان أكثر من مال المرتهن فهلك، أن يؤدّي الفضل إلى صاحب الرهن، وإن كان الرهن أقلّ من ماله فهلك الرهن، أدّى إلى صاحبه فضل ماله، وإن كان الرهن يسوى ما رهنه فليس عليه شيء</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ممّا تدلّ على أنّ الضمان بالقيمة من وجوه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احتساب ما استفاد المرتهن من غلاّت الأرض ممّا عليه، كصحيحة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كلّ رهن له غلّة، أنّ غلّته تحسب لصاحب الرهن ممّا عليه</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رهن بماله أرضاً أو داراً لها غلّة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ارتهن الأرض والدار بماله أن يحتسب لصاحب الأرض والدار ما أخذه من الغلّة، ويطرحه عنه من الدين له</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فائدة دار أو أرض أو نحو ذلك، حتّى نحو الزرع والثمر</w:t>
      </w:r>
      <w:r>
        <w:rPr>
          <w:rStyle w:val="FootnoteAnchor"/>
          <w:rtl w:val="true"/>
        </w:rPr>
        <w:footnoteReference w:id="1291"/>
      </w:r>
      <w:r>
        <w:rPr>
          <w:rFonts w:ascii="Amiri" w:hAnsi="Amiri" w:eastAsia="Amiri" w:cs="Amiri"/>
          <w:color w:val="111111"/>
          <w:sz w:val="28"/>
          <w:sz w:val="28"/>
          <w:szCs w:val="28"/>
          <w:rtl w:val="true"/>
          <w:lang w:bidi="ar-SA"/>
        </w:rPr>
        <w:t>، فتدلّ الروايات بإطلاقها على الاحتساب ولو كان المضمون مثل الزرع والثمر، كما دلّت عليه صحيحة محمّد بن قيس</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أيضاً روايات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رجل أقبل بنار، فأشعلها في دار قوم، فاحترقت الدار، واحترق أهلها، واحترق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 قيمة الدار وما فيها، ثم يُقتل</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منها أنّ الدار وما فيها تغرم بالقيمة، ولو كان المتاع مثلياً أو قيمياً وجد له مثل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القيمة، فيكون المراد أنّه يغرم قيمة الدار، ويغرم ما فيها، من غير تعرّض للقيمة وغيرها، بعيد مخالف لظاهرها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أنّ في مورد قضاء أمير المؤمنين عليه السلام، كان متاع الدار قيمياً لا يوجد مثله، بعيد؛ لأنّ ظاهرها أنّ ذلك من قضاياه الكلّية وأحكامه، لا قضيّة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كانت حكاية أبي عبداللّه عليه السلام لإفادة الحكم، لا لنقل التأريخ، فلا بدّ من بيان ما هو دخيل في حكمه، فلو كان متاع البيت قيمياً، وكان حكم المثلي غير القيمي، كان عليه بيان خصوصية الواقعة الدخيلة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قاعدة كلّية، وهي أنّ إتلاف مال الغير موجب لضمان القيمة؛ فإنّ وجوب الغرامة لأجل الضمان لا اقتراحاً،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خصوصية النار والإشعال في الدار ونحوها، ملغاة بنظر العرف، والظاهر منها أنّ التسبيب لإتلاف مال الغير موجب للضمان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في قضيّة السفرة المطروحة،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طالبها غرموا له الثمن</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التغريم بالقيمة مع أنّ بعض ما فيها من قبيل المثلي دليل على أنّ الضمان مطلقاً بالقيمة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تعبّد خاصّ في المورد؛ للإذن في الأكل، فهو ضمان </w:t>
      </w:r>
    </w:p>
    <w:p>
      <w:pPr>
        <w:pStyle w:val="BookText"/>
        <w:rPr/>
      </w:pPr>
      <w:r>
        <w:rPr>
          <w:rFonts w:ascii="Amiri" w:hAnsi="Amiri" w:eastAsia="Amiri" w:cs="Amiri"/>
          <w:color w:val="111111"/>
          <w:sz w:val="28"/>
          <w:sz w:val="28"/>
          <w:szCs w:val="28"/>
          <w:rtl w:val="true"/>
          <w:lang w:bidi="ar-SA"/>
        </w:rPr>
        <w:t>جعلي لأجل جواز الأكل، فيستقرّ بالأكل، كما تشهد به مرسلة الصدوق</w:t>
      </w:r>
      <w:r>
        <w:rPr>
          <w:rStyle w:val="FootnoteAnchor"/>
          <w:rtl w:val="true"/>
        </w:rPr>
        <w:footnoteReference w:id="1295"/>
      </w:r>
      <w:r>
        <w:rPr>
          <w:rFonts w:ascii="Amiri" w:hAnsi="Amiri" w:eastAsia="Amiri" w:cs="Amiri"/>
          <w:color w:val="111111"/>
          <w:sz w:val="28"/>
          <w:sz w:val="28"/>
          <w:szCs w:val="28"/>
          <w:rtl w:val="true"/>
          <w:lang w:bidi="ar-SA"/>
        </w:rPr>
        <w:t>كما تقدّم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القيميات صحيحة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بختي مغتلم قتل رجلاً، فقام أخو المقتول فعقر البختي وقتله، ما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البختي دية المقتول، ولصاحب البختي ثمنه على الذي عقر بختيه</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عليه السلام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إطلاقهما عدم الفرق بين ما وجد له مثل أو لا، وليست غلبة فقدان المثل بحدٍّ توجب الانصراف</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بين شركاء، فيعتق أحدهم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فساد على أصحابه، يقوّم قيمة، ويضمن الثمن الذي أعتقه؛ لأنّه أفسده على أصحابه</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عليه السلام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التعليل أنّ ضمان الثمن معلول إفساد مال الغير مطلقاً، ولا يختصّ بهذا النحو من الإفساد في الجملة،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مناسب لأصل الضمان، لا لكونه بالقيمة، فلا يدلّ على أنّ الضمان بالقيمة في مطلق المضمونات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شاة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تعرف فكلها، وأنت ضامن لها إن جاء صاحبها يطلب ثمنها أن تردّها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صاحبها يطلبها أن تردّ عليه ثمنها</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صحّة الثانية، والاُولى ضعيفة</w:t>
      </w:r>
      <w:r>
        <w:rPr>
          <w:rStyle w:val="FootnoteAnchor"/>
          <w:rtl w:val="true"/>
        </w:rPr>
        <w:footnoteReference w:id="1302"/>
      </w:r>
      <w:r>
        <w:rPr>
          <w:rFonts w:ascii="Amiri" w:hAnsi="Amiri" w:eastAsia="Amiri" w:cs="Amiri"/>
          <w:color w:val="111111"/>
          <w:sz w:val="28"/>
          <w:sz w:val="28"/>
          <w:szCs w:val="28"/>
          <w:rtl w:val="true"/>
          <w:lang w:bidi="ar-SA"/>
        </w:rPr>
        <w:t>، وظاهرها بعيد عن الأذهان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ضمان نفس العين، واُريد بأدائها الأداء التنزيلي بأداء قيمتها، كما </w:t>
      </w:r>
      <w:bookmarkStart w:id="871" w:name="pg15195_150976"/>
    </w:p>
    <w:p>
      <w:pPr>
        <w:pStyle w:val="BookText"/>
        <w:rPr/>
      </w:pPr>
      <w:bookmarkEnd w:id="871"/>
      <w:r>
        <w:rPr>
          <w:rFonts w:ascii="Amiri" w:hAnsi="Amiri" w:eastAsia="Amiri" w:cs="Amiri"/>
          <w:color w:val="111111"/>
          <w:sz w:val="28"/>
          <w:sz w:val="28"/>
          <w:szCs w:val="28"/>
          <w:rtl w:val="true"/>
          <w:lang w:bidi="ar-SA"/>
        </w:rPr>
        <w:t xml:space="preserve">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بعض الاحتمالات</w:t>
      </w:r>
      <w:r>
        <w:rPr>
          <w:rStyle w:val="FootnoteAnchor"/>
          <w:rtl w:val="true"/>
        </w:rPr>
        <w:footnoteReference w:id="1303"/>
      </w:r>
      <w:r>
        <w:rPr>
          <w:rFonts w:ascii="Amiri" w:hAnsi="Amiri" w:eastAsia="Amiri" w:cs="Amiri"/>
          <w:color w:val="111111"/>
          <w:sz w:val="28"/>
          <w:sz w:val="28"/>
          <w:szCs w:val="28"/>
          <w:rtl w:val="true"/>
          <w:lang w:bidi="ar-SA"/>
        </w:rPr>
        <w:t xml:space="preserve">، والظاهر غلط النسخة،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به الصحيحة،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الآتية</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الأخبار ضمان الأشياء بالقيمة مطلقاً، مثلية كانت أم قيمية، متعذّرة المثل كانت أم لا، ولا بدّ في الخروج عن مقتضاها من دليل مخرج</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495787_2142443653"/>
      <w:bookmarkStart w:id="873" w:name="_Toc309"/>
      <w:bookmarkEnd w:id="872"/>
      <w:r>
        <w:rPr>
          <w:rtl w:val="true"/>
        </w:rPr>
        <w:t>خروج المثلي الذي وجد مثله عن مقتضى الأخبار</w:t>
      </w:r>
      <w:bookmarkEnd w:id="873"/>
    </w:p>
    <w:p>
      <w:pPr>
        <w:pStyle w:val="BookText"/>
        <w:rPr/>
      </w:pPr>
      <w:r>
        <w:rPr>
          <w:rFonts w:ascii="Amiri" w:hAnsi="Amiri" w:eastAsia="Amiri" w:cs="Amiri"/>
          <w:color w:val="111111"/>
          <w:sz w:val="28"/>
          <w:sz w:val="28"/>
          <w:szCs w:val="28"/>
          <w:rtl w:val="true"/>
          <w:lang w:bidi="ar-SA"/>
        </w:rPr>
        <w:t>والظاهر أنّ المثلي الذي وجد مثله خارج عنها، ويكون ضمانه بالمثل، كما ادّعي الإجماع عليه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قطعيات الفقه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الأصحاب على ضمان المثلي بالمثل إلاّ ما يظهر من ابن الجنيد وقد اُوّل كلامه أيضاً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خروج مطلق المثلي، بل الخارج ما هو موجود مثله، لا المتعذّر، ولا نادر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صحيحة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ضالّة فلم يعرّفها، ثمّ وجدت عنده، فإنّها لربّها أو مثلها، من مال الذي كتمها</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تقاوم ما تقدّم، مع اختلاف النسخ، واغتشاش المتن؛ لأنّ المفروض وجودها عند الواجد، فلا بدّ من التقدير بأنّه لو كانت تالفة فمثلها، فتعرّضت لفرض غير مذكور، مع أنّه لا يلائم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وظهورها في تعلّق ضمان المثل بالمال الخارجي، وهو خلاف المتسالم عندهم، وخلاف أدلّة الضمانات</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الحمل على المماثل في القيمة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الذي كتمها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المثل بالمعنى المعهود اصطلاح حادث، ولهذا قال الشيخ قدّس سرّه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القيمة مثل عند تعذّر المثل</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فحمله على الأعمّ، بل الحمل عليه مقتضى الجمع بينها وبين صحيحة علي بن جعفر، المتقدّمة المصرّحة بضمان الثمن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874" w:name="pg15195_150978"/>
    </w:p>
    <w:p>
      <w:pPr>
        <w:pStyle w:val="Heading4"/>
        <w:numPr>
          <w:ilvl w:val="3"/>
          <w:numId w:val="1"/>
        </w:numPr>
        <w:rPr/>
      </w:pPr>
      <w:bookmarkStart w:id="875" w:name="__RefHeading___Toc2495789_2142443653"/>
      <w:bookmarkStart w:id="876" w:name="_Toc310"/>
      <w:bookmarkEnd w:id="874"/>
      <w:bookmarkEnd w:id="875"/>
      <w:r>
        <w:rPr>
          <w:rtl w:val="true"/>
        </w:rPr>
        <w:t>الملاك في تعيين القيمة في القيمي</w:t>
      </w:r>
      <w:bookmarkEnd w:id="876"/>
    </w:p>
    <w:p>
      <w:pPr>
        <w:pStyle w:val="Heading4"/>
        <w:numPr>
          <w:ilvl w:val="3"/>
          <w:numId w:val="1"/>
        </w:numPr>
        <w:rPr/>
      </w:pPr>
      <w:bookmarkStart w:id="877" w:name="__RefHeading___Toc2495791_2142443653"/>
      <w:bookmarkStart w:id="878" w:name="_Toc311"/>
      <w:bookmarkEnd w:id="877"/>
      <w:r>
        <w:rPr>
          <w:rtl w:val="true"/>
        </w:rPr>
        <w:t>مقتضى القواعد وإطلاقات أدلّة الضمان</w:t>
      </w:r>
      <w:bookmarkEnd w:id="878"/>
    </w:p>
    <w:p>
      <w:pPr>
        <w:pStyle w:val="BookText"/>
        <w:rPr/>
      </w:pPr>
      <w:r>
        <w:rPr>
          <w:rFonts w:ascii="Amiri" w:hAnsi="Amiri" w:eastAsia="Amiri" w:cs="Amiri"/>
          <w:color w:val="111111"/>
          <w:sz w:val="28"/>
          <w:sz w:val="28"/>
          <w:szCs w:val="28"/>
          <w:rtl w:val="true"/>
          <w:lang w:bidi="ar-SA"/>
        </w:rPr>
        <w:t>ثمّ إنّ الاعتبار في القيمة إمّا أن يكون بيوم الأداء، وهذا هو الأقوى لو قلنا بأنّ العين في المضمونات على العهدة، إمّا بشخصيتها، أو بمطلق خصوصياتها، أو بخصوصياتها الدخيلة في الغرامات، أو قلنا بأنّ المثل على العهدة حتّى في القيميات؛ لما قلنا بأنّ العهدة إذا اشتغلت بالعين أو المثل، لا بدّ من الخروج عنها، وهو بأداء قيمة يوم الأداء؛ فإنّها نحو أداء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أداء قيمة الأيّام السالفة أو المستقبلة، فلا يعدّ أداءً إذا نقصت القيمة عن يوم الأداء، وأداءٌ وزيادة إذا زادت</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من أنّ مالية العين لا تعيّن لها بذاتها، وإذا اُضيفت إلى الأزمان تكون مع تلك الإضافة قيمته مطلقاً </w:t>
      </w:r>
      <w:r>
        <w:rPr>
          <w:rStyle w:val="FootnoteAnchor"/>
          <w:rtl w:val="true"/>
        </w:rPr>
        <w:footnoteReference w:id="1315"/>
      </w:r>
      <w:r>
        <w:rPr>
          <w:rFonts w:ascii="Amiri" w:hAnsi="Amiri" w:eastAsia="Amiri" w:cs="Amiri"/>
          <w:color w:val="111111"/>
          <w:sz w:val="28"/>
          <w:sz w:val="28"/>
          <w:szCs w:val="28"/>
          <w:rtl w:val="true"/>
          <w:lang w:bidi="ar-SA"/>
        </w:rPr>
        <w:t>، لا ينبغي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قيل من أنّ العين في زمان التلف لا قيمة لها إلاّ فرضاً </w:t>
      </w:r>
      <w:r>
        <w:rPr>
          <w:rStyle w:val="FootnoteAnchor"/>
          <w:rtl w:val="true"/>
        </w:rPr>
        <w:footnoteReference w:id="1316"/>
      </w:r>
      <w:r>
        <w:rPr>
          <w:rFonts w:ascii="Amiri" w:hAnsi="Amiri" w:eastAsia="Amiri" w:cs="Amiri"/>
          <w:color w:val="111111"/>
          <w:sz w:val="28"/>
          <w:sz w:val="28"/>
          <w:szCs w:val="28"/>
          <w:rtl w:val="true"/>
          <w:lang w:bidi="ar-SA"/>
        </w:rPr>
        <w:t>، قد مرّ ما فيه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المبنى غير مرضيّ؛ لما تقدّم منّا </w:t>
      </w:r>
      <w:r>
        <w:rPr>
          <w:rStyle w:val="FootnoteAnchor"/>
          <w:rtl w:val="true"/>
        </w:rPr>
        <w:footnoteReference w:id="1318"/>
      </w:r>
      <w:r>
        <w:rPr>
          <w:rFonts w:ascii="Amiri" w:hAnsi="Amiri" w:eastAsia="Amiri" w:cs="Amiri"/>
          <w:color w:val="111111"/>
          <w:sz w:val="28"/>
          <w:sz w:val="28"/>
          <w:szCs w:val="28"/>
          <w:rtl w:val="true"/>
          <w:lang w:bidi="ar-SA"/>
        </w:rPr>
        <w:t>، لا لما ذكره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أنّ جعل الأداء غاية للضمان ملازم لإمكان أداء المضمون، والشخص بعد التلف لا يمكن أداؤه، واللازم الالتزام بسقوط الضمان</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أداء المثل أو القيمة نحو أداء عرفاً، فجعل الأداء غاية حتّى في زمان التلف، لازمه أن يكون أداء المثل أو القيمة أداءً عند الشارع، كما هو كذلك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ناقض القائل قوله ذلك بما تقدّم منه في ذيل الأمر الرابع، بأنّ أداء المأخوذ يعدّ أداءً عرفاً وعادةً بأداء مثله أو قيمته، ومع أدائهما فكأنّه لم يتلف منه شيئاً، ويصدق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هو الذي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تعبيراته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قال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أداء القيمة ليس أداءً للمصداق، فلا وجه لسقوط ما في الذمّة بأمرٍ مباين له، ولا يعقل تعيّن القيمة للبدلية بنفسها </w:t>
      </w:r>
      <w:r>
        <w:rPr>
          <w:rStyle w:val="FootnoteAnchor"/>
          <w:rtl w:val="true"/>
        </w:rPr>
        <w:footnoteReference w:id="132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القائل جعل أمراً آخر مبنى القول بيوم الدفع، وهو أنّ قوام الشيء بماليته، لا بشخصيته، ومثليته، فما يبقى في الذمّة ما هو الركن للشيء، وهو ماليته التي هي عبارة عمّا ينتفع به، من غير تقديرها بقيمة، فلو كان المأخوذ حقّة من الحنطة فتلفت، بقي في الذمّة ما يشبع عشرة أنفس إلى زمان المطالبة، فيقوّم بقيمة هذا اليوم</w:t>
      </w:r>
      <w:r>
        <w:rPr>
          <w:rStyle w:val="FootnoteAnchor"/>
          <w:rtl w:val="true"/>
        </w:rPr>
        <w:footnoteReference w:id="1322"/>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لا يخفى من مخالفته لما تقدّم منه ونفي الشبهة عنه بأنّ المرتكز في الأذهان أنّ المثل في المثلي مضمون، وكذا القيمة في القيمي</w:t>
      </w:r>
      <w:r>
        <w:rPr>
          <w:rStyle w:val="FootnoteAnchor"/>
          <w:rtl w:val="true"/>
        </w:rPr>
        <w:footnoteReference w:id="1323"/>
      </w:r>
      <w:r>
        <w:rPr>
          <w:rFonts w:ascii="Amiri" w:hAnsi="Amiri" w:eastAsia="Amiri" w:cs="Amiri"/>
          <w:color w:val="111111"/>
          <w:sz w:val="28"/>
          <w:sz w:val="28"/>
          <w:szCs w:val="28"/>
          <w:rtl w:val="true"/>
          <w:lang w:bidi="ar-SA"/>
        </w:rPr>
        <w:t>، ولما هو بناء العقلاء في 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تفسيره المالية بما ينتفع به، وما ينتفع به بما يشبع عشرة أنفس من الحنطة مثلاً، من غرائب الكلام؛ فإنّ الخصوصيات التي ينتفع بها تكون منشأً لماليات الأشياء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بقي في الذمّة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يشبع 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للزوم أداء قيمة الحنطة مثلاً؛ فإنّ المثل لم يتعلّق بالذمّة كما ذكره،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الحنطة، والشعير،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ما يشبع من الحنطة مضمون فيها، فهو كرّ على ما فرّ منه، مع قيد غير صحيح</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بأنّ القيميات مضمونات بالقيمة، فإن قلنا بأنّ المثل في المثليات، والقيمة في القيميات، يتعلّق بالعهدة حال الأخذ، فتكون العين مضمونة بالمثل حتّى في زمان وجودها، ويكون أداء نفس العين موجباً لسقوط المثل عن العهدة، وكذلك القيمي يكون مضموناً بالقيمة؛ بمعنى أنّ قيمته بالفعل على الذمّة، وأداء العين موجب لسقوطها عكس الاحتمالات السابقة، كان الاعتبار بيوم الأخذ والغصب؛ فإنّه يوم تعلّق القيمة بالعهدة، ولا وجه لتعلّق قيمة العين في سائر الأزمنة عليها؛ لأنّها ليست قيمتها فعلاً وبلا 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 بأنّ معنى ضمان العين أمر تعليقي، هو أنّه لو تلفت يقع على ذمّته المثل في المثلي، والقيمة في القيمي، يكون الاعتبار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أعلى القيم من يوم الأخذ إلى يوم التلف، هو ضمان الأوصاف حتّى وصف التقويم،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احتمالات اُخر، كاحتمال الأعلى من يوم الأخذ إلى يوم الأداء، أو من يوم التلف إلى يوم الأداء؛ لابتنائهما على كون ما في العهدة مضموناً؛ وأنّ العين التي هي في العهدة لو علت قيمتها صارت مضمونة، وهو كما ترى؛ ضرورة أنّ الاعتبار في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إلى آخره، أنّ العهدة مترتّبة على الأخذ، وأنّ الاستيلاء والأخذ سبب للعهدة والضمان، فجعل العهدة استيلاءً خلاف الاعتبار في القاعدة، وخلاف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الاستيلاء الذي هو العهدة سبباً لعهدة اُخرى، لزم أن يكون فوق العهدة عهدة،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اللازم للمبنى المذكور أن يكون الحكم محقّقاً لموضوعه، وهو وإن كان ممكن الدفع عقلاً كما في الأخبار مع الواسطة</w:t>
      </w:r>
      <w:r>
        <w:rPr>
          <w:rStyle w:val="FootnoteAnchor"/>
          <w:rtl w:val="true"/>
        </w:rPr>
        <w:footnoteReference w:id="1325"/>
      </w:r>
      <w:r>
        <w:rPr>
          <w:rFonts w:ascii="Amiri" w:hAnsi="Amiri" w:eastAsia="Amiri" w:cs="Amiri"/>
          <w:color w:val="111111"/>
          <w:sz w:val="28"/>
          <w:sz w:val="28"/>
          <w:szCs w:val="28"/>
          <w:rtl w:val="true"/>
          <w:lang w:bidi="ar-SA"/>
        </w:rPr>
        <w:t>، لكن هناك كان موافقاً لارتكاز العرف، بخلافه هاهنا؛ لبعده عنه جدّاً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الاستيلاء الذي كان بحكم الشرع قهراً على الضامن، خارج عن دليل اليد؛ ضرورة عدم موافقة العقل والعقلاء على ذلك</w:t>
      </w:r>
      <w:r>
        <w:rPr>
          <w:rFonts w:eastAsia="Amiri" w:cs="Amiri" w:ascii="Amiri" w:hAnsi="Amiri"/>
          <w:color w:val="111111"/>
          <w:sz w:val="28"/>
          <w:szCs w:val="28"/>
          <w:rtl w:val="true"/>
          <w:lang w:bidi="ar-SA"/>
        </w:rPr>
        <w:t xml:space="preserve">. </w:t>
      </w:r>
      <w:bookmarkStart w:id="879" w:name="pg15195_150982"/>
    </w:p>
    <w:p>
      <w:pPr>
        <w:pStyle w:val="BookText"/>
        <w:rPr/>
      </w:pPr>
      <w:bookmarkEnd w:id="879"/>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من أحكام المأخوذ لا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أقواها بنظر العرف احتمال ما قبل الأخير، الذي نتيجته اعتبار قيمة يوم التلف، هذا بحسب مقتضى قاعدة اليد، وإطلاقات أدلّة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الأدلّة الخاصّة، فلا بدّ من النظر فيها حتّى يتّضح الأمر</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2495793_2142443653"/>
      <w:bookmarkStart w:id="881" w:name="_Toc312"/>
      <w:bookmarkEnd w:id="880"/>
      <w:r>
        <w:rPr>
          <w:rtl w:val="true"/>
        </w:rPr>
        <w:t>الاستدلال بفقرتین من صحيحة أبي ولاّد على اعتبار قيمة يوم التلف</w:t>
      </w:r>
      <w:bookmarkEnd w:id="88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بغلاً إلى قصر ابن هبيرة ذاهباً وجائياً بكذا وكذا، وخرجت في طلب غريم لي، فلمّا صرت قرب قنطرة الكوفة خبّرت أنّ صاحبي توجّه إلى النيل، فتوجّهت نحو النيل، فلمّا أتيت النيل خبّرت أنّ صاحبي توجّه إلى بغداد، فأتبعته وظفرت به، وفرغت ممّا بيني وبينه، ورجعنا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ذهابي ومجيئي خمسة عشر يوماً، فأخبرت صاحب البغل بعذري، وأردت أن أتحلّل منه ممّا صنعت واُرضيه، فبذلت له خمسة عشر درهماً، فأبى أن يقبل، فتراضينا بأبي حنيفة، فأخبرته بالقصّة، وأخبره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بالبغل؟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الرجل؟</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كراء بغلي، فقد حبسه عليّ خمسة عشر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لأنّه اكتراه إلى قصر ابن هبيرة، فخالف وركبه إلى النيل، وإلى بغداد، فضمن قيمة البغل، وسقط الكراء، فلمّا ردّ البغل سليماً وقبضته لم يلزمه 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وجعل صاحب البغل يسترجع، فرحمته ممّا أفتى به أبو حنيفة، فأعطيته شيئاً وتحلّلت منه، فحججت تلك السنة، فأخبرت أبا عبداللّه عليه السلام بما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وشبهه تحبس السماء ماءها، وتمنع الأرض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له عليك مثل كِراء بغل ذاهباً من الكوفة إلى النيل، ومثل كِراء بغل راكباً من النيل إلى بغداد، ومثل كِراء بغل من بغداد إلى الكوفة 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علفته بدراهم، فلي عليه علفه؟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أليس كان يلزمني؟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ذلك؟</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وهو، إمّا أن يحلف هو على القيمة فيلزمك، فإن ردّ اليمين عليك </w:t>
      </w:r>
    </w:p>
    <w:p>
      <w:pPr>
        <w:pStyle w:val="BookText"/>
        <w:rPr/>
      </w:pPr>
      <w:r>
        <w:rPr>
          <w:rFonts w:ascii="Amiri" w:hAnsi="Amiri" w:eastAsia="Amiri" w:cs="Amiri"/>
          <w:color w:val="111111"/>
          <w:sz w:val="28"/>
          <w:sz w:val="28"/>
          <w:szCs w:val="28"/>
          <w:rtl w:val="true"/>
          <w:lang w:bidi="ar-SA"/>
        </w:rPr>
        <w:t>فحلفت على القيمة لزمه ذلك، أو يأتي صاحب البغل بشهود يشهدون أنّ قيمة البغل حين اكتري كذا وكذا فيلزمك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أعطيته دراهم ورضي بها وحلّلني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رضي بها وحلّلك حين قضى عليه أبو حنيفة بالجور والظلم، ولكن ارجع إليه فأخبره بما أفتيتك به، فإن جعلك في حلٍّ بعد معرفته فلا شيء عليك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وجهي ذلك لقيت المكاري، فأخبرته بما أفتاني به أبو عبداللّه عليه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حتّى اُعطيكه؟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حبّبت إليّ جعفر بن محمّد عليهما السلام، ووقع في قلبي له التفضيل، وأنت في حلٍّ، وإن أحببت أن أردّ عليك الذي أخذته منك فعلت</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نسخ الحديث،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كما نقلتها بتنكير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أبي عبداللّه عليه السلام في ضمان الكراء وضمان البغل</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معرّفاً باللام في جميع الموارد</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منكّراً في بعض الموارد، ومعرّفاً في بعض</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أبا حنيفة تشبّث بما عن النبي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بزعم أنّ المراد منه أنّ الخراج مقابل الضمان؛ أي وقوع العين تحت اليد مضمونة ولو لم تتلف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على فرض صدورها، محتملة لمعنىً آخر أقرب إلى الفهم، وهو أنّ العين إذا كان لها خراج، وتلفت تحت يد من استوفى خراجها أو تلف الخراج تحت يده، يكون الخراج بإزاء ضمانه؛ أي ما استقرّ على عهدته من قيمة العين، فإنّ قيمتها تلاحظ باعتبار منافعها، فمع أداء قيمتها لا تؤخذ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تستبعده العقول، بخلاف ما أفتى به أبو حنيفة، فإنّه مخالف للعقل والعدل الإسلامي، فلهذا استرجع صاحب البغل، وتحلّل منه أبو ولاّد مع فتواه بنفعه، وقال الصادق عليه السلام ما قال، وقال المكاري ما قال، كما 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بحسب الواقع بين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في مقدار الكراء؛ لما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الهوية بما هي لا دخالة لها في القيم والرغبات</w:t>
      </w:r>
      <w:r>
        <w:rPr>
          <w:rStyle w:val="FootnoteAnchor"/>
          <w:rtl w:val="true"/>
        </w:rPr>
        <w:footnoteReference w:id="1331"/>
      </w:r>
      <w:r>
        <w:rPr>
          <w:rFonts w:ascii="Amiri" w:hAnsi="Amiri" w:eastAsia="Amiri" w:cs="Amiri"/>
          <w:color w:val="111111"/>
          <w:sz w:val="28"/>
          <w:sz w:val="28"/>
          <w:szCs w:val="28"/>
          <w:rtl w:val="true"/>
          <w:lang w:bidi="ar-SA"/>
        </w:rPr>
        <w:t>، وما هي دخيلة فيها الخواصّ، والآثار، والأوصاف، ككون البغل قويّاً، سريع السير، مرتاضاً، غير شموس فكلّ ما كان بهذه الأوصاف المرغوبة يكون كراؤه عين كراء غيره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عليك كِراء بغل ذاهباً من الكوفة إلى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البغل المماثل لبغله بحسب فهم العرف وارتكاز العقلاء، لا كراء أيّ بغل شاء، </w:t>
      </w:r>
      <w:bookmarkStart w:id="882" w:name="pg15195_150986"/>
    </w:p>
    <w:p>
      <w:pPr>
        <w:pStyle w:val="BookText"/>
        <w:rPr/>
      </w:pPr>
      <w:bookmarkEnd w:id="882"/>
      <w:r>
        <w:rPr>
          <w:rFonts w:ascii="Amiri" w:hAnsi="Amiri" w:eastAsia="Amiri" w:cs="Amiri"/>
          <w:color w:val="111111"/>
          <w:sz w:val="28"/>
          <w:sz w:val="28"/>
          <w:szCs w:val="28"/>
          <w:rtl w:val="true"/>
          <w:lang w:bidi="ar-SA"/>
        </w:rPr>
        <w:t>كان مخالفاً لبغله أم لا، ومع المماثلة لا فرق بين كراء شخص بغله، أو كراء مماثله، وهو واضح</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2495795_2142443653"/>
      <w:bookmarkStart w:id="884" w:name="_Toc313"/>
      <w:bookmarkEnd w:id="883"/>
      <w:r>
        <w:rPr>
          <w:rtl w:val="true"/>
        </w:rPr>
        <w:t>الفقرة الاُولى الدالّة على ضمان قيمة يوم التلف</w:t>
      </w:r>
      <w:bookmarkEnd w:id="884"/>
    </w:p>
    <w:p>
      <w:pPr>
        <w:pStyle w:val="BookText"/>
        <w:rPr/>
      </w:pPr>
      <w:r>
        <w:rPr>
          <w:rFonts w:ascii="IRNazanin" w:hAnsi="IRNazanin" w:eastAsia="IRNazanin"/>
          <w:color w:val="111111"/>
          <w:sz w:val="28"/>
          <w:sz w:val="28"/>
          <w:szCs w:val="28"/>
          <w:rtl w:val="true"/>
          <w:lang w:bidi="fa-IR"/>
        </w:rPr>
        <w:t>وأمّا مورد الاستشهاد للمقصود ففقرتان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أو نفق أ ليس كان يلزمني؟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بها لإثبات قيمة يوم التلف،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ولاّد سأل عن الضمان إذا عطب أو نفق، ولا شبهة في أنّ الذهن الخالي عن المناقشات ينقدح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عطب أو نفق أ ليس كان 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يلزمني قيمة البغل حال تلفه؛ فإنّها قيمته الفعلية، لا قيمة الزمان الماضي، أو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كلامه لمّا كان يقتضي ضمان التلف تحت يده مطلقاً، أجاب عليه السلام بأنّ ضمان التلف ثابت لا مطلقاً، بل حال الغصب والمخالفة فقيد يوم المخالفة لدفع توهّم الضمان لو تلف قبل الغصب، وهو في المثال من الكوفة إلى قنطرتها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الجواب تصديق لقول أبي ولاّد من حيث، وهو لزوم القيمة إذا تلف، التي في ارتكازه وارتكاز كلّ عاقل أنّها تعتبر حال التلف؛ إذ هي القيمة له فعلاً، وردع له من حيث، وهو الذي لازم إطلاقه من أنّ الضمان على فرض التلف، ثابت من وقت الأخذ،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ثابت يوم الغصب والمخالفة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للفعل المدلول عليه به،كما هو ظاهر التركيب اللغوي، والقيمة الموردة للتصديق قيمة يوم التلف</w:t>
      </w:r>
      <w:r>
        <w:rPr>
          <w:rFonts w:eastAsia="Amiri" w:cs="Amiri" w:ascii="Amiri" w:hAnsi="Amiri"/>
          <w:color w:val="111111"/>
          <w:sz w:val="28"/>
          <w:szCs w:val="28"/>
          <w:rtl w:val="true"/>
          <w:lang w:bidi="ar-SA"/>
        </w:rPr>
        <w:t xml:space="preserve">. </w:t>
      </w:r>
      <w:bookmarkStart w:id="885" w:name="pg15195_150987"/>
    </w:p>
    <w:p>
      <w:pPr>
        <w:pStyle w:val="Heading4"/>
        <w:numPr>
          <w:ilvl w:val="3"/>
          <w:numId w:val="1"/>
        </w:numPr>
        <w:rPr/>
      </w:pPr>
      <w:bookmarkStart w:id="886" w:name="__RefHeading___Toc2495797_2142443653"/>
      <w:bookmarkStart w:id="887" w:name="_Toc314"/>
      <w:bookmarkEnd w:id="885"/>
      <w:bookmarkEnd w:id="886"/>
      <w:r>
        <w:rPr>
          <w:rtl w:val="true"/>
        </w:rPr>
        <w:t>كلام الشيخ الأعظم وما فيه</w:t>
      </w:r>
      <w:bookmarkEnd w:id="887"/>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لزوم توجيه الوجه الأوّل بأنّ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القيمة المضافة إلى البغل إلى اليوم ثانياً</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هو أنّ القيمة مضافة إلى البغل، وهو مضاف إلى اليوم، لا لإفادة تقييده، بل لإفادة تقييد القيمة المضافة إليه، وأنّ المضاف إلى المضاف إلى الشيء مضاف إلى ذلك الشيء ثانياً؛ أي مع الواسطة، ويشعر به قوله عقيب ذلك وتفريعاً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إسقاط حرف التعريف من البغل للإضافة</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مخالفاً للظاهر جدّاً؛ لأنّ إضافة البغل إلى اليوم غير مأنوسة، ومخالفة للذوق والفهم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إضافة القيمة إلى اليوم بعد إضافتها إلى البغل، كما يوهم ظاهر كلامه، فهو أبعد، لو سلّم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إضافة المجموع إليه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قيد الاختصاص</w:t>
      </w:r>
      <w:r>
        <w:rPr>
          <w:rStyle w:val="FootnoteAnchor"/>
          <w:rtl w:val="true"/>
        </w:rPr>
        <w:footnoteReference w:id="1334"/>
      </w:r>
      <w:r>
        <w:rPr>
          <w:rFonts w:ascii="Amiri" w:hAnsi="Amiri" w:eastAsia="Amiri" w:cs="Amiri"/>
          <w:color w:val="111111"/>
          <w:sz w:val="28"/>
          <w:sz w:val="28"/>
          <w:szCs w:val="28"/>
          <w:rtl w:val="true"/>
          <w:lang w:bidi="ar-SA"/>
        </w:rPr>
        <w:t>وإن أمكن بلحاظ ثانوي، ولا إشكال في تقييد المعاني الحرفية عقلاً، لكنّه مخالف للظاهر جدّاً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يقرّر عدم إمكان ما هو ظاهر كلام الشيخ قدّس سرّه في الإضافة اللفظية؛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على النهج الخاصّ إلاّ مرّة واحدة، ولا يعقل وجوده الشخصي مرّة اُخرى لتضاف إلى اليوم</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زعم أنّ في الإضافة اللفظية، لا بدّ من جعل المضاف في اللفظ مرتبطاً بالمضاف إليه، مع أنّه في المتصرّمات غير معقول؛ فإنّ الارتباط المذكور لا يعقل أن يكون قبل الاستعمال، وهو واضح، ولا بعده؛ فإنّه لا مضاف ولا مضاف إليه، بعد تمامية ذكر المضاف؛ لانعدام المضاف، وعدم تحقّق المضاف إليه، ولا حال الاستعمال؛ لعدم تمامية المضاف، وعدم وجود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المضاف لا يفيد إلاّ معناه، وكذا المضاف إليه، والربط المذكور مفاد الهيئة، فكما يمكن أن يفيد الإخبارات المتعدّدة عقيب ذكر المبتدأ،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قادر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الهيئة أو الهيئات تفيد المعاني التصديقية المتعدّدة، ولا يحتاج إلى تكرار المبتدأ، كذلك يمكن أن يفيد الإضافات المتعدّدة بالعطف، ويمكن إفادة المتعدّدة منها بغير العطف،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لزوم تكرار اللفظ، فالإضافة مفاد الهيئة، لا المضاف، أو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غير معهود في الاستعمالات، وهو أمر غير عدم المعقولية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ويقرّر الامتناع في الإضافة المفهومية؛ بعدم تعقّل ملاحظة مفهوم القيمة في المثال، مع مفهومين مترتّبين في مرحلة الاستعمال، في استعمال واحد، متقوّم بلحاظ واحد؛ فإنّ لازمه اجتماع اللحاظين في لحاظ واحد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على لزوم لحاظ المضاف حال استعمال المضاف إليه، </w:t>
      </w:r>
    </w:p>
    <w:p>
      <w:pPr>
        <w:pStyle w:val="BookText"/>
        <w:rPr/>
      </w:pPr>
      <w:r>
        <w:rPr>
          <w:rFonts w:ascii="Amiri" w:hAnsi="Amiri" w:eastAsia="Amiri" w:cs="Amiri"/>
          <w:color w:val="111111"/>
          <w:sz w:val="28"/>
          <w:sz w:val="28"/>
          <w:szCs w:val="28"/>
          <w:rtl w:val="true"/>
          <w:lang w:bidi="ar-SA"/>
        </w:rPr>
        <w:t>وهو غير مسلّم، بل غير صحيح؛ لأنّ كلّ لفظ استعمل في معنىً، يلاحظ المعنى ويستعمل اللفظ فيه، وبعد الانتقال إلى اللفظ المتأخّر والمعنى المتأخّر ينصرم اللفظ، ويذهل عن المعنى بوجه تفصيلي، وإن كان محفوظاً في الارتكاز، خصوصاً في الجمل المشتملة على القيود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ذكر المضاف لا يلاحظ إلاّ معناه، كما أنّ الملحوظ في حال ذكر المضاف إليه هو معناه، واشتمال الجملة على هيئة ملحوظة على النحو الحرفي، موجب لتحقّق الإضافة وإفادة الربط، فلو فرض أنّ الهيئة الكذائية كانت دالّة على إضافة أمرين بالمضاف، لا يأبى العقل عن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الإشكال عدم كون مثله معهوداً في الاستعمالات، فهو معنىً آخر غير عدم المعقولية، مع أنّ ما ذكره على فرض صحّته يلزم منه اجتماع الملحوظين في لحاظ واحد، وهو غير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تشخّص اللحاظ بالملحوظ، فمع تعدّده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اللحاظ والملحوظ في عرض واحد ممكن وواقع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 المعاني الحرفية غير قابلة للّحاظ والتقييد</w:t>
      </w:r>
      <w:r>
        <w:rPr>
          <w:rStyle w:val="FootnoteAnchor"/>
          <w:rtl w:val="true"/>
        </w:rPr>
        <w:footnoteReference w:id="1337"/>
      </w:r>
      <w:r>
        <w:rPr>
          <w:rFonts w:ascii="Amiri" w:hAnsi="Amiri" w:eastAsia="Amiri" w:cs="Amiri"/>
          <w:color w:val="111111"/>
          <w:sz w:val="28"/>
          <w:sz w:val="28"/>
          <w:szCs w:val="28"/>
          <w:rtl w:val="true"/>
          <w:lang w:bidi="ar-SA"/>
        </w:rPr>
        <w:t>، فقد فرغنا عن تهجينه في الاُصول</w:t>
      </w:r>
      <w:r>
        <w:rPr>
          <w:rStyle w:val="FootnoteAnchor"/>
          <w:rtl w:val="true"/>
        </w:rPr>
        <w:footnoteReference w:id="133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الظرف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يلزمك يوم المخالفة قيمة بغل، بعيد جدّاً، بل غير ممكن؛ لأنّ السائل إنّما سأل عمّا يلزمه بعد التلف بسبب </w:t>
      </w:r>
    </w:p>
    <w:p>
      <w:pPr>
        <w:pStyle w:val="BookText"/>
        <w:rPr/>
      </w:pPr>
      <w:r>
        <w:rPr>
          <w:rFonts w:ascii="Amiri" w:hAnsi="Amiri" w:eastAsia="Amiri" w:cs="Amiri"/>
          <w:color w:val="111111"/>
          <w:sz w:val="28"/>
          <w:sz w:val="28"/>
          <w:szCs w:val="28"/>
          <w:rtl w:val="true"/>
          <w:lang w:bidi="ar-SA"/>
        </w:rPr>
        <w:t>المخالفة، بعد العلم بكون زمان المخالفة زمان حدوث الضمان</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السؤال عن أصل الضمان، وإلاّ كان الحقّ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يلزمني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السؤال ما سمع من أبي حنيفة؛ من أنّ ضمان الأصل لا يلائم ضمان الكراء،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السائل أنّ أبا عبداللّه عليه السلام أثبت الكراء، فأراد أن يستفسر منه أنّه مخالف لأبي حنيفة في الكراء وضمان أصل البغل، أو في الكراء فقط؟</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ادّعى الملازمة بين ضمان البغل وسقوط الكراء؛ بتوهّم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ردّ أبو عبداللّه عليه السلام عليه بأنّ الكراء ثابت، زعم أبو ولاّد أو احتمل أنّ ثبوت الكراء كاشف عن عدم ضمان الأصل؛ للملازمة بين ثبوت الضمان وسلب الكراء على ما أفتى به أبو حنيفة، فسأل أنّه مع ثبوت الكراء هل يثبت الضمان،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ولعلّ همزة 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النسّاخ، وإن كان ثبوتها أيضاً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ولاّد عن ضمان الأصل؛ باحتمال سقوطه مع ثبوت الكراء، فأجاب عليه السلام بثبوته؛ أي ثبوت هذا المعنى التعليقي، أي لو عطب أو نفق يلزمه، لا مطلقاً، بل يوم المخالفة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يوم المخالفة والاستيلاء على مال الغير غصباً قيمة بغل إذا عطب أو نفق، فهذا المعنى التعليقي ثابت بالفعل يوم الغصب، كما قلنا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xml:space="preserve">فمضمون الصحيحة موافق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w:t>
      </w:r>
    </w:p>
    <w:p>
      <w:pPr>
        <w:pStyle w:val="BookText"/>
        <w:rPr/>
      </w:pPr>
      <w:r>
        <w:rPr>
          <w:rFonts w:ascii="Amiri" w:hAnsi="Amiri" w:eastAsia="Amiri" w:cs="Amiri"/>
          <w:color w:val="111111"/>
          <w:sz w:val="28"/>
          <w:sz w:val="28"/>
          <w:szCs w:val="28"/>
          <w:rtl w:val="true"/>
          <w:lang w:bidi="ar-SA"/>
        </w:rPr>
        <w:t>غير جوهري، وهو ذكر القيمة؛ لكون المورد من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تأييداً للشيخ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الفقرة ظاهرة في قيمة يوم المخالفة، من غير لزوم ما ارتكبه الشيخ من مخالفة القواعد العربية، والخروج عن طريقة أهل اللسان، فإنّه بناءً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أنّه يلزمك يوم المخالفة القيمة، أمّا أنّها قيمة ذلك اليوم أو غيره، فالحديث ساكت عنه، إلاّ أنّه بالالتزام يدلّ على أنّ المدار على قيمة يوم المخالفة؛ فإنّه لو لم يكن يوم المخالفة إلاّ يوم دخول نفس العين في العهدة، لكان ذكر القيمة بلا موجب؛ لأنّ مالية المال إذا قدّرت بالقيمة يوم المخالفة، فلا محالة تكون القيمة قيمة ذلك اليوم؛ لأنّه لا يعقل أن يكون الضمان بقيمة يوم المخالفة فعلياً، ويقدّر قيمة يوم ما بعد المخالفة</w:t>
      </w:r>
      <w:r>
        <w:rPr>
          <w:rStyle w:val="FootnoteAnchor"/>
          <w:rtl w:val="true"/>
        </w:rPr>
        <w:footnoteReference w:id="134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فإنّ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لكونها ثابتة فعلاً على عهدته، بل لأجل أنّه لو تلف البغل ثبتت القيمة، فلم تقدّر القيمة يوم المخالفة، ولا يكون الضمان بمعنى ثبوت القيمة على عهدته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وثبوتها على فرض التلف، تقدير لها بيوم التلف عرفاً؛ لأنّ ضمان قيمة الشيء إذا تلف هو قيمته حال التلف، وسائر القيم ليست قيمته فعلاً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فتصير العبارة على فرض تعلّق الظرف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يوم المخالفة قيمة بغل إذا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قيمة يوم التلف، وإن كان ثبوت هذا المعنى التعليقي يوم المخالفة</w:t>
      </w:r>
      <w:r>
        <w:rPr>
          <w:rFonts w:eastAsia="Amiri" w:cs="Amiri" w:ascii="Amiri" w:hAnsi="Amiri"/>
          <w:color w:val="111111"/>
          <w:sz w:val="28"/>
          <w:szCs w:val="28"/>
          <w:rtl w:val="true"/>
          <w:lang w:bidi="ar-SA"/>
        </w:rPr>
        <w:t xml:space="preserve">. </w:t>
      </w:r>
      <w:bookmarkStart w:id="888" w:name="pg15195_150992"/>
    </w:p>
    <w:p>
      <w:pPr>
        <w:pStyle w:val="BookText"/>
        <w:rPr/>
      </w:pPr>
      <w:bookmarkEnd w:id="888"/>
      <w:r>
        <w:rPr>
          <w:rFonts w:ascii="Amiri" w:hAnsi="Amiri" w:eastAsia="Amiri" w:cs="Amiri"/>
          <w:color w:val="111111"/>
          <w:sz w:val="28"/>
          <w:sz w:val="28"/>
          <w:szCs w:val="28"/>
          <w:rtl w:val="true"/>
          <w:lang w:bidi="ar-SA"/>
        </w:rPr>
        <w:t xml:space="preserve">والعجب أنّه مع البناء على تعلّق الظرف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كلامه متعلّقاً بالقيمة، حتّى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باللام، فيكون يوم المخالفة حالاً من القيمة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وصف مبيّن للهيئة، ولا يكون اليوم وصفاً للقيمة، فجعله حالاً مخالف للواقع وللقواعد العربية</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2495799_2142443653"/>
      <w:bookmarkStart w:id="890" w:name="_Toc315"/>
      <w:bookmarkEnd w:id="889"/>
      <w:r>
        <w:rPr>
          <w:rtl w:val="true"/>
        </w:rPr>
        <w:t xml:space="preserve">المحتملات بناءً على تجرّد البغل من </w:t>
      </w:r>
      <w:r>
        <w:rPr>
          <w:rtl w:val="true"/>
        </w:rPr>
        <w:t>«</w:t>
      </w:r>
      <w:r>
        <w:rPr>
          <w:rtl w:val="true"/>
        </w:rPr>
        <w:t>اللام</w:t>
      </w:r>
      <w:r>
        <w:rPr>
          <w:rtl w:val="true"/>
        </w:rPr>
        <w:t>»</w:t>
      </w:r>
      <w:bookmarkEnd w:id="890"/>
    </w:p>
    <w:p>
      <w:pPr>
        <w:pStyle w:val="BookText"/>
        <w:rPr/>
      </w:pPr>
      <w:r>
        <w:rPr>
          <w:rFonts w:ascii="Amiri" w:hAnsi="Amiri" w:eastAsia="Amiri" w:cs="Amiri"/>
          <w:color w:val="111111"/>
          <w:sz w:val="28"/>
          <w:sz w:val="28"/>
          <w:szCs w:val="28"/>
          <w:rtl w:val="true"/>
          <w:lang w:bidi="ar-SA"/>
        </w:rPr>
        <w:t xml:space="preserve">ثمّ إنّ في العبارة على فرض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مضافاً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بعيد، وعلى فرضه لا يكون ظاهراً في قيمة يوم المخالفة، ولا يكون الظرف حينئذٍ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الفعل المستفاد منه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إضافته إليه للدلالة على أنّ في يوم المخالفة الذي كان أوائل سيره، لعلّ البغل كان سميناً نشيطاً على صفات، ويحتمل زوالها عنه بعده، فهي مضمونة كما تقدّم</w:t>
      </w:r>
      <w:r>
        <w:rPr>
          <w:rStyle w:val="FootnoteAnchor"/>
          <w:rtl w:val="true"/>
        </w:rPr>
        <w:footnoteReference w:id="1343"/>
      </w:r>
      <w:r>
        <w:rPr>
          <w:rFonts w:ascii="Amiri" w:hAnsi="Amiri" w:eastAsia="Amiri" w:cs="Amiri"/>
          <w:color w:val="111111"/>
          <w:sz w:val="28"/>
          <w:sz w:val="28"/>
          <w:szCs w:val="28"/>
          <w:rtl w:val="true"/>
          <w:lang w:bidi="ar-SA"/>
        </w:rPr>
        <w:t>، فلا بدّ من لحاظه بتلك الصفات، ولم يحتمل زيادة صفة مرغوبة عليه في خلال ذلك السفر، لكن يحتمل قريباً بل يظنّ مع ذاك التعب وسرعة السير به؛ لأخذ الغريم في المسافات البعيدة، زوال الصفات المرغوبة، فالاعتبار بيوم المخالفة على هذا الوجه ليس لدخالته ذاتاً، بل لاحتمال موصوفيته بما ذكر</w:t>
      </w:r>
      <w:r>
        <w:rPr>
          <w:rFonts w:eastAsia="Amiri" w:cs="Amiri" w:ascii="Amiri" w:hAnsi="Amiri"/>
          <w:color w:val="111111"/>
          <w:sz w:val="28"/>
          <w:szCs w:val="28"/>
          <w:rtl w:val="true"/>
          <w:lang w:bidi="ar-SA"/>
        </w:rPr>
        <w:t xml:space="preserve">. </w:t>
      </w:r>
      <w:bookmarkStart w:id="891" w:name="pg15195_150993"/>
    </w:p>
    <w:p>
      <w:pPr>
        <w:pStyle w:val="BookText"/>
        <w:rPr/>
      </w:pPr>
      <w:bookmarkEnd w:id="891"/>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على فرض الإضافة، أنّ البغل الموصوف بصفات يوم المخالفة مضمون بقيمة يوم التلف، بالتقريب الذي تقدّم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قرئ منوّناً، يكون الظرف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فرق في المقصود بين تنكيره وتعريفه؛ لما عرفت من أنّه مع التنكير يراد المماثل من الجهات المرغوب فيها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إسقاط حرف التعريف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للإضافة، لا لأنّ ذا القيمة بغل غير معيّن، حتّى توهّم الرواية مذهب من جعل القيمي مضموناً بالمثل، والقيمة إنّما هي قيمة المثل</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ظاهر؛ لأنّه مع إسقاط حرف التعريف والإضافة إلى اليوم، يستفاد منه قيمة البغل بالصفات التي في ذلك اليوم، أو قيمة ذلك اليوم، ومع التنكير فإنّه ظاهر في أنّ عليه يوم المخالفة قيمة بغل مماثل لبغله إذا عطب أو نفق، وهو نصّ على خلاف ذلك المذهب، فكيف يوهمه؟ </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2495801_2142443653"/>
      <w:bookmarkStart w:id="893" w:name="_Toc316"/>
      <w:bookmarkEnd w:id="892"/>
      <w:r>
        <w:rPr>
          <w:rtl w:val="true"/>
        </w:rPr>
        <w:t xml:space="preserve">استظهار تعلّق </w:t>
      </w:r>
      <w:r>
        <w:rPr>
          <w:rtl w:val="true"/>
        </w:rPr>
        <w:t>«</w:t>
      </w:r>
      <w:r>
        <w:rPr>
          <w:rtl w:val="true"/>
        </w:rPr>
        <w:t>يوم تردّه</w:t>
      </w:r>
      <w:r>
        <w:rPr>
          <w:rtl w:val="true"/>
        </w:rPr>
        <w:t xml:space="preserve">» </w:t>
      </w:r>
      <w:r>
        <w:rPr>
          <w:rtl w:val="true"/>
        </w:rPr>
        <w:t>ب</w:t>
      </w:r>
      <w:r>
        <w:rPr>
          <w:rtl w:val="true"/>
        </w:rPr>
        <w:t>- «</w:t>
      </w:r>
      <w:r>
        <w:rPr>
          <w:rtl w:val="true"/>
        </w:rPr>
        <w:t>عليك</w:t>
      </w:r>
      <w:r>
        <w:rPr>
          <w:rtl w:val="true"/>
        </w:rPr>
        <w:t>»</w:t>
      </w:r>
      <w:bookmarkEnd w:id="893"/>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البغل كسر، أو دبر، أو غمز؟</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كثيرة، حاصلة من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قيمة ما به التفاوت؛ أي الأرش، أو ردّ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وضعي، أو تكليفي، ولازم كلّ احتمال معلوم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ويشترك الكلّ في شبهة، وهي أنّه لو لم يتعقّب الأمر بردّ الأرش والبغل، لزم أن لا يكون ضمان أصلاً؛ فإنّ قيمة يوم الردّ، أو عيب يومه، أو ضمان يومه، لا تتحقّق إلاّ بتحقّق اليوم،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يشترك الكلّ في شبهة اُخرى، وهي أنّ القيمة في غير يوم التلف فرضي لا واقعي؛ لأنّ قيمة يوم ردّ البغل، أو ردّ الأرش، ليست متحقّقة؛ لأنّ البغل الموجود فعلاً لم يكن متحقّقاً في الزمان الآتي، فكيف يمكن تحقّق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فرضي لا واقعي، ولازمه جعل ضمان تعبّدي فرضي غير مرتبط بالتعيّب والتلف، إلاّ في فرض ضمان يوم التلف</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الجملة السابقة، فحينئذٍ ليس المراد منه أنّ الضمان يتعلّق بعهدته يوم الردّ؛ ضرورة أنّ يومه غير دخيل في أصل تعلّق الضمان، فلا بدّ من حمله على ما تعارف 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عليك ردّ التفاوت يوم تردّ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تردّه تردّ ما به التفاوت أيضاً، من غير عناية إلى دخالة يوم الردّ في شيء، فحينئذٍ يستفاد منه قيمة يوم التلف والعيب، بعد ضمّ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إليه، كما مرّ نظيره في الفقرة السابقة</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894" w:name="pg15195_150995"/>
    </w:p>
    <w:p>
      <w:pPr>
        <w:pStyle w:val="BookText"/>
        <w:rPr/>
      </w:pPr>
      <w:bookmarkEnd w:id="894"/>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كتاب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الموجود فيما حضرني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المحشّاة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تردّ الأرش عليه مع البغل</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بعيد، وإن كان حقّ العبارة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بضمير التأنيث، لكن أمره سهل، فتكون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لما استظهرناه، كما أنّ ما ذكرناه موافق لقواعد باب الضمان؛ من ضمان قيمة يوم التلف في القيميات،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2495803_2142443653"/>
      <w:bookmarkStart w:id="896" w:name="_Toc317"/>
      <w:bookmarkEnd w:id="895"/>
      <w:r>
        <w:rPr>
          <w:rtl w:val="true"/>
        </w:rPr>
        <w:t>تفصيل في ضمان العيب بعد ارتفاعه</w:t>
      </w:r>
      <w:bookmarkEnd w:id="896"/>
    </w:p>
    <w:p>
      <w:pPr>
        <w:pStyle w:val="BookText"/>
        <w:rPr/>
      </w:pPr>
      <w:r>
        <w:rPr>
          <w:rFonts w:ascii="Amiri" w:hAnsi="Amiri" w:eastAsia="Amiri" w:cs="Amiri"/>
          <w:color w:val="111111"/>
          <w:sz w:val="28"/>
          <w:sz w:val="28"/>
          <w:szCs w:val="28"/>
          <w:rtl w:val="true"/>
          <w:lang w:bidi="ar-SA"/>
        </w:rPr>
        <w:t xml:space="preserve">نعم، هنا كلام، وهو أنّ العيب والنقص لو ارتفع، هل يرتفع الضمان به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 مطلقاً؟</w:t>
      </w:r>
    </w:p>
    <w:p>
      <w:pPr>
        <w:pStyle w:val="BookText"/>
        <w:rPr/>
      </w:pPr>
      <w:r>
        <w:rPr>
          <w:rFonts w:ascii="Amiri" w:hAnsi="Amiri" w:eastAsia="Amiri" w:cs="Amiri"/>
          <w:color w:val="111111"/>
          <w:sz w:val="28"/>
          <w:sz w:val="28"/>
          <w:szCs w:val="28"/>
          <w:rtl w:val="true"/>
          <w:lang w:bidi="ar-SA"/>
        </w:rPr>
        <w:t>أو تفصيل بين الوصف القابل للزيادة كالسمن فلا يرتفع، وغيره فيرتفع؟</w:t>
      </w:r>
    </w:p>
    <w:p>
      <w:pPr>
        <w:pStyle w:val="BookText"/>
        <w:rPr/>
      </w:pPr>
      <w:r>
        <w:rPr>
          <w:rFonts w:ascii="Amiri" w:hAnsi="Amiri" w:eastAsia="Amiri" w:cs="Amiri"/>
          <w:color w:val="111111"/>
          <w:sz w:val="28"/>
          <w:sz w:val="28"/>
          <w:szCs w:val="28"/>
          <w:rtl w:val="true"/>
          <w:lang w:bidi="ar-SA"/>
        </w:rPr>
        <w:t>أو تفصيل بين أن يكون زوال العيب عوداً للحالة السابقة عرفاً، كما لو نسي العبد فتنزّل سعره، ثمّ زال النسيان، أو شمست الدابّة، ثمّ زال وصفها، فإنّ في مثلهما عوداً للوصف السابق، أو يكون زواله بحصول وصف مماثل له، كما لو زال شعرها فتنزّلت قيمتها، ثمّ نبت شعرها مثل الأوّل؟</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هذا التفصيل؛ فإنّ في مثل الوصف العائد يكون غاية قاعدة اليد حاصلة، فإنّه لو أدّى العبد بعد ذكره، يكون مؤدّياً لما أخذ، بخلاف ما إذا زال </w:t>
      </w:r>
      <w:bookmarkStart w:id="897" w:name="pg15195_150996"/>
    </w:p>
    <w:p>
      <w:pPr>
        <w:pStyle w:val="BookText"/>
        <w:rPr/>
      </w:pPr>
      <w:bookmarkEnd w:id="897"/>
      <w:r>
        <w:rPr>
          <w:rFonts w:ascii="Amiri" w:hAnsi="Amiri" w:eastAsia="Amiri" w:cs="Amiri"/>
          <w:color w:val="111111"/>
          <w:sz w:val="28"/>
          <w:sz w:val="28"/>
          <w:szCs w:val="28"/>
          <w:rtl w:val="true"/>
          <w:lang w:bidi="ar-SA"/>
        </w:rPr>
        <w:t>وصف وحصل مثله، فإنّه ضامن لما أخذه ولو تبعاً، وما أدّاه مثله لا عينه، ولا يرتفع الضمان به، وهذا نظير ما لو خرب البناء تحت يده مضموناً، ثمّ بنى نحوه، فإنّ ذلك لا يرتفع به الضمان،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في ضمان اليد يأتي في ضمان الإتلاف؛ فإنّ المتلَف لو عاد عيناً عرفاً سقط الضمان، بخلاف ما لو عاد مثله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2495805_2142443653"/>
      <w:bookmarkStart w:id="899" w:name="_Toc318"/>
      <w:bookmarkEnd w:id="898"/>
      <w:r>
        <w:rPr>
          <w:rtl w:val="true"/>
        </w:rPr>
        <w:t xml:space="preserve">المراد من قوله </w:t>
      </w:r>
      <w:r>
        <w:rPr>
          <w:rtl w:val="true"/>
        </w:rPr>
        <w:t>: «</w:t>
      </w:r>
      <w:r>
        <w:rPr>
          <w:rtl w:val="true"/>
        </w:rPr>
        <w:t>فمن يعرف ذلك؟</w:t>
      </w:r>
      <w:r>
        <w:rPr>
          <w:rtl w:val="true"/>
        </w:rPr>
        <w:t>»</w:t>
      </w:r>
      <w:bookmarkEnd w:id="899"/>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قيمة البغل؟ وعلى ذلك جرت كلماتهم ثمّ وقعوا في حَيْصَ بَيْصَ في إرجاع الحلف والبيّنة إلى شخص واحد، وهو خلاف قواعد باب القضاء، فهرب كلّ مهرباً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الرواية، وإن لم أرَ احتماله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يعرف قيمة ما بين الصحيح والمعيب؟ لأنّ الجملة الاُولى قد أعرض عنها سؤالاً وجواباً، وتوجّه السائل إلى مسألة اُخرى هي ضمان العيب، فأجاب بضمان قيمة ما بين الصحيح والمعيب،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هذه الجملة، ظاهر في الرجوع إلى الثانية، والاختصاص بالاُولى بعيد جدّاً، والرجوع إليهما بعيد أو غير ثابت</w:t>
      </w:r>
      <w:r>
        <w:rPr>
          <w:rFonts w:eastAsia="Amiri" w:cs="Amiri" w:ascii="Amiri" w:hAnsi="Amiri"/>
          <w:color w:val="111111"/>
          <w:sz w:val="28"/>
          <w:szCs w:val="28"/>
          <w:rtl w:val="true"/>
          <w:lang w:bidi="ar-SA"/>
        </w:rPr>
        <w:t xml:space="preserve">. </w:t>
      </w:r>
      <w:bookmarkStart w:id="900" w:name="pg15195_150997"/>
    </w:p>
    <w:p>
      <w:pPr>
        <w:pStyle w:val="BookText"/>
        <w:rPr/>
      </w:pPr>
      <w:bookmarkEnd w:id="900"/>
      <w:r>
        <w:rPr>
          <w:rFonts w:ascii="Amiri" w:hAnsi="Amiri" w:eastAsia="Amiri" w:cs="Amiri"/>
          <w:color w:val="111111"/>
          <w:sz w:val="28"/>
          <w:sz w:val="28"/>
          <w:szCs w:val="28"/>
          <w:rtl w:val="true"/>
          <w:lang w:bidi="ar-SA"/>
        </w:rPr>
        <w:t>ومع الرجوع إلى الثانية،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يحلف هو على القيمة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 على قيمة البغل المعيوب الموجود بين أيديهما، لا على قيمة أيّام اُخر، ومعلوم أنّ في الاختلاف بينهما في قيمة المعيوب يكون صاحب البغل منكراً؛ لأنّه يريد أن يجلب النفع إلى نفسه، فينكر زيادة قيمة المعيب، بخلاف صاحبه، فإنّه يريد دفع الضرر عن نفسه، فيدّعي زيادة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كون قيمة الصحيح خمسين، فإن كانت قيمة المعيب عشرين، يكون التفاوت ثلاثين، وإن كانت ثلاثين يكون التفاوت عشرين، فالضامن يدّعي الثلاثين، وصاحب البغل ينكره، فالقول قوله، فيحلف أو يردّ الحلف إلى صاحبه</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2495807_2142443653"/>
      <w:bookmarkStart w:id="902" w:name="_Toc319"/>
      <w:bookmarkEnd w:id="901"/>
      <w:r>
        <w:rPr>
          <w:rtl w:val="true"/>
        </w:rPr>
        <w:t>الفقرة الثانية المتوهّم دلالتها على ضمان قيمة يوم التلف</w:t>
      </w:r>
      <w:bookmarkEnd w:id="902"/>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صاحب البغل بشهود يشهدون أنّ قيمة البغل يوم اكتري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اختلافهما راجع إلى قيمته حال الصحّة، دون حال العيب، وإن كان الاختلاف لتشخيص ما به التفاوت بينهما، ومن المعلوم أنّ في هذا الاختلاف يكون القول قول الضامن، وصاحب البغل مدّعٍ للزيادة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الجملة الاُولى هو الاختلاف في قيمة المعيب، فيتوجّه الحلف إلى صاحب البغل، وصريح الجملة الثانية أنّ الاختلاف بينهما في قيمة الصحيح؛ لأنّ يوم الكراء يوم صحّة البغل، والاختلاف في قيمة الصحيح لتشخيص ما به التفاوت، فيكون صاحب البغل مدّعياً، والضامن منكراً، فالرواية </w:t>
      </w:r>
    </w:p>
    <w:p>
      <w:pPr>
        <w:pStyle w:val="BookText"/>
        <w:rPr/>
      </w:pPr>
      <w:r>
        <w:rPr>
          <w:rFonts w:ascii="Amiri" w:hAnsi="Amiri" w:eastAsia="Amiri" w:cs="Amiri"/>
          <w:color w:val="111111"/>
          <w:sz w:val="28"/>
          <w:sz w:val="28"/>
          <w:szCs w:val="28"/>
          <w:rtl w:val="true"/>
          <w:lang w:bidi="ar-SA"/>
        </w:rPr>
        <w:t>متعرّضة لصورتين من صور الدعوى بحسب الظهور والصراحة، وموافقة للقاعدة، ويستفاد منها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وإن كان مخالفاً للظاهر في الجملة؛ أي الظهور في وحدة القضيّة، لكن ليس ذلك الظهور بمثابة أمكن معه رفع اليد عن القواعد المسلّمة، سيّما مع الاحتمال الذي ذكرناه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التعارض بين الظهور الذي قرّبناه، وظهور سياق الكلام في وحدة القضيّة، فلا يصحّ الاستدلال بها، وتخصيص القواعد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ظهور السؤال والجواب في قضيّة التفاوت بين الصحيح والمعيب، أنّ طبع النزاع فيها يرجع إلى الاختلاف في قيمة الصحيح، أو قيمة المعيب،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الاختلاف الأوّل كان المالك مدّعياً، وفي الثاني منكراً، ولم يكن أبو عبداللّه عليه السلام بصدد بيان جميع خصوصيات باب القضاء في اختلافهما؛ لأنّه كان محوّلاً إلى القاضي عند حضور المتخاصمين، بل أجمل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كشف مورد الاختلاف من الرواية، بعد معهودية أنّ البيّنة على المدّعي واليمين على المدّعى عليه بين المسلمين، من زمن رسول اللّه صلي الله عليه و آله وسلم، وكان في عصر أبي عبداللّه عليه السلام هذا الحكم معروفاً معلوماً، ومن القواعد المحكمة المغروسة في الأذهان، ومعها يستكشف من فتوى أبي عبداللّه عليه السلام بتوجّه الحلف إلى المالك، أنّ محلّ الخلاف قيمة المعيب، ولا محالة كان الضامن مدّعياً، والمالك منكراً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والقضيّة الثانية التي أفتى فيها بإقامة المالك البيّنة على أنّ قيمة البغل </w:t>
      </w:r>
    </w:p>
    <w:p>
      <w:pPr>
        <w:pStyle w:val="BookText"/>
        <w:rPr/>
      </w:pPr>
      <w:r>
        <w:rPr>
          <w:rFonts w:ascii="Amiri" w:hAnsi="Amiri" w:eastAsia="Amiri" w:cs="Amiri"/>
          <w:color w:val="111111"/>
          <w:sz w:val="28"/>
          <w:sz w:val="28"/>
          <w:szCs w:val="28"/>
          <w:rtl w:val="true"/>
          <w:lang w:bidi="ar-SA"/>
        </w:rPr>
        <w:t>يوم الإكراء كذا، يستكشف من فتواه أنّ هذه قضيّة اُخرى، يتوجّه الحلف فيها إلى الضامن، والبيّنة على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احتمال</w:t>
      </w:r>
      <w:r>
        <w:rPr>
          <w:rStyle w:val="FootnoteAnchor"/>
          <w:rtl w:val="true"/>
        </w:rPr>
        <w:footnoteReference w:id="1350"/>
      </w:r>
      <w:r>
        <w:rPr>
          <w:rFonts w:ascii="Amiri" w:hAnsi="Amiri" w:eastAsia="Amiri" w:cs="Amiri"/>
          <w:color w:val="111111"/>
          <w:sz w:val="28"/>
          <w:sz w:val="28"/>
          <w:szCs w:val="28"/>
          <w:rtl w:val="true"/>
          <w:lang w:bidi="ar-SA"/>
        </w:rPr>
        <w:t>تخصيص القاعدة المعروفة من عهد رسول اللّه صلي الله عليه و آله وسلم كان</w:t>
      </w:r>
    </w:p>
    <w:p>
      <w:pPr>
        <w:pStyle w:val="BookText"/>
        <w:rPr/>
      </w:pPr>
      <w:r>
        <w:rPr>
          <w:rFonts w:ascii="Amiri" w:hAnsi="Amiri" w:eastAsia="Amiri" w:cs="Amiri"/>
          <w:color w:val="111111"/>
          <w:sz w:val="28"/>
          <w:sz w:val="28"/>
          <w:szCs w:val="28"/>
          <w:rtl w:val="true"/>
          <w:lang w:bidi="ar-SA"/>
        </w:rPr>
        <w:t>بعيداً في الأذهان، يستكشف مورد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هذا الخلاف يكون ذا جهتين وحيثيتين، فبإحداهما يكون المالك مدّعياً، وبالاُخرى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لو لم يكن ظاهر الرواية أو مستكشفاً منها، فلا أقلّ من كونه احتمالاً مساوياً، لا يمكن استظهار خلافه، ولا يصحّ تخصيص مثل تلك القاعدة بها، مع أنّ التخصيص بخصوص كراء البغل أو كراء الدابّة، غير وجيه جدّاً، وبمطلق الغاصب غير ممكن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ذلك مقتضى أخذ الغاصب بأشقّ الأحوال</w:t>
      </w:r>
      <w:r>
        <w:rPr>
          <w:rStyle w:val="FootnoteAnchor"/>
          <w:rtl w:val="true"/>
        </w:rPr>
        <w:footnoteReference w:id="1351"/>
      </w:r>
      <w:r>
        <w:rPr>
          <w:rFonts w:ascii="Amiri" w:hAnsi="Amiri" w:eastAsia="Amiri" w:cs="Amiri"/>
          <w:color w:val="111111"/>
          <w:sz w:val="28"/>
          <w:sz w:val="28"/>
          <w:szCs w:val="28"/>
          <w:rtl w:val="true"/>
          <w:lang w:bidi="ar-SA"/>
        </w:rPr>
        <w:t>ليس بشيء، ولا أظنّ التزامهم بخروج مطلق الغاصب عن قواعد باب القضاء</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نظرهم في الحمل على قيمة نفس البغل،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البغل لو كان موجوداً لا يقال ذلك، ولم يجب الإمام عليه السلام بما أجاب، بل أرجعهما إلى أهل الخبرة، ولم يحكم بالحلف؛ فإنّه بعد فقد البيّنة، فيعلم منه عدم إمكان إقامتها لفقد البغل،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صاحب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 قيام البيّنة حال الاكتراء ممكن</w:t>
      </w:r>
      <w:r>
        <w:rPr>
          <w:rFonts w:eastAsia="Amiri" w:cs="Amiri" w:ascii="Amiri" w:hAnsi="Amiri"/>
          <w:color w:val="111111"/>
          <w:sz w:val="28"/>
          <w:szCs w:val="28"/>
          <w:rtl w:val="true"/>
          <w:lang w:bidi="ar-SA"/>
        </w:rPr>
        <w:t xml:space="preserve">. </w:t>
      </w:r>
      <w:bookmarkStart w:id="903" w:name="pg15195_151000"/>
    </w:p>
    <w:p>
      <w:pPr>
        <w:pStyle w:val="BookText"/>
        <w:rPr/>
      </w:pPr>
      <w:bookmarkEnd w:id="90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ما ذكر مجرّد تخريص ظنّي، لا يتّكل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تفاوت ما بين الصحّة والعيب الحاصل حين حدوثه، أيضاً مجهول نوعاً لغيرهما؛ لأنّهما عارفان بمقدار نشاط البغل وصفاته الدخيلة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مقدار حصول العيب فمعلوم للغاصب، وكذا للمكاري بحسب تخصّصه في تلك الاُمور؛ وأنّ كسر اليد إذا مضى عليه خمسة أيّام مثلاً، كان بحسب الحدوث بأيّ مقدار ونقص من القيمة كذا، ولمّا كان الميزان يوم حدوث العيب، والاندمال لا ينظر إليه، يكون إقامة البيّنة غير ميسورةٍ، فأرجعهما إلى الحلف بأنّ قيمة البغل في زمان الحدوث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وإن كان لا يخلو من تكلّف، لكن كفى في مقابل ما قيل، وفي عدم جواز رفع اليد عن الظهور، وترك القواعد في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معنى الصحيحة، يظهر أنّ ما رامه الشيخ الأعظم قدّس سرّه من استفادة قيمة يوم الغصب من الفقرة الثانية</w:t>
      </w:r>
      <w:r>
        <w:rPr>
          <w:rStyle w:val="FootnoteAnchor"/>
          <w:rtl w:val="true"/>
        </w:rPr>
        <w:footnoteReference w:id="1352"/>
      </w:r>
      <w:r>
        <w:rPr>
          <w:rFonts w:ascii="Amiri" w:hAnsi="Amiri" w:eastAsia="Amiri" w:cs="Amiri"/>
          <w:color w:val="111111"/>
          <w:sz w:val="28"/>
          <w:sz w:val="28"/>
          <w:szCs w:val="28"/>
          <w:rtl w:val="true"/>
          <w:lang w:bidi="ar-SA"/>
        </w:rPr>
        <w:t>، غير وجيه، كما يظهر بالتأمّل</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495809_2142443653"/>
      <w:bookmarkStart w:id="905" w:name="_Toc320"/>
      <w:bookmarkEnd w:id="904"/>
      <w:r>
        <w:rPr>
          <w:rtl w:val="true"/>
        </w:rPr>
        <w:t>تكفّل الصحيحة لحكم الضمان مطلقاً لا خصوص الغصب</w:t>
      </w:r>
      <w:bookmarkEnd w:id="905"/>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الصحيحة وإن وردت في مورد الغصب، لكن لا تبعد استفادة حكم الضمان مطلقاً منها،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المستفاد منها ما يحتمل دخالة الغصب فيه كأعلى القيم مثلاً، لم يصحّ إسراء الحكم إلى مطلق باب الضمان، لكن بعد استفادة قيمة يوم التلف منها، لا يحتمل خصوصية في الغصب بالنسبة إلى يومه؛ لأنّ قيمة يوم التلف قد تكون أقلّ من سائر الأيّام، ومعه لا خصوصية في </w:t>
      </w:r>
      <w:bookmarkStart w:id="906" w:name="pg15195_151001"/>
    </w:p>
    <w:p>
      <w:pPr>
        <w:pStyle w:val="BookText"/>
        <w:rPr/>
      </w:pPr>
      <w:bookmarkEnd w:id="906"/>
      <w:r>
        <w:rPr>
          <w:rFonts w:ascii="Amiri" w:hAnsi="Amiri" w:eastAsia="Amiri" w:cs="Amiri"/>
          <w:color w:val="111111"/>
          <w:sz w:val="28"/>
          <w:sz w:val="28"/>
          <w:szCs w:val="28"/>
          <w:rtl w:val="true"/>
          <w:lang w:bidi="ar-SA"/>
        </w:rPr>
        <w:t>الغصب، فيفهم العرف منها أنّ ما ذكره من ضمان يوم التلف حكم الضمان، لا ضمان الغاصب، وإلاّ يلزم أن يكون ضمانه في بعض الأحيان أقلّ من غيره، سيّما مع كون ضمان يوم التلف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عن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الفاسد يجري عند المحصّلين مجرى الغصب في الضمان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نظر المحصّلين أيضاً إلى الأمر العقلائي، وهو أنّ أبواب الضمان على نسق واحد، هذا إذا كان مراد الحلّي قدّس سرّه تسوية البابين في كيفية الضمان أيضاً، لا في أصل الضمان</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495811_2142443653"/>
      <w:bookmarkStart w:id="908" w:name="_Toc321"/>
      <w:bookmarkEnd w:id="907"/>
      <w:r>
        <w:rPr>
          <w:rtl w:val="true"/>
        </w:rPr>
        <w:t>الاستدلال بروايات الرهن على اعتبار قيمة يوم التلف</w:t>
      </w:r>
      <w:bookmarkEnd w:id="908"/>
    </w:p>
    <w:p>
      <w:pPr>
        <w:pStyle w:val="BookText"/>
        <w:rPr/>
      </w:pPr>
      <w:r>
        <w:rPr>
          <w:rFonts w:ascii="Amiri" w:hAnsi="Amiri" w:eastAsia="Amiri" w:cs="Amiri"/>
          <w:color w:val="111111"/>
          <w:sz w:val="28"/>
          <w:sz w:val="28"/>
          <w:szCs w:val="28"/>
          <w:rtl w:val="true"/>
          <w:lang w:bidi="ar-SA"/>
        </w:rPr>
        <w:t xml:space="preserve">وممّا يمكن الاستشهاد به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 المقبوض بالبيع الفاسد بقيمة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الرهن المتقدّمة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كموثّقة أبان بن عثمان،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الرهن إذا ضاع من عند المرتهن من غير أن يستهلكه رجع بحقّه على الراهن فأخذه، وإن استهلكه ترادّا الفضل بينهما</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المفروض في الجملة الثانية أيضاً الضياع، وأراد التفصيل </w:t>
      </w:r>
    </w:p>
    <w:p>
      <w:pPr>
        <w:pStyle w:val="BookText"/>
        <w:rPr/>
      </w:pPr>
      <w:r>
        <w:rPr>
          <w:rFonts w:ascii="Amiri" w:hAnsi="Amiri" w:eastAsia="Amiri" w:cs="Amiri"/>
          <w:color w:val="111111"/>
          <w:sz w:val="28"/>
          <w:sz w:val="28"/>
          <w:szCs w:val="28"/>
          <w:rtl w:val="true"/>
          <w:lang w:bidi="ar-SA"/>
        </w:rPr>
        <w:t>في موضوع الضياع بين التفريط وغيره، أو بين التضييع وغيره، فتدلّ في الرهن أنّه مع ضياعه بتفريط أو تضييع يسقط المقدار المقابل، ويترادّان الفضل، والظاهر منه أنّ الاستهلاك موجب للتهاتر، وأنّ به ينتقل الرهن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الجملة الثانية في غير فرض الضياع؛ بأن يراد من الاستهلاك، الإهلاك والإتلاف، فتخرج عن مورد ضمان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يرهن الرهن بمائة درهم، وهو يساوي ثلاث مائة درهم فيهلك، أ على الرجل أن يردّ على صاحبه مائتي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أخذ رهناً فيه فضل وضيّعه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نصف الرهن؟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فيترادّان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 من فرض الهلاك، لا الإتلاف والإهلاك كما في رواية الصدوق</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هلك مال الغير تحت يده بتضييع، ضمن قيمته يوم التلف، فيدلّ على المقصود في الجملة، كما أنّ ذيلها المفروض فيه الهلاك على جميع النسخ، يستفاد منه ذلك؛ بدعوى موافقة فهم العرف في أنّ العلّة في الجملة المتقدّمة جارية في حكم الذيل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احتمال دخالة خصوصيات الرهن في الحكم، فبعيد مخالف لفهم العرف، سيّما في 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محمّد بن قيس</w:t>
      </w:r>
      <w:r>
        <w:rPr>
          <w:rStyle w:val="FootnoteAnchor"/>
          <w:rtl w:val="true"/>
        </w:rPr>
        <w:footnoteReference w:id="1358"/>
      </w:r>
      <w:r>
        <w:rPr>
          <w:rFonts w:ascii="Amiri" w:hAnsi="Amiri" w:eastAsia="Amiri" w:cs="Amiri"/>
          <w:color w:val="111111"/>
          <w:sz w:val="28"/>
          <w:sz w:val="28"/>
          <w:szCs w:val="28"/>
          <w:rtl w:val="true"/>
          <w:lang w:bidi="ar-SA"/>
        </w:rPr>
        <w:t xml:space="preserve">وغيرها </w:t>
      </w:r>
      <w:r>
        <w:rPr>
          <w:rStyle w:val="FootnoteAnchor"/>
          <w:rtl w:val="true"/>
        </w:rPr>
        <w:footnoteReference w:id="1359"/>
      </w:r>
      <w:r>
        <w:rPr>
          <w:rFonts w:ascii="Amiri" w:hAnsi="Amiri" w:eastAsia="Amiri" w:cs="Amiri"/>
          <w:color w:val="111111"/>
          <w:sz w:val="28"/>
          <w:sz w:val="28"/>
          <w:szCs w:val="28"/>
          <w:rtl w:val="true"/>
          <w:lang w:bidi="ar-SA"/>
        </w:rPr>
        <w:t>الظاهر منها فرض التلف والتهاتر وترادّ الفضل بمجرّد التلف، والظاهر منها أنّ القيمة تتعلّق بالذمّة حال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المراد قيمة يوم التفريط لا يوم التلف</w:t>
      </w:r>
      <w:r>
        <w:rPr>
          <w:rStyle w:val="FootnoteAnchor"/>
          <w:rtl w:val="true"/>
        </w:rPr>
        <w:footnoteReference w:id="1360"/>
      </w:r>
      <w:r>
        <w:rPr>
          <w:rFonts w:ascii="Amiri" w:hAnsi="Amiri" w:eastAsia="Amiri" w:cs="Amiri"/>
          <w:color w:val="111111"/>
          <w:sz w:val="28"/>
          <w:sz w:val="28"/>
          <w:szCs w:val="28"/>
          <w:rtl w:val="true"/>
          <w:lang w:bidi="ar-SA"/>
        </w:rPr>
        <w:t>، بعيد جدّاً، لا يحتمله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إسراء الحكم منها إلى المورد بعد التعليل المتقدّم، إنّما هو بدعوى أنّ العقلاء يفهمون منها أنّ خصوصيات المورد من الرهن والفضل ونحوهما غير دخيلة في الحكم، وما هو تمام الموضوع هو التلف مضموناً، سيّما مع كون الضمان في القيميات لديهم بقيمة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دخالة التعدّي والتفريط في الضمان</w:t>
      </w:r>
      <w:r>
        <w:rPr>
          <w:rStyle w:val="FootnoteAnchor"/>
          <w:rtl w:val="true"/>
        </w:rPr>
        <w:footnoteReference w:id="1361"/>
      </w:r>
      <w:r>
        <w:rPr>
          <w:rFonts w:ascii="Amiri" w:hAnsi="Amiri" w:eastAsia="Amiri" w:cs="Amiri"/>
          <w:color w:val="111111"/>
          <w:sz w:val="28"/>
          <w:sz w:val="28"/>
          <w:szCs w:val="28"/>
          <w:rtl w:val="true"/>
          <w:lang w:bidi="ar-SA"/>
        </w:rPr>
        <w:t>، بعيد بالنسبة إلى بعض مراتب التعدّي، كركوب الدابّة مثلاً نصف ساعة، ممّا يوجب انقلاب يد الأمانة إلى الضمان، فيكون الدليل عليه هو قاعدة اليد، ولو منعت دلالتها فلا إشكال في التأييد، فتدبّر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المراجع لأخبار أبواب الضمانات، وارتكاز العقلاء فيها، لا ينبغي له الريب في أنّ الضمان في القيميات مطلقاً بقيمة يوم التلف</w:t>
      </w:r>
      <w:r>
        <w:rPr>
          <w:rFonts w:eastAsia="Amiri" w:cs="Amiri" w:ascii="Amiri" w:hAnsi="Amiri"/>
          <w:color w:val="111111"/>
          <w:sz w:val="28"/>
          <w:szCs w:val="28"/>
          <w:rtl w:val="true"/>
          <w:lang w:bidi="ar-SA"/>
        </w:rPr>
        <w:t xml:space="preserve">. </w:t>
      </w:r>
      <w:bookmarkStart w:id="909" w:name="pg15195_151004"/>
    </w:p>
    <w:p>
      <w:pPr>
        <w:pStyle w:val="Heading4"/>
        <w:numPr>
          <w:ilvl w:val="3"/>
          <w:numId w:val="1"/>
        </w:numPr>
        <w:rPr/>
      </w:pPr>
      <w:bookmarkStart w:id="910" w:name="__RefHeading___Toc2495813_2142443653"/>
      <w:bookmarkStart w:id="911" w:name="_Toc322"/>
      <w:bookmarkEnd w:id="909"/>
      <w:bookmarkEnd w:id="910"/>
      <w:r>
        <w:rPr>
          <w:rtl w:val="true"/>
        </w:rPr>
        <w:t>الروايات التي استدلّ بها على اعتبار قيمة يوم الأداء</w:t>
      </w:r>
      <w:bookmarkEnd w:id="911"/>
    </w:p>
    <w:p>
      <w:pPr>
        <w:pStyle w:val="BookText"/>
        <w:rPr/>
      </w:pPr>
      <w:r>
        <w:rPr>
          <w:rFonts w:ascii="Amiri" w:hAnsi="Amiri" w:eastAsia="Amiri" w:cs="Amiri"/>
          <w:color w:val="111111"/>
          <w:sz w:val="28"/>
          <w:sz w:val="28"/>
          <w:szCs w:val="28"/>
          <w:rtl w:val="true"/>
          <w:lang w:bidi="ar-SA"/>
        </w:rPr>
        <w:t>نعم، ربّما يتوهّم من بعض الروايات خلاف ذلك، مثل ما وردت عن أبي عبداللّه، وأبي إبراهيم، وأبي الحسن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البهيمة للفاعل ذُبحت، فإذا ماتت اُحرقت بالنار، ولم يُنتفع بها، وضُرب هو خمسة وعشرين سوطاً، ربع حدّ الزاني، وإن لم تكن البهيمة له قُوِّمت واُخذ ثمنها منه، ودُفع إلى صاحبها، وذُبحت واُحرقت بالنار، ولم يُنتفع بها، وضُرب خمسة وعشرين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البهيمة؟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ذنب لها، ولكن رسول اللّه صلي الله عليه و آله وسلم فعل هذا وأمر به؛ لكي لا يجترئ الناس بالبهائم وينقطع النسل</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سدير،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دون الحدّ، ويغرم قيمة البهيمة لصاحبها؛ لأنّه أفسدها عليه، وتُذبح وتُحرق وتُدفن إن كانت ممّا يُؤكل لحمه، وإن كانت ممّا يُركب ظهره اُغرم قيمتها، وجُلد دون الحدّ، وأخرجها من المدينة التي فعل بها فيها إلى بلاد اُخر، حيث لا تُعرف، فيبيعها فيها كي لا يعيّر بها صاحبها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912" w:name="pg15195_151005"/>
    </w:p>
    <w:p>
      <w:pPr>
        <w:pStyle w:val="BookText"/>
        <w:rPr/>
      </w:pPr>
      <w:bookmarkEnd w:id="912"/>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منهما أنّ الاعتبار بيوم أداء القيمة، لا يوم الإفساد؛ فإنّ يومه يوم إتيان البهيمة، ويوم الذبح والتغريم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ما يركب ظهره، فإنّه لا يخرج عن ملك صاحبه، وتغريم الواطئ ليس من قبيل تغريم الضمانات، بل لتمليك الدابّة عليه قهراً، فهو خارج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يؤكل لحمه،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خروجه عن ملك صاحبه أيضاً، فالتقويم حال الإتلاف يدلّ على أنّ الاعتبار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بخروجه إمّا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لسلب الملكية عرفاً بعد سلب جميع آثارها،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ظاهرهما أنّ الوط‌ء سبب لتلك الأحكام؛ أي التقويم والذبح والحرق، والظاهر ترتّب الأحكام عليه بلا مهلة، فيكون الاعتبار بتقويم يوم الوط‌ء والإفساد، وإنّما لم يذكره إمّا للاتّكال على الظهور العرفي، أو لعدم اختلاف قيم الحيوانات في أيّام قلائل، سيّما في تلك الأزمنة، وتخلّف زمان التقويم عن زمان الوط‌ء بأزمنة كثيرة، بعيد نادر</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495815_2142443653"/>
      <w:bookmarkStart w:id="914" w:name="_Toc323"/>
      <w:bookmarkEnd w:id="913"/>
      <w:r>
        <w:rPr>
          <w:rtl w:val="true"/>
        </w:rPr>
        <w:t>استشهاد الشهيد الثاني بصحيحة أبي ولاّد على اعتبار أعلى القيم</w:t>
      </w:r>
      <w:bookmarkEnd w:id="914"/>
    </w:p>
    <w:p>
      <w:pPr>
        <w:pStyle w:val="BookText"/>
        <w:rPr/>
      </w:pPr>
      <w:r>
        <w:rPr>
          <w:rFonts w:ascii="Amiri" w:hAnsi="Amiri" w:eastAsia="Amiri" w:cs="Amiri"/>
          <w:color w:val="111111"/>
          <w:sz w:val="28"/>
          <w:sz w:val="28"/>
          <w:szCs w:val="28"/>
          <w:rtl w:val="true"/>
          <w:lang w:bidi="ar-SA"/>
        </w:rPr>
        <w:t>ثمّ إنّه حكي عن الشهيد الثاني قدّس سرّه الاستشهاد بصحيحة أبي ولاّد على اعتبار أعلى القيم من حين الغصب إلى التلف</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يعلم لذلك وجه صحيح، ولم أظفر بمن وجّه </w:t>
      </w:r>
    </w:p>
    <w:p>
      <w:pPr>
        <w:pStyle w:val="BookText"/>
        <w:rPr/>
      </w:pPr>
      <w:r>
        <w:rPr>
          <w:rFonts w:ascii="IRNazanin" w:hAnsi="IRNazanin" w:eastAsia="IRNazanin"/>
          <w:color w:val="111111"/>
          <w:sz w:val="28"/>
          <w:sz w:val="28"/>
          <w:szCs w:val="28"/>
          <w:rtl w:val="true"/>
          <w:lang w:bidi="fa-IR"/>
        </w:rPr>
        <w:t>دلالتها على هذا المطلب</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منوّنة، والظرف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مقتضى القاعدة، لا شبهة في أنّ المراد به بغل مشابه للتالف فيما هو دخيل في الغرامات، وعلى ذلك كما أنّ اللازم اعتبار المشابهة في وصف الصحّة والسلامة والعربية، كذلك اللازم اعتبار المشابهة في القيمة؛ إذ المشابه التامّ ما هو مشابه في كلّ الجهات، وكما أنّ الأوصاف المذكورة لو سلبت عن العين، لا بدّ من اعتبارها في الضمان، كذلك القيمة الغالية لو سلبت عنها، لا بدّ من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تتابع الإضافات، فإضافة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ظاهرة على ما قيل في أنّ الاعتبار بقيمة يومها </w:t>
      </w:r>
      <w:r>
        <w:rPr>
          <w:rStyle w:val="FootnoteAnchor"/>
          <w:rtl w:val="true"/>
        </w:rPr>
        <w:footnoteReference w:id="1366"/>
      </w:r>
      <w:r>
        <w:rPr>
          <w:rFonts w:ascii="Amiri" w:hAnsi="Amiri" w:eastAsia="Amiri" w:cs="Amiri"/>
          <w:color w:val="111111"/>
          <w:sz w:val="28"/>
          <w:sz w:val="28"/>
          <w:szCs w:val="28"/>
          <w:rtl w:val="true"/>
          <w:lang w:bidi="ar-SA"/>
        </w:rPr>
        <w:t>، لكن بعد التجزئة والتحليل يمكن استفادة أعلى القيم منها؛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بما هو غير دخيل في الغرامة كما هو واضح، وكذا يوم المخالفة بعنوانه، بل باعتبار تحقّق الغصب والاستيلاء على مال الغير بلا إذنه، وهذا أمر مستمرّ من وقت المخالفة إلى زمان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القيمة في يوم من الغصب عشرة، وفي آخر عشرين، وفي ثالث رجعت إلى العشرة، فأدّى العشرين،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أدّى قيمة حال الاستيلاء مطلقاً، المستمرّ من أوّل زمانه إلى زمان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الأعلى مشتمل للأدنى</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أدّى العشرة، لا يصدق إلاّ أداء قيمة يوم كانت قيمته عشرة فضمان </w:t>
      </w:r>
      <w:bookmarkStart w:id="915" w:name="pg15195_151007"/>
    </w:p>
    <w:p>
      <w:pPr>
        <w:pStyle w:val="BookText"/>
        <w:rPr/>
      </w:pPr>
      <w:bookmarkEnd w:id="915"/>
      <w:r>
        <w:rPr>
          <w:rFonts w:ascii="Amiri" w:hAnsi="Amiri" w:eastAsia="Amiri" w:cs="Amiri"/>
          <w:color w:val="111111"/>
          <w:sz w:val="28"/>
          <w:sz w:val="28"/>
          <w:szCs w:val="28"/>
          <w:rtl w:val="true"/>
          <w:lang w:bidi="ar-SA"/>
        </w:rPr>
        <w:t xml:space="preserve">قيمة حال الاستيلاء بقول مطلق هو ضمان الأعلى، وغيره ضمان حال خاصّ، هذا على النسخ التي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غيرها </w:t>
      </w:r>
      <w:r>
        <w:rPr>
          <w:rStyle w:val="FootnoteAnchor"/>
          <w:rtl w:val="true"/>
        </w:rPr>
        <w:footnoteReference w:id="1368"/>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يلزمك يوم المخالفة قيمة البغل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اللازم عليه أعلى القيم، يصدق لزومها بلا تقيّد بزمان خاصّ، بخلاف غيره، ولو جعل الظرف قيداً للقيمة، يأتي فيها ما مرّ من تتابع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مجرّد تصوّرات وتخريجات، لا يساعد عليها العرف والعقلاء في باب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ظهورها في قيمة يوم التلف</w:t>
      </w:r>
      <w:r>
        <w:rPr>
          <w:rStyle w:val="FootnoteAnchor"/>
          <w:rtl w:val="true"/>
        </w:rPr>
        <w:footnoteReference w:id="1369"/>
      </w:r>
      <w:r>
        <w:rPr>
          <w:rFonts w:ascii="Amiri" w:hAnsi="Amiri" w:eastAsia="Amiri" w:cs="Amiri"/>
          <w:color w:val="111111"/>
          <w:sz w:val="28"/>
          <w:sz w:val="28"/>
          <w:szCs w:val="28"/>
          <w:rtl w:val="true"/>
          <w:lang w:bidi="ar-SA"/>
        </w:rPr>
        <w:t xml:space="preserve">، كما عرفت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ظهورها في المشابهة من غير جهة القيمة عرفاً </w:t>
      </w:r>
      <w:r>
        <w:rPr>
          <w:rStyle w:val="FootnoteAnchor"/>
          <w:rtl w:val="true"/>
        </w:rPr>
        <w:footnoteReference w:id="1370"/>
      </w:r>
      <w:r>
        <w:rPr>
          <w:rFonts w:ascii="Amiri" w:hAnsi="Amiri" w:eastAsia="Amiri" w:cs="Amiri"/>
          <w:color w:val="111111"/>
          <w:sz w:val="28"/>
          <w:sz w:val="28"/>
          <w:szCs w:val="28"/>
          <w:rtl w:val="true"/>
          <w:lang w:bidi="ar-SA"/>
        </w:rPr>
        <w:t>،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بغل مشابه لبغلك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عرفاً بقرينة إضافتها إليه، أنّ المراد بالمشابهة هي المشابهة في الأوصاف التي يتقوّم بها، لا نفس القيمة وعلوّها</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495817_2142443653"/>
      <w:bookmarkStart w:id="917" w:name="_Toc324"/>
      <w:bookmarkEnd w:id="916"/>
      <w:r>
        <w:rPr>
          <w:rtl w:val="true"/>
        </w:rPr>
        <w:t>الاستناد إلى حديث اليد لإثبات أعلى القيم</w:t>
      </w:r>
      <w:bookmarkEnd w:id="917"/>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عدم صحّة الاستناد في ضمان أعلى القيم إلى دليل ضمان اليد؛ لأنّ الظاهر منه عرفاً أنّ المأخوذ في القيميات مضمون بالقيمة، فيكون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الآخذ قيمة المأخوذ إذا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قيمة ذات المأخوذ بأوصافه المأخوذة تبعاً، غير نفس القيمة؛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قيمة المأخوذ بخصوصياته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الخصوصيات المقابلة للقيمة المتقوّمة بها، لا نفس القيمة؛ لأنّ القيمة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العين مضمونة في جميع الأزمنة التي منها زمان ارتفاع قيمتها </w:t>
      </w:r>
      <w:r>
        <w:rPr>
          <w:rStyle w:val="FootnoteAnchor"/>
          <w:rtl w:val="true"/>
        </w:rPr>
        <w:footnoteReference w:id="1371"/>
      </w:r>
      <w:r>
        <w:rPr>
          <w:rFonts w:ascii="Amiri" w:hAnsi="Amiri" w:eastAsia="Amiri" w:cs="Amiri"/>
          <w:color w:val="111111"/>
          <w:sz w:val="28"/>
          <w:sz w:val="28"/>
          <w:szCs w:val="28"/>
          <w:rtl w:val="true"/>
          <w:lang w:bidi="ar-SA"/>
        </w:rPr>
        <w:t>، هو ما ذكرناه؛ من أنّ خصوصية علوّ القيمة أيضاً مضمونة كسائر الخصوصيات، وقد ظهر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الشيخ الأعظم قدّس سرّه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العين إذا ارتفعت قيمتها في زمان، وصارت ماليتها مقوّمة بتلك القيمة، فكما أنّه إذا تلفت حينئذٍ يجب تداركها بتلك القيمة، فكذا إذا حيل بينها وبين المالك حتّى تلفت؛ إذ لا فرق مع عدم التمكّن منها بين أن تتلف أو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ردّت تدارك تلك المالية بنفس العين، وارتفاع القيمة السوقية أمر اعتباري لا يضمن بنفسه؛ لعدم كونه مالاً، وإنّما هو مقوّم لمالية المال، وبه تمايز الأموال قلّة وكثرة، فإن ردّت العين فلا مال سواها يضمن، وإن تلفت استقرّت عليا تلك المراتب؛ لدخول الأدنى تحت الأعلى، نظير ما لو فرض للعين منافع متفاوتة متضادّة، حيث إنّه يضمن الأعلى منها</w:t>
      </w:r>
      <w:r>
        <w:rPr>
          <w:rFonts w:eastAsia="Amiri" w:cs="Amiri" w:ascii="Amiri" w:hAnsi="Amiri"/>
          <w:color w:val="111111"/>
          <w:sz w:val="28"/>
          <w:szCs w:val="28"/>
          <w:rtl w:val="true"/>
          <w:lang w:bidi="ar-SA"/>
        </w:rPr>
        <w:t>»</w:t>
      </w:r>
      <w:r>
        <w:rPr>
          <w:rStyle w:val="FootnoteAnchor"/>
          <w:rtl w:val="true"/>
        </w:rPr>
        <w:footnoteReference w:id="13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وجيه؛ لأنّ المتّبع في المقام هو أدلّة الضمانات، نحو دليل اليد، وأمّا </w:t>
      </w:r>
    </w:p>
    <w:p>
      <w:pPr>
        <w:pStyle w:val="BookText"/>
        <w:rPr/>
      </w:pPr>
      <w:r>
        <w:rPr>
          <w:rFonts w:ascii="Amiri" w:hAnsi="Amiri" w:eastAsia="Amiri" w:cs="Amiri"/>
          <w:color w:val="111111"/>
          <w:sz w:val="28"/>
          <w:sz w:val="28"/>
          <w:szCs w:val="28"/>
          <w:rtl w:val="true"/>
          <w:lang w:bidi="ar-SA"/>
        </w:rPr>
        <w:t>الحيلولة فليس عليها دليل مستقلّ بهذا العنوان، فلا بدّ من لحاظ دليل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بأنّ 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بتبع العين، لا بدّ من القول بالضمان، سواء كانت العين باقية ومردودةً أم لا؛ لأنّ ردّ العين ليس ردّ تلك المرتبة من المالية، والمفروض أنّها مضمونة، فكما أنّ العين إذا عيبت وردّت معيوبة، لا بدّ من جبران العيب وغرامته؛ لأنّ صفة السلامة مضمونة بتبع العين، ولا بدّ من جبرها بعد عدم إمكان ردّها، فكذلك صفة علوّ القيمة، ولا يعقل أن تكون العين جابرة لتلك المرتبة من المالية، كما لا يعقل أن تكون جابرة لصفة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القيمة السوقية غير مضمونة، وقلنا بالفرق في الغرامات بينها وبين سائر الأوصاف، كما أشار إليه رحمه الله عليه، فلا وجه للزوم جبرانها ولو تلفت العين؛ ضرورة أنّ التلف لا يوجب خروج الشيء عمّا هو عليه، فالتفصيل بين ردّ العين وتلفها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القيمة مضمونة، إلاّ أنّ الإجماع قام على عدم لزوم جبران تفاوت القيمة السوقية مع ردّ العين</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 القيمة لا تكون مضمونة؛ لظاهر دليل الضمانات وبناء العقلاء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غير ثابت في مثل المسألة؛ لقرب احتمال أن يكون نظر الفقهاء إلى أدلّة الضمانات وقواعد باب الغرامات</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مراد الشيخ قدّس سرّه من تنظير المقام بالمنافع المتفاوتة المتضادّة، </w:t>
      </w:r>
      <w:bookmarkStart w:id="918" w:name="pg15195_151010"/>
    </w:p>
    <w:p>
      <w:pPr>
        <w:pStyle w:val="BookText"/>
        <w:rPr/>
      </w:pPr>
      <w:bookmarkEnd w:id="918"/>
      <w:r>
        <w:rPr>
          <w:rFonts w:ascii="Amiri" w:hAnsi="Amiri" w:eastAsia="Amiri" w:cs="Amiri"/>
          <w:color w:val="111111"/>
          <w:sz w:val="28"/>
          <w:sz w:val="28"/>
          <w:szCs w:val="28"/>
          <w:rtl w:val="true"/>
          <w:lang w:bidi="ar-SA"/>
        </w:rPr>
        <w:t>ليس في أصل الضمان، بل في دخول الأدنى تحت الأعلى، فلا يرد عليه ما أوردوا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إبداء الفرق بين المقام ومورد التنظير</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2495819_2142443653"/>
      <w:bookmarkStart w:id="920" w:name="_Toc325"/>
      <w:bookmarkEnd w:id="919"/>
      <w:r>
        <w:rPr>
          <w:rtl w:val="true"/>
        </w:rPr>
        <w:t>الاستناد إلى قاعدة نفي الضرر وآية الاعتداء لإثبات أعلى القيم</w:t>
      </w:r>
      <w:bookmarkEnd w:id="920"/>
    </w:p>
    <w:p>
      <w:pPr>
        <w:pStyle w:val="BookText"/>
        <w:rPr/>
      </w:pPr>
      <w:r>
        <w:rPr>
          <w:rFonts w:ascii="Amiri" w:hAnsi="Amiri" w:eastAsia="Amiri" w:cs="Amiri"/>
          <w:color w:val="111111"/>
          <w:sz w:val="28"/>
          <w:sz w:val="28"/>
          <w:szCs w:val="28"/>
          <w:rtl w:val="true"/>
          <w:lang w:bidi="ar-SA"/>
        </w:rPr>
        <w:t>وربّما يستند في ضمان أعلى القيم إلى قاعدة الضرر</w:t>
      </w:r>
      <w:r>
        <w:rPr>
          <w:rStyle w:val="FootnoteAnchor"/>
          <w:rtl w:val="true"/>
        </w:rPr>
        <w:footnoteReference w:id="1375"/>
      </w:r>
      <w:r>
        <w:rPr>
          <w:rFonts w:ascii="Amiri" w:hAnsi="Amiri" w:eastAsia="Amiri" w:cs="Amiri"/>
          <w:color w:val="111111"/>
          <w:sz w:val="28"/>
          <w:sz w:val="28"/>
          <w:szCs w:val="28"/>
          <w:rtl w:val="true"/>
          <w:lang w:bidi="ar-SA"/>
        </w:rPr>
        <w:t xml:space="preserve">، ويمكن 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قلنا فيها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عدم الضرر بنحو الحقيقة الادّعائية، لا مصحّح لها إلاّ بسدّ الشارع الأقدس جميع أنحاء الضرر على الاُمّة؛ بأن ينهى عن الإضرار، ويسدّ الضرر بعد وقوعه بإيجاب الجبران وعدم جعل حكم ضرري، فلو كان من حكم الشارع هدر أموال الغير، وعدم لزوم جبران الخسارات، مع شيوع إيقاع الضرر والخسارة بين الناس شيوعاً فاحشاً، وشيوع تلف الأموال المحترمة تحت أيديهم، لم تصحّ دعوى عدم الضرر، فلازم صحّة هذه الدعوى وإطلاقها، عدم هدر الأموال، وهو يساوق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دليله أخصّ من المدّعى؛ إذ قد لا يصدق الضرر في المقام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 أنّ تضمين أعلى القيم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فإنّ العين في زمان علوّ قيمتها كانت تحت يد الضامن، </w:t>
      </w:r>
      <w:bookmarkStart w:id="921" w:name="pg15195_151011"/>
    </w:p>
    <w:p>
      <w:pPr>
        <w:pStyle w:val="BookText"/>
        <w:rPr/>
      </w:pPr>
      <w:bookmarkEnd w:id="921"/>
      <w:r>
        <w:rPr>
          <w:rFonts w:ascii="Amiri" w:hAnsi="Amiri" w:eastAsia="Amiri" w:cs="Amiri"/>
          <w:color w:val="111111"/>
          <w:sz w:val="28"/>
          <w:sz w:val="28"/>
          <w:szCs w:val="28"/>
          <w:rtl w:val="true"/>
          <w:lang w:bidi="ar-SA"/>
        </w:rPr>
        <w:t>وكان معتدياً في ذلك، فللمالك الاعتداء عليه بمثل ذلك، وهو القيمة الغالية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عرفت ما فيه عند التعرّض للآية الكريمة في ضمان المثلي</w:t>
      </w:r>
      <w:r>
        <w:rPr>
          <w:rStyle w:val="FootnoteAnchor"/>
          <w:rtl w:val="true"/>
        </w:rPr>
        <w:footnoteReference w:id="137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922" w:name="__RefHeading___Toc2495821_2142443653"/>
      <w:bookmarkStart w:id="923" w:name="_Toc326"/>
      <w:bookmarkEnd w:id="922"/>
      <w:r>
        <w:rPr>
          <w:rtl w:val="true"/>
        </w:rPr>
        <w:t>الاستدلال بالاُصول لإثبات أعلى القيم</w:t>
      </w:r>
      <w:bookmarkEnd w:id="923"/>
    </w:p>
    <w:p>
      <w:pPr>
        <w:pStyle w:val="BookText"/>
        <w:rPr/>
      </w:pPr>
      <w:r>
        <w:rPr>
          <w:rFonts w:ascii="Amiri" w:hAnsi="Amiri" w:eastAsia="Amiri" w:cs="Amiri"/>
          <w:color w:val="111111"/>
          <w:sz w:val="28"/>
          <w:sz w:val="28"/>
          <w:szCs w:val="28"/>
          <w:rtl w:val="true"/>
          <w:lang w:bidi="ar-SA"/>
        </w:rPr>
        <w:t xml:space="preserve">وعن الحلّي قدّس سرّه </w:t>
      </w:r>
      <w:r>
        <w:rPr>
          <w:rStyle w:val="FootnoteAnchor"/>
          <w:rtl w:val="true"/>
        </w:rPr>
        <w:footnoteReference w:id="1380"/>
      </w:r>
      <w:r>
        <w:rPr>
          <w:rFonts w:ascii="Amiri" w:hAnsi="Amiri" w:eastAsia="Amiri" w:cs="Amiri"/>
          <w:color w:val="111111"/>
          <w:sz w:val="28"/>
          <w:sz w:val="28"/>
          <w:szCs w:val="28"/>
          <w:rtl w:val="true"/>
          <w:lang w:bidi="ar-SA"/>
        </w:rPr>
        <w:t>وغيره</w:t>
      </w:r>
      <w:r>
        <w:rPr>
          <w:rStyle w:val="FootnoteAnchor"/>
          <w:rtl w:val="true"/>
        </w:rPr>
        <w:footnoteReference w:id="1381"/>
      </w:r>
      <w:r>
        <w:rPr>
          <w:rFonts w:ascii="Amiri" w:hAnsi="Amiri" w:eastAsia="Amiri" w:cs="Amiri"/>
          <w:color w:val="111111"/>
          <w:sz w:val="28"/>
          <w:sz w:val="28"/>
          <w:szCs w:val="28"/>
          <w:rtl w:val="true"/>
          <w:lang w:bidi="ar-SA"/>
        </w:rPr>
        <w:t>الاستدلال على أعلى القيم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بالتمسّك باستصحاب الضمان، المستفاد من حديث اليد</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عدم صحّة التمسّك بالأصل مع الأدلّة الاجتهادية والقواعد العقلائية الممضاة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به فرع البناء على أنّ المستفاد من أدلّة الضمانات، تعلّق نفس العين بالذمّة في المثليات والقيميات، أو تعلّق المثل بها فيهما، فإنّه مع الشكّ في السقوط كان الأصل الاشتغال، ويصحّ استصحاب بقاء العين أو المثل على العهدة لترتّب وجوب أدائهما، أو حرمة حبسهما على صاحبهما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ضمان القيمة في القيمي، فالأصل البراءة؛ للدوران بين الأقلّ والأكثر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تعلّق العين بالذمّة، إنّ قاعدة الاشتغال محكّمة لو قلنا بأنّ العين تسقط عن الذمّة بأداء المثل في المثلي، والقيمة في القيمي، فمع أداء الأقلّ يشكّ في السقوط، والأصل الاشتغال، ويجري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 العين لا يعقل سقوطها عنها مع امتناع تأديتها، التي هي الغاية، فلا شكّ في السقوط، وإنّما الشكّ في التكليف الزائد؛ لأنّ الواجب تدارك مالية ما في العهدة، وهي مردّدة بين الأقلّ والأكثر</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ببقاء العين على الذمّة، وعدم سقوطها إلى الأبد، لا بدّ وأن يقول بأنّ العين لمّا كانت لها خصوصية شخصية، وهي بهذه الخصوصية على الذمّة، لا يعقل سقوطها لامتناع تأديتها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على المكلّف الخروج عن عهدة غرامتها وضمانها، من غير أن يتعلّق بالقيمة تكليف مستقلّ يتردّد بين الأقلّ والأكثر، ومن غير أن يتعلّق بالذمّة وراء نفس العين بجميع جهاتها شيء،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مردّدة بين الأقلّ والأكثر</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المالية على العهدة، ولا التكليف متعلّق بأداء القيمة مستقلاًّ، بل العين على العهدة، ولا بدّ من الخروج عن عهدة غرامتها، وإن لم تسقط بعد أداء الغرامة أيضاً؛ لمكان استقرارها على الذمّة بشخصيتها، ومع أداء الأقلّ يشكّ في الخروج عن عهدة الغرامة والضمان، فالأصل الاشتغال، ويصحّ الاستصحاب،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الاشتغال، مع البناء على ضمان القيميات بالقيمة؛ لأنّ المالية القائمة بالأعيان التي هي من حيثياتها وشؤونها، أمر اعتباري بسيط، لا من الأعراض الخارجية، حتّى تكون لها قلّة وكثرة، أو زيادة ونقص، ولا هي عبارة عن الدينار والدرهم اللذين لهما قلّة وكثرة؛ لأنّهما غير قائمين بالحنطة والشعير، بل لهما مالية اعتبارية، مساوية لمالية الحنطة، أو غير مساوية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المالية القائمة بالعين تتدارك بهما بعد تلفها؛ لأنّهما ممحّضان في المالية كسائر المسكوكات، فالقلّة والكثرة ليستا فيما اشتغلت به الذمّة، ولا في مالية الدرهم والدينار، بل فيما يتدارك به خارجاً في مقام الأداء، فلا محالة لا تتردّد بين الأقلّ والأكثر، بل بنحو التباين؛ فإنّ أنحاء المالية بسائط متباينة، فيشكّ في أنّ المالية التي قد اشتغلت الذمّة بها، هذه المالية المتعيّنة، أو مالية اُخرى متعيّنة، وهما بسيطان متباينان، فلا مجال إلاّ للاشتغال</w:t>
      </w:r>
      <w:r>
        <w:rPr>
          <w:rStyle w:val="FootnoteAnchor"/>
          <w:rtl w:val="true"/>
        </w:rPr>
        <w:footnoteReference w:id="13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من الخلط بين العقليات والعرفيات، والخروج عن طريقة العقلاء في باب الضمانات، وعن ظواهر أدلّة الضمانات الموكولة إلى العرف</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بعد اللتيّا والتي، لم يأت بشيءٍ مثبت؛ لعدم قابلية هذه المالية الاعتبارية للزيادة والنقص، والقلّة والكثرة؛ لأنّ المنظور في ثبوت القلّة والكثرة، ليس الحقيقية منهما، الثابتة للكمّ المتّصل أو المنفصل، بل المراد القلّة والكثرة في الاعتباريات، فالمالية المساوية لعشرة دراهم أقلّ من المالية المساوية للعشرين، وهي أكثر منها بلا ريب لدى العرف والعقلاء</w:t>
      </w:r>
      <w:r>
        <w:rPr>
          <w:rFonts w:eastAsia="Amiri" w:cs="Amiri" w:ascii="Amiri" w:hAnsi="Amiri"/>
          <w:color w:val="111111"/>
          <w:sz w:val="28"/>
          <w:szCs w:val="28"/>
          <w:rtl w:val="true"/>
          <w:lang w:bidi="ar-SA"/>
        </w:rPr>
        <w:t xml:space="preserve">. </w:t>
      </w:r>
      <w:bookmarkStart w:id="924" w:name="pg15195_151014"/>
    </w:p>
    <w:p>
      <w:pPr>
        <w:pStyle w:val="BookText"/>
        <w:rPr/>
      </w:pPr>
      <w:bookmarkEnd w:id="924"/>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اشتغلت ذمّته بما يتردّد بين المالية المساوية للعشرين أو العشرة، فأدّى ما يساوي ماليته العشرين، يرى العقلاء تأدية ما عليه بلا تسامح، ولا يكون عرفاً من قبيل المصالحة على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كما ذكره من الترديد بين المتباينين، كانت تأدية ما يساوي ماليته العشرين المباينة للعشرة، غير كافية في رفع الاشتغال؛ ضرورة عدم إمكان اندراج المباين في مباينه، ولا أظنّ حتّى من القائل أن يلتزم بأنّه مع أداء</w:t>
      </w:r>
    </w:p>
    <w:p>
      <w:pPr>
        <w:pStyle w:val="BookText"/>
        <w:rPr/>
      </w:pPr>
      <w:r>
        <w:rPr>
          <w:rFonts w:ascii="Amiri" w:hAnsi="Amiri" w:eastAsia="Amiri" w:cs="Amiri"/>
          <w:color w:val="111111"/>
          <w:sz w:val="28"/>
          <w:sz w:val="28"/>
          <w:szCs w:val="28"/>
          <w:rtl w:val="true"/>
          <w:lang w:bidi="ar-SA"/>
        </w:rPr>
        <w:t>أعلى القيم، يشكّ في البراءة عن الضمان، وهو دليل واضح على أنّ الأعلى والأدنى من قبيل الأقلّ والأكثر، لا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إيكال هذه الأبواب إلى العرف والعقلاء حتّى يتّضح المطلوب</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2495823_2142443653"/>
      <w:bookmarkStart w:id="926" w:name="_Toc327"/>
      <w:bookmarkEnd w:id="925"/>
      <w:r>
        <w:rPr>
          <w:rtl w:val="true"/>
        </w:rPr>
        <w:t>عدم الاعتبار بزيادة القيمة بعد التلف</w:t>
      </w:r>
      <w:bookmarkEnd w:id="926"/>
    </w:p>
    <w:p>
      <w:pPr>
        <w:pStyle w:val="BookText"/>
        <w:rPr/>
      </w:pPr>
      <w:r>
        <w:rPr>
          <w:rFonts w:ascii="Amiri" w:hAnsi="Amiri" w:eastAsia="Amiri" w:cs="Amiri"/>
          <w:color w:val="111111"/>
          <w:sz w:val="28"/>
          <w:sz w:val="28"/>
          <w:szCs w:val="28"/>
          <w:rtl w:val="true"/>
          <w:lang w:bidi="ar-SA"/>
        </w:rPr>
        <w:t>ثمّ إنّه لا عبرة بزيادة القيمة بعد التلف، حتّى على القول بأنّ القيمي مضمون بالمثل</w:t>
      </w:r>
      <w:r>
        <w:rPr>
          <w:rStyle w:val="FootnoteAnchor"/>
          <w:rtl w:val="true"/>
        </w:rPr>
        <w:footnoteReference w:id="1385"/>
      </w:r>
      <w:r>
        <w:rPr>
          <w:rFonts w:ascii="Amiri" w:hAnsi="Amiri" w:eastAsia="Amiri" w:cs="Amiri"/>
          <w:color w:val="111111"/>
          <w:sz w:val="28"/>
          <w:sz w:val="28"/>
          <w:szCs w:val="28"/>
          <w:rtl w:val="true"/>
          <w:lang w:bidi="ar-SA"/>
        </w:rPr>
        <w:t>لأنّ عمدة دليل الضمان قاعدة اليد، وهي لا تشمل المثل الذي على العهدة ولو قلنا بأنّ ارتفاع القيم مضمون؛ وذلك لأنّ موضوع دليل اليد هو الاستيلاء على مال الغير، وكون الشيء على العهدة والذمّة، غير كونه تحت اليد والاستيلاء، فما في العهدة خارج عن دليل اليد موضوعاً، وهو واضح</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لو قلنا بأنّ كون الشيء على العهدة نحو استيلاء عليه، ينصرف دليله عنه؛ لأنّ استقرار المثل على الذمّة، إنّما هو بدليل اليد</w:t>
      </w:r>
      <w:r>
        <w:rPr>
          <w:rFonts w:eastAsia="Amiri" w:cs="Amiri" w:ascii="Amiri" w:hAnsi="Amiri"/>
          <w:color w:val="111111"/>
          <w:sz w:val="28"/>
          <w:szCs w:val="28"/>
          <w:rtl w:val="true"/>
          <w:lang w:bidi="ar-SA"/>
        </w:rPr>
        <w:t xml:space="preserve">. </w:t>
      </w:r>
      <w:bookmarkStart w:id="927" w:name="pg15195_151015"/>
    </w:p>
    <w:p>
      <w:pPr>
        <w:pStyle w:val="BookText"/>
        <w:rPr/>
      </w:pPr>
      <w:bookmarkEnd w:id="927"/>
      <w:r>
        <w:rPr>
          <w:rFonts w:ascii="Amiri" w:hAnsi="Amiri" w:eastAsia="Amiri" w:cs="Amiri"/>
          <w:color w:val="111111"/>
          <w:sz w:val="28"/>
          <w:sz w:val="28"/>
          <w:szCs w:val="28"/>
          <w:rtl w:val="true"/>
          <w:lang w:bidi="ar-SA"/>
        </w:rPr>
        <w:t>ولو قلنا بإمكان كون الدليل محقّقاً لموضوعه، وإمكان شموله له حكماً، كما</w:t>
      </w:r>
    </w:p>
    <w:p>
      <w:pPr>
        <w:pStyle w:val="BookText"/>
        <w:rPr/>
      </w:pPr>
      <w:r>
        <w:rPr>
          <w:rFonts w:ascii="Amiri" w:hAnsi="Amiri" w:eastAsia="Amiri" w:cs="Amiri"/>
          <w:color w:val="111111"/>
          <w:sz w:val="28"/>
          <w:sz w:val="28"/>
          <w:szCs w:val="28"/>
          <w:rtl w:val="true"/>
          <w:lang w:bidi="ar-SA"/>
        </w:rPr>
        <w:t>يقال في القضايا الحقيقية والأخبار مع الواسطة</w:t>
      </w:r>
      <w:r>
        <w:rPr>
          <w:rStyle w:val="FootnoteAnchor"/>
          <w:rtl w:val="true"/>
        </w:rPr>
        <w:footnoteReference w:id="1386"/>
      </w:r>
      <w:r>
        <w:rPr>
          <w:rFonts w:ascii="Amiri" w:hAnsi="Amiri" w:eastAsia="Amiri" w:cs="Amiri"/>
          <w:color w:val="111111"/>
          <w:sz w:val="28"/>
          <w:sz w:val="28"/>
          <w:szCs w:val="28"/>
          <w:rtl w:val="true"/>
          <w:lang w:bidi="ar-SA"/>
        </w:rPr>
        <w:t>، لكن الإمكان العقلي غير الشمول العرفي ودلالة الدليل، فلا يستفاد من دليل اليد ضمان المثل؛ وأنّ المثل المضمون به مضمون بضمان آخر، هو علوّ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الضمان قاعدة الضرر، بالتقريب المتقدّم</w:t>
      </w:r>
      <w:r>
        <w:rPr>
          <w:rStyle w:val="FootnoteAnchor"/>
          <w:rtl w:val="true"/>
        </w:rPr>
        <w:footnoteReference w:id="1387"/>
      </w:r>
      <w:r>
        <w:rPr>
          <w:rFonts w:ascii="Amiri" w:hAnsi="Amiri" w:eastAsia="Amiri" w:cs="Amiri"/>
          <w:color w:val="111111"/>
          <w:sz w:val="28"/>
          <w:sz w:val="28"/>
          <w:szCs w:val="28"/>
          <w:rtl w:val="true"/>
          <w:lang w:bidi="ar-SA"/>
        </w:rPr>
        <w:t>، أو آية الاعتداء</w:t>
      </w:r>
      <w:r>
        <w:rPr>
          <w:rStyle w:val="FootnoteAnchor"/>
          <w:rtl w:val="true"/>
        </w:rPr>
        <w:footnoteReference w:id="1388"/>
      </w:r>
      <w:r>
        <w:rPr>
          <w:rFonts w:ascii="Amiri" w:hAnsi="Amiri" w:eastAsia="Amiri" w:cs="Amiri"/>
          <w:color w:val="111111"/>
          <w:sz w:val="28"/>
          <w:sz w:val="28"/>
          <w:szCs w:val="28"/>
          <w:rtl w:val="true"/>
          <w:lang w:bidi="ar-SA"/>
        </w:rPr>
        <w:t xml:space="preserve">، لكان لضمان الزيادة حال التلف وجه، لكن قد عرفت الخدشة فيهما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الضمان بحسب اختلاف الأزمنة، ويأتي الكلام أيضاً في اختلاف القيمة بحسب الأمكنة</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2495825_2142443653"/>
      <w:bookmarkStart w:id="929" w:name="_Toc328"/>
      <w:bookmarkEnd w:id="928"/>
      <w:r>
        <w:rPr>
          <w:rtl w:val="true"/>
        </w:rPr>
        <w:t>الاعتبار بقيمة مكان التلف</w:t>
      </w:r>
      <w:bookmarkEnd w:id="929"/>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 من الاستظهار من أدلّة الضمان، ومن ظهور صحيحة أبي ولاّد، في أنّ الاعتبار بيوم التلف</w:t>
      </w:r>
      <w:r>
        <w:rPr>
          <w:rStyle w:val="FootnoteAnchor"/>
          <w:rtl w:val="true"/>
        </w:rPr>
        <w:footnoteReference w:id="1390"/>
      </w:r>
      <w:r>
        <w:rPr>
          <w:rFonts w:ascii="Amiri" w:hAnsi="Amiri" w:eastAsia="Amiri" w:cs="Amiri"/>
          <w:color w:val="111111"/>
          <w:sz w:val="28"/>
          <w:sz w:val="28"/>
          <w:szCs w:val="28"/>
          <w:rtl w:val="true"/>
          <w:lang w:bidi="ar-SA"/>
        </w:rPr>
        <w:t xml:space="preserve">، لا إشكال في ضمان قيمة مكان التلف أيضاً، بتقريب أنّ المتفاهم من الأدلّة أنّه إذا تلف المأخوذ، عليه قيمته في القيميات، وهو ظاهر في أنّ القيمة الفعلية عليه، وهي قيمة حال التلف في مكان التلف، </w:t>
      </w:r>
    </w:p>
    <w:p>
      <w:pPr>
        <w:pStyle w:val="BookText"/>
        <w:rPr/>
      </w:pPr>
      <w:r>
        <w:rPr>
          <w:rFonts w:ascii="Amiri" w:hAnsi="Amiri" w:eastAsia="Amiri" w:cs="Amiri"/>
          <w:color w:val="111111"/>
          <w:sz w:val="28"/>
          <w:sz w:val="28"/>
          <w:szCs w:val="28"/>
          <w:rtl w:val="true"/>
          <w:lang w:bidi="ar-SA"/>
        </w:rPr>
        <w:t>وقيم سائر الأمكنة كسائر الأزمنة تقديرية،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الشيء في مكان كذا، كانت قيمته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الاعتبار بقيمة زمان الغصب، كما قرّب الشيخ الأعظم قدّس سرّه دلالة صحيحة أبي ولاّد عليه</w:t>
      </w:r>
      <w:r>
        <w:rPr>
          <w:rStyle w:val="FootnoteAnchor"/>
          <w:rtl w:val="true"/>
        </w:rPr>
        <w:footnoteReference w:id="1391"/>
      </w:r>
      <w:r>
        <w:rPr>
          <w:rFonts w:ascii="Amiri" w:hAnsi="Amiri" w:eastAsia="Amiri" w:cs="Amiri"/>
          <w:color w:val="111111"/>
          <w:sz w:val="28"/>
          <w:sz w:val="28"/>
          <w:szCs w:val="28"/>
          <w:rtl w:val="true"/>
          <w:lang w:bidi="ar-SA"/>
        </w:rPr>
        <w:t>، فالالتزام بقيمة مكان التلف</w:t>
      </w:r>
      <w:r>
        <w:rPr>
          <w:rStyle w:val="FootnoteAnchor"/>
          <w:rtl w:val="true"/>
        </w:rPr>
        <w:footnoteReference w:id="1392"/>
      </w:r>
      <w:r>
        <w:rPr>
          <w:rFonts w:ascii="Amiri" w:hAnsi="Amiri" w:eastAsia="Amiri" w:cs="Amiri"/>
          <w:color w:val="111111"/>
          <w:sz w:val="28"/>
          <w:sz w:val="28"/>
          <w:szCs w:val="28"/>
          <w:rtl w:val="true"/>
          <w:lang w:bidi="ar-SA"/>
        </w:rPr>
        <w:t>مشكل بل غير ممكن؛ لأنّ لازم الجمع بين اعتبار زمان الغصب ومكان التلف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المضمون قيمة يوم الغصب في مكان التلف، فإذا كان للعين في يوم الغصب أو نحوه قيمة في المكان الذي تتلف فيه بعد، كانت مضمونةً عليه، فكان المضمون قيمة الشيء في المكان المذكور يوم الغصب بعد تلفه؛ بمعنى أنّ المضمون قيمته في ذلك المكان يوم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استفادة ذلك من أدلّة الضمانات، كقاعدة اليد، وصحيحة أبي ولاّد،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الضمانات، ضمانه يوم التلف في مكان التلف، ومقتضى صحيحة أبي ولاّد ضمان قيمة يوم الغصب، والجمع بينهما بأن يقال بضمان قيمة يوم الغصب في مكان التلف</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دلالة الصحيحة على ضمان قيمة يوم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جمعاً عقلائياً؛ لأنّ ظاهر الصحيحة على فرض دلالتها على ضمان يوم الغصب هو ضمان ذلك المكان أيضاً، لا المكان الآخر، ولعلّ الشيخ قدّس سرّه بنى على ضمان يوم التلف، كما يظهر من خلال كلامه، وعلى هذا يكون زمان التلف ومكانه واحداً</w:t>
      </w:r>
      <w:r>
        <w:rPr>
          <w:rFonts w:eastAsia="Amiri" w:cs="Amiri" w:ascii="Amiri" w:hAnsi="Amiri"/>
          <w:color w:val="111111"/>
          <w:sz w:val="28"/>
          <w:szCs w:val="28"/>
          <w:rtl w:val="true"/>
          <w:lang w:bidi="ar-SA"/>
        </w:rPr>
        <w:t xml:space="preserve">. </w:t>
      </w:r>
      <w:bookmarkStart w:id="930" w:name="pg15195_151017"/>
    </w:p>
    <w:p>
      <w:pPr>
        <w:pStyle w:val="Heading4"/>
        <w:numPr>
          <w:ilvl w:val="3"/>
          <w:numId w:val="1"/>
        </w:numPr>
        <w:rPr/>
      </w:pPr>
      <w:bookmarkStart w:id="931" w:name="__RefHeading___Toc2495827_2142443653"/>
      <w:bookmarkStart w:id="932" w:name="_Toc329"/>
      <w:bookmarkEnd w:id="930"/>
      <w:bookmarkEnd w:id="931"/>
      <w:r>
        <w:rPr>
          <w:rtl w:val="true"/>
        </w:rPr>
        <w:t>الكلام في بدل الحيلولة</w:t>
      </w:r>
      <w:bookmarkEnd w:id="932"/>
    </w:p>
    <w:p>
      <w:pPr>
        <w:pStyle w:val="Heading5"/>
        <w:numPr>
          <w:ilvl w:val="4"/>
          <w:numId w:val="1"/>
        </w:numPr>
        <w:rPr/>
      </w:pPr>
      <w:bookmarkStart w:id="933" w:name="__RefHeading___Toc2495829_2142443653"/>
      <w:bookmarkStart w:id="934" w:name="_Toc330"/>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ثمّ إنّه لو تعذّر الوصول إليه مع عدم التلف، كما لو غرق، أو سرق، أو ضاع، أو أبق، فالظاهر تسالمهم على بدل الحيلولة</w:t>
      </w:r>
      <w:r>
        <w:rPr>
          <w:rStyle w:val="FootnoteAnchor"/>
          <w:rtl w:val="true"/>
        </w:rPr>
        <w:footnoteReference w:id="1393"/>
      </w:r>
      <w:r>
        <w:rPr>
          <w:rFonts w:ascii="Amiri" w:hAnsi="Amiri" w:eastAsia="Amiri" w:cs="Amiri"/>
          <w:color w:val="111111"/>
          <w:sz w:val="28"/>
          <w:sz w:val="28"/>
          <w:szCs w:val="28"/>
          <w:rtl w:val="true"/>
          <w:lang w:bidi="ar-SA"/>
        </w:rPr>
        <w:t>، وإنّما الكلام في دليله، واستدلّ عليه باُمور</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495831_2142443653"/>
      <w:bookmarkStart w:id="936" w:name="_Toc331"/>
      <w:bookmarkEnd w:id="935"/>
      <w:r>
        <w:rPr>
          <w:rtl w:val="true"/>
        </w:rPr>
        <w:t>الاستدلال بقاعدة اليد على بدل الحيلولة</w:t>
      </w:r>
      <w:bookmarkEnd w:id="93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وربّما تقرّر دلالتها بأنّ الظاهر منها بمناسبة غايتها أنّ المأخوذ بنفسه في عهدة ذي اليد، والعهدة مع وجود العين تكليفية، ومع تلفها مالية، يجب تداركها بحصّة مماثلة لها، وعند تعذّر ردّها وعدم تلفها، لا تكون عهدة التكليف، ولا عهدة تدارك نفسها؛ حيث إنّها غير تالفة، فلو لم يجب تداركها من حيث فوات السلطنة على الانتفاعات بها، كان اعتبار عهدتها فعلاً لغواً، فالالتزام بكونها في العهدة فعلاً يقتضي الالتزام بأثر لها فعلاً</w:t>
      </w:r>
      <w:r>
        <w:rPr>
          <w:rStyle w:val="FootnoteAnchor"/>
          <w:rtl w:val="true"/>
        </w:rPr>
        <w:footnoteReference w:id="13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العهدة في باب الضمانات، لا يكون اعتبارات كثيرة، في كلّ حال وآنٍ لها بحسبها غايات وآثار، بل لا بدّ وأن لا يكون اعتبار الأمر الوضعي </w:t>
      </w:r>
    </w:p>
    <w:p>
      <w:pPr>
        <w:pStyle w:val="BookText"/>
        <w:rPr/>
      </w:pPr>
      <w:r>
        <w:rPr>
          <w:rFonts w:ascii="Amiri" w:hAnsi="Amiri" w:eastAsia="Amiri" w:cs="Amiri"/>
          <w:color w:val="111111"/>
          <w:sz w:val="28"/>
          <w:sz w:val="28"/>
          <w:szCs w:val="28"/>
          <w:rtl w:val="true"/>
          <w:lang w:bidi="ar-SA"/>
        </w:rPr>
        <w:t>بحسب الجعل القانوني لغواً، وإلاّ يلزم سقوط الدين عن ذمّة المديون لو فرض عدم قدرته على الأداء في برهة من الزمان؛ لعين ما ذكر،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الأثر لا يجب أن يكون بدل الحيلولة، بل للعهدة آثار اُخر، منها جواز المصالحة، وجواز أخذ الاُجرة،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دلالتها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نفس العين على العهدة، لا تكون القاعدة متكفّلة إلاّ لعهدة العين،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 على عهدة الآخذ إلى زمان الأداء، وحكم العهدة موكول إلى العقلاء، وهو مختلف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المأخوذ موجوداً مقدور التسليم يجب ردّه؛ لاقتضاء العهدة ذلك، ولو كان في محلّ آخر يحتاج إلى النقل والمؤونة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تالفاً تقتضي العهدة ردّ بدله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موجوداً، لكن انقطع يد الغاصب والمغصوب منه عنه، كما لو غصبه غاصب قاهر، لا تمكن إزالة يده عنه إلى الأبد، تقتضي العهدة أيضاً ردّ بدله مثلاً أو قيمةً؛ لأنّ التلف بعنوانه غير دخيل في الضمان والغرامة لدى العقلاء، بل الموضوع لهما انقطاع يد المالك عن ملكه للتالي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المذكور ليست العين تالفة بالوجدان، ولا تقتضي العهدة ردّها بالضرورة، وحكمها لدى العقلاء الغرامة بردّ المثل في المثلي، والقيمة في القيمي، وكذا العهدة تقتضي البدل مع احتمال الرجوع والعود، كما لو احتمل خروج ما ألقى في البحر بواسطة أمواجه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في قاعدة اليد، حتّى يقع البحث في صدقه ولا صدقه، بل هي على هذا المبنى لا تدلّ إلاّ على عهدة العين، </w:t>
      </w:r>
    </w:p>
    <w:p>
      <w:pPr>
        <w:pStyle w:val="BookText"/>
        <w:rPr/>
      </w:pPr>
      <w:r>
        <w:rPr>
          <w:rFonts w:ascii="Amiri" w:hAnsi="Amiri" w:eastAsia="Amiri" w:cs="Amiri"/>
          <w:color w:val="111111"/>
          <w:sz w:val="28"/>
          <w:sz w:val="28"/>
          <w:szCs w:val="28"/>
          <w:rtl w:val="true"/>
          <w:lang w:bidi="ar-SA"/>
        </w:rPr>
        <w:t>وحكم العهدة عقلائي، وهو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أخذ الإتلاف والتلف فيها، كان الحكم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إسراء ما ذكر إلى قاعدة الإتلاف؛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إتلاف مال الغير ليس بعنوانه موضوعاً للضمان والغرامة، بل لكونه موجباً لانقطاع يد المالك عن ملكه أبداً، ومع فرض انقطاع يده كذلك مع وجوده، كان ملاك ضمان الإتلاف موجوداً، وهو حكم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الإتلاف مع لحاظ المناسبات المغروسة في ذهن العقلاء، تفيد ضمان ما قطع يد المالك عنه أبداً، أو مع احتمال العود من باب الاتّفاق، كغرق مال الغير، هذا إذا قلنا بأنّ العين على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بأنّها تدلّ على ضمان المثل والقيمة،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غير مذكور في القاعدة، ومناسبات الحكم والموضوع في باب الغرامات والضمانات، توجب استفادة ضمان خسارة مال الغير ولو مع وجوده، كما قلنا في انقطاع يده عنه مطلقاً، كمثال الغاصب القاهر، وكالغرق، والإباق، والسرقة؛ فإنّ المتفاهم من دليل اليد الدالّ على لزوم جبر خسارة المالك، أنّ انقطاع يده عنه خسارة يجب جبرها، وهو بردّ مثله في المثلي، وقيمته في القيمي</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تحمل الروايات الواردة في ضمان العارية إذا سرقت، أو ضاعت</w:t>
      </w:r>
      <w:r>
        <w:rPr>
          <w:rStyle w:val="FootnoteAnchor"/>
          <w:rtl w:val="true"/>
        </w:rPr>
        <w:footnoteReference w:id="1396"/>
      </w:r>
      <w:r>
        <w:rPr>
          <w:rFonts w:ascii="Amiri" w:hAnsi="Amiri" w:eastAsia="Amiri" w:cs="Amiri"/>
          <w:color w:val="111111"/>
          <w:sz w:val="28"/>
          <w:sz w:val="28"/>
          <w:szCs w:val="28"/>
          <w:rtl w:val="true"/>
          <w:lang w:bidi="ar-SA"/>
        </w:rPr>
        <w:t>فإنّ الضمان فيها ليس إلاّ ضمان اليد، لا شيئاً آخر خارجاً عن ضمان الإتلاف واليد، وسيأتي تتميم البحث عن قريب</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937" w:name="pg15195_151020"/>
    </w:p>
    <w:p>
      <w:pPr>
        <w:pStyle w:val="Heading5"/>
        <w:numPr>
          <w:ilvl w:val="4"/>
          <w:numId w:val="1"/>
        </w:numPr>
        <w:rPr/>
      </w:pPr>
      <w:bookmarkStart w:id="938" w:name="__RefHeading___Toc2495833_2142443653"/>
      <w:bookmarkStart w:id="939" w:name="_Toc332"/>
      <w:bookmarkEnd w:id="937"/>
      <w:bookmarkEnd w:id="938"/>
      <w:r>
        <w:rPr>
          <w:rtl w:val="true"/>
        </w:rPr>
        <w:t>الاستدلال بقاعدة السلطنة على بدل الحيلولة</w:t>
      </w:r>
      <w:bookmarkEnd w:id="93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تسلّط الناس على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كونه في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مطالبة الخروج عن عهدته عند تعذّر نفسه، نظير ما تقدّم</w:t>
      </w:r>
      <w:r>
        <w:rPr>
          <w:rStyle w:val="FootnoteAnchor"/>
          <w:rtl w:val="true"/>
        </w:rPr>
        <w:footnoteReference w:id="1398"/>
      </w:r>
      <w:r>
        <w:rPr>
          <w:rFonts w:ascii="Amiri" w:hAnsi="Amiri" w:eastAsia="Amiri" w:cs="Amiri"/>
          <w:color w:val="111111"/>
          <w:sz w:val="28"/>
          <w:sz w:val="28"/>
          <w:szCs w:val="28"/>
          <w:rtl w:val="true"/>
          <w:lang w:bidi="ar-SA"/>
        </w:rPr>
        <w:t>في تسلّطه على مطالبة القيمة للمثل المتعذّر في المثلي</w:t>
      </w:r>
      <w:r>
        <w:rPr>
          <w:rFonts w:eastAsia="Amiri" w:cs="Amiri" w:ascii="Amiri" w:hAnsi="Amiri"/>
          <w:color w:val="111111"/>
          <w:sz w:val="28"/>
          <w:szCs w:val="28"/>
          <w:rtl w:val="true"/>
          <w:lang w:bidi="ar-SA"/>
        </w:rPr>
        <w:t>»</w:t>
      </w:r>
      <w:r>
        <w:rPr>
          <w:rStyle w:val="FootnoteAnchor"/>
          <w:rtl w:val="true"/>
        </w:rPr>
        <w:footnoteReference w:id="13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تقدّم من الإشكال في المثلي المتعذّر</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التنظير مع الفارق؛ فإنّ في المثلي يكون المثل على العهدة،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مشتمل على حيثية المثلية والمالية، ومقتضى دليل السلطنة جواز إسقاط الحيثية الاُولى، ومطالبة الحيثية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فلا تكون العين على عهدته، على مسلك الشيخ القائل بأنّ مقتضى دليل اليد ضمان المثل في المثلي، والقيمة في القيمي</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مسلك بعض المتأخّرين عنه من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العين على العهدة، وباقية إلى زمان الأداء</w:t>
      </w:r>
      <w:r>
        <w:rPr>
          <w:rStyle w:val="FootnoteAnchor"/>
          <w:rtl w:val="true"/>
        </w:rPr>
        <w:footnoteReference w:id="1402"/>
      </w:r>
      <w:r>
        <w:rPr>
          <w:rFonts w:ascii="Amiri" w:hAnsi="Amiri" w:eastAsia="Amiri" w:cs="Amiri"/>
          <w:color w:val="111111"/>
          <w:sz w:val="28"/>
          <w:sz w:val="28"/>
          <w:szCs w:val="28"/>
          <w:rtl w:val="true"/>
          <w:lang w:bidi="ar-SA"/>
        </w:rPr>
        <w:t xml:space="preserve">، فالظاهر عدم التزامهم بأنّ العين في زمان وجودها على عهدة الضامن، كما هي في عهدته في زمان تلفها؛ لأنّها في </w:t>
      </w:r>
    </w:p>
    <w:p>
      <w:pPr>
        <w:pStyle w:val="BookText"/>
        <w:rPr/>
      </w:pPr>
      <w:r>
        <w:rPr>
          <w:rFonts w:ascii="Amiri" w:hAnsi="Amiri" w:eastAsia="Amiri" w:cs="Amiri"/>
          <w:color w:val="111111"/>
          <w:sz w:val="28"/>
          <w:sz w:val="28"/>
          <w:szCs w:val="28"/>
          <w:rtl w:val="true"/>
          <w:lang w:bidi="ar-SA"/>
        </w:rPr>
        <w:t>زمان التلف على عهدته كعهدة الدين، فهي على عهدته بماليتها؛ بحيث كان له مال على عهدته، فإذا مات يتعلّق الضمان على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زمان وجودها، فليس الأمر كذلك؛ لأنّ لازمه أن يكون للمالك مالان،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عهدة الضامن،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بما نسب إلى أبي حنيفة من صيرورة المغصوب ملكاً للغاصب</w:t>
      </w:r>
      <w:r>
        <w:rPr>
          <w:rStyle w:val="FootnoteAnchor"/>
          <w:rtl w:val="true"/>
        </w:rPr>
        <w:footnoteReference w:id="1403"/>
      </w:r>
      <w:r>
        <w:rPr>
          <w:rFonts w:ascii="IRNazanin" w:hAnsi="IRNazanin" w:eastAsia="IRNazanin"/>
          <w:color w:val="111111"/>
          <w:sz w:val="28"/>
          <w:sz w:val="28"/>
          <w:szCs w:val="28"/>
          <w:rtl w:val="true"/>
          <w:lang w:bidi="fa-IR"/>
        </w:rPr>
        <w:t>، وهو أفحش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العين في زمان وجودها عهدة أدائها فقط، لا كونها على ذمّة الضامن كما بعد التلف، فلا بدّ للقائل بأنّ ظاهر دليل اليد أنّ نفس العين على العهدة، إمّا الالتزام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 الضمان، بل دليل على عهدة الأداء فقط، كما التزم به بعضهم</w:t>
      </w:r>
      <w:r>
        <w:rPr>
          <w:rStyle w:val="FootnoteAnchor"/>
          <w:rtl w:val="true"/>
        </w:rPr>
        <w:footnoteReference w:id="1404"/>
      </w:r>
      <w:r>
        <w:rPr>
          <w:rFonts w:ascii="IRNazanin" w:hAnsi="IRNazanin" w:eastAsia="IRNazanin"/>
          <w:color w:val="111111"/>
          <w:sz w:val="28"/>
          <w:sz w:val="28"/>
          <w:szCs w:val="28"/>
          <w:rtl w:val="true"/>
          <w:lang w:bidi="fa-IR"/>
        </w:rPr>
        <w:t>، أو الالتزام بأنّ المستفاد منها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العين؛ بمعنى عهدة أدائها في زمان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عهدتها عند التلف؛ بمعنى كونها على ذمّة الضامن، بحيث تكون من أموال المضمون له، يتصرّف فيها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واستفادتهما منه مشكلة، بل ممنوعة؛ لأنّ نحو العهدة في زمان الوجود، يغاير نحوها في زمان التلف</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ضروريات الفقه أنّ العين التالفة تحت يد الغاصب ونحوه، مضمونة عليه، يجب أداء مثلها أو قيمتها، وذمّة الضامن مشغولة بمال </w:t>
      </w:r>
      <w:bookmarkStart w:id="940" w:name="pg15195_151022"/>
    </w:p>
    <w:p>
      <w:pPr>
        <w:pStyle w:val="BookText"/>
        <w:rPr/>
      </w:pPr>
      <w:bookmarkEnd w:id="940"/>
      <w:r>
        <w:rPr>
          <w:rFonts w:ascii="Amiri" w:hAnsi="Amiri" w:eastAsia="Amiri" w:cs="Amiri"/>
          <w:color w:val="111111"/>
          <w:sz w:val="28"/>
          <w:sz w:val="28"/>
          <w:szCs w:val="28"/>
          <w:rtl w:val="true"/>
          <w:lang w:bidi="ar-SA"/>
        </w:rPr>
        <w:t>المضمون له،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على ذمّته، أو المثل والقيمة، ومن ضروريات الفقه أنّ العين في زمان وجودها، ليست بهذا النحو مضمونة، وليست ذمّة الضامن مشغولة بمال المضمون له؛ بحيث يكون كأحد أمواله، يتصرّف فيه كيف شاء، فالاُولى اشتغال الذمّة بالمال نحو الديون، والثانية عهدة العين؛ أي عهدة أدائها، لا اشتغال الذمّة بها كاشتغالها بالديون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زمان وجودها مال على ذمّة الضامن، يكون موضوعاً لدليل السلطنة، وإنّما موضوعه المال الخارجي، ويكون سلطاناً عليه، وسلطنته عليه لا تقتضي السلطنة على الغير، ولا على ماله، بل لو خرجت العين عن تحت استيلاء الضامن بوقوعها تحت يد اُخرى، أو وقوعها في البحر ونحوه، لا يصلح دليل السلطنة لإيجاب ردّها إلى صاحبها؛ لقصوره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دام كونها تحت يده يصحّ التمسّك بدليلها، للإلزام بإخراجها عن تحت يده؛ لأنّ إطلاق السلطنة يقتضي دفع المزاحمات لسلطانه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استرجاعها إلى يد المالك، فليس مفاد دليلها، كما أنّه قاصر عن</w:t>
      </w:r>
    </w:p>
    <w:p>
      <w:pPr>
        <w:pStyle w:val="BookText"/>
        <w:rPr/>
      </w:pPr>
      <w:r>
        <w:rPr>
          <w:rFonts w:ascii="Amiri" w:hAnsi="Amiri" w:eastAsia="Amiri" w:cs="Amiri"/>
          <w:color w:val="111111"/>
          <w:sz w:val="28"/>
          <w:sz w:val="28"/>
          <w:szCs w:val="28"/>
          <w:rtl w:val="true"/>
          <w:lang w:bidi="ar-SA"/>
        </w:rPr>
        <w:t xml:space="preserve">جواز إلزام الضامن على عقد بيع أو مصالحة، كما احتمله السيّد المحشّي رحمه الله عليه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2495835_2142443653"/>
      <w:bookmarkStart w:id="942" w:name="_Toc333"/>
      <w:bookmarkEnd w:id="941"/>
      <w:r>
        <w:rPr>
          <w:rtl w:val="true"/>
        </w:rPr>
        <w:t>الاستدلال بحديث نفي الضرر على بدل الحيلولة</w:t>
      </w:r>
      <w:bookmarkEnd w:id="942"/>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سبق منّا على مباني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مانع من جريانه في العدميات وغيرها، وفي سدّ الخلل وغيره كما عرفت</w:t>
      </w:r>
      <w:r>
        <w:rPr>
          <w:rStyle w:val="FootnoteAnchor"/>
          <w:rtl w:val="true"/>
        </w:rPr>
        <w:footnoteReference w:id="1406"/>
      </w:r>
      <w:r>
        <w:rPr>
          <w:rFonts w:ascii="Amiri" w:hAnsi="Amiri" w:eastAsia="Amiri" w:cs="Amiri"/>
          <w:color w:val="111111"/>
          <w:sz w:val="28"/>
          <w:sz w:val="28"/>
          <w:szCs w:val="28"/>
          <w:rtl w:val="true"/>
          <w:lang w:bidi="ar-SA"/>
        </w:rPr>
        <w:t xml:space="preserve">، لكن لا يلزم </w:t>
      </w:r>
      <w:bookmarkStart w:id="943" w:name="pg15195_151023"/>
    </w:p>
    <w:p>
      <w:pPr>
        <w:pStyle w:val="BookText"/>
        <w:rPr/>
      </w:pPr>
      <w:bookmarkEnd w:id="943"/>
      <w:r>
        <w:rPr>
          <w:rFonts w:ascii="Amiri" w:hAnsi="Amiri" w:eastAsia="Amiri" w:cs="Amiri"/>
          <w:color w:val="111111"/>
          <w:sz w:val="28"/>
          <w:sz w:val="28"/>
          <w:szCs w:val="28"/>
          <w:rtl w:val="true"/>
          <w:lang w:bidi="ar-SA"/>
        </w:rPr>
        <w:t>منه أداء المثل أو القيمة في جميع الموارد؛ لأنّ غاية ما يستفاد منه هو سدّ خلل الضرر وجبرانه، فإذا أمكن جبره بإعطاء الاُجرة وقيم المنافع، يكون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يمكن الجبر إلاّ بأداء المثل أو القيمة، لصحّ التمسّك به لولا فساد المبنى، كما أنّ التمسّك بآية الاعتداء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دليل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ولكن مرّ الكلام فيها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2495837_2142443653"/>
      <w:bookmarkStart w:id="945" w:name="_Toc334"/>
      <w:bookmarkEnd w:id="944"/>
      <w:r>
        <w:rPr>
          <w:rtl w:val="true"/>
        </w:rPr>
        <w:t xml:space="preserve">هذا كلّه في ضمان بدل الحيلولة في الجملة ، ويتمّ الكلام في فروعه في ضمن اُمور </w:t>
      </w:r>
      <w:r>
        <w:rPr>
          <w:rtl w:val="true"/>
        </w:rPr>
        <w:t>:</w:t>
      </w:r>
      <w:bookmarkEnd w:id="945"/>
    </w:p>
    <w:p>
      <w:pPr>
        <w:pStyle w:val="Heading6"/>
        <w:numPr>
          <w:ilvl w:val="5"/>
          <w:numId w:val="1"/>
        </w:numPr>
        <w:rPr/>
      </w:pPr>
      <w:bookmarkStart w:id="946" w:name="__RefHeading___Toc2495839_2142443653"/>
      <w:bookmarkStart w:id="947" w:name="_Toc335"/>
      <w:bookmarkEnd w:id="946"/>
      <w:r>
        <w:rPr>
          <w:rtl w:val="true"/>
        </w:rPr>
        <w:t xml:space="preserve">الأوّل </w:t>
      </w:r>
      <w:r>
        <w:rPr>
          <w:rtl w:val="true"/>
        </w:rPr>
        <w:t xml:space="preserve">: </w:t>
      </w:r>
      <w:r>
        <w:rPr>
          <w:rtl w:val="true"/>
        </w:rPr>
        <w:t>تقريب الاستدلال بحديث اليد لإثبات الضمان في صور التعذّر</w:t>
      </w:r>
      <w:bookmarkEnd w:id="947"/>
    </w:p>
    <w:p>
      <w:pPr>
        <w:pStyle w:val="BookText"/>
        <w:rPr/>
      </w:pPr>
      <w:r>
        <w:rPr>
          <w:rFonts w:ascii="Amiri" w:hAnsi="Amiri" w:eastAsia="Amiri" w:cs="Amiri"/>
          <w:color w:val="111111"/>
          <w:sz w:val="28"/>
          <w:sz w:val="28"/>
          <w:szCs w:val="28"/>
          <w:rtl w:val="true"/>
          <w:lang w:bidi="ar-SA"/>
        </w:rPr>
        <w:t>أنّ التعذّر إمّا أن يكون بنحو يسقط التكليف بالأداء معه؛ بمعنى عدم كون الضامن قادراً على أدائه، أو يسقط تكليفه به بقاعدة الحرج ونحوها، أو لا، وعلى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الوصول إليه للتالي، أو يظنّ به، أو يحصل اليأس من الوصول، أو لا يرجى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بوصوله، أو يظنّ، أو يرجى حصوله في زمان طويل جدّاً، أو قصير كذلك، أو 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أدلّة الضمان كافية لإثبات الضمان في جميع الصور؟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الشيخ الأعظم قدّس سرّه ثبوته بها في غير ما إذا حصل في زمان قصير جدّاً، متمسّكاً بدليل اليد، على ما في النسخ الصحيحة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408"/>
      </w:r>
      <w:r>
        <w:rPr>
          <w:rFonts w:ascii="Amiri" w:hAnsi="Amiri" w:eastAsia="Amiri" w:cs="Amiri"/>
          <w:color w:val="111111"/>
          <w:sz w:val="28"/>
          <w:sz w:val="28"/>
          <w:szCs w:val="28"/>
          <w:rtl w:val="true"/>
          <w:lang w:bidi="ar-SA"/>
        </w:rPr>
        <w:t>، وبأنّه جمع بين الحقّين، وبدليل السلطنة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قاعدة اليد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ظاهر في الضمان الفعلي للمأخوذ إلى زمان الأداء،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غرامة المأخوذ على الآخذ إلى زمان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ضمان الحيلولة، غاية الأمر خرج منه انصرافاً صورة حضور العين، أو حصولها في زمان قصير جدّاً؛ بحيث لا يطلق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قاعدة اليد مسوقة لضمان الحيلولة ليس إلاّ؛ لأنّ الغاية لا تناسب ضمان التلف، ويلحق به ما بحكم التلف، وأمّا سائر الصور فتدخل فيها، فالضمان بدليل اليد ثابت إلى ردّ العين، فلا بدّ من أداء قيمة اللوح المغصوب إلى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بإطلاقه لمطلق العهدة والضمان، سواء كان فعلياً كما قلنا آنفاً، أو معلّقاً على التلف ونحوه كما قالوا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إمّا لحصول ما يمكن حصوله، فتكون لإفادة ضمان الحيلولة، أو غاية لمطلق الضمان، ولو لم تحصل في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القاعدة على ضمان بدل الحيلولة بأقسامها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الضمان المعلّق على التلف ونحوه، أو أنّ </w:t>
      </w:r>
      <w:bookmarkStart w:id="948" w:name="pg15195_151025"/>
    </w:p>
    <w:p>
      <w:pPr>
        <w:pStyle w:val="BookText"/>
        <w:rPr/>
      </w:pPr>
      <w:bookmarkEnd w:id="948"/>
      <w:r>
        <w:rPr>
          <w:rFonts w:ascii="Amiri" w:hAnsi="Amiri" w:eastAsia="Amiri" w:cs="Amiri"/>
          <w:color w:val="111111"/>
          <w:sz w:val="28"/>
          <w:sz w:val="28"/>
          <w:szCs w:val="28"/>
          <w:rtl w:val="true"/>
          <w:lang w:bidi="ar-SA"/>
        </w:rPr>
        <w:t xml:space="preserve">الضمان الفعلي هو أمر معلّق على التلف ونحوه، كما احتملناه سابقاً </w:t>
      </w:r>
      <w:r>
        <w:rPr>
          <w:rStyle w:val="FootnoteAnchor"/>
          <w:rtl w:val="true"/>
        </w:rPr>
        <w:footnoteReference w:id="1412"/>
      </w:r>
      <w:r>
        <w:rPr>
          <w:rFonts w:ascii="Amiri" w:hAnsi="Amiri" w:eastAsia="Amiri" w:cs="Amiri"/>
          <w:color w:val="111111"/>
          <w:sz w:val="28"/>
          <w:sz w:val="28"/>
          <w:szCs w:val="28"/>
          <w:rtl w:val="true"/>
          <w:lang w:bidi="ar-SA"/>
        </w:rPr>
        <w:t>، لكنّ المناسبات المغروسة في ذهن العقلاء، توجب استفادة الضمان في جميع الصور؛ فإنّ ما هو المناط لدى العرف في باب الغرامات كما تقدّم</w:t>
      </w:r>
      <w:r>
        <w:rPr>
          <w:rStyle w:val="FootnoteAnchor"/>
          <w:rtl w:val="true"/>
        </w:rPr>
        <w:footnoteReference w:id="1413"/>
      </w:r>
      <w:r>
        <w:rPr>
          <w:rFonts w:ascii="Amiri" w:hAnsi="Amiri" w:eastAsia="Amiri" w:cs="Amiri"/>
          <w:color w:val="111111"/>
          <w:sz w:val="28"/>
          <w:sz w:val="28"/>
          <w:szCs w:val="28"/>
          <w:rtl w:val="true"/>
          <w:lang w:bidi="ar-SA"/>
        </w:rPr>
        <w:t>هو انقطاع يد المالك عن ماله، من غير فرق بين انقطاعها عنه دائماً، أو في مدّة غير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الحال في التعذّر غير الموجب لسقوط التكليف، وإن احتاج إلى مقدّمات توجب التأخير زماناً غير قصير؛ لعدم الفرق عرفاً فيما هو المناط في الغرامات، بين انقطاع اليد عن ماله مع عدم إمكان العود إلاّ في زمان طويل، وبين توقّف العود على مقدّمات اختيارية توجب التأخير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ثلاثة أوجه في 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في الصور المتقدّمة، وإن كان الوجهان الأوّلان لا يخلوان من مناقشة؛ لعدم مساعدة العرف عليهما، لكن الوجه الأخير غير بعيد، سيّما بالنسبة إلى بعضها، وأمّا سائر الأدلّة فقد عرفت ما في التمسّك بها</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2495841_2142443653"/>
      <w:bookmarkStart w:id="950" w:name="_Toc336"/>
      <w:bookmarkEnd w:id="949"/>
      <w:r>
        <w:rPr>
          <w:rtl w:val="true"/>
        </w:rPr>
        <w:t xml:space="preserve">الثاني </w:t>
      </w:r>
      <w:r>
        <w:rPr>
          <w:rtl w:val="true"/>
        </w:rPr>
        <w:t xml:space="preserve">: </w:t>
      </w:r>
      <w:r>
        <w:rPr>
          <w:rtl w:val="true"/>
        </w:rPr>
        <w:t>في ثبوت أحكام تلف العين عند تعذّرها</w:t>
      </w:r>
      <w:bookmarkEnd w:id="95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ثبوت المثل أو القيمة مع تعذّر العين، كثبوتهما مع تلفها في أنّ على الضامن أن يدفعهما، وليس للمالك الامتناع إن كان دليل بدل الحيلولة قاعدة اليد، كما تمسّك بها الشيخ الأعظم قدّس سرّه </w:t>
      </w:r>
      <w:r>
        <w:rPr>
          <w:rStyle w:val="FootnoteAnchor"/>
          <w:rtl w:val="true"/>
        </w:rPr>
        <w:footnoteReference w:id="1414"/>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مفادها عهدة العين إلى </w:t>
      </w:r>
    </w:p>
    <w:p>
      <w:pPr>
        <w:pStyle w:val="BookText"/>
        <w:rPr/>
      </w:pPr>
      <w:r>
        <w:rPr>
          <w:rFonts w:ascii="Amiri" w:hAnsi="Amiri" w:eastAsia="Amiri" w:cs="Amiri"/>
          <w:color w:val="111111"/>
          <w:sz w:val="28"/>
          <w:sz w:val="28"/>
          <w:szCs w:val="28"/>
          <w:rtl w:val="true"/>
          <w:lang w:bidi="ar-SA"/>
        </w:rPr>
        <w:t>زمان الأداء، أو عهدة المثل أو القيمة لدى التلف ونحوه؛ وذلك لأنّ العين على الأوّل، تقع على عهدة الضامن في زمان الحيلولة، بنحو ما تقع عليها في زمان وجودها أو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دليل السلطنة الذي تمسّك به الشيخ قدّس سرّه </w:t>
      </w:r>
      <w:r>
        <w:rPr>
          <w:rStyle w:val="FootnoteAnchor"/>
          <w:rtl w:val="true"/>
        </w:rPr>
        <w:footnoteReference w:id="1415"/>
      </w:r>
      <w:r>
        <w:rPr>
          <w:rFonts w:ascii="Amiri" w:hAnsi="Amiri" w:eastAsia="Amiri" w:cs="Amiri"/>
          <w:color w:val="111111"/>
          <w:sz w:val="28"/>
          <w:sz w:val="28"/>
          <w:szCs w:val="28"/>
          <w:rtl w:val="true"/>
          <w:lang w:bidi="ar-SA"/>
        </w:rPr>
        <w:t>، لا يقتضي السلطنة على إبقاء العين على عهدة الضامن في حال وجودها أو تلفها؛ لأنّ ذلك سلطنة على غيره، لا على ماله، ودليل السلطنة على الأموال حيثي، لا يقتضي السلطنة على نفس الغير وماله، فليس للمالك إلزام الآخذ على بقاء العين على عهدته، وللضامن إلزامه على الأخذ، وله إخراج ذمّته عن ماله، كما أنّ للمديون أداء دينه في وقته، وليس للدائن الامتناع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في الحيلولة؛ إذ المفروض أنّ العين على عهدته بنحو واحد في زمان وجودها، وتلفها، والحيلولة بينها وبين صاحبها، فله إفراغ عهدتها منها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على الاحتمال الثاني؛ لأنّ مقتضى دليل اليد على هذا الفرض، أنّ على الآخذ المثل أو القيمة إذا تلف المأخوذ، ومع فرض استفادة ضمان بدل الحيلولة منه، لا بدّ من دعوى أنّ الميزان في اشتغال الذمّة بالمثل أو القيمة، هو انقطاع يد المالك عن ماله كما قرّرناه، فحينئذٍ يكون للضامن رفع شغله، وليس للمالك سلطنة على إبقائهما على عهدته؛ لأنّها سلطنة على الغير</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دليل اليد واحد، ولا يعقل أن يفيد في موردٍ عهدة العين أو </w:t>
      </w:r>
    </w:p>
    <w:p>
      <w:pPr>
        <w:pStyle w:val="BookText"/>
        <w:rPr/>
      </w:pPr>
      <w:r>
        <w:rPr>
          <w:rFonts w:ascii="Amiri" w:hAnsi="Amiri" w:eastAsia="Amiri" w:cs="Amiri"/>
          <w:color w:val="111111"/>
          <w:sz w:val="28"/>
          <w:sz w:val="28"/>
          <w:szCs w:val="28"/>
          <w:rtl w:val="true"/>
          <w:lang w:bidi="ar-SA"/>
        </w:rPr>
        <w:t>شغل الذمّة بالمثل أو القيمة، وفي موردٍ غير ذلك، فلو كان دليل الحيلولة ذلك، لا محيص عن الالتزام بأنّ للدافع حقّ الردّ، وللمالك مطالبة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لو كان الدليل آية الاعتداء؛ لما مرّ من أنّ تجويز التقاصّ</w:t>
      </w:r>
    </w:p>
    <w:p>
      <w:pPr>
        <w:pStyle w:val="BookText"/>
        <w:rPr/>
      </w:pPr>
      <w:r>
        <w:rPr>
          <w:rFonts w:ascii="Amiri" w:hAnsi="Amiri" w:eastAsia="Amiri" w:cs="Amiri"/>
          <w:color w:val="111111"/>
          <w:sz w:val="28"/>
          <w:sz w:val="28"/>
          <w:szCs w:val="28"/>
          <w:rtl w:val="true"/>
          <w:lang w:bidi="ar-SA"/>
        </w:rPr>
        <w:t>كاشف عن كونه بحقّ، وعن ضمان الطرف، واشتغال ذمّته</w:t>
      </w:r>
      <w:r>
        <w:rPr>
          <w:rStyle w:val="FootnoteAnchor"/>
          <w:rtl w:val="true"/>
        </w:rPr>
        <w:footnoteReference w:id="1416"/>
      </w:r>
      <w:r>
        <w:rPr>
          <w:rFonts w:ascii="Amiri" w:hAnsi="Amiri" w:eastAsia="Amiri" w:cs="Amiri"/>
          <w:color w:val="111111"/>
          <w:sz w:val="28"/>
          <w:sz w:val="28"/>
          <w:szCs w:val="28"/>
          <w:rtl w:val="true"/>
          <w:lang w:bidi="ar-SA"/>
        </w:rPr>
        <w:t>، ومعه لا فرق بين التلف والتعذّر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حديث الضرر بما قرّبناه لاشتغال الذمّة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قاعدة السلطنة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على المال تقتضي لزوم جبرانه ببدله، ولازمه العقلائي أنّ البدل على عهدته؛ لأنّه لازم الجبران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قاعدتها تقتضي وجوب الجبران بالبدل عند مطالبة المالك، فلا تقتضي اشتغال الذمّة ولا العهدة، فحينئذٍ ليس للضامن أداء البدل إلزاماً، كما أنّه ليس له إلزام المالك بالمطالبة، ولا يجب عليه البدل إلاّ بعد المطالبة، وللمالك المطالبة وتركها؛ لقاعدة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المبنى إشكال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مخيّر بين المطالبة والصبر، ومع المطالبة يجب الأداء</w:t>
      </w:r>
      <w:r>
        <w:rPr>
          <w:rStyle w:val="FootnoteAnchor"/>
          <w:rtl w:val="true"/>
        </w:rPr>
        <w:footnoteReference w:id="1418"/>
      </w:r>
      <w:r>
        <w:rPr>
          <w:rFonts w:ascii="Amiri" w:hAnsi="Amiri" w:eastAsia="Amiri" w:cs="Amiri"/>
          <w:color w:val="111111"/>
          <w:sz w:val="28"/>
          <w:sz w:val="28"/>
          <w:szCs w:val="28"/>
          <w:rtl w:val="true"/>
          <w:lang w:bidi="ar-SA"/>
        </w:rPr>
        <w:t>، فقد مرّ ما فيه في بعض النظائر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951" w:name="pg15195_151028"/>
    </w:p>
    <w:p>
      <w:pPr>
        <w:pStyle w:val="BookText"/>
        <w:rPr/>
      </w:pPr>
      <w:bookmarkEnd w:id="951"/>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بالمطالبة إمّا مطالبة العين المتعذّرة، أو مطالبة بدله وجبران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المطالبة الجدّية مع علمه بالتعذّر، بل ليس له المطالبة حينئذٍ، وعلى فرض تعلّقها وجوازها، لا دليل على وجوب أداء البدل لولا تعلّقه بالذمّة، فجواب المطالبة هو العذر عن الأداء، ولا دليل على تبديل العين بالعوض عند المطالبة، كما أنّ المطالبة الصورية ليست موضوعاً لحكم، ولا موضوعاً لتبديل العين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طالب مع عدم كون البدل على عهدته، فهي مطالبة في غير موردها، ولا أثر لها، وإن طالب مع كون البدل على عهدته فله إفراغ ذمّته، وليس للمالك 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المطالبة على فرضٍ، غير معقولة وغير جائزة، وعلى فرضٍ، له إفراغ ذمّته كسائر الاشتغالات</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2495843_2142443653"/>
      <w:bookmarkStart w:id="953" w:name="_Toc337"/>
      <w:bookmarkEnd w:id="952"/>
      <w:r>
        <w:rPr>
          <w:rtl w:val="true"/>
        </w:rPr>
        <w:t xml:space="preserve">الثالث </w:t>
      </w:r>
      <w:r>
        <w:rPr>
          <w:rtl w:val="true"/>
        </w:rPr>
        <w:t xml:space="preserve">: </w:t>
      </w:r>
      <w:r>
        <w:rPr>
          <w:rtl w:val="true"/>
        </w:rPr>
        <w:t>هل بدل الحيلولة ملك لمالك العين أو مباح له؟</w:t>
      </w:r>
      <w:bookmarkEnd w:id="953"/>
    </w:p>
    <w:p>
      <w:pPr>
        <w:pStyle w:val="BookText"/>
        <w:rPr/>
      </w:pPr>
      <w:r>
        <w:rPr>
          <w:rFonts w:ascii="Amiri" w:hAnsi="Amiri" w:eastAsia="Amiri" w:cs="Amiri"/>
          <w:color w:val="111111"/>
          <w:sz w:val="28"/>
          <w:sz w:val="28"/>
          <w:szCs w:val="28"/>
          <w:rtl w:val="true"/>
          <w:lang w:bidi="ar-SA"/>
        </w:rPr>
        <w:t>بعد بذل بدل الحيلولة، هل يملكها المضمون له، أو يكون له التصرّف المطلق من غير ملكية؟</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ظهور الإجماع</w:t>
      </w:r>
      <w:r>
        <w:rPr>
          <w:rStyle w:val="FootnoteAnchor"/>
          <w:rtl w:val="true"/>
        </w:rPr>
        <w:footnoteReference w:id="1420"/>
      </w:r>
      <w:r>
        <w:rPr>
          <w:rFonts w:ascii="Amiri" w:hAnsi="Amiri" w:eastAsia="Amiri" w:cs="Amiri"/>
          <w:color w:val="111111"/>
          <w:sz w:val="28"/>
          <w:sz w:val="28"/>
          <w:szCs w:val="28"/>
          <w:rtl w:val="true"/>
          <w:lang w:bidi="ar-SA"/>
        </w:rPr>
        <w:t>وأدلّة الغرامة في الملكية، لاحتملنا أن يكون مباحاً له إباحة مطلقة</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دلالة أدلّة الغرامات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واحد دالّ على الضمان، فكما أنّ في التلف يكون أداء المضمون أداءً لمال المالك، ومقتضاه تملّكه بالأخذ، فكذلك في المقام، وبهذا التقريب يمكن أن يقال في سائر الأدلّة الدالّة على الضمان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تقريب دلالة قاعدة اليد مثلاً على الضمان في باب الحيلولة كما تقدّم هو أنّ المناسبات المغروسة في الأذهان توجب الحكم بأنّ الملاك في باب الغرامة انقطاع يد المالك عن ماله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بدليل اليد على حسب مقدار الانقطاع، ففي التلف لمّا كان يده منقطعة من حيث المالية والملكية والسلطنة ونحوها، كان على الآخذ غرامته بنحو ذلك، وهي لا تحصل إلاّ بصيرورة المأخوذ ملكاً له، والمالك مسلّطاً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والحيلولة إن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قلنا في المال الذي غرق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خارجاً عن ملك مالكه، ومباحاً أصلياً يملكه من سبق إليه، كما تشعر أو تدلّ عليه بعض روايات اللقطة</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الجبران والغرامة صيرورة البدل ملكاً للمالك</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نقل بخروجه عنه مطلقاً أو في بعض صور اُخر غير الغرق، فلا يقتضي دليل اليد إلاّ جبر ما قطعت يد المالك عنه، والفرض أنّ المال </w:t>
      </w:r>
    </w:p>
    <w:p>
      <w:pPr>
        <w:pStyle w:val="BookText"/>
        <w:rPr/>
      </w:pPr>
      <w:r>
        <w:rPr>
          <w:rFonts w:ascii="Amiri" w:hAnsi="Amiri" w:eastAsia="Amiri" w:cs="Amiri"/>
          <w:color w:val="111111"/>
          <w:sz w:val="28"/>
          <w:sz w:val="28"/>
          <w:szCs w:val="28"/>
          <w:rtl w:val="true"/>
          <w:lang w:bidi="ar-SA"/>
        </w:rPr>
        <w:t>بقي على ملك المالك، وما انقطعت يده عنه هي السلطنة عليه؛ بحيث يتصرّف فيه كيف شاء، فلا بدّ من جبران ذلك، وهو يحصل بإعطاء المثل أو القيمة، يتصرّف المضمون له كيف شاء، حتّى التصرّف الموقوف على الملك، ولا يتوقّف ذلك على صيرورة المال ملكاً له، وبهذا يظهر الحال في سائر أدلّة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الغرامات في الملكية، غير ظاهرة إن اُريد به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الدلالة الالتزامية،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الغرامات يدلّ على لزوم جبر مال الغير، وفي المقام ليس الجبر إلاّ بالإباحة المطلقة، حتّى المتوقّفة على الملك وسلب جواز مطلق التصرّفات عن الضامن، وهو ملازم عرفاً لسلب مالكية الضامن، وثبوت مالكية المضمون له؛ لأنّ الملكية لا اعتبار لها مع سلب جميع آثارها، وتعتبر عرفاً مع ثبوت جميع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أيضاً غير وجيه في المقام؛ لأنّ ذلك لو سلّم، إنّما هو في مورد السلب والثبوت، على نحو الإطلاق، في جميع الأزمنة، وأمّا مع سلبها مطلقاً في بعض الأزمنة، أو سلبها في الجملة في جميعها، أو ثبوتها كذلك، فلا، والمقام بحسب كثير من صوره يكون السلب والإثبات فيه في بعض الأزمنة، أو يحتمل كونهما في بعضها، ومعه لا مجال لما ذكر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بالدلالة الالتزامية، أنّ إباحة ما يتوقّف على الملك مثل البيع، أو الوط‌ء، أو العتق ملازم للملكية؛ لأنّ هذه الإباحة إباحة معلولة للملك، </w:t>
      </w:r>
    </w:p>
    <w:p>
      <w:pPr>
        <w:pStyle w:val="BookText"/>
        <w:rPr/>
      </w:pPr>
      <w:r>
        <w:rPr>
          <w:rFonts w:ascii="Amiri" w:hAnsi="Amiri" w:eastAsia="Amiri" w:cs="Amiri"/>
          <w:color w:val="111111"/>
          <w:sz w:val="28"/>
          <w:sz w:val="28"/>
          <w:szCs w:val="28"/>
          <w:rtl w:val="true"/>
          <w:lang w:bidi="ar-SA"/>
        </w:rPr>
        <w:t xml:space="preserve">ولا يعقل تحقّقها إلاّ مع ثبوت علّتها </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الإباحة في المقام ليست معلولة للملكية؛ لأنّ أدلّة الغرامات لا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لزوم جبر الخسارة، والمفروض أنّ المأخوذ بقي على ملك صاحبه، فهو مال مملوك له، انقطعت عنه سلطنته واستفادته منه، فلا بدّ من جبر هذه الخسارة لا غير، وهو يحصل في البيع والانتقالات الاُخر بإباحتها، لا بمعنى نقلها عن ملكه، بل بمعنى إباحة نقلها عن ملك الضامن، وأخذ قيمتها المملوكة للضامن، والتصرّف فيها بما شاء، وأمّا البيع لنفسه وعن ملكه فلا تقتضيه أدلّة 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وط‌ء الجارية، فلا بدّ للضامن من تحليل وطئها وسائر الاستمتاعات منها، لو فرض كون الأمة بدلاً عن أمة لا قيمتها، كما في سائر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العتق فلا بدّ من إباحة الضامن عتقه من ماله في الكفّارات المتعلّقة على ذمّة المالك، وفي العتق الاستحبابي للثواب لا بدّ من إباحته وإعطاء الثواب له، فلا تتوقّف تلك التصرّفات بحسب أدلّة الغرامات على كون الشيء ملكاً للمضمون له، فتدبّر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الوط‌ء والعتق خارجان عن موضوع البحث؛ لأنّ العبد والأمة قيميان، والتصالح في مورد لا يوجب أن يكون بدل الحيلولة، فتدبّر</w:t>
      </w:r>
      <w:r>
        <w:rPr>
          <w:rFonts w:eastAsia="Amiri" w:cs="Amiri" w:ascii="Amiri" w:hAnsi="Amiri"/>
          <w:color w:val="111111"/>
          <w:sz w:val="28"/>
          <w:szCs w:val="28"/>
          <w:rtl w:val="true"/>
          <w:lang w:bidi="ar-SA"/>
        </w:rPr>
        <w:t xml:space="preserve">. </w:t>
      </w:r>
      <w:bookmarkStart w:id="954" w:name="pg15195_151032"/>
    </w:p>
    <w:p>
      <w:pPr>
        <w:pStyle w:val="Heading6"/>
        <w:numPr>
          <w:ilvl w:val="5"/>
          <w:numId w:val="1"/>
        </w:numPr>
        <w:rPr/>
      </w:pPr>
      <w:bookmarkStart w:id="955" w:name="__RefHeading___Toc2495845_2142443653"/>
      <w:bookmarkStart w:id="956" w:name="_Toc338"/>
      <w:bookmarkEnd w:id="954"/>
      <w:bookmarkEnd w:id="955"/>
      <w:r>
        <w:rPr>
          <w:rtl w:val="true"/>
        </w:rPr>
        <w:t xml:space="preserve">الرابع </w:t>
      </w:r>
      <w:r>
        <w:rPr>
          <w:rtl w:val="true"/>
        </w:rPr>
        <w:t xml:space="preserve">: </w:t>
      </w:r>
      <w:r>
        <w:rPr>
          <w:rtl w:val="true"/>
        </w:rPr>
        <w:t>في ضمان المنافع للعين المتعذّرة قبل أداء الغرامة وبعده</w:t>
      </w:r>
      <w:bookmarkEnd w:id="956"/>
    </w:p>
    <w:p>
      <w:pPr>
        <w:pStyle w:val="BookText"/>
        <w:rPr/>
      </w:pPr>
      <w:r>
        <w:rPr>
          <w:rFonts w:ascii="Amiri" w:hAnsi="Amiri" w:eastAsia="Amiri" w:cs="Amiri"/>
          <w:color w:val="111111"/>
          <w:sz w:val="28"/>
          <w:sz w:val="28"/>
          <w:szCs w:val="28"/>
          <w:rtl w:val="true"/>
          <w:lang w:bidi="ar-SA"/>
        </w:rPr>
        <w:t>يظهر من الشيخ الأعظم قدّس سرّه وغيره</w:t>
      </w:r>
      <w:r>
        <w:rPr>
          <w:rStyle w:val="FootnoteAnchor"/>
          <w:rtl w:val="true"/>
        </w:rPr>
        <w:footnoteReference w:id="1425"/>
      </w:r>
      <w:r>
        <w:rPr>
          <w:rFonts w:ascii="Amiri" w:hAnsi="Amiri" w:eastAsia="Amiri" w:cs="Amiri"/>
          <w:color w:val="111111"/>
          <w:sz w:val="28"/>
          <w:sz w:val="28"/>
          <w:szCs w:val="28"/>
          <w:rtl w:val="true"/>
          <w:lang w:bidi="ar-SA"/>
        </w:rPr>
        <w:t>مفروغية ضمان منافع العين المتعذّرة، ونماءاتها المتّصلة والمنفصلة قبل أداء غرامتها، وجعلوا محلّ الكلام والإشكال فيها بعد أداء الغرامة، واختاروا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الشيخ قدّس سرّه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لخروج الغارم عن عهدة العين وضمانها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على فرض كون دليل الضمان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بالنسبة إلى ما قبل أداء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دليل اليد يوجب ضمان توابع المأخوذ ومنافعه مطلقاً ولو لم تقع تحت اليد تبعاً، فيكون مفاد القاعدة أنّ اليد على الشيء توجب ضمانه وضمان توابعه ومنافعه، بوقوع اليد عليه، لا عليها ولو تبعاً، فلا محيص عن القول بالضمان، وهو واضح</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قلنا بأنّ اليد على العين لا تكفي لضمان ما ذكر، بل الظاهر من دليل اليد هو ضمان ما وقع تحت اليد وصار مأخوذاً، غاية الأمر يعمّ الأخذ الاستقلالي والتبعي، فضمان النماءات والمنافع لأجل وقوع اليد عليها تبعاً، فلا بدّ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التوابع الموجودة حال كون الشيء تحت اليد مضمونة، دون ما حدثت بعد خروجه عن تحت اليد، فلا بدّ من التفصيل بين المنافع قبل </w:t>
      </w:r>
    </w:p>
    <w:p>
      <w:pPr>
        <w:pStyle w:val="BookText"/>
        <w:rPr/>
      </w:pPr>
      <w:r>
        <w:rPr>
          <w:rFonts w:ascii="Amiri" w:hAnsi="Amiri" w:eastAsia="Amiri" w:cs="Amiri"/>
          <w:color w:val="111111"/>
          <w:sz w:val="28"/>
          <w:sz w:val="28"/>
          <w:szCs w:val="28"/>
          <w:rtl w:val="true"/>
          <w:lang w:bidi="ar-SA"/>
        </w:rPr>
        <w:t>الغرامة، فالحادثة بعد التعذّر والخروج عن تحت اليد غير مضمونة؛ لقصور دليل اليد عن إثبات الضمان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دليل اليد ذلك، فضمان ما لا يد عليه ولو تبعاً، لا يثبت بدليلها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مبنى ضمان المنافع والنماءات الحاصلة للعين في الأيادي المتعاقبة، ولا ضمانها، وسيأتي إن شاء اللّه الكلام فيها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منهم مع ذهابهم إلى أنّ ضمان المنافع لأجل وقوع اليد عليها تبعاً </w:t>
      </w:r>
      <w:r>
        <w:rPr>
          <w:rStyle w:val="FootnoteAnchor"/>
          <w:rtl w:val="true"/>
        </w:rPr>
        <w:footnoteReference w:id="1428"/>
      </w:r>
      <w:r>
        <w:rPr>
          <w:rFonts w:ascii="Amiri" w:hAnsi="Amiri" w:eastAsia="Amiri" w:cs="Amiri"/>
          <w:color w:val="111111"/>
          <w:sz w:val="28"/>
          <w:sz w:val="28"/>
          <w:szCs w:val="28"/>
          <w:rtl w:val="true"/>
          <w:lang w:bidi="ar-SA"/>
        </w:rPr>
        <w:t>، قالوا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توابع العين المتعذّرة قبل أداء غرامتها </w:t>
      </w:r>
      <w:r>
        <w:rPr>
          <w:rStyle w:val="FootnoteAnchor"/>
          <w:rtl w:val="true"/>
        </w:rPr>
        <w:footnoteReference w:id="1429"/>
      </w:r>
      <w:r>
        <w:rPr>
          <w:rFonts w:ascii="Amiri" w:hAnsi="Amiri" w:eastAsia="Amiri" w:cs="Amiri"/>
          <w:color w:val="111111"/>
          <w:sz w:val="28"/>
          <w:sz w:val="28"/>
          <w:szCs w:val="28"/>
          <w:rtl w:val="true"/>
          <w:lang w:bidi="ar-SA"/>
        </w:rPr>
        <w:t>، ونفى الإشكال بعضهم عنه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ما بعد أدائها، فالذي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على المبنى الأوّل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الغرامة غرامة عن العين وجميع لواحقها، فلا ضمان بالنسبة إلى المنافع الحادثة بعدها؛ لأداء غرامتها فرضاً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بأنّها غرامة العين ومنافعها الموجودة قبل الأداء، وأمّا ما حصلت بعده كالنتاج الحاصلة بلقاح بعده، وكذا النماءات المتّصلة، والمنافع الحادثة بعده، فلم تكن غرامة لها، فعليه ضمانها؛ لأنّ المفروض بقاء العين على ملك </w:t>
      </w:r>
      <w:bookmarkStart w:id="957" w:name="pg15195_151034"/>
    </w:p>
    <w:p>
      <w:pPr>
        <w:pStyle w:val="BookText"/>
        <w:rPr/>
      </w:pPr>
      <w:bookmarkEnd w:id="957"/>
      <w:r>
        <w:rPr>
          <w:rFonts w:ascii="Amiri" w:hAnsi="Amiri" w:eastAsia="Amiri" w:cs="Amiri"/>
          <w:color w:val="111111"/>
          <w:sz w:val="28"/>
          <w:sz w:val="28"/>
          <w:szCs w:val="28"/>
          <w:rtl w:val="true"/>
          <w:lang w:bidi="ar-SA"/>
        </w:rPr>
        <w:t>صاحبها، والنتاج والنماءات تابعة لها في الملكية، ومضمونة بضمانها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أدّى ليست غرامة العين؛ لما مرّ من أنّ دليل اليد لا يقتضي أن يكون البدل في الحيلولة ملكاً للمضمون له، بل هو ملك الغارم، ويتصرّف المضمون له فيه أيّ تصرّف شاء</w:t>
      </w:r>
      <w:r>
        <w:rPr>
          <w:rStyle w:val="FootnoteAnchor"/>
          <w:rtl w:val="true"/>
        </w:rPr>
        <w:footnoteReference w:id="1431"/>
      </w:r>
      <w:r>
        <w:rPr>
          <w:rFonts w:ascii="Amiri" w:hAnsi="Amiri" w:eastAsia="Amiri" w:cs="Amiri"/>
          <w:color w:val="111111"/>
          <w:sz w:val="28"/>
          <w:sz w:val="28"/>
          <w:szCs w:val="28"/>
          <w:rtl w:val="true"/>
          <w:lang w:bidi="ar-SA"/>
        </w:rPr>
        <w:t>، فبدل الحيلولة ليس غرامة عنها؛ لأنّها باقية على ملك مالكها، كما أنّ المدفوع باقٍ على ملك الدافع، وإنّما سلّطه عليه بدلاً عن قطع سلطنته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لم يخرج الغارم عن عهدة العين وضمانها، فلو تلفت، وكانت قيمتها أكثر من المدفوع، يضمنها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بأنّ حدوث اليد على شيء سبب لضمانه، وضمان توابعه،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المذهب المنصور، فلا ضمان لما لم يقع تحت يده ولو تبعاً، نعم لو كان دليل الضمان قاعدة الضرر، يمكن القول بالضمان، على إشكال في المبنى والبناء، وكذا الحال في آية الاعتداء</w:t>
      </w:r>
      <w:r>
        <w:rPr>
          <w:rStyle w:val="FootnoteAnchor"/>
          <w:rtl w:val="true"/>
        </w:rPr>
        <w:footnoteReference w:id="1432"/>
      </w:r>
      <w:r>
        <w:rPr>
          <w:rFonts w:ascii="Amiri" w:hAnsi="Amiri" w:eastAsia="Amiri" w:cs="Amiri"/>
          <w:color w:val="111111"/>
          <w:sz w:val="28"/>
          <w:sz w:val="28"/>
          <w:szCs w:val="28"/>
          <w:rtl w:val="true"/>
          <w:lang w:bidi="ar-SA"/>
        </w:rPr>
        <w:t>لو كانت دليلاً في المقام</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2495847_2142443653"/>
      <w:bookmarkStart w:id="959" w:name="_Toc339"/>
      <w:bookmarkEnd w:id="958"/>
      <w:r>
        <w:rPr>
          <w:rtl w:val="true"/>
        </w:rPr>
        <w:t xml:space="preserve">الخامس </w:t>
      </w:r>
      <w:r>
        <w:rPr>
          <w:rtl w:val="true"/>
        </w:rPr>
        <w:t xml:space="preserve">: </w:t>
      </w:r>
      <w:r>
        <w:rPr>
          <w:rtl w:val="true"/>
        </w:rPr>
        <w:t>في وجوب ردّ العين عند زوال التعذّر</w:t>
      </w:r>
      <w:bookmarkEnd w:id="959"/>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زال التعذّر فالظاهر ثبوت الترادّ،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فيه، من غير فرق بين مثل الغرق، والسرقة، والضياع ممّا يعدّ تلفاً عرفاً، وبين ما لا يعدّ كذلك، إلاّ أنّه متعذّر الحصول</w:t>
      </w:r>
      <w:r>
        <w:rPr>
          <w:rStyle w:val="FootnoteAnchor"/>
          <w:rtl w:val="true"/>
        </w:rPr>
        <w:footnoteReference w:id="1433"/>
      </w:r>
      <w:r>
        <w:rPr>
          <w:rFonts w:ascii="Amiri" w:hAnsi="Amiri" w:eastAsia="Amiri" w:cs="Amiri"/>
          <w:color w:val="111111"/>
          <w:sz w:val="28"/>
          <w:sz w:val="28"/>
          <w:szCs w:val="28"/>
          <w:rtl w:val="true"/>
          <w:lang w:bidi="ar-SA"/>
        </w:rPr>
        <w:t xml:space="preserve">، بل الظاهر أنّ الأمر كذلك لو </w:t>
      </w:r>
    </w:p>
    <w:p>
      <w:pPr>
        <w:pStyle w:val="BookText"/>
        <w:rPr/>
      </w:pPr>
      <w:r>
        <w:rPr>
          <w:rFonts w:ascii="Amiri" w:hAnsi="Amiri" w:eastAsia="Amiri" w:cs="Amiri"/>
          <w:color w:val="111111"/>
          <w:sz w:val="28"/>
          <w:sz w:val="28"/>
          <w:szCs w:val="28"/>
          <w:rtl w:val="true"/>
          <w:lang w:bidi="ar-SA"/>
        </w:rPr>
        <w:t>فرض رجوع التالف الحقيقي بخرق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وجهه، فيحتمل أن يكون الوجه اقتضاء ماهية البدلية والغرامة</w:t>
      </w:r>
    </w:p>
    <w:p>
      <w:pPr>
        <w:pStyle w:val="BookText"/>
        <w:rPr/>
      </w:pPr>
      <w:r>
        <w:rPr>
          <w:rFonts w:ascii="Amiri" w:hAnsi="Amiri" w:eastAsia="Amiri" w:cs="Amiri"/>
          <w:color w:val="111111"/>
          <w:sz w:val="28"/>
          <w:sz w:val="28"/>
          <w:szCs w:val="28"/>
          <w:rtl w:val="true"/>
          <w:lang w:bidi="ar-SA"/>
        </w:rPr>
        <w:t>ذلك؛ لأنّ البدل بدل ما لم يتحقّق المبدل منه، ومع تحقّقه لا معنى للبدلية والغرامة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أداء القيمة في القيمي، والمثل في المثلي، أداء لبعض شؤون العين، وبعض شؤونها متعذّر الأداء، وهو هويتها وشخصيتها، ومقتضى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العين بخصوصيتها الشخصية، وأداء القيمة أداء لماليتها، وأداء المثل أداء لنوعيتها، لا شخصيتها وهويتها؛ فإنّهما غير مضمونين بالغرامة، وليس أداء القيمة والمثل غرامة لهما؛ لعدم المالية لهما، وعدم كونهما مورد رغبات الناس، فمع تعذّر العين لا يمكن أداؤها، فإذا زال التعذّر 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المعاوضة المالكية، أو القهرية العقلائية، أو القهرية التعبّدية الشرعية</w:t>
      </w:r>
      <w:r>
        <w:rPr>
          <w:rStyle w:val="FootnoteAnchor"/>
          <w:rtl w:val="true"/>
        </w:rPr>
        <w:footnoteReference w:id="1435"/>
      </w:r>
      <w:r>
        <w:rPr>
          <w:rFonts w:ascii="Amiri" w:hAnsi="Amiri" w:eastAsia="Amiri" w:cs="Amiri"/>
          <w:color w:val="111111"/>
          <w:sz w:val="28"/>
          <w:sz w:val="28"/>
          <w:szCs w:val="28"/>
          <w:rtl w:val="true"/>
          <w:lang w:bidi="ar-SA"/>
        </w:rPr>
        <w:t>،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ضرورة عدم انقداح معاوضة في ذهنهما، وعدم إنشائها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كذلك؛ لعدم اعتبار العقلاء التالف الحقيقي ملكاً للغارم في مقابل ما يؤدّي غرامة، وليس اعتبار الضمان فيه غيره في التالف العرفي</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الثالث؛ لأنّ أدلّة الغرامات والضمانات لا تدلّ على المعاوضة، والعرف </w:t>
      </w:r>
    </w:p>
    <w:p>
      <w:pPr>
        <w:pStyle w:val="BookText"/>
        <w:rPr/>
      </w:pPr>
      <w:r>
        <w:rPr>
          <w:rFonts w:ascii="Amiri" w:hAnsi="Amiri" w:eastAsia="Amiri" w:cs="Amiri"/>
          <w:color w:val="111111"/>
          <w:sz w:val="28"/>
          <w:sz w:val="28"/>
          <w:szCs w:val="28"/>
          <w:rtl w:val="true"/>
          <w:lang w:bidi="ar-SA"/>
        </w:rPr>
        <w:t>لا يفهمون منها إلاّ ما هو المعهود لديهم، وليست الغرامة لدى المتشرّعة غير ما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الجمع بين العوض والمعوّض لا يختصّ بالمعاوضات؛ إذ هو مقتضى العوضية، إذ لا معنى لكون الشيء عوضاً عن شيء، مع بقاء ذلك الشيء بحاله وفي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المعاوضات لا بدّ من اعتبار وجود العوض المقابل في كلّ من الطرفين، بخلاف باب الغرامات، فإنّه يفرض المعوّض تالفاً ومعدوماً، فيؤخذ بدله من حيث إنّه غير موجود، وحينئذٍ فلا معنى لبقاء العين على ملك مالكها، وحيث إنّها مال في حدّ نفسها ولا بدّ من مالك، فلا بدّ أن تنتقل قهراً إلى من أعطى البدل</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تعليله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 يرجع إلى حكم العقلاء، وإن كانت تلك الدعوى أيضاً مخدوشة، لكن ظاهر تعليله أنّه مع فرض كون المعوّض معدوماً، لا معنى لكونه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معدوميته، لا معنى لفرض كونه مملوكاً، ومالاً، ولا شيئاً آخر، فما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مال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ولو أراد رفع اليد عن اعتبار المعدومية، فحينئذٍ لا يكون معدوماً، فهو ملك لصاحبه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كون الشيء مالاً لا يلزم أن يكون له مالك؛ ضرورة مالية المعادن ونحوها ولا 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الشيء مملوكا لا بدّ له من مالك</w:t>
      </w:r>
      <w:r>
        <w:rPr>
          <w:rFonts w:eastAsia="Amiri" w:cs="Amiri" w:ascii="Amiri" w:hAnsi="Amiri"/>
          <w:color w:val="111111"/>
          <w:sz w:val="28"/>
          <w:szCs w:val="28"/>
          <w:rtl w:val="true"/>
          <w:lang w:bidi="ar-SA"/>
        </w:rPr>
        <w:t xml:space="preserve">. </w:t>
      </w:r>
      <w:bookmarkStart w:id="960" w:name="pg15195_151037"/>
    </w:p>
    <w:p>
      <w:pPr>
        <w:pStyle w:val="BookText"/>
        <w:rPr/>
      </w:pPr>
      <w:bookmarkEnd w:id="960"/>
      <w:r>
        <w:rPr>
          <w:rFonts w:ascii="Amiri" w:hAnsi="Amiri" w:eastAsia="Amiri" w:cs="Amiri"/>
          <w:color w:val="111111"/>
          <w:sz w:val="28"/>
          <w:sz w:val="28"/>
          <w:szCs w:val="28"/>
          <w:rtl w:val="true"/>
          <w:lang w:bidi="ar-SA"/>
        </w:rPr>
        <w:t>ثمّ لو كان لا بدّية الانتقال قهراً إلى من أعطى البدل لأجل البدلية، فالمفروض أنّ حال البدلية كان المبدل معدوماً فرضاً، فلا يعقل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مقتضى كون الشيء مالاً فهو أفحش؛ لأنّ كون الشيء مالاً لو فرض احتياجه إلى مالك، لا يلزم أن يكون مالكه معطي البدل، مع فرض عدم اقتضاء البدلية ذلك، بل الأقرب على هذا البيان بقاؤه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مستقلّ، وماهيتها تقتضي رجوع المتعذّر بعد رفع تعذّره إلى ملك المالك لو فرض خروجه منه، هذا في التالف ولو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المتعذّر غير التالف، فقد عرفت أنّ العين والغرامة كلّ بقي على ملك صاحبه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2495849_2142443653"/>
      <w:bookmarkStart w:id="962" w:name="_Toc340"/>
      <w:bookmarkEnd w:id="961"/>
      <w:r>
        <w:rPr>
          <w:rtl w:val="true"/>
        </w:rPr>
        <w:t>وجوب ردّ العين إلى صاحبها قبل وقوعها تحت يد الغارم</w:t>
      </w:r>
      <w:bookmarkEnd w:id="962"/>
    </w:p>
    <w:p>
      <w:pPr>
        <w:pStyle w:val="BookText"/>
        <w:rPr/>
      </w:pPr>
      <w:r>
        <w:rPr>
          <w:rFonts w:ascii="Amiri" w:hAnsi="Amiri" w:eastAsia="Amiri" w:cs="Amiri"/>
          <w:color w:val="111111"/>
          <w:sz w:val="28"/>
          <w:sz w:val="28"/>
          <w:szCs w:val="28"/>
          <w:rtl w:val="true"/>
          <w:lang w:bidi="ar-SA"/>
        </w:rPr>
        <w:t>ثمّ الظاهر أنّ العين التالفة عرفاً تبقى على ملك مالكها؛ لعدم دليل على خروجها منه، ولا تقتضي ماهية الغرامة ذلك، ولهذا لا يقولون به في بدل الحيلولة، كما أنّ العين المتعذّرة باقية عليه، فلو ارتفع العذر ورجعت التالفة، فهل يجب ردّها إلى صاحبها قبل وقوعها تحت يده، أو لا؟</w:t>
      </w:r>
    </w:p>
    <w:p>
      <w:pPr>
        <w:pStyle w:val="BookText"/>
        <w:rPr/>
      </w:pPr>
      <w:r>
        <w:rPr>
          <w:rFonts w:ascii="Amiri" w:hAnsi="Amiri" w:eastAsia="Amiri" w:cs="Amiri"/>
          <w:color w:val="111111"/>
          <w:sz w:val="28"/>
          <w:sz w:val="28"/>
          <w:szCs w:val="28"/>
          <w:rtl w:val="true"/>
          <w:lang w:bidi="ar-SA"/>
        </w:rPr>
        <w:t>الظاهر قصور الأدلّة اللفظية عن إثبات وجوبه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إلى آخره،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لأحد </w:t>
      </w:r>
    </w:p>
    <w:p>
      <w:pPr>
        <w:pStyle w:val="BookText"/>
        <w:rPr/>
      </w:pPr>
      <w:r>
        <w:rPr>
          <w:rFonts w:ascii="Amiri" w:hAnsi="Amiri" w:eastAsia="Amiri" w:cs="Amiri"/>
          <w:color w:val="111111"/>
          <w:sz w:val="28"/>
          <w:sz w:val="28"/>
          <w:szCs w:val="28"/>
          <w:rtl w:val="true"/>
          <w:lang w:bidi="ar-SA"/>
        </w:rPr>
        <w:t>أن يتصرّف</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إلى آخره فلعدم شمولهما لما لا تكون تحت يد الغارم، ومجرّد قدرته على ردّها إلى صاحبها، لا يوجب شمولهما لها، فالشيء الذي هو خارج عن تحت يده، لا يكون في تصرّفه، وإن قلنا بأنّ الإمساك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متوقّفة على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بوجوده الحدوثي علّة لعهدة العين، ووجوب الأداء حين وجودها، وضمانها حين تلفها عقلائي، لازم للعهدة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تأمّل؛ لقوّة احتمال أن يكون المراد به الضمان؛ أي لو تلفت، عليه خسارتها أو لو انقطع يده عنها بأخذه فعليه خسارتها، بل التحقيق ذلك كما مرّ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التمسّك باستصحاب وجوب الأداء الثابت قبل التعذّر،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التعذّر لا يوجب سقوط الوجوب، بل الوجوب على فعليته في الأعذار العقلية، غاية الأمر أنّ المكلّف معذور في مخالفته، وقد قرّرنا في محلّه أنّ التكاليف القانونية لا تخرج عن الفعلية بواسطة الجهل والعذر، وأنّ مبادئ جعل القوانين الكلّية وغاياتها غيرهما في توجّه التكليف إلى الأشخاص</w:t>
      </w:r>
      <w:r>
        <w:rPr>
          <w:rStyle w:val="FootnoteAnchor"/>
          <w:rtl w:val="true"/>
        </w:rPr>
        <w:footnoteReference w:id="144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علمنا بأن لا مزاحم للتكليف إلاّ العذر العقلي، وهو علّة منحصرة، فلا يبقى شكّ في ثبوت التكليف، ولو احتملنا أنّ المساوق للعذر تحقّق علّة لسقوطه فيستصحب بقاؤه</w:t>
      </w:r>
      <w:r>
        <w:rPr>
          <w:rFonts w:eastAsia="Amiri" w:cs="Amiri" w:ascii="Amiri" w:hAnsi="Amiri"/>
          <w:color w:val="111111"/>
          <w:sz w:val="28"/>
          <w:szCs w:val="28"/>
          <w:rtl w:val="true"/>
          <w:lang w:bidi="ar-SA"/>
        </w:rPr>
        <w:t xml:space="preserve">. </w:t>
      </w:r>
      <w:bookmarkStart w:id="963" w:name="pg15195_151039"/>
    </w:p>
    <w:p>
      <w:pPr>
        <w:pStyle w:val="BookText"/>
        <w:rPr/>
      </w:pPr>
      <w:bookmarkEnd w:id="963"/>
      <w:r>
        <w:rPr>
          <w:rFonts w:ascii="Amiri" w:hAnsi="Amiri" w:eastAsia="Amiri" w:cs="Amiri"/>
          <w:color w:val="111111"/>
          <w:sz w:val="28"/>
          <w:sz w:val="28"/>
          <w:szCs w:val="28"/>
          <w:rtl w:val="true"/>
          <w:lang w:bidi="ar-SA"/>
        </w:rPr>
        <w:t>وأمّا استصحاب عدم التكليف فغير جارٍ؛ لأنّ العذر العقلي لا يوجب السقوط، فبقي احتماله، فلا متيقّن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بسقوط التكليف بالأعذار، فمع العلم بكون العذر علّة منحصرة ولا علّة غيره، فمع رفع العذر لا يبقى شكّ، ومع احتمال عدم الانحصار، ومقارنة العذر لعلّة اُخرى له، يجري استصحاب عدم التكليف، وبقاء السقوط على حاله، ولا يجري استصحاب الوجوب؛ لانتقاضه باليقين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جريان استصحاب الوجوب، وعدم جريان استصحاب عدمه</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ما ذكرناه، وإلاّ فيرد عليه إشكال ظاهر؛ إذ بعد البناء على سقوط الوجوب، لا وجه لاستصحابه</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2495851_2142443653"/>
      <w:bookmarkStart w:id="965" w:name="_Toc341"/>
      <w:bookmarkEnd w:id="964"/>
      <w:r>
        <w:rPr>
          <w:rtl w:val="true"/>
        </w:rPr>
        <w:t xml:space="preserve">السادس </w:t>
      </w:r>
      <w:r>
        <w:rPr>
          <w:rtl w:val="true"/>
        </w:rPr>
        <w:t xml:space="preserve">: </w:t>
      </w:r>
      <w:r>
        <w:rPr>
          <w:rtl w:val="true"/>
        </w:rPr>
        <w:t>في رجوع الغرامة إلى ملك الغارم بمجرّد التمكّن من العين</w:t>
      </w:r>
      <w:bookmarkEnd w:id="965"/>
    </w:p>
    <w:p>
      <w:pPr>
        <w:pStyle w:val="BookText"/>
        <w:rPr/>
      </w:pPr>
      <w:r>
        <w:rPr>
          <w:rFonts w:ascii="Amiri" w:hAnsi="Amiri" w:eastAsia="Amiri" w:cs="Amiri"/>
          <w:color w:val="111111"/>
          <w:sz w:val="28"/>
          <w:sz w:val="28"/>
          <w:szCs w:val="28"/>
          <w:rtl w:val="true"/>
          <w:lang w:bidi="ar-SA"/>
        </w:rPr>
        <w:t>لو رجعت العين التالفة عرفاً، كما لو خرج ما في البحر بواسطة الأمواج، أو</w:t>
      </w:r>
    </w:p>
    <w:p>
      <w:pPr>
        <w:pStyle w:val="BookText"/>
        <w:rPr/>
      </w:pPr>
      <w:r>
        <w:rPr>
          <w:rFonts w:ascii="Amiri" w:hAnsi="Amiri" w:eastAsia="Amiri" w:cs="Amiri"/>
          <w:color w:val="111111"/>
          <w:sz w:val="28"/>
          <w:sz w:val="28"/>
          <w:szCs w:val="28"/>
          <w:rtl w:val="true"/>
          <w:lang w:bidi="ar-SA"/>
        </w:rPr>
        <w:t>وجدت العين المسروقة أو الضائعة، فهل ترجع الغرامة إلى ملك الغارم بمجرّد ذلك؛ بدعوى أنّ الغرامة بإزاء العين التالفة ما دامت تالفة، وبعد تغيير العنوان ورجوع التالفة، ترجع الغرامة إلى الغارم</w:t>
      </w:r>
      <w:r>
        <w:rPr>
          <w:rStyle w:val="FootnoteAnchor"/>
          <w:rtl w:val="true"/>
        </w:rPr>
        <w:footnoteReference w:id="1443"/>
      </w:r>
      <w:r>
        <w:rPr>
          <w:rFonts w:ascii="IRNazanin" w:hAnsi="IRNazanin" w:eastAsia="IRNazanin"/>
          <w:color w:val="111111"/>
          <w:sz w:val="28"/>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يقال في التيمّم بدل الغسل بناءً على 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عن موضوع خاصّ، فإذا تبدّل زالت الرافعية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لا ترجع إلاّ بعد ردّ العين إلى صاحبها؛ بدعوى أنّ التلف جهة تعليلية للزوم الغرامة، وأنّ الغرامة بإزاء العين لأجل انقطاع يد المالك عنها أبداً عرفاً، ومقابل الانقطاع رجوعها إليه</w:t>
      </w:r>
      <w:r>
        <w:rPr>
          <w:rStyle w:val="FootnoteAnchor"/>
          <w:rtl w:val="true"/>
        </w:rPr>
        <w:footnoteReference w:id="1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أوجه بنظر العرف، 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كونه جهة تعليلية، ينتج زوال الملكية بمجرّد التيسّر؛ لأنّ ما هو العلّة انقطاع خاصّ هو التلف عرفاً، أو ما بحكمه كالتعذّر، ومقابل هذا سلب هذا الانقطاع، لا وصوله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العرف في جانب الانقطاع، يحكم بعلّية الانقطاع الخاصّ كما ذكر، ولكن في جانب سلبه لا يوافق إلاّ برجوعها إلى المالك، ولو شكّ فيه يستصحب بقاء الملكية أو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الاُصول التي تمسّك بها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استصحاب كون العين مضمونة بالغرامة، وعدم طروّ ما يزيل ملكيته عن الغرامة، أو يحدث ضماناً جديداً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مثبت، وغير جارٍ على مسلكه؛ فإنّ استصحاب عدم السبب المزيل لإثبات الملكية، وكذا عدم سبب ضمان جديد لإثبات بقاء الضمان، مثبت</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واستصحاب كون العين مضمونة بالغرامة لا أصل له، إلاّ أن يرجع إلى استصحاب بقاء الغرامة على ما هي عليه، وهو من الشكّ في المقتضي؛ لاحتمال كون الملكية على عنوان خاصّ لا يقتضي البقاء أو علّتها علّة خاصّة، لا تقتضي العلّية فيما زاد، فتدبّر</w:t>
      </w:r>
      <w:r>
        <w:rPr>
          <w:rFonts w:eastAsia="Amiri" w:cs="Amiri" w:ascii="Amiri" w:hAnsi="Amiri"/>
          <w:color w:val="111111"/>
          <w:sz w:val="28"/>
          <w:szCs w:val="28"/>
          <w:rtl w:val="true"/>
          <w:lang w:bidi="ar-SA"/>
        </w:rPr>
        <w:t xml:space="preserve">. </w:t>
      </w:r>
      <w:bookmarkStart w:id="966" w:name="pg15195_151041"/>
    </w:p>
    <w:p>
      <w:pPr>
        <w:pStyle w:val="BookText"/>
        <w:rPr/>
      </w:pPr>
      <w:bookmarkEnd w:id="966"/>
      <w:r>
        <w:rPr>
          <w:rFonts w:ascii="Amiri" w:hAnsi="Amiri" w:eastAsia="Amiri" w:cs="Amiri"/>
          <w:color w:val="111111"/>
          <w:sz w:val="28"/>
          <w:sz w:val="28"/>
          <w:szCs w:val="28"/>
          <w:rtl w:val="true"/>
          <w:lang w:bidi="ar-SA"/>
        </w:rPr>
        <w:t>وكذا استصحاب بقاء الملكية شكّ فيالمقتضي، وهو غير جارٍ على مسلكه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يظهر الحال في بدل الحيلولة، على القول بملكيته للمضمون 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القول بصيرورته مباحاً له، وله التصرّف فيه بما شاء</w:t>
      </w:r>
      <w:r>
        <w:rPr>
          <w:rStyle w:val="FootnoteAnchor"/>
          <w:rtl w:val="true"/>
        </w:rPr>
        <w:footnoteReference w:id="1449"/>
      </w:r>
      <w:r>
        <w:rPr>
          <w:rFonts w:ascii="Amiri" w:hAnsi="Amiri" w:eastAsia="Amiri" w:cs="Amiri"/>
          <w:color w:val="111111"/>
          <w:sz w:val="28"/>
          <w:sz w:val="28"/>
          <w:szCs w:val="28"/>
          <w:rtl w:val="true"/>
          <w:lang w:bidi="ar-SA"/>
        </w:rPr>
        <w:t>، يقع الكلام في قطع الإباحة، هل هو بمجرّد رفع التعذّر، أو مع الوصول؟</w:t>
      </w:r>
    </w:p>
    <w:p>
      <w:pPr>
        <w:pStyle w:val="BookText"/>
        <w:rPr/>
      </w:pPr>
      <w:r>
        <w:rPr>
          <w:rFonts w:ascii="Amiri" w:hAnsi="Amiri" w:eastAsia="Amiri" w:cs="Amiri"/>
          <w:color w:val="111111"/>
          <w:sz w:val="28"/>
          <w:sz w:val="28"/>
          <w:szCs w:val="28"/>
          <w:rtl w:val="true"/>
          <w:lang w:bidi="ar-SA"/>
        </w:rPr>
        <w:t>أقربهما الثاني</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2495853_2142443653"/>
      <w:bookmarkStart w:id="968" w:name="_Toc342"/>
      <w:bookmarkEnd w:id="967"/>
      <w:r>
        <w:rPr>
          <w:rtl w:val="true"/>
        </w:rPr>
        <w:t>رجوع الضمان الجديد بالسبب الأوّل</w:t>
      </w:r>
      <w:bookmarkEnd w:id="968"/>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وجدان المال في الفرع الأوّل، ورفع التعذّر في الثاني، يوجب رجوع الغرامة ورفع الإباحة عنها، فهل يتجدّد ضمان جديد بمجرّدهما؟ أو يعود الضمان الأوّل، لا من الأوّل، بل بعد الوجدان؟ أو لا ضمان بعدهما إلاّ إذا وقعت العين تحت يده مطلقاً، أو عدواناً؟ وجوه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أقربها رجوع الضمان الجديد بالسبب الأوّل؛ وذلك لاقتضاء الغرامة ذلك عرفاً، لأنّ مقتضى دليل الضمان، هو كون حدوث اليد على شيء موجباً لضمانه ولزوم غرامته، والغرامة ما دامت كونها غرامة توجب رفع الضمان، ومع سلب عنوان الغرامة عن المدفوع، يعود الضمان بسبب سابق، وهو اقتضاء اليد، وهذا أمر عرفي عقلائي، لازم عنوان الغرامة، ومقتضى ذاتها عرفاً، من غير أن يكون </w:t>
      </w:r>
      <w:bookmarkStart w:id="969" w:name="pg15195_151042"/>
    </w:p>
    <w:p>
      <w:pPr>
        <w:pStyle w:val="BookText"/>
        <w:rPr/>
      </w:pPr>
      <w:bookmarkEnd w:id="969"/>
      <w:r>
        <w:rPr>
          <w:rFonts w:ascii="Amiri" w:hAnsi="Amiri" w:eastAsia="Amiri" w:cs="Amiri"/>
          <w:color w:val="111111"/>
          <w:sz w:val="28"/>
          <w:sz w:val="28"/>
          <w:szCs w:val="28"/>
          <w:rtl w:val="true"/>
          <w:lang w:bidi="ar-SA"/>
        </w:rPr>
        <w:t>تقييد وتحديد؛ بأن تكون الغرامة رافعة للضمان إلى أمد كذا بنحو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الجديد الحادث بسبب حادث، فلا دليل عليه بعد العمل بمقتضى اليد، وعدم يد جديدة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بعدم الضمان مطلقاً </w:t>
      </w:r>
      <w:r>
        <w:rPr>
          <w:rStyle w:val="FootnoteAnchor"/>
          <w:rtl w:val="true"/>
        </w:rPr>
        <w:footnoteReference w:id="1450"/>
      </w:r>
      <w:r>
        <w:rPr>
          <w:rFonts w:ascii="Amiri" w:hAnsi="Amiri" w:eastAsia="Amiri" w:cs="Amiri"/>
          <w:color w:val="111111"/>
          <w:sz w:val="28"/>
          <w:sz w:val="28"/>
          <w:szCs w:val="28"/>
          <w:rtl w:val="true"/>
          <w:lang w:bidi="ar-SA"/>
        </w:rPr>
        <w:t>، خلاف فهم العقلاء من الأدلّة وبنائهم في باب الغرامات، بل هو مقطوع الخلاف</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2495855_2142443653"/>
      <w:bookmarkStart w:id="971" w:name="_Toc343"/>
      <w:bookmarkEnd w:id="970"/>
      <w:r>
        <w:rPr>
          <w:rtl w:val="true"/>
        </w:rPr>
        <w:t>عدم جواز حبس العين</w:t>
      </w:r>
      <w:bookmarkEnd w:id="971"/>
    </w:p>
    <w:p>
      <w:pPr>
        <w:pStyle w:val="BookText"/>
        <w:rPr/>
      </w:pPr>
      <w:r>
        <w:rPr>
          <w:rFonts w:ascii="Amiri" w:hAnsi="Amiri" w:eastAsia="Amiri" w:cs="Amiri"/>
          <w:color w:val="111111"/>
          <w:sz w:val="28"/>
          <w:sz w:val="28"/>
          <w:szCs w:val="28"/>
          <w:rtl w:val="true"/>
          <w:lang w:bidi="ar-SA"/>
        </w:rPr>
        <w:t>ثمّ على فرض عدم رجوع الغرامة إلاّ بعد ردّ العين، فالظاهر عدم جواز حبسها ومطالبة الغرامة؛ لدليل تسلّط الناس على أموالهم، وعدم مزاحم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الغرامة عند العقلاء، جواز حبسها، ومطالبة إعادة الملكية على فرض ملكية المالك، وإعادة السلطنة على فرض جبران السلطنة، فله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سلب الملكية أو سلب السلطنة، بدل عن سلب سلطنتك، ولازم البدلية جواز مطالبة المبدل عند أداء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الحبس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برجوعها إلى الغارم، سواء قلنا بالملكية ورجوع الملك، أو قلنا بسلب سلطنته عنها حال التعذّر، ورجوعها عند التمكّن، فالظاهر جواز حبسها ومطالبة الغرامة؛ لأنّ ذلك لازم الغرامة والبدلية لدى العقلاء</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من أنّ جواز الحبس في باب المعاوضات والمعاملات، إنّما هو للشرط الضمني، وفي باب انفساخها لقيام الإجماع، والمقام ليس من </w:t>
      </w:r>
      <w:bookmarkStart w:id="972" w:name="pg15195_151043"/>
    </w:p>
    <w:p>
      <w:pPr>
        <w:pStyle w:val="BookText"/>
        <w:rPr/>
      </w:pPr>
      <w:bookmarkEnd w:id="972"/>
      <w:r>
        <w:rPr>
          <w:rFonts w:ascii="Amiri" w:hAnsi="Amiri" w:eastAsia="Amiri" w:cs="Amiri"/>
          <w:color w:val="111111"/>
          <w:sz w:val="28"/>
          <w:sz w:val="28"/>
          <w:szCs w:val="28"/>
          <w:rtl w:val="true"/>
          <w:lang w:bidi="ar-SA"/>
        </w:rPr>
        <w:t>المعاوضات، ولو كان منها يكون من قبيل المعاوضة القهرية التعبّدية، فلا شرط ضمني، ولا قيام إجماع، والقاعدة تقتضي وجوب ردّ العين، وعدم جواز حبسها حتّى على القول برجوع الغرامة لدى التمكّن</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باب المعاوضات أيضاً ليس شرط ضمني من المتعاملين، ولا قيام إجماع تعبّدي في مورد فسخها، بل لزوم التسليم والتسلّم من الأحكام العقلائية لباب المعاوضات وباب انفساخها، كما أنّ الأمر كذلك في باب الغرامات؛ فإنّ الغرامة بدل العين، أو لماليتها أو لسلطنتها، ومقتضى البدلية عرفاً جواز حبس المبدل، ومطالبة البدل، ومع هذا الحكم العقلائي، لا يفهم من دليل لزوم ردّ المال إلى صاحبه لزومه مطلقاً، سواء أدّى بدله أم لا، فدليل إيجابه منصرف عنه</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2495857_2142443653"/>
      <w:bookmarkStart w:id="974" w:name="_Toc344"/>
      <w:bookmarkEnd w:id="973"/>
      <w:r>
        <w:rPr>
          <w:rtl w:val="true"/>
        </w:rPr>
        <w:t xml:space="preserve">السابع </w:t>
      </w:r>
      <w:r>
        <w:rPr>
          <w:rtl w:val="true"/>
        </w:rPr>
        <w:t xml:space="preserve">: </w:t>
      </w:r>
      <w:r>
        <w:rPr>
          <w:rtl w:val="true"/>
        </w:rPr>
        <w:t>في خروج العين عن التقويم</w:t>
      </w:r>
      <w:bookmarkEnd w:id="974"/>
    </w:p>
    <w:p>
      <w:pPr>
        <w:pStyle w:val="BookText"/>
        <w:rPr/>
      </w:pPr>
      <w:r>
        <w:rPr>
          <w:rFonts w:ascii="Amiri" w:hAnsi="Amiri" w:eastAsia="Amiri" w:cs="Amiri"/>
          <w:color w:val="111111"/>
          <w:sz w:val="28"/>
          <w:sz w:val="28"/>
          <w:szCs w:val="28"/>
          <w:rtl w:val="true"/>
          <w:lang w:bidi="ar-SA"/>
        </w:rPr>
        <w:t>لو خرجت العين عن التقويم، فإن عدّت تالفة عرفاً فالظاهر خروجها عن الملكية؛ لعدم اعتبار ملكية ما تكون تالفة، كرطوبة اليد إذا بقيت من الماء المغصوب؛ فإنّها لا تعدّ ملكاً للمغصوب منه، بل الظاهر عدم تحقّق حقّ الأولوية فيها أيضاً؛ فإنّها عرفاً كالأعراض، مثل اللون والرائحة</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تعدّ تالفة، فهل الخروج عن المالية موجب للخروج عن ملكية مالكها، كما هو مختار الطباطبائي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xml:space="preserve">أو لا؟ </w:t>
      </w:r>
    </w:p>
    <w:p>
      <w:pPr>
        <w:pStyle w:val="BookText"/>
        <w:rPr/>
      </w:pPr>
      <w:r>
        <w:rPr>
          <w:rFonts w:ascii="Amiri" w:hAnsi="Amiri" w:eastAsia="Amiri" w:cs="Amiri"/>
          <w:color w:val="111111"/>
          <w:sz w:val="28"/>
          <w:sz w:val="28"/>
          <w:szCs w:val="28"/>
          <w:rtl w:val="true"/>
          <w:lang w:bidi="ar-SA"/>
        </w:rPr>
        <w:t>الظاهر هو الثاني؛ لعدم تبعية الملكية للمالية، فإنّ ورداً واحداً مجتنىً من شجرة مملوكة، ملك لصاحبه في العقل والشرع؛ لتبعية الثمرة للشجرة في الملكية ولو لم يعدّ مالاً ولا يبذل بإزائه مال، والثلج في الشتاء من الماء المملوك ملك وليس بمال، وهكذا، ومن ذلك أجزاء الزجاجة المكسورة، والفاكهة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ملكية ما ليس بمال، لا يجوز التصرّف فيه بلا إذن صاحبه ولو قلنا بعدم شمول مثل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إلى آخره،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إلى آخره، ممّا تعلّق فيها الحكم على عنوان المال، له؛ للقبح العقلي والعقلائي المستكشف منه عدم رضا الشارع به؛ فإنّه ظلم، مع أنّ الاستيلاء عليه غصب محرّم شرعاً، وقبيح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المذكورة شاملة له؛ لقرب احتمال إرادة ما له ارتباط وإضافة إلى الغير، كإضافة المالكية من المال، بل لا يبعد شمولها لإضافة الاختصاص أيضاً، والمال المأخوذ فيها نظير ما 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مالي، وذاك مال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عدم اختصاص هذا الإطلاق بما يبذل بإزائه المال،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الحبّة مال زيد، وإنّ هذا الورد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 إلاّ ما هو مضاف إليه إضافة مالكية، مع عدم المالية له، وليس فيه تأوّل وتجوّز</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التصرّف في ملك أحد، كما لا يجوز في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فرض بقاء ملكية ما خرجت عن التقويم، فهل تخرج من ملك مالكها بعد أداء غرامتها؟</w:t>
      </w:r>
    </w:p>
    <w:p>
      <w:pPr>
        <w:pStyle w:val="BookText"/>
        <w:rPr/>
      </w:pPr>
      <w:r>
        <w:rPr>
          <w:rFonts w:ascii="Amiri" w:hAnsi="Amiri" w:eastAsia="Amiri" w:cs="Amiri"/>
          <w:color w:val="111111"/>
          <w:sz w:val="28"/>
          <w:sz w:val="28"/>
          <w:szCs w:val="28"/>
          <w:rtl w:val="true"/>
          <w:lang w:bidi="ar-SA"/>
        </w:rPr>
        <w:t>الظاهر عدمه؛ لأنّها لا تقع بإزاء خصوصية الهوية، لما عرفت في بعض المباحث السالفة</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بإزاء العين في ماليتها، أو في خصوصياتها المرغوبة فيها، الموجبة لازدياد الرغبات والقيم، والعين المملوكة غير المتقوّمة، غير ملحوظة في الغرامات والضمانات، فبقاء ملكيتها غير مانعة من أخذ الغرامة بتمامها، ولا يلزم منه الجمع بين البدل والمبدل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وقوع الغرامة بإزاء الهوية، لا يقتضي ذلك خروجها عن ملك صاحبها؛ لأنّ باب أداء الغرامات ليس من المبادلات والمعاوضات المالكية، وهو واضح؛ ضرورة عدم إنشاء مبادلة بين الطرفين، ولا العقلائية؛ لعدم اعتبار العقلاء ملكية ما يعطى غرامته للغارم، بل الظاهر المرتكز بينهم بقاؤه على ملكية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يقال بحسب ارتكازهم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 المغصوب منه سرق وغرق 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الغرامة، وإذا وجد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ماله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الغارم، ولا يعتبر العقلاء أداء الغرامة معاوضةً، ولا ردّ العين معاوضةً اُخرى، أو انفساخاً 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الغرامة في التلف الحقيقي وغيره على نهج واحد، مع وضوح عدم اعتبار العقلاء ملكية التالف الحقيقي في مقابل الغرامة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والأدلّة الشرعية لا تدلّ إلاّ على الضمان ولزوم الغرامة، ولا يستفاد منها إلاّ ما لدى العرف، فاحتمال المعاوضة القهرية التعبّدية</w:t>
      </w:r>
      <w:r>
        <w:rPr>
          <w:rStyle w:val="FootnoteAnchor"/>
          <w:rtl w:val="true"/>
        </w:rPr>
        <w:footnoteReference w:id="145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975" w:name="pg15195_151046"/>
    </w:p>
    <w:p>
      <w:pPr>
        <w:pStyle w:val="Heading6"/>
        <w:numPr>
          <w:ilvl w:val="5"/>
          <w:numId w:val="1"/>
        </w:numPr>
        <w:rPr/>
      </w:pPr>
      <w:bookmarkStart w:id="976" w:name="__RefHeading___Toc2495859_2142443653"/>
      <w:bookmarkStart w:id="977" w:name="_Toc345"/>
      <w:bookmarkEnd w:id="975"/>
      <w:bookmarkEnd w:id="976"/>
      <w:r>
        <w:rPr>
          <w:rtl w:val="true"/>
        </w:rPr>
        <w:t>حكم الخياطة بالخيط المغصوب</w:t>
      </w:r>
      <w:bookmarkEnd w:id="977"/>
    </w:p>
    <w:p>
      <w:pPr>
        <w:pStyle w:val="BookText"/>
        <w:rPr/>
      </w:pPr>
      <w:r>
        <w:rPr>
          <w:rFonts w:ascii="Amiri" w:hAnsi="Amiri" w:eastAsia="Amiri" w:cs="Amiri"/>
          <w:color w:val="111111"/>
          <w:sz w:val="28"/>
          <w:sz w:val="28"/>
          <w:szCs w:val="28"/>
          <w:rtl w:val="true"/>
          <w:lang w:bidi="ar-SA"/>
        </w:rPr>
        <w:t>بقي الكلام في خصوص الخياطة بالخيط المغصوب، فإن لم يصر الخيط بعد الإخراج تالفاً، ولم يوجب إخراجه تلف شيء من الغاصب، فلا إشكال في لزوم ردّه، وعدم لزوم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أوجب تلف مال الغاصب، كما إذا انجرّ إلى تلف ثوبه، ومثل الخشبة المستدخلة في البناء إذا كان إخراجها موجباً لهدم البناء، فهل يجب ردّ المغصوب وإن صار ما صار؟ لأنّ الغاصب يؤخذ بأشقّ الأحوال، لأجل انصراف أدلّة نفي الحرج والضرر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يجب؛ لأنّ ذلك أمر سفهي، تنصرف أدلّة وجوب الردّ وحرمة الحبس عن مثله، بل لا بدّ من الغرامة بدلاً للحيلولة؟</w:t>
      </w:r>
    </w:p>
    <w:p>
      <w:pPr>
        <w:pStyle w:val="BookText"/>
        <w:rPr/>
      </w:pPr>
      <w:r>
        <w:rPr>
          <w:rFonts w:ascii="Amiri" w:hAnsi="Amiri" w:eastAsia="Amiri" w:cs="Amiri"/>
          <w:color w:val="111111"/>
          <w:sz w:val="28"/>
          <w:sz w:val="28"/>
          <w:szCs w:val="28"/>
          <w:rtl w:val="true"/>
          <w:lang w:bidi="ar-SA"/>
        </w:rPr>
        <w:t>أو يكون بحكم التالف، تجب غرامته، ويجوز للغارم التصرّف فيه؟</w:t>
      </w:r>
    </w:p>
    <w:p>
      <w:pPr>
        <w:pStyle w:val="BookText"/>
        <w:rPr/>
      </w:pPr>
      <w:r>
        <w:rPr>
          <w:rFonts w:ascii="Amiri" w:hAnsi="Amiri" w:eastAsia="Amiri" w:cs="Amiri"/>
          <w:color w:val="111111"/>
          <w:sz w:val="28"/>
          <w:sz w:val="28"/>
          <w:szCs w:val="28"/>
          <w:rtl w:val="true"/>
          <w:lang w:bidi="ar-SA"/>
        </w:rPr>
        <w:t>أو يبقى على ملكه بعد الغرامة أيضاً؟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الأوّل أقرب إلى القواعد، وتشهد له بعض الروايات الواردة في من غصب أرضاً فبنى فيها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بناؤه، وتسلّم التربة إلى صاحبها، ليس لعِرْق ظالم حقّ</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 زرع أو غرس في أرض الغير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يقلعه ويذهب به حيث شاء</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وإطلاق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المغصوب في الدار رهن على خرابها</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مشكلة؛ فإنّ الروايتين أوّلتين لا يستفاد منهما حكم المقام؛ فإنّ العرق والبناء بقاؤهما في ملك المالك غصب وبلا حقّ، وفي المقام بقاء ملك المالك في ملك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 يشمل ما يستلزم خراب المال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كناية عن استلزام الغصب، الضرر على الغاصب من قبل اللّه، ولا يستفاد منه ما رمناه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دليل في المسألة على جواز غرق سفينة فيها ملايين من مال الغاصب، وهدم بناء مشتمل على طبقات كثيرة بمجرّد كون لوح مغصوب فيها، أترى إمكان الالتزام بأنّه لو كان خاتم مغصوب، ضاع في بناء مشتمل على عشر طبقات من الغاصب، يحكم بلزوم هدم البناء للعثور على 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الالتزام بالبدل للحيلولة، والحكم بتعذّر تسليم العين مع بقائها على ملك مالكها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انجرّ إلى تلف الخيط، فهل هو بحكم التلف تجب غرامته، ويجوز التصرّف فيه؟ </w:t>
      </w:r>
      <w:bookmarkStart w:id="978" w:name="pg15195_151048"/>
    </w:p>
    <w:p>
      <w:pPr>
        <w:pStyle w:val="BookText"/>
        <w:rPr/>
      </w:pPr>
      <w:bookmarkEnd w:id="978"/>
      <w:r>
        <w:rPr>
          <w:rFonts w:ascii="Amiri" w:hAnsi="Amiri" w:eastAsia="Amiri" w:cs="Amiri"/>
          <w:color w:val="111111"/>
          <w:sz w:val="28"/>
          <w:sz w:val="28"/>
          <w:szCs w:val="28"/>
          <w:rtl w:val="true"/>
          <w:lang w:bidi="ar-SA"/>
        </w:rPr>
        <w:t>أو أنّ الخيط في هذا الحال غير تالف، فهو ملك لصاحبه، والثوب ملك للغاصب، فيقوّم الخيط، فإن ساوى قيمته في هذا الحال مع سابقه أو زادت، فهي لصاحبه، وإن نقصت يجبره الغاصب؟</w:t>
      </w:r>
    </w:p>
    <w:p>
      <w:pPr>
        <w:pStyle w:val="BookText"/>
        <w:rPr/>
      </w:pPr>
      <w:r>
        <w:rPr>
          <w:rFonts w:ascii="Amiri" w:hAnsi="Amiri" w:eastAsia="Amiri" w:cs="Amiri"/>
          <w:color w:val="111111"/>
          <w:sz w:val="28"/>
          <w:sz w:val="28"/>
          <w:szCs w:val="28"/>
          <w:rtl w:val="true"/>
          <w:lang w:bidi="ar-SA"/>
        </w:rPr>
        <w:t>أو يجب غرامته وبقيت العين على ملك صاحبها؟</w:t>
      </w:r>
    </w:p>
    <w:p>
      <w:pPr>
        <w:pStyle w:val="BookText"/>
        <w:rPr/>
      </w:pPr>
      <w:r>
        <w:rPr>
          <w:rFonts w:ascii="Amiri" w:hAnsi="Amiri" w:eastAsia="Amiri" w:cs="Amiri"/>
          <w:color w:val="111111"/>
          <w:sz w:val="28"/>
          <w:sz w:val="28"/>
          <w:szCs w:val="28"/>
          <w:rtl w:val="true"/>
          <w:lang w:bidi="ar-SA"/>
        </w:rPr>
        <w:t>أو ألزم الغاصب بإخراجه، ومع تلفه يغرم؟</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Heading6"/>
        <w:numPr>
          <w:ilvl w:val="5"/>
          <w:numId w:val="1"/>
        </w:numPr>
        <w:rPr/>
      </w:pPr>
      <w:bookmarkStart w:id="979" w:name="__RefHeading___Toc2495861_2142443653"/>
      <w:bookmarkStart w:id="980" w:name="_Toc346"/>
      <w:bookmarkEnd w:id="979"/>
      <w:r>
        <w:rPr>
          <w:rtl w:val="true"/>
        </w:rPr>
        <w:t>خروج العين عن الملكية مع بقاء حق الأولوية</w:t>
      </w:r>
      <w:bookmarkEnd w:id="980"/>
    </w:p>
    <w:p>
      <w:pPr>
        <w:pStyle w:val="BookText"/>
        <w:rPr/>
      </w:pPr>
      <w:r>
        <w:rPr>
          <w:rFonts w:ascii="Amiri" w:hAnsi="Amiri" w:eastAsia="Amiri" w:cs="Amiri"/>
          <w:color w:val="111111"/>
          <w:sz w:val="28"/>
          <w:sz w:val="28"/>
          <w:szCs w:val="28"/>
          <w:rtl w:val="true"/>
          <w:lang w:bidi="ar-SA"/>
        </w:rPr>
        <w:t xml:space="preserve">ثمّ إنّه ذكر الشيخ الأعظم قدّس سرّه قسماً آخر، وهو ما لو خرج المضمون عن الملكية، مع بقاء حقّ الأولوية فيه، كما لو صار الخلّ خمراً </w:t>
      </w:r>
      <w:r>
        <w:rPr>
          <w:rStyle w:val="FootnoteAnchor"/>
          <w:rtl w:val="true"/>
        </w:rPr>
        <w:footnoteReference w:id="1461"/>
      </w:r>
      <w:r>
        <w:rPr>
          <w:rFonts w:ascii="Amiri" w:hAnsi="Amiri" w:eastAsia="Amiri" w:cs="Amiri"/>
          <w:color w:val="111111"/>
          <w:sz w:val="28"/>
          <w:sz w:val="28"/>
          <w:szCs w:val="28"/>
          <w:rtl w:val="true"/>
          <w:lang w:bidi="ar-SA"/>
        </w:rPr>
        <w:t>، والأولى بسط الكلام في نحو المثال في جهتين</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2495863_2142443653"/>
      <w:bookmarkStart w:id="982" w:name="_Toc347"/>
      <w:bookmarkEnd w:id="981"/>
      <w:r>
        <w:rPr>
          <w:rtl w:val="true"/>
        </w:rPr>
        <w:t xml:space="preserve">الاُولى </w:t>
      </w:r>
      <w:r>
        <w:rPr>
          <w:rtl w:val="true"/>
        </w:rPr>
        <w:t xml:space="preserve">: </w:t>
      </w:r>
      <w:r>
        <w:rPr>
          <w:rtl w:val="true"/>
        </w:rPr>
        <w:t>محتملات عدم ملكية الخمر</w:t>
      </w:r>
      <w:bookmarkEnd w:id="982"/>
    </w:p>
    <w:p>
      <w:pPr>
        <w:pStyle w:val="BookText"/>
        <w:rPr/>
      </w:pPr>
      <w:r>
        <w:rPr>
          <w:rFonts w:ascii="Amiri" w:hAnsi="Amiri" w:eastAsia="Amiri" w:cs="Amiri"/>
          <w:color w:val="111111"/>
          <w:sz w:val="28"/>
          <w:sz w:val="28"/>
          <w:szCs w:val="28"/>
          <w:rtl w:val="true"/>
          <w:lang w:bidi="ar-SA"/>
        </w:rPr>
        <w:t xml:space="preserve">إنّ المعروف بينهم أنّ الخمر لا تكون ملكاً عند الشارع، فإذا صار الخلّ خمراً خرج عن ملك صاحبه، وظاهر بعضهم عدم الفرق بين الخمر المتّخذة للتخليل وغيرها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والمحتمل في المقام ابتداءً اُمور</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أسقط الملكية العقلائية عن الخمر ونحوها، فردعهم عن اعتبار الملكية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غير موجّه؛ لأنّ سلب اعتبار العقلاء ليس بيد التشريع، والعقلاء على اعتبارهم في ملكية الخمر ونحوها، فلا يرجع إسقاط الملكية العقلائية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خطّأهم في 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غير صحيح؛ لعدم واقعية للملكية إلاّ الاعتبار، فلا معنى للتخطئة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يعتبر ملكيتها في قبال العقلاء، فيكون له بما أنّه مقنّن، اعتبار وراء اعتبارهم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تصرّفه في ناحية اعتبار الملكية، لكنّه أسقط آثار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جميع الآثار مساوق لإسقاط الملكية؛ للغوية اعتبارها مع سلب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الملكية عقلائية والشارع تبع لهم، وليس له اعتبار مستقلّ في قبالهم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لغو، ولا ملزم له لسلب اعتبارها، بل له السكوت عنه وسلب الآثار، بل بعد سلب الآثار لعلّ سلب الملكية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ممنوعية سلب جميع الآثار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الأخيرين محتملان، والأوّل أقرب إلى كلمات العلماء</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أقرب إلى الاعتبار؛ لأنّ الملكية ليست من الحقائق الشرعية، واعتبار الشرع غير دخيل في حصولها، بل هي من الاعتبارات العقلائية في جميع الموارد، وللشارع النهي عن ترتيب الآثار وضعاً وتكليفاً، وإن أمكن له سلب الملكية في محيط تقنينه، لكن سلب الآثار أقرب إلى الفهم بحسب ظاهر الأدلّة، كقوله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w:t>
      </w:r>
      <w:r>
        <w:rPr>
          <w:rStyle w:val="FootnoteAnchor"/>
          <w:rtl w:val="true"/>
        </w:rPr>
        <w:footnoteReference w:id="1463"/>
      </w:r>
      <w:r>
        <w:rPr>
          <w:rFonts w:ascii="Amiri" w:hAnsi="Amiri" w:eastAsia="Amiri" w:cs="Amiri"/>
          <w:color w:val="111111"/>
          <w:sz w:val="28"/>
          <w:sz w:val="28"/>
          <w:szCs w:val="28"/>
          <w:rtl w:val="true"/>
          <w:lang w:bidi="ar-SA"/>
        </w:rPr>
        <w:t>وسائر ما وردت في الخمر، ممّا يمكن دعوى انصرافها عن العصير المغلي للتثليث، أو التخليل على فرض صيرورته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شيخ الطائفة قدّس سرّه في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إجماع على عدم ملكية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ليست بمملوكة ويجوز إمساكها للتخليل والتخلّل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على نجاسة الخمر، وعلى تحريمها الإجماع، فمن ادّعى صحّة أنّها مملوكة فعليه الدلالة</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تمسّك في مورد المسألة المبحوث عنها بعدم الدليل، فلو قام الإجماع على عدم المملوكية لتمسّك به جزماً، كما هو دأبه في الكتاب، وصرّح في أوّله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قلنا بسلب الآثار، لا يبعد القول بعدم سلب جميعها عن المتّخذة للتخليل، كسلبها عن المتّخذة للشرب، فالعصير المغلي بنفسه لو فرض صيرورته خمراً بالغليان، لم تهتك حرمته، ولا يوجب ذلك جواز إراقته، ولا سلب الضمان لو اُهريق؛ لقصور الأدلّة عن إثبات سلب الأحكام عن مثله</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الخمر المتّخذة للشرب لا حرمة لها، ويجب إهراقها، كما أراقها رسول اللّه صلي الله عليه و آله وسلم على ما في الروايات</w:t>
      </w:r>
      <w:r>
        <w:rPr>
          <w:rStyle w:val="FootnoteAnchor"/>
          <w:rtl w:val="true"/>
        </w:rPr>
        <w:footnoteReference w:id="1466"/>
      </w:r>
      <w:r>
        <w:rPr>
          <w:rFonts w:ascii="IRNazanin" w:hAnsi="IRNazanin" w:eastAsia="IRNazanin"/>
          <w:color w:val="111111"/>
          <w:sz w:val="28"/>
          <w:sz w:val="28"/>
          <w:szCs w:val="28"/>
          <w:rtl w:val="true"/>
          <w:lang w:bidi="fa-IR"/>
        </w:rPr>
        <w:t xml:space="preserve">، وأمر بإهراقها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983" w:name="pg15195_151051"/>
    </w:p>
    <w:p>
      <w:pPr>
        <w:pStyle w:val="BookText"/>
        <w:rPr/>
      </w:pPr>
      <w:bookmarkEnd w:id="983"/>
      <w:r>
        <w:rPr>
          <w:rFonts w:ascii="Amiri" w:hAnsi="Amiri" w:eastAsia="Amiri" w:cs="Amiri"/>
          <w:color w:val="111111"/>
          <w:sz w:val="28"/>
          <w:sz w:val="28"/>
          <w:szCs w:val="28"/>
          <w:rtl w:val="true"/>
          <w:lang w:bidi="ar-SA"/>
        </w:rPr>
        <w:t>بل لا يبعد أن يكون ما يؤخذ للشرب مسلوب الاحترام، ولو مثل العصير القابل للتخليل والتخمير، على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بسلب الملكية عن الخمر شرعاً،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الأدلّة عن شمول مثل العصير المغلي المتّخذ للتخليل أو مطلقاً، قبل أن يصير خمراً متعارفة يشربها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مشكلة تحتاج إلى التتبّع والتحقيق، ونحن نذكر الآن على سبيل الاحتمال ولوازم المحتملات</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2495865_2142443653"/>
      <w:bookmarkStart w:id="985" w:name="_Toc348"/>
      <w:bookmarkEnd w:id="984"/>
      <w:r>
        <w:rPr>
          <w:rtl w:val="true"/>
        </w:rPr>
        <w:t xml:space="preserve">الثانية </w:t>
      </w:r>
      <w:r>
        <w:rPr>
          <w:rtl w:val="true"/>
        </w:rPr>
        <w:t xml:space="preserve">: </w:t>
      </w:r>
      <w:r>
        <w:rPr>
          <w:rtl w:val="true"/>
        </w:rPr>
        <w:t>ملكية الخلّ لصاحبه بعد أن كان خمراً</w:t>
      </w:r>
      <w:bookmarkEnd w:id="985"/>
    </w:p>
    <w:p>
      <w:pPr>
        <w:pStyle w:val="BookText"/>
        <w:rPr/>
      </w:pPr>
      <w:r>
        <w:rPr>
          <w:rFonts w:ascii="Amiri" w:hAnsi="Amiri" w:eastAsia="Amiri" w:cs="Amiri"/>
          <w:color w:val="111111"/>
          <w:sz w:val="28"/>
          <w:sz w:val="28"/>
          <w:szCs w:val="28"/>
          <w:rtl w:val="true"/>
          <w:lang w:bidi="ar-SA"/>
        </w:rPr>
        <w:t>لو قلنا بأنّ المتّخذة للتخليل أو ما تصير خلاًّ ملك ولم يسقط الشارع ملكيتها وإن سلب آثارها، لا يبقى مجال للبحث عن أنّها بعد التخليل من المباحات التي تصير ملكاً لمن سبق إليها، أو ترجع إلى ملك مالكها قبل التخمير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بسلب الملكية، فهل تصير بعد التخليل من المباحات؟</w:t>
      </w:r>
    </w:p>
    <w:p>
      <w:pPr>
        <w:pStyle w:val="BookText"/>
        <w:rPr/>
      </w:pPr>
      <w:r>
        <w:rPr>
          <w:rFonts w:ascii="Amiri" w:hAnsi="Amiri" w:eastAsia="Amiri" w:cs="Amiri"/>
          <w:color w:val="111111"/>
          <w:sz w:val="28"/>
          <w:sz w:val="28"/>
          <w:szCs w:val="28"/>
          <w:rtl w:val="true"/>
          <w:lang w:bidi="ar-SA"/>
        </w:rPr>
        <w:t>أو ترجع إلى ملك صاحبها قبل التخمير؟</w:t>
      </w:r>
    </w:p>
    <w:p>
      <w:pPr>
        <w:pStyle w:val="BookText"/>
        <w:rPr/>
      </w:pPr>
      <w:r>
        <w:rPr>
          <w:rFonts w:ascii="Amiri" w:hAnsi="Amiri" w:eastAsia="Amiri" w:cs="Amiri"/>
          <w:color w:val="111111"/>
          <w:sz w:val="28"/>
          <w:sz w:val="28"/>
          <w:szCs w:val="28"/>
          <w:rtl w:val="true"/>
          <w:lang w:bidi="ar-SA"/>
        </w:rPr>
        <w:t>أو يفصّل بين ما اتّخذت للتخليل وغيرها ولو صارت خلاًّ قهراً وبلا قصد؟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لا لكون حقّ الأولوية من المراتب الضعيفة للملك</w:t>
      </w:r>
      <w:r>
        <w:rPr>
          <w:rStyle w:val="FootnoteAnchor"/>
          <w:rtl w:val="true"/>
        </w:rPr>
        <w:footnoteReference w:id="1468"/>
      </w:r>
      <w:r>
        <w:rPr>
          <w:rFonts w:ascii="Amiri" w:hAnsi="Amiri" w:eastAsia="Amiri" w:cs="Amiri"/>
          <w:color w:val="111111"/>
          <w:sz w:val="28"/>
          <w:sz w:val="28"/>
          <w:szCs w:val="28"/>
          <w:rtl w:val="true"/>
          <w:lang w:bidi="ar-SA"/>
        </w:rPr>
        <w:t xml:space="preserve">، ومع سلب المرتبة الشديدة والشكّ في زوال الضعيفة تستصحب؛ ضرورة أنّ لازم الشدّة والضعف في ماهية أو حقيقة، بقاء نفس الحقيقة في جميع المراتب، فالسواد شديده وضعيفه سواد، ولا يعقل أن يكون ضعيف الملك غير ملك، </w:t>
      </w:r>
    </w:p>
    <w:p>
      <w:pPr>
        <w:pStyle w:val="BookText"/>
        <w:rPr/>
      </w:pPr>
      <w:r>
        <w:rPr>
          <w:rFonts w:ascii="Amiri" w:hAnsi="Amiri" w:eastAsia="Amiri" w:cs="Amiri"/>
          <w:color w:val="111111"/>
          <w:sz w:val="28"/>
          <w:sz w:val="28"/>
          <w:szCs w:val="28"/>
          <w:rtl w:val="true"/>
          <w:lang w:bidi="ar-SA"/>
        </w:rPr>
        <w:t>ولا شديد حقّ الأولوية غير حقّها، ولازم ذلك كون الملك عبارة عن حقّ الأولوية مطلقاً،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 كون حقّ الأولوية مرتبة من الملكية، لا بدّ من سلبها وزوالها؛ لأنّ الخمر غير مملوكة مطلقاً، والالتزام بملكيتها كذلك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المعاني الاعتبارية لا تقبل التشكيك، وليست الملكية مقولة حقيقية، بل شبيهة ببعض المقولات في بعض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لكون الأولوية من آثار الملكية السابقة المتحقّقة عند زوالها؛ ضرورة أنّ أثر الشيء لا يعقل تحقّقه بعد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للمالك سلطنة عقلائية ممضاة من الشارع على ماله؛ لقوله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فهذه السلطنة سلطنة على أنحاء التصرّفات الحقيقية والاعتبارية، حتّى السلطنة على الحفظ، وعلى سلب يد الغير، والمنع عن استيلائه، ويمكن أن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زوال ملكية العين، بقي بعض شؤون السلطنة جزماً، كسلطنة حفظها للتخليل، وسلطنة المنع عن استيلاء الغير عليها وحيازتها، وكان هذا من الواضحات لدى العقلاء والمتشرّعة، فيستكشف منه أنّ المال في القاعدة واسطة للثبوت في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لا يعقل بقاؤه مع رفع موضوعه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مع رجوعها خلاًّ ترجع إلى ملك صاحبها وسلطانه، لا إلى الغير الأجنبيّ منها، ولا تصير من المباحات بعد التخليل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شكّ في بقاء السلطنة تستصحب، ومع الغضّ عنه يجري الاستصحاب الحكمي، كاستصحاب حرمة التصرّف فيها، وعدم حلّيتها؛ لأنّ الموضوع في الاستصحاب عرفي، يلاحظ فيه وحدة القضيّة المتيقّنة والمشكوك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الحرمة وعدم الحلّية وإن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الأدلّة، لكن بعد تحقّق مصداق مال الغير، يصير الموجود الخارجي معلوم الحرمة،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العصير لا يحلّ التصرّف فيه بلا إذن زيد مثلاً، وبعد غليانه يشكّ في بقاء الحكم المتعلّق بهذا الشخص، فيستصحب؛ لوحدة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السيّد الطباطبائي قدّس سرّه حيث إنّه مع تصديقه بأنّ الموضوع في الاستصحاب عرفي</w:t>
      </w:r>
      <w:r>
        <w:rPr>
          <w:rStyle w:val="FootnoteAnchor"/>
          <w:rtl w:val="true"/>
        </w:rPr>
        <w:footnoteReference w:id="1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خروجه عن ملكه يرتفع الحكم قطعاً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يرجع إلى أخذ الموضوع من الدليل، لا من العرف،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المقبوض بالبيع الفاسد، والفروع الاُخر موكولة إلى كتاب الغصب</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5195_151055"/>
      <w:bookmarkStart w:id="987" w:name="pg15195_151055"/>
      <w:bookmarkEnd w:id="987"/>
    </w:p>
    <w:p>
      <w:pPr>
        <w:pStyle w:val="Heading2"/>
        <w:numPr>
          <w:ilvl w:val="1"/>
          <w:numId w:val="1"/>
        </w:numPr>
        <w:rPr/>
      </w:pPr>
      <w:bookmarkStart w:id="988" w:name="pg15195_151055"/>
      <w:bookmarkStart w:id="989" w:name="__RefHeading___Toc2495867_2142443653"/>
      <w:bookmarkStart w:id="990" w:name="_Toc349"/>
      <w:bookmarkEnd w:id="988"/>
      <w:bookmarkEnd w:id="989"/>
      <w:r>
        <w:rPr>
          <w:rtl w:val="true"/>
        </w:rPr>
        <w:t>الفهارس العامّة</w:t>
      </w:r>
      <w:bookmarkEnd w:id="990"/>
    </w:p>
    <w:p>
      <w:pPr>
        <w:pStyle w:val="Heading3"/>
        <w:numPr>
          <w:ilvl w:val="2"/>
          <w:numId w:val="1"/>
        </w:numPr>
        <w:rPr/>
      </w:pPr>
      <w:bookmarkStart w:id="991" w:name="__RefHeading___Toc2495869_2142443653"/>
      <w:bookmarkStart w:id="992" w:name="_Toc350"/>
      <w:bookmarkEnd w:id="991"/>
      <w:r>
        <w:rPr>
          <w:rtl w:val="true"/>
        </w:rPr>
        <w:t>اشارة</w:t>
      </w:r>
      <w:bookmarkEnd w:id="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المعصومين عليهم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5195_151057"/>
      <w:bookmarkStart w:id="994" w:name="pg15195_151057"/>
      <w:bookmarkEnd w:id="994"/>
    </w:p>
    <w:p>
      <w:pPr>
        <w:pStyle w:val="Heading3"/>
        <w:numPr>
          <w:ilvl w:val="2"/>
          <w:numId w:val="1"/>
        </w:numPr>
        <w:rPr/>
      </w:pPr>
      <w:bookmarkStart w:id="995" w:name="pg15195_151057"/>
      <w:bookmarkStart w:id="996" w:name="__RefHeading___Toc2495871_2142443653"/>
      <w:bookmarkStart w:id="997" w:name="_Toc351"/>
      <w:bookmarkEnd w:id="995"/>
      <w:bookmarkEnd w:id="996"/>
      <w:r>
        <w:rPr/>
        <w:t>1</w:t>
      </w:r>
      <w:r>
        <w:rPr>
          <w:rtl w:val="true"/>
        </w:rPr>
        <w:t xml:space="preserve"> - </w:t>
      </w:r>
      <w:r>
        <w:rPr>
          <w:rtl w:val="true"/>
        </w:rPr>
        <w:t>فهرس الآيات الكريمة</w:t>
      </w:r>
      <w:bookmarkEnd w:id="997"/>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عَهْدِى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 كُلُوا أَمْوَالَكُمْ بَيْنَكُمْ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تُقَاتِلُوهُمْ عِنْدَ الْمَسْجِدِ الْحَرَامِ حَتَّى يُقَاتِلُوكُمْ فِيهِ فَإِنْ قَاتَلُوكُمْ فَاقْتُلُوهُمْ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بِالشَّهْرِ الْحَرَامِ وَالْحُرُمَاتُ قِصَاصٌ فَمَنِ اعْتَدَى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فِى سَبِيلِ اللّه‌ِ وَلاَ تُلْقُوا بِأَيْدِيكُمْ إِلَى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 الَّذِى بِيَدِهِ عُقْدَةُ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 كُلُونَ الرِّبوا لاَ يَقُومُونَ إِلاَّ</w:t>
      </w:r>
    </w:p>
    <w:p>
      <w:pPr>
        <w:pStyle w:val="BookText"/>
        <w:rPr/>
      </w:pPr>
      <w:r>
        <w:rPr>
          <w:rFonts w:ascii="Amiri" w:hAnsi="Amiri" w:eastAsia="Amiri" w:cs="Amiri"/>
          <w:color w:val="111111"/>
          <w:sz w:val="28"/>
          <w:sz w:val="28"/>
          <w:szCs w:val="28"/>
          <w:rtl w:val="true"/>
          <w:lang w:bidi="ar-SA"/>
        </w:rPr>
        <w:t>كَمَا يَقُومُ الَّذِى يَتَخَبَّطُهُ الشَّيْطَانُ مِنَ</w:t>
      </w:r>
    </w:p>
    <w:p>
      <w:pPr>
        <w:pStyle w:val="BookText"/>
        <w:rPr/>
      </w:pPr>
      <w:r>
        <w:rPr>
          <w:rFonts w:ascii="Amiri" w:hAnsi="Amiri" w:eastAsia="Amiri" w:cs="Amiri"/>
          <w:color w:val="111111"/>
          <w:sz w:val="28"/>
          <w:sz w:val="28"/>
          <w:szCs w:val="28"/>
          <w:rtl w:val="true"/>
          <w:lang w:bidi="ar-SA"/>
        </w:rPr>
        <w:t>الْمَسِّ ذَلِكَ بِأَ نَّهُمْ قَالُوا إِنَّمَا الْبَيْعُ مِثْلُ</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 نَّهُمْ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 نَّهُمْ قَالُوا إِنَّمَا الْبَيْعُ مِثْلُ</w:t>
      </w:r>
    </w:p>
    <w:p>
      <w:pPr>
        <w:pStyle w:val="BookText"/>
        <w:rPr/>
      </w:pP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مِثْلُ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مَكَانَ</w:t>
      </w:r>
    </w:p>
    <w:p>
      <w:pPr>
        <w:pStyle w:val="BookText"/>
        <w:rPr/>
      </w:pPr>
      <w:r>
        <w:rPr>
          <w:rFonts w:ascii="Amiri" w:hAnsi="Amiri" w:eastAsia="Amiri" w:cs="Amiri"/>
          <w:color w:val="111111"/>
          <w:sz w:val="28"/>
          <w:sz w:val="28"/>
          <w:szCs w:val="28"/>
          <w:rtl w:val="true"/>
          <w:lang w:bidi="ar-SA"/>
        </w:rPr>
        <w:t>زَوْجٍ وَآتَيْتُمْ إِحْدَاهُنَّ قِنْطَاراً فَلاَ</w:t>
      </w:r>
    </w:p>
    <w:p>
      <w:pPr>
        <w:pStyle w:val="BookText"/>
        <w:rPr/>
      </w:pPr>
      <w:r>
        <w:rPr>
          <w:rFonts w:ascii="Amiri" w:hAnsi="Amiri" w:eastAsia="Amiri" w:cs="Amiri"/>
          <w:color w:val="111111"/>
          <w:sz w:val="28"/>
          <w:sz w:val="28"/>
          <w:szCs w:val="28"/>
          <w:rtl w:val="true"/>
          <w:lang w:bidi="ar-SA"/>
        </w:rPr>
        <w:t>تَأْخُذُوا مِنْهُ شَيْئاً أَتَأْخُذُونَهُ بُهْتَاناً</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تَأْخُذُونَهُ وَقَدْ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 بَعْضُكُمْ إِلَى بَعْضٍ وَأَخَذْنَ</w:t>
      </w:r>
    </w:p>
    <w:p>
      <w:pPr>
        <w:pStyle w:val="BookText"/>
        <w:rPr/>
      </w:pPr>
      <w:r>
        <w:rPr>
          <w:rFonts w:ascii="Amiri" w:hAnsi="Amiri" w:eastAsia="Amiri" w:cs="Amiri"/>
          <w:color w:val="111111"/>
          <w:sz w:val="28"/>
          <w:sz w:val="28"/>
          <w:szCs w:val="28"/>
          <w:rtl w:val="true"/>
          <w:lang w:bidi="ar-SA"/>
        </w:rPr>
        <w:t>مِنْكُمْ 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أَفْضَى بَعْضُكُمْ إِلَى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 كُلُوا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 كُلُوا أَمْوَالَكُمْ بَيْنَكُمْ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p>
    <w:p>
      <w:pPr>
        <w:pStyle w:val="BookText"/>
        <w:rPr/>
      </w:pP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p>
    <w:p>
      <w:pPr>
        <w:pStyle w:val="BookText"/>
        <w:rPr/>
      </w:pP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p>
    <w:p>
      <w:pPr>
        <w:pStyle w:val="BookText"/>
        <w:rPr/>
      </w:pP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بِشَىْ‌ءٍ مِنَ الصَّيْدِ تَنَالُهُ</w:t>
      </w:r>
    </w:p>
    <w:p>
      <w:pPr>
        <w:pStyle w:val="BookText"/>
        <w:rPr/>
      </w:pPr>
      <w:r>
        <w:rPr>
          <w:rFonts w:ascii="Amiri" w:hAnsi="Amiri" w:eastAsia="Amiri" w:cs="Amiri"/>
          <w:color w:val="111111"/>
          <w:sz w:val="28"/>
          <w:sz w:val="28"/>
          <w:szCs w:val="28"/>
          <w:rtl w:val="true"/>
          <w:lang w:bidi="ar-SA"/>
        </w:rPr>
        <w:t>أَيْدِيكُمْ وَرِمَاحُكُمْ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لاَتَقْتُلُوا الصَّيْدَ وَأَنْتُمْ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وَلِلسَّيَّارَةِ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عَلَيْكُمْ صَيْدُ الْبَرِّ مَا دُمْتُمْ</w:t>
      </w:r>
    </w:p>
    <w:p>
      <w:pPr>
        <w:pStyle w:val="BookText"/>
        <w:rPr/>
      </w:pP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 ويُحَرِّمُ عَلَيْهِمُ</w:t>
      </w:r>
    </w:p>
    <w:p>
      <w:pPr>
        <w:pStyle w:val="BookText"/>
        <w:rPr/>
      </w:pP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الْمِكْيَالَ وَالْمِيزَانَ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998" w:name="pg15195_151063"/>
    </w:p>
    <w:p>
      <w:pPr>
        <w:pStyle w:val="Heading3"/>
        <w:numPr>
          <w:ilvl w:val="2"/>
          <w:numId w:val="1"/>
        </w:numPr>
        <w:rPr/>
      </w:pPr>
      <w:bookmarkStart w:id="999" w:name="__RefHeading___Toc2495873_2142443653"/>
      <w:bookmarkStart w:id="1000" w:name="_Toc352"/>
      <w:bookmarkEnd w:id="998"/>
      <w:bookmarkEnd w:id="999"/>
      <w:r>
        <w:rPr/>
        <w:t>2</w:t>
      </w:r>
      <w:r>
        <w:rPr>
          <w:rtl w:val="true"/>
        </w:rPr>
        <w:t xml:space="preserve"> - </w:t>
      </w:r>
      <w:r>
        <w:rPr>
          <w:rtl w:val="true"/>
        </w:rPr>
        <w:t>فهرس الاحادیث الشریفة</w:t>
      </w:r>
      <w:bookmarkEnd w:id="1000"/>
    </w:p>
    <w:p>
      <w:pPr>
        <w:pStyle w:val="BookText"/>
        <w:rPr/>
      </w:pPr>
      <w:r>
        <w:rPr>
          <w:rFonts w:ascii="Amiri" w:hAnsi="Amiri" w:eastAsia="Amiri" w:cs="Amiri"/>
          <w:color w:val="111111"/>
          <w:sz w:val="28"/>
          <w:sz w:val="28"/>
          <w:szCs w:val="28"/>
          <w:rtl w:val="true"/>
          <w:lang w:bidi="ar-SA"/>
        </w:rPr>
        <w:t>أتاه رجل تكارى دابّة فهلكت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أخرس هو؟</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إذا كان مسلماً عدلاً فليس عليه 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أرأيت لو قتل قتيلاً، على من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أرأيت لو كان ثمنه مائة دينار، فزاد وبلغ مائتي دينار، لمن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أرى له عليك مثل كِراء بغل ذاهباً من الكوفة إلى 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أفسدها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أفضل ما يستعمله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ألا ترى فلِمَ يذهب مال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أليس إن شاء ترك، وإن شاء 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إمّا أن يحلف هو على القيمة فيلزمك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أمّا ما حفر في ملكه فليس عليه ضمان، وأمّا ما حفر في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ينهاهم عن شرطين في 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إنّ أبي اشترى أرضاً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استوجبها قام فمضى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أنت وهو، إمّا أن يحلف هو على القيمة فيلزمك، فإن ردّ اليمين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جاء صاحبها يطلبها أن تردّ عليه ثمنها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لها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إنّ عمله للمشتري؛ لأنّ الخراج بالضمان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إن كان الرهن أفضل ممّا رهن به ثمّ عطب، ردّ المرتهن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إن كان الشيء قائماً بعينه ردّ على صاحبه، وإن لم يكن قائماً ضمن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البهيمة للفاعل ذُبحت، فإذا ماتت اُحرقت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إن كان شرط أن لا يركبها غيره فهو ضامن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إن كان قائماً، وإلاّ ضمن بقدر ما أتلف من مال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إن كان مأموناً فليس عليه شيء، وإن كان غير مأمون فهو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إنّما رضي بها وحلّلك حين قضى عليه أبو حنيفة بالجور والظلم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أنّه قضى في رجل أقبل بنار، فأشعلها في دار قوم، فاحترقت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أنّه كان يضمّن الراكب ما وطأت الدابّة بيدها ورجلها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أو يأتي صاحب البغل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أو يأتي صاحب البغل بشهود يشهدون أنّ قيمة البغل يوم اكتري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أيّما رجل اشترى من رجل بيعاً فهما بالخيار حتّى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أيّما رجل فزّع رجلاً من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فمات، فهو ضامن لديته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بئس ما صنع، وما كان يُدريه ما يقع في قلبه بالليل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بالذي يعرف به من حاله؛ مثل ما ذكرت من كراهته وبغضه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بعد أن يكون الرجل أميناً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البيّعان بالخيار حتّى يفترقا، وصاحب الحيوان بالخيار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لا وارثة، ولا موروثة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جاءت امرأة إلى النبي صلي الله عليه و 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جعله جملة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جميع ما استعرته فتَوى فلا يلزمك تواه، إلاّ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حتّى ينقضي الشرط ويصير المبيع للمشتري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الحجر المغصوب في الدار رهن على خرابها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حرمة مال المؤمن كحرمة 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دين اللّه أحقّ بالقضاء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الذهب بالذهب مثلاً بمثل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شرط اللّه آكد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شرط اللّه قبل شرطكم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الشرط في الحيوان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صاحب البختي ضامن للدية، ويقتصّ ثمن بختيّه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صاحب الوديعة والبضاعة مؤتمنان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الأخرس أن يأخذ مقنعتها ويضعها على رأسها ويعتزلها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الذي ارتهن الأرض والدار بماله أن يحتسب لصاحب الأرض والدار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على الرجل أن يردّ على صاحبه مائتي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على اليد ما جنت حتّى تؤدّيه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على اليد ما قبضت حتّى تُؤدّي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على صاحب البختي دية المقتول، ولصاحب البختي 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عليه ما أصابت الدابّة بيدها ورجلها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عليه ما أصابت بيدها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قالت نعم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فإذا مضت ثلاثة أيّام فقد وجب الشراء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فإن جاء طالبها غرموا له الثمن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فإنّه لا يحلّ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الرهن إذا ضاع من عند المرتهن من غير أن يستهلكه رجع بحقّه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في مثل هذا القضاء وشبهه تحبس السماء ماءها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أو كنيفاً، أو أوتد وتداً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قدر ما أتلف</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قد زوّجتكها على ما تُحسن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قضى أمير المؤمنين عليه السلام في الرهن إذا كان أكثر من مال المرتهن فهلك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قضى أمير المؤمنين عليه السلام في كلّ رهن له غلّة، أنّ غلّته تحسب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قل أشتري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كان أمير المؤمنين عليه السلام يضمّن القصّار والصانع احتياطاً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كانت قريش يقامر الرجل بأهله وماله، فنهاهم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كان علي عليه السلام يقول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كذلك يكون عليه ما يكون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كلُّ ما كان من وديعة، ولم تكن مضمونة، لا تلزم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إنّما هذه المراوضة، فإذا جمع إليه البيع جعله جملة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بذلك، اشترها ولا تواجبه البيع قبل أن تستوجبها أو تشتريها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لا تشتر كتاب اللّه، ولكن اشتر الحديد والورق والدفّتين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لا ذنب لها، ولكن رسول اللّه صلي الله عليه و آله وسلم فعل هذا وأمر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لا طلاق إلاّ فيما تملكه، ولا بيع إلاّ فيما تملكه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لأنّه أخذ رهناً فيه فضل وضيّعه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لا، ولكن يكتب ويشهد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لا يجوز 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لا يجوز لأحد أن يتصرّف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لا يحلّ دم امرئٍ مسلم ولا ماله إلاّ بطيبة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يسمّي شيئاً من الحبّ والبقر،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فيها كذا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لا يصلح ذهاب حقّ امرئٍ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لا ينبغي أن يسمّي شيئاً؛ فإنّما يحرّم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لصاحب الدراهم الدراهم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لعن اللّه بني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لعن اللّه بني اُميّة قاطبةً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لك أن تأخذ منه ما ينفق بينهم، كما أعطيته ما ينفق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له عليك كِراء بغل ذاهباً من الكوفة إلى 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ليس عليه ما أصابت برجلها، وعليه ما أصابت بيدها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ليس عليه ما أصابت برجلها، ولكن عليه ما أصابت بيدها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ما أصاب الرجل فعلى السائق، وما أصاب اليد فعلى القائد والراكب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من اشترط شرطاً سوى كتاب اللّه فلا يجوز ذلك له ولا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اشترط شرطاً مخالفاً لكتاب اللّه فلا يجوز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من كانت عنده أمانة فليؤدّها إلى من ائتمنه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مال الذي كتمها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من وجد ضالّة فلم يعرّفها، ثمّ وجدت عنده، فإنّها لربّها أو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الميثاق هي الكلمة التي عقد بها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نعم؛ لأنّه أخذ رهناً فيه فضل فضيّعه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نهى صلي الله عليه و آله وسلم عن بيعين في 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وأمّا ما سألت عنه من أمر من يستحلّ ما في يده في أموالنا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وإن لم تعرف فكلها، وأنت ضامن لها إن جاء صاحبها يطلب ثمنها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وإنْ وجدت طعاماً في مفازة فقوّمه على نفسك لصاحبه ثمَّ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وأوجب لي محبّتك كما شرطت، ولك يا ربِّ شرطي أن لا أعود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وحرمة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وحرمة ماله كحرمة 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وكذلك قول علي عليه السلام في الحيوان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هذا فساد على أصحابه، يقوّم قيمة، ويضمن الثمن الذي أعتقه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هذا وأشباهه يُعرف من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هم يد على من سواهم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هو ضامن لها إن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يا بنيّ أردت أن يجب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يأخذ الجارية، المستحقّ ويدفع إليه المبتاع قيمة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يترادّان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يُجلد دون الحدّ، ويغرم قيمة البهيمة لصاحبها؛ لأنّه أفسدها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يحلّل الكلام، ويحرّم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يردّ إليه جاريته، ويعوّضه بما انتفع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يرفع بناؤه، وتسلّم التربة إلى صاحبها، ليس لعِرْق ظالم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يطلب ثمنها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يغرم قيمة الدار وما فيها، ثم يُقتل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يقبض ولده، ويدفع إليه الجارية، ويعوّضه في قيمة ما أصاب من لبنها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يقلعه ويذهب به حيث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يقوّم ما فيها ثمّ يؤكل؛ لأنّه يفسد وليس له 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يؤدّي من المال الذي شهد عليه بقدر ما ذهب من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5195_151073"/>
      <w:bookmarkStart w:id="1002" w:name="pg15195_151073"/>
      <w:bookmarkEnd w:id="1002"/>
    </w:p>
    <w:p>
      <w:pPr>
        <w:pStyle w:val="Heading3"/>
        <w:numPr>
          <w:ilvl w:val="2"/>
          <w:numId w:val="1"/>
        </w:numPr>
        <w:rPr/>
      </w:pPr>
      <w:bookmarkStart w:id="1003" w:name="pg15195_151073"/>
      <w:bookmarkStart w:id="1004" w:name="__RefHeading___Toc2495875_2142443653"/>
      <w:bookmarkStart w:id="1005" w:name="_Toc353"/>
      <w:bookmarkEnd w:id="1003"/>
      <w:bookmarkEnd w:id="1004"/>
      <w:r>
        <w:rPr/>
        <w:t>3</w:t>
      </w:r>
      <w:r>
        <w:rPr>
          <w:rtl w:val="true"/>
        </w:rPr>
        <w:t xml:space="preserve"> - </w:t>
      </w:r>
      <w:r>
        <w:rPr>
          <w:rtl w:val="true"/>
        </w:rPr>
        <w:t>فهرس اسماء المعصومین علیهم السلام</w:t>
      </w:r>
      <w:bookmarkEnd w:id="1005"/>
    </w:p>
    <w:p>
      <w:pPr>
        <w:pStyle w:val="BookText"/>
        <w:rPr/>
      </w:pPr>
      <w:r>
        <w:rPr>
          <w:rFonts w:ascii="Amiri" w:hAnsi="Amiri" w:eastAsia="Amiri" w:cs="Amiri"/>
          <w:color w:val="111111"/>
          <w:sz w:val="28"/>
          <w:sz w:val="28"/>
          <w:szCs w:val="28"/>
          <w:rtl w:val="true"/>
          <w:lang w:bidi="ar-SA"/>
        </w:rPr>
        <w:t xml:space="preserve">النبي، محمّد،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صلي الله عليه و آله وسلم، نبي الإسلام</w:t>
      </w:r>
    </w:p>
    <w:p>
      <w:pPr>
        <w:pStyle w:val="BookText"/>
        <w:rPr/>
      </w:pPr>
      <w:r>
        <w:rPr>
          <w:rFonts w:ascii="Amiri" w:hAnsi="Amiri" w:eastAsia="Amiri" w:cs="Amiri"/>
          <w:color w:val="111111"/>
          <w:sz w:val="28"/>
          <w:sz w:val="28"/>
          <w:szCs w:val="28"/>
          <w:rtl w:val="true"/>
          <w:lang w:bidi="ar-SA"/>
        </w:rPr>
        <w:t xml:space="preserve">محمّد بن عبداللّه صلي الله عليه و آله وسلم، نبي الإسلام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الإمام الأوّل</w:t>
      </w:r>
    </w:p>
    <w:p>
      <w:pPr>
        <w:pStyle w:val="BookText"/>
        <w:rPr/>
      </w:pPr>
      <w:r>
        <w:rPr>
          <w:rFonts w:ascii="Amiri" w:hAnsi="Amiri" w:eastAsia="Amiri" w:cs="Amiri"/>
          <w:color w:val="111111"/>
          <w:sz w:val="28"/>
          <w:sz w:val="28"/>
          <w:szCs w:val="28"/>
          <w:rtl w:val="true"/>
          <w:lang w:bidi="ar-SA"/>
        </w:rPr>
        <w:t xml:space="preserve">علي بن أبي طالب عليه السلام، الإمام الأوّل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عليه السلام، الإمام الخامس</w:t>
      </w:r>
    </w:p>
    <w:p>
      <w:pPr>
        <w:pStyle w:val="BookText"/>
        <w:rPr/>
      </w:pPr>
      <w:r>
        <w:rPr>
          <w:rFonts w:ascii="Amiri" w:hAnsi="Amiri" w:eastAsia="Amiri" w:cs="Amiri"/>
          <w:color w:val="111111"/>
          <w:sz w:val="28"/>
          <w:sz w:val="28"/>
          <w:szCs w:val="28"/>
          <w:rtl w:val="true"/>
          <w:lang w:bidi="ar-SA"/>
        </w:rPr>
        <w:t xml:space="preserve">محمّد بن علي عليه السلام، الإمام الخامس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الصادق،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 السلام، الإمام السادس</w:t>
      </w:r>
    </w:p>
    <w:p>
      <w:pPr>
        <w:pStyle w:val="BookText"/>
        <w:rPr/>
      </w:pPr>
      <w:r>
        <w:rPr>
          <w:rFonts w:ascii="Amiri" w:hAnsi="Amiri" w:eastAsia="Amiri" w:cs="Amiri"/>
          <w:color w:val="111111"/>
          <w:sz w:val="28"/>
          <w:sz w:val="28"/>
          <w:szCs w:val="28"/>
          <w:rtl w:val="true"/>
          <w:lang w:bidi="ar-SA"/>
        </w:rPr>
        <w:t xml:space="preserve">جعفر بن محمّد عليه السلام، الإمام السادس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أبو إبراهيم،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 السلام، الإمام السابع</w:t>
      </w:r>
    </w:p>
    <w:p>
      <w:pPr>
        <w:pStyle w:val="BookText"/>
        <w:rPr/>
      </w:pPr>
      <w:r>
        <w:rPr>
          <w:rFonts w:ascii="Amiri" w:hAnsi="Amiri" w:eastAsia="Amiri" w:cs="Amiri"/>
          <w:color w:val="111111"/>
          <w:sz w:val="28"/>
          <w:sz w:val="28"/>
          <w:szCs w:val="28"/>
          <w:rtl w:val="true"/>
          <w:lang w:bidi="ar-SA"/>
        </w:rPr>
        <w:t xml:space="preserve">موسى بن جعفر عليه السلام، الإمام السابع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موسى عليه السلام، الإمام الثامن</w:t>
      </w:r>
    </w:p>
    <w:p>
      <w:pPr>
        <w:pStyle w:val="BookText"/>
        <w:rPr/>
      </w:pPr>
      <w:r>
        <w:rPr>
          <w:rFonts w:ascii="Amiri" w:hAnsi="Amiri" w:eastAsia="Amiri" w:cs="Amiri"/>
          <w:color w:val="111111"/>
          <w:sz w:val="28"/>
          <w:sz w:val="28"/>
          <w:szCs w:val="28"/>
          <w:rtl w:val="true"/>
          <w:lang w:bidi="ar-SA"/>
        </w:rPr>
        <w:t xml:space="preserve">علي بن موسى عليه السلام، الإمام الثامن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الإمام الحادي عشر</w:t>
      </w:r>
    </w:p>
    <w:p>
      <w:pPr>
        <w:pStyle w:val="BookText"/>
        <w:rPr/>
      </w:pPr>
      <w:r>
        <w:rPr>
          <w:rFonts w:ascii="Amiri" w:hAnsi="Amiri" w:eastAsia="Amiri" w:cs="Amiri"/>
          <w:color w:val="111111"/>
          <w:sz w:val="28"/>
          <w:sz w:val="28"/>
          <w:szCs w:val="28"/>
          <w:rtl w:val="true"/>
          <w:lang w:bidi="ar-SA"/>
        </w:rPr>
        <w:t xml:space="preserve">الحسن بن علي عليه السلام، الإمام الحادي عشر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وليّ العصر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الثاني عشر</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النبي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006" w:name="pg15195_151075"/>
    </w:p>
    <w:p>
      <w:pPr>
        <w:pStyle w:val="Heading3"/>
        <w:numPr>
          <w:ilvl w:val="2"/>
          <w:numId w:val="1"/>
        </w:numPr>
        <w:rPr/>
      </w:pPr>
      <w:bookmarkStart w:id="1007" w:name="__RefHeading___Toc2495877_2142443653"/>
      <w:bookmarkStart w:id="1008" w:name="_Toc354"/>
      <w:bookmarkEnd w:id="1006"/>
      <w:bookmarkEnd w:id="1007"/>
      <w:r>
        <w:rPr/>
        <w:t>4</w:t>
      </w:r>
      <w:r>
        <w:rPr>
          <w:rtl w:val="true"/>
        </w:rPr>
        <w:t xml:space="preserve"> - </w:t>
      </w:r>
      <w:r>
        <w:rPr>
          <w:rtl w:val="true"/>
        </w:rPr>
        <w:t>فهرس الأعلام</w:t>
      </w:r>
      <w:bookmarkEnd w:id="1008"/>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الكرخي، إبراهيم</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ابن الجنيد الإسكافي، محمّد بن أحمد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ابن عبّاس، عبداللّه بن عبّاس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ابن ماجة، محمّد بن يزيد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أبو الحسين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w:t>
      </w:r>
    </w:p>
    <w:p>
      <w:pPr>
        <w:pStyle w:val="BookText"/>
        <w:rPr/>
      </w:pPr>
      <w:r>
        <w:rPr>
          <w:rFonts w:ascii="Amiri" w:hAnsi="Amiri" w:eastAsia="Amiri" w:cs="Amiri"/>
          <w:color w:val="111111"/>
          <w:sz w:val="28"/>
          <w:sz w:val="28"/>
          <w:szCs w:val="28"/>
          <w:rtl w:val="true"/>
          <w:lang w:bidi="ar-SA"/>
        </w:rPr>
        <w:t>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590</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أبو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سالم</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الإيرواني، علي بن عبدالحسين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بحر العلوم، محمّد مهدي بن المرتضى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البروجردي، حسين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البصري، الحسن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بعض أجلّة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البروجردي، حسين</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محمّد حسين </w:t>
      </w:r>
    </w:p>
    <w:p>
      <w:pPr>
        <w:pStyle w:val="BookText"/>
        <w:rPr/>
      </w:pPr>
      <w:r>
        <w:rPr>
          <w:rFonts w:ascii="Amiri" w:hAnsi="Amiri" w:eastAsia="Amiri" w:cs="Amiri"/>
          <w:color w:val="111111"/>
          <w:sz w:val="28"/>
          <w:sz w:val="28"/>
          <w:szCs w:val="28"/>
          <w:rtl w:val="true"/>
          <w:lang w:bidi="ar-SA"/>
        </w:rPr>
        <w:t>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الشهيدي التبريزي، الميرزا فتّاح</w:t>
      </w:r>
    </w:p>
    <w:p>
      <w:pPr>
        <w:pStyle w:val="BookText"/>
        <w:rPr/>
      </w:pPr>
      <w:r>
        <w:rPr>
          <w:rFonts w:ascii="Amiri" w:hAnsi="Amiri" w:eastAsia="Amiri" w:cs="Amiri"/>
          <w:color w:val="111111"/>
          <w:sz w:val="28"/>
          <w:sz w:val="28"/>
          <w:szCs w:val="28"/>
          <w:rtl w:val="true"/>
          <w:lang w:bidi="ar-SA"/>
        </w:rPr>
        <w:t>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 تقي بن محبعلي</w:t>
      </w:r>
    </w:p>
    <w:p>
      <w:pPr>
        <w:pStyle w:val="BookText"/>
        <w:rPr/>
      </w:pPr>
      <w:r>
        <w:rPr>
          <w:rFonts w:ascii="Amiri" w:hAnsi="Amiri" w:eastAsia="Amiri" w:cs="Amiri"/>
          <w:color w:val="111111"/>
          <w:sz w:val="28"/>
          <w:sz w:val="28"/>
          <w:szCs w:val="28"/>
          <w:rtl w:val="true"/>
          <w:lang w:bidi="ar-SA"/>
        </w:rPr>
        <w:t>بعض محقّقي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 xml:space="preserve">البيضاوي، عبداللّه بن عمر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الحسن</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الحسين بن عمر بن يزيد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الحُطيئة، جرول بن أوس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خالد بن الحجّاج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الخثعمية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 الحسين بن محمّد</w:t>
      </w:r>
    </w:p>
    <w:p>
      <w:pPr>
        <w:pStyle w:val="BookText"/>
        <w:rPr/>
      </w:pPr>
      <w:r>
        <w:rPr>
          <w:rFonts w:ascii="Amiri" w:hAnsi="Amiri" w:eastAsia="Amiri" w:cs="Amiri"/>
          <w:color w:val="111111"/>
          <w:sz w:val="28"/>
          <w:sz w:val="28"/>
          <w:szCs w:val="28"/>
          <w:rtl w:val="true"/>
          <w:lang w:bidi="ar-SA"/>
        </w:rPr>
        <w:t>الراغب الأصفهاني، الحسين بن محمّد</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السكّاكي، يوسف بن أبي بكر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الساعدي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الشهيدي التبريزي، الميرزا فتّاح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محمّد بن محمّد</w:t>
      </w:r>
    </w:p>
    <w:p>
      <w:pPr>
        <w:pStyle w:val="BookText"/>
        <w:rPr/>
      </w:pPr>
      <w:r>
        <w:rPr>
          <w:rFonts w:ascii="Amiri" w:hAnsi="Amiri" w:eastAsia="Amiri" w:cs="Amiri"/>
          <w:color w:val="111111"/>
          <w:sz w:val="28"/>
          <w:sz w:val="28"/>
          <w:szCs w:val="28"/>
          <w:rtl w:val="true"/>
          <w:lang w:bidi="ar-SA"/>
        </w:rPr>
        <w:t xml:space="preserve">الشيرازي محمّد تقي بن محبعلي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صاحب الجواهر، محمّد حسن بن باقر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علي بن محمّد علي</w:t>
      </w:r>
    </w:p>
    <w:p>
      <w:pPr>
        <w:pStyle w:val="BookText"/>
        <w:rPr/>
      </w:pPr>
      <w:r>
        <w:rPr>
          <w:rFonts w:ascii="Amiri" w:hAnsi="Amiri" w:eastAsia="Amiri" w:cs="Amiri"/>
          <w:color w:val="111111"/>
          <w:sz w:val="28"/>
          <w:sz w:val="28"/>
          <w:szCs w:val="28"/>
          <w:rtl w:val="true"/>
          <w:lang w:bidi="ar-SA"/>
        </w:rPr>
        <w:t>صاحب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آبادي، محمّد بن يعقوب</w:t>
      </w:r>
    </w:p>
    <w:p>
      <w:pPr>
        <w:pStyle w:val="BookText"/>
        <w:rPr/>
      </w:pPr>
      <w:r>
        <w:rPr>
          <w:rFonts w:ascii="Amiri" w:hAnsi="Amiri" w:eastAsia="Amiri" w:cs="Amiri"/>
          <w:color w:val="111111"/>
          <w:sz w:val="28"/>
          <w:sz w:val="28"/>
          <w:szCs w:val="28"/>
          <w:rtl w:val="true"/>
          <w:lang w:bidi="ar-SA"/>
        </w:rPr>
        <w:t>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محمود بن عمر</w:t>
      </w:r>
    </w:p>
    <w:p>
      <w:pPr>
        <w:pStyle w:val="BookText"/>
        <w:rPr/>
      </w:pPr>
      <w:r>
        <w:rPr>
          <w:rFonts w:ascii="Amiri" w:hAnsi="Amiri" w:eastAsia="Amiri" w:cs="Amiri"/>
          <w:color w:val="111111"/>
          <w:sz w:val="28"/>
          <w:sz w:val="28"/>
          <w:szCs w:val="28"/>
          <w:rtl w:val="true"/>
          <w:lang w:bidi="ar-SA"/>
        </w:rPr>
        <w:t>صاحب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المعلوف، لويس</w:t>
      </w:r>
    </w:p>
    <w:p>
      <w:pPr>
        <w:pStyle w:val="BookText"/>
        <w:rPr/>
      </w:pPr>
      <w:r>
        <w:rPr>
          <w:rFonts w:ascii="Amiri" w:hAnsi="Amiri" w:eastAsia="Amiri" w:cs="Amiri"/>
          <w:color w:val="111111"/>
          <w:sz w:val="28"/>
          <w:sz w:val="28"/>
          <w:szCs w:val="28"/>
          <w:rtl w:val="true"/>
          <w:lang w:bidi="ar-SA"/>
        </w:rPr>
        <w:t>صاحب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فخر الدين بن محمّد</w:t>
      </w:r>
    </w:p>
    <w:p>
      <w:pPr>
        <w:pStyle w:val="BookText"/>
        <w:rPr/>
      </w:pPr>
      <w:r>
        <w:rPr>
          <w:rFonts w:ascii="Amiri" w:hAnsi="Amiri" w:eastAsia="Amiri" w:cs="Amiri"/>
          <w:color w:val="111111"/>
          <w:sz w:val="28"/>
          <w:sz w:val="28"/>
          <w:szCs w:val="28"/>
          <w:rtl w:val="true"/>
          <w:lang w:bidi="ar-SA"/>
        </w:rPr>
        <w:t>صاحب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الفضل بن الحسن</w:t>
      </w:r>
    </w:p>
    <w:p>
      <w:pPr>
        <w:pStyle w:val="BookText"/>
        <w:rPr/>
      </w:pPr>
      <w:r>
        <w:rPr>
          <w:rFonts w:ascii="Amiri" w:hAnsi="Amiri" w:eastAsia="Amiri" w:cs="Amiri"/>
          <w:color w:val="111111"/>
          <w:sz w:val="28"/>
          <w:sz w:val="28"/>
          <w:szCs w:val="28"/>
          <w:rtl w:val="true"/>
          <w:lang w:bidi="ar-SA"/>
        </w:rPr>
        <w:t>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 أحمد بن محمّد</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الصفّار، أبو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محمّد بن الحسن</w:t>
      </w:r>
    </w:p>
    <w:p>
      <w:pPr>
        <w:pStyle w:val="BookText"/>
        <w:rPr/>
      </w:pPr>
      <w:r>
        <w:rPr>
          <w:rFonts w:ascii="Amiri" w:hAnsi="Amiri" w:eastAsia="Amiri" w:cs="Amiri"/>
          <w:color w:val="111111"/>
          <w:sz w:val="28"/>
          <w:sz w:val="28"/>
          <w:szCs w:val="28"/>
          <w:rtl w:val="true"/>
          <w:lang w:bidi="ar-SA"/>
        </w:rPr>
        <w:t xml:space="preserve">الصفّار، محمّد بن الحسن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الجمّال</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w:t>
      </w:r>
    </w:p>
    <w:p>
      <w:pPr>
        <w:pStyle w:val="BookText"/>
        <w:rPr/>
      </w:pPr>
      <w:r>
        <w:rPr>
          <w:rFonts w:ascii="Amiri" w:hAnsi="Amiri" w:eastAsia="Amiri" w:cs="Amiri"/>
          <w:color w:val="111111"/>
          <w:sz w:val="28"/>
          <w:sz w:val="28"/>
          <w:szCs w:val="28"/>
          <w:rtl w:val="true"/>
          <w:lang w:bidi="ar-SA"/>
        </w:rPr>
        <w:t xml:space="preserve">الطباطبائي، علي بن محمّد علي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الطبرسي، الفضل بن الحسن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عبدالأعلى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عبدالأعلى بن أعين مولى آل سام</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العبيدي، محمّد بن عيسى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عديّ بن جبلة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w:t>
      </w:r>
    </w:p>
    <w:p>
      <w:pPr>
        <w:pStyle w:val="BookText"/>
        <w:rPr/>
      </w:pPr>
      <w:r>
        <w:rPr>
          <w:rFonts w:ascii="Amiri" w:hAnsi="Amiri" w:eastAsia="Amiri" w:cs="Amiri"/>
          <w:color w:val="111111"/>
          <w:sz w:val="28"/>
          <w:sz w:val="28"/>
          <w:szCs w:val="28"/>
          <w:rtl w:val="true"/>
          <w:lang w:bidi="ar-SA"/>
        </w:rPr>
        <w:t xml:space="preserve">العلاء بن الفضيل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الفخر الرازي، محمّد بن عمر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يسار</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الفيروز آبادي، محمّد بن يعقوب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الفيّومي، أحمد بن محمّد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عبدالعزيز بن نحرير</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الكرخي، إبراهيم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المعلوف، لويس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منصور بزرج، منصور بن يونس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يحيى بن الحجّاج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عبدالرحمان</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bookmarkStart w:id="1009" w:name="pg15195_151081"/>
    </w:p>
    <w:p>
      <w:pPr>
        <w:pStyle w:val="Heading3"/>
        <w:numPr>
          <w:ilvl w:val="2"/>
          <w:numId w:val="1"/>
        </w:numPr>
        <w:rPr/>
      </w:pPr>
      <w:bookmarkStart w:id="1010" w:name="__RefHeading___Toc2495879_2142443653"/>
      <w:bookmarkStart w:id="1011" w:name="_Toc355"/>
      <w:bookmarkEnd w:id="1009"/>
      <w:bookmarkEnd w:id="1010"/>
      <w:r>
        <w:rPr/>
        <w:t>5</w:t>
      </w:r>
      <w:r>
        <w:rPr>
          <w:rtl w:val="true"/>
        </w:rPr>
        <w:t xml:space="preserve"> - </w:t>
      </w:r>
      <w:r>
        <w:rPr>
          <w:rtl w:val="true"/>
        </w:rPr>
        <w:t>فهرس الکتب الواردة فی المتن</w:t>
      </w:r>
      <w:bookmarkEnd w:id="1011"/>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الاستصحاب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بدائع الدرر في قاعدة نفي الضرر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تعليقة السيّد الطباطبائي على المكاسب</w:t>
      </w:r>
    </w:p>
    <w:p>
      <w:pPr>
        <w:pStyle w:val="BookText"/>
        <w:rPr/>
      </w:pPr>
      <w:r>
        <w:rPr>
          <w:rFonts w:ascii="Amiri" w:hAnsi="Amiri" w:eastAsia="Amiri" w:cs="Amiri"/>
          <w:color w:val="111111"/>
          <w:sz w:val="28"/>
          <w:sz w:val="28"/>
          <w:szCs w:val="28"/>
          <w:rtl w:val="true"/>
          <w:lang w:bidi="ar-SA"/>
        </w:rPr>
        <w:t>حاشية المكاسب للمحقّق اليزدي</w:t>
      </w:r>
    </w:p>
    <w:p>
      <w:pPr>
        <w:pStyle w:val="BookText"/>
        <w:rPr/>
      </w:pPr>
      <w:r>
        <w:rPr>
          <w:rFonts w:ascii="Amiri" w:hAnsi="Amiri" w:eastAsia="Amiri" w:cs="Amiri"/>
          <w:color w:val="111111"/>
          <w:sz w:val="28"/>
          <w:sz w:val="28"/>
          <w:szCs w:val="28"/>
          <w:rtl w:val="true"/>
          <w:lang w:bidi="ar-SA"/>
        </w:rPr>
        <w:t>تعليقة المحقّق الأصفهاني على المكاسب</w:t>
      </w:r>
    </w:p>
    <w:p>
      <w:pPr>
        <w:pStyle w:val="BookText"/>
        <w:rPr/>
      </w:pPr>
      <w:r>
        <w:rPr>
          <w:rFonts w:ascii="Amiri" w:hAnsi="Amiri" w:eastAsia="Amiri" w:cs="Amiri"/>
          <w:color w:val="111111"/>
          <w:sz w:val="28"/>
          <w:sz w:val="28"/>
          <w:szCs w:val="28"/>
          <w:rtl w:val="true"/>
          <w:lang w:bidi="ar-SA"/>
        </w:rPr>
        <w:t>حاشية المكاسب للمحقّق الأصفهاني</w:t>
      </w:r>
    </w:p>
    <w:p>
      <w:pPr>
        <w:pStyle w:val="BookText"/>
        <w:rPr/>
      </w:pPr>
      <w:r>
        <w:rPr>
          <w:rFonts w:ascii="Amiri" w:hAnsi="Amiri" w:eastAsia="Amiri" w:cs="Amiri"/>
          <w:color w:val="111111"/>
          <w:sz w:val="28"/>
          <w:sz w:val="28"/>
          <w:szCs w:val="28"/>
          <w:rtl w:val="true"/>
          <w:lang w:bidi="ar-SA"/>
        </w:rPr>
        <w:t>تعليقة المحقّق الخراساني على المكاسب</w:t>
      </w:r>
    </w:p>
    <w:p>
      <w:pPr>
        <w:pStyle w:val="BookText"/>
        <w:rPr/>
      </w:pPr>
      <w:r>
        <w:rPr>
          <w:rFonts w:ascii="Amiri" w:hAnsi="Amiri" w:eastAsia="Amiri" w:cs="Amiri"/>
          <w:color w:val="111111"/>
          <w:sz w:val="28"/>
          <w:sz w:val="28"/>
          <w:szCs w:val="28"/>
          <w:rtl w:val="true"/>
          <w:lang w:bidi="ar-SA"/>
        </w:rPr>
        <w:t>حاشية المكاسب للمحقّق الخراساني</w:t>
      </w:r>
    </w:p>
    <w:p>
      <w:pPr>
        <w:pStyle w:val="BookText"/>
        <w:rPr/>
      </w:pPr>
      <w:r>
        <w:rPr>
          <w:rFonts w:ascii="Amiri" w:hAnsi="Amiri" w:eastAsia="Amiri" w:cs="Amiri"/>
          <w:color w:val="111111"/>
          <w:sz w:val="28"/>
          <w:sz w:val="28"/>
          <w:szCs w:val="28"/>
          <w:rtl w:val="true"/>
          <w:lang w:bidi="ar-SA"/>
        </w:rPr>
        <w:t>تعليقة المحقّق النائيني على المكاسب</w:t>
      </w:r>
    </w:p>
    <w:p>
      <w:pPr>
        <w:pStyle w:val="BookText"/>
        <w:rPr/>
      </w:pPr>
      <w:r>
        <w:rPr>
          <w:rFonts w:ascii="Amiri" w:hAnsi="Amiri" w:eastAsia="Amiri" w:cs="Amiri"/>
          <w:color w:val="111111"/>
          <w:sz w:val="28"/>
          <w:sz w:val="28"/>
          <w:szCs w:val="28"/>
          <w:rtl w:val="true"/>
          <w:lang w:bidi="ar-SA"/>
        </w:rPr>
        <w:t>منية الطالب</w:t>
      </w:r>
    </w:p>
    <w:p>
      <w:pPr>
        <w:pStyle w:val="BookText"/>
        <w:rPr/>
      </w:pPr>
      <w:r>
        <w:rPr>
          <w:rFonts w:ascii="Amiri" w:hAnsi="Amiri" w:eastAsia="Amiri" w:cs="Amiri"/>
          <w:color w:val="111111"/>
          <w:sz w:val="28"/>
          <w:sz w:val="28"/>
          <w:szCs w:val="28"/>
          <w:rtl w:val="true"/>
          <w:lang w:bidi="ar-SA"/>
        </w:rPr>
        <w:t xml:space="preserve">تفسير البيضاوي المسمّى بأنوار التنزيل وأسرار التأويل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جواهر الفقه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حاشية المكاسب للمحقّق اليزدي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المكاسب للمحقّق الأصفهاني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حاشية المكاسب للمحقّق الخراساني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رسالة لا ضرر للإمام الخميني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الدرر في قاعدة نفي الضرر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الصحيفة الكاملة السجّادية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w:t>
      </w:r>
    </w:p>
    <w:p>
      <w:pPr>
        <w:pStyle w:val="BookText"/>
        <w:rPr/>
      </w:pP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كتاب 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للشيخ الأنصاري</w:t>
      </w:r>
    </w:p>
    <w:p>
      <w:pPr>
        <w:pStyle w:val="BookText"/>
        <w:rPr/>
      </w:pP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w:t>
      </w:r>
    </w:p>
    <w:p>
      <w:pPr>
        <w:pStyle w:val="BookText"/>
        <w:rPr/>
      </w:pPr>
      <w:r>
        <w:rPr>
          <w:rFonts w:ascii="Amiri" w:hAnsi="Amiri" w:eastAsia="Amiri" w:cs="Amiri"/>
          <w:color w:val="111111"/>
          <w:sz w:val="28"/>
          <w:sz w:val="28"/>
          <w:szCs w:val="28"/>
          <w:rtl w:val="true"/>
          <w:lang w:bidi="ar-SA"/>
        </w:rPr>
        <w:t xml:space="preserve">الكشّاف عن حقايق التنزيل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اللغة</w:t>
      </w:r>
    </w:p>
    <w:p>
      <w:pPr>
        <w:pStyle w:val="BookText"/>
        <w:rPr/>
      </w:pPr>
      <w:r>
        <w:rPr>
          <w:rFonts w:ascii="Amiri" w:hAnsi="Amiri" w:eastAsia="Amiri" w:cs="Amiri"/>
          <w:color w:val="111111"/>
          <w:sz w:val="28"/>
          <w:sz w:val="28"/>
          <w:szCs w:val="28"/>
          <w:rtl w:val="true"/>
          <w:lang w:bidi="ar-SA"/>
        </w:rPr>
        <w:t xml:space="preserve">معيار اللغة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منتهى الإرب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ونكتها</w:t>
      </w:r>
    </w:p>
    <w:p>
      <w:pPr>
        <w:pStyle w:val="BookText"/>
        <w:rPr/>
      </w:pPr>
      <w:r>
        <w:rPr>
          <w:rFonts w:ascii="Amiri" w:hAnsi="Amiri" w:eastAsia="Amiri" w:cs="Amiri"/>
          <w:color w:val="111111"/>
          <w:sz w:val="28"/>
          <w:sz w:val="28"/>
          <w:szCs w:val="28"/>
          <w:rtl w:val="true"/>
          <w:lang w:bidi="ar-SA"/>
        </w:rPr>
        <w:t xml:space="preserve">النهاية ونكتها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نوادر أحمد بن محمّد بن عيسى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2" w:name="pg15195_151085"/>
      <w:bookmarkStart w:id="1013" w:name="pg15195_151085"/>
      <w:bookmarkEnd w:id="1013"/>
    </w:p>
    <w:p>
      <w:pPr>
        <w:pStyle w:val="Heading3"/>
        <w:numPr>
          <w:ilvl w:val="2"/>
          <w:numId w:val="1"/>
        </w:numPr>
        <w:rPr/>
      </w:pPr>
      <w:bookmarkStart w:id="1014" w:name="pg15195_151085"/>
      <w:bookmarkStart w:id="1015" w:name="__RefHeading___Toc2495881_2142443653"/>
      <w:bookmarkStart w:id="1016" w:name="_Toc356"/>
      <w:bookmarkEnd w:id="1014"/>
      <w:bookmarkEnd w:id="1015"/>
      <w:r>
        <w:rPr/>
        <w:t>6</w:t>
      </w:r>
      <w:r>
        <w:rPr>
          <w:rtl w:val="true"/>
        </w:rPr>
        <w:t xml:space="preserve"> - </w:t>
      </w:r>
      <w:r>
        <w:rPr>
          <w:rtl w:val="true"/>
        </w:rPr>
        <w:t>فهرس مصادر التحقیق</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مطبعة ستارة،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البهادري ومحمّد هادي به، الطبعة الاُولى، مجلّدان، قم،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الطبعة الاُولى، قم، مؤسّسة النشر الإسلامي</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حسن المصطفوي،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الوسائل في شرح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موسى بن جعفر بن المولى أحمد التبريزي، الطبعة الحجرية، طهران، دار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الفوائد في شرح إشكالات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عدّة من العلماء،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المطبعة العلمية،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إعداد عدّة من العلماء،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الفوائد في شرح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الآشتياني، الطبعة الحجرية، مكتبة آية اللّه المرعشي،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الفقه، يحتوي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صلاة المسافر،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الطبعة الثانية،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الأفكار في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الدرر في قاعدة نفي الضرر، ضمن موسوعة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بدائع الصنائع في ترتيب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أبو بكر بن مسعود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پاكستان، المكتبة الحبيبية،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 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مؤسّسة البعثة،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في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الجيلاني الإشكوري، الطبعة الحجرية، طهران، دار الطباعة،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الطالب في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الشيرازي، الطبعة الحجرية، طهران، مطبعة بوذر جمهري،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المحقّق السيّد محمّد آل بحر العلوم، تحقيق السيّد محمّد تقىّ آل بحر العلوم، الطبعة 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مكتبة الصادق،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الاُولى، قم، مؤسّسة إسماعيليان،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آية اللّه العظمى السيّد محمّد الحجّة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أبوطالب التجليل التبريزي، الطبعة الثانية،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أحمد حبيب قصير العاملي، بيروت،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الشرعية علي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الإمام الصادق عليه السلام،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الوسيلة،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صدر منه حتّى الآن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الطبعة الرابعة، طهران، انتشارات ناصر خسرو،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مجلّدان،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هاشم الرسولي المحلاّتي، مجلّدان، طهران، 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مكتب الإعلام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التقوي الاشتهاردي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تنظيم و نشر آثار الإمام الخميني قدّس سرّه، الطبعة الاُولى،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تنظيم ونشر آثار الإمام الخميني قدّس سرّه،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الكوه‌كمري،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بالاُفست عن طبعة النجف الأشرف، المطبعة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بن الحسن الجيلاني 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تحقيق علي أكبر الغفّاري، الطبعة الاُولى،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مكتبة الصدوق،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علي بن الحسين بن عبد العالي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إبراهيم </w:t>
      </w:r>
    </w:p>
    <w:p>
      <w:pPr>
        <w:pStyle w:val="BookText"/>
        <w:rPr/>
      </w:pPr>
      <w:r>
        <w:rPr>
          <w:rFonts w:ascii="Amiri" w:hAnsi="Amiri" w:eastAsia="Amiri" w:cs="Amiri"/>
          <w:color w:val="111111"/>
          <w:sz w:val="28"/>
          <w:sz w:val="28"/>
          <w:szCs w:val="28"/>
          <w:rtl w:val="true"/>
          <w:lang w:bidi="ar-SA"/>
        </w:rPr>
        <w:t xml:space="preserve">البهادري، الطبعة الاُولى، قم، 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الطبعة الثالثة،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طهران، دار الكتب الإسلامية،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شمس الدين، الطبعة الاُولى، طهران، وزارة الثقافة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تحقيق باقر الفخّار الأصفهاني،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ذوي القربى،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عبّاس محمّد آل سباع القطيفي،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ذوي القربى،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عبّاس محمّد آل سباع القطيفي،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المصطفى لإحياء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جزءان في مجلّد واحد، قم، انتشارات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الإيرواني، الطبعة الاُولى،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الطبعة الثانية، جزءان في مجلّد واحد،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الطبعة الاُولى،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جماعة من المحقّقين،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الخلل في الصلاة،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الأراكي، الطبعة الاُولى، قم، المطبعة مهر،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آية اللّه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تعليق آية اللّه الشيخ محمّد علي الأراكي والمؤلّف، تحقيق الشيخ محمّد المؤمن القمّي، الطبعة الخامسة، جزءان في مجلّد واحد،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مجلّدان، القاهرة، </w:t>
      </w:r>
    </w:p>
    <w:p>
      <w:pPr>
        <w:pStyle w:val="BookText"/>
        <w:rPr/>
      </w:pP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الحطيئة، أبو مليكة الحطيئة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عيسى سابا، بيروت، دار الصادر،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الأصفهاني، الطبعة الاُولى،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الطبعة الاُولى،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مكتبة البيدار،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تحقيق تراث الشيخ الأعظم، الطبعة الاُولى، قم، مكتبة الفقهية،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في تفسير القرآن الكريم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الفضل شهاب الدين السيّد محمود الألُوسي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أحمد بن محمّد المعروف بالمقدّس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البهبودي، طهران، المكتبة المرتضوية لاحياء الآثار الجعفرية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 الباقي، مجلّدان،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كمال يوسف الحوت، الطبعة الاُولى، مجلّدان، بيروت، دار الجنان،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للطباعة والنشر،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الدكتور يوسف عبد الرحمن المرعشلي،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المعرفة،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للطباعة والنشر،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الحسين محمّد علي بقّال،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قم، مؤسّسة إسماعيليان،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الأسترآبادي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يوسف حسن عمر،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تهران، منشورات مؤسّسة الصادق،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الفقيه الحسين بن مسعود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الأرناؤوط ومحمّد زهير الشاويش، الطبعة الاُولى،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المكتب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و تحقيق حسن حسن‌زاده الآملي و مسعود الطالبي،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الطبعة الرابعة،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الصحيفة السجّادية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الحسين زين العابدين عليه السلام، تحقيق السيّد محمّد باقر الموحّد الأبطحي، الطبعة الاُولى، قم،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القمّي، الطبعة الاُولى، مجلّدان، قم، مطبعة ستارة،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العظام، إعداد أحمد المحسني السبزواري، الطبعة الثانية،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عبد الفتّاح الحسيني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مجلّدان، قم،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الاُولى، قم،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قم، مطبعة سيّدالشهداء،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وإبراهيم السامرائي،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ومكتبة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مهديّ الحسيني اللاجوردي، الطبعة الثانية، منشورات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الآمال في 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نهاية المقال في تكملة غاية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أمين المامقاني،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ثامن الحجج عليهم السلام،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 الإعلام الإسلامي، قم،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إلى علمي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السيّد حمزة بن علي بن زهرة </w:t>
      </w:r>
    </w:p>
    <w:p>
      <w:pPr>
        <w:pStyle w:val="BookText"/>
        <w:rPr/>
      </w:pPr>
      <w:r>
        <w:rPr>
          <w:rFonts w:ascii="Amiri" w:hAnsi="Amiri" w:eastAsia="Amiri" w:cs="Amiri"/>
          <w:color w:val="111111"/>
          <w:sz w:val="28"/>
          <w:sz w:val="28"/>
          <w:szCs w:val="28"/>
          <w:rtl w:val="true"/>
          <w:lang w:bidi="ar-SA"/>
        </w:rPr>
        <w:t xml:space="preserve">الحلبي المعروف بابن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مجلّدان، قم، مؤسّسة الإمام الصادق عليه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معين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هشتم،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طهران، مؤسسه انتشارات امير كبير،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الطبعة الاُولى،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والقابوس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البجنوردي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w:t>
      </w:r>
    </w:p>
    <w:p>
      <w:pPr>
        <w:pStyle w:val="BookText"/>
        <w:rPr/>
      </w:pPr>
      <w:r>
        <w:rPr>
          <w:rFonts w:ascii="Amiri" w:hAnsi="Amiri" w:eastAsia="Amiri" w:cs="Amiri"/>
          <w:color w:val="111111"/>
          <w:sz w:val="28"/>
          <w:sz w:val="28"/>
          <w:szCs w:val="28"/>
          <w:rtl w:val="true"/>
          <w:lang w:bidi="ar-SA"/>
        </w:rPr>
        <w:t xml:space="preserve">المهريزي ومحمّد حسين الدرايتي، الطبعة الاُولى،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نشر الهادي،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والفوائد في الفقه والاُصول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الهادي الحكيم، الطبعة الثانية، مجلّدان، قم، مكتبة المفيد،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الخامسة،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تحقيق الشيخ جواد القيّومي، الطبعة الاُولى، قم، 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مصطفى حسين أحمد، 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تحقيق الشيخ حسن حسن زاده الآملي،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قم، مؤسّسة النشر الإسلامي</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الطبعة الاُولى، طهران، مكتبة</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بن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بيروت، مؤسّسة فقه الشيعة،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المعرفة،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تقيّ الكشفي، الطبعة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المرتضوية لإحياء الآثار الجعفرية،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ومكتبة الهلال،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المعرفة للطباعة والنشر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الفائدة والبرهان في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الطبعة الاُولى،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النشر الإسلامي،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فتح العزيز ويليه التلخيص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قم، مكتب الإعلام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الطبعة الثانية،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علي بن جعفر ومستدركاتها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لإحياء التراث، الطبعة الاُولى، بيروت، مؤسّسة آل البيت عليهم السلام 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أواسط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تقيّ الكشفي والشيخ محمّد باقر شريف‌زاده،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مجلّدان، طهران، المكتبة المرتضوية 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الطبعة الاُولى،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المحدّث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دار التفسير،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أحمد محمّد شاكر وحمزة أحمد الزين، الطبعة الاُولى،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القاهرة، 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الصلاة، الزكاة، الخمس، الصوم،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الطهارة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المؤسّسة الجعفرية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الزكاة والخمس والصوم والرهن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جزءان في مجلّد واحد، قم،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مجلّدان، قم، مجمع الفكر الإسلامي،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جمال الدين الحسن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الطبعة الحادي عشر،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علي بن محمّد صادق الشيرازي، الطبعة الحجرية، ايران،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ويليه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عبد الرحمان بن أبي عمر محمّد بن أحمد بن قدامة المقدسي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الكتب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بن أبي بكر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الخالصي، الطبعة الاُولى،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عدنان صفوان داوودي، الطبعة الثانية، قم، منشورات ذوي القربى،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مقابس الأنوار ونفائس الأسرار في أحكام النبي المختار وعترته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بن إسماعيل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محسن العراقي والسيّد منذر الحكيم و الشيخ مجتبى المحمودي، الطبعة الاُولى، مجلّدان، قم،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المامقاني،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آل البيت عليهم السلام لإحياء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الثانية،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w:t>
      </w:r>
    </w:p>
    <w:p>
      <w:pPr>
        <w:pStyle w:val="BookText"/>
        <w:rPr/>
      </w:pPr>
      <w:r>
        <w:rPr>
          <w:rFonts w:ascii="Amiri" w:hAnsi="Amiri" w:eastAsia="Amiri" w:cs="Amiri"/>
          <w:color w:val="111111"/>
          <w:sz w:val="28"/>
          <w:sz w:val="28"/>
          <w:szCs w:val="28"/>
          <w:rtl w:val="true"/>
          <w:lang w:bidi="ar-SA"/>
        </w:rPr>
        <w:t xml:space="preserve">الأعظم،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الفقهية،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والبيع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الطبعة الاُولى، مجلّدان،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الإرب في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بن عبد الكريم الصفيپور،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في مجلّدين، طهران، كتابخانه سنائي،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الطبعة الثالثة والثلاثون، بيروت، دار المشرق،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الطبعة الاُولى، قم، مؤسّسة تنظيم ونشر آثار الإمام الخميني قدّس سرّه،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العزيز بن نحرير بن عبد 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سيّدالشهداء، الطبعة الاُولى، مجلّدان،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الراية لأحاديث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يوسف الحنفي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إحياء التراث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بن محمّد بن عيسى الأشعري القمّي، تحقيق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الاُولى، قم،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الدراية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من كلام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الشريف الرضي،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الدكتور صبحي صالح، انتشارات الهجرة،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تحقيق جواد القيّومي الأصفهاني، الطبعة الاُولى، قم، دار الفقه للطباعة والنشر،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ضياء الدين الحسيني، الطبعة الاُولى،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أصفهان، مكتبة الإمام أمير المؤمنين عليه السلام،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حسين الرضوي الكشميري، الطبعة الاُولى، قم، مجمع الفكر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مؤسّسة آل البيت عليهم السلام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الطبعة الاُولى، قم، مكتبة آية اللّه المرعشي،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وقاية الأذهان مع رسالتي سمطا اللآل في مسألتي الوضع والاستعمال وإماطة الغين عن استعمال العين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المجد محمّد رضا بن محمّد حسين النجفي الأصفهاني،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الطالب إلى أسرار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فتّاح الشهيدي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الفقه للطباعة والنشر،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في شرح اُصول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17" w:name="pg15195_151105"/>
    </w:p>
    <w:p>
      <w:pPr>
        <w:pStyle w:val="Heading3"/>
        <w:numPr>
          <w:ilvl w:val="2"/>
          <w:numId w:val="1"/>
        </w:numPr>
        <w:rPr/>
      </w:pPr>
      <w:bookmarkStart w:id="1018" w:name="__RefHeading___Toc2495883_2142443653"/>
      <w:bookmarkStart w:id="1019" w:name="_Toc357"/>
      <w:bookmarkEnd w:id="1017"/>
      <w:bookmarkEnd w:id="1018"/>
      <w:r>
        <w:rPr/>
        <w:t>7</w:t>
      </w:r>
      <w:r>
        <w:rPr>
          <w:rtl w:val="true"/>
        </w:rPr>
        <w:t xml:space="preserve"> - </w:t>
      </w:r>
      <w:r>
        <w:rPr>
          <w:rtl w:val="true"/>
        </w:rPr>
        <w:t>فهرس الموضوعات</w:t>
      </w:r>
      <w:bookmarkEnd w:id="101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كتاب البيع وانقسامه إلى 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البيع</w:t>
      </w:r>
    </w:p>
    <w:p>
      <w:pPr>
        <w:pStyle w:val="BookText"/>
        <w:rPr/>
      </w:pPr>
      <w:r>
        <w:rPr>
          <w:rFonts w:ascii="Amiri" w:hAnsi="Amiri" w:eastAsia="Amiri" w:cs="Amiri"/>
          <w:color w:val="111111"/>
          <w:sz w:val="28"/>
          <w:sz w:val="28"/>
          <w:szCs w:val="28"/>
          <w:rtl w:val="true"/>
          <w:lang w:bidi="ar-SA"/>
        </w:rPr>
        <w:t>ولابدّ في تحصيل تعريفها من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البيع الذي يبحث عن ماهيته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البيع هو التبادل في الإضافة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حول كلام المحقّق النائيني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تبادل الإضافات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تقوّم البيع بكون المبيع أصلاً والثمن بدلاً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صدق البيع من خصوصيات 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اعتبار كون المبيع عيناً في صدق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الإشكال في بيع الكلّي في الذمّة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حول صدق البيع مع كون العوض عمل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الضمان في حبس الحرّ الكسوب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في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وفيها جهتان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الحقوق وأقسامها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مقتضى الأصل عند الشكّ في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جعل الحقّ عوضا أو معوّضا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تفصيل الشيخ الأعظم بين الحقوق في صحّة بيعها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توجيه الشيخ الأعظم بيع الدين على من هو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توجيه المحقّق النائيني بيع الدين على من هو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حول إنكار المحقّق النائيني قابلية الحقّ للعوضية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حكم الحقوق القابلة للإسقاط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كلام المحقّق النائيني في المقام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اعتبار انتقال العوضين في صدق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تعريف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تعريف الشيخ الأعظم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تعريف المحقّق النائيني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تعريف المحقّق الأصفهاني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أسدّ التعاريف تعريف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دفع ما يرد على تعريف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تغاير البيع الاصطلاحي واللغوي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وضع ألفاظ المعاملات للصحيح أو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التمسّك بالإطلاقات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ألفاظ المعاملات للمسبّبات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البيع بحسب الأسباب</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w:t>
      </w:r>
    </w:p>
    <w:p>
      <w:pPr>
        <w:pStyle w:val="BookText"/>
        <w:rPr/>
      </w:pPr>
      <w:r>
        <w:rPr>
          <w:rFonts w:ascii="Amiri" w:hAnsi="Amiri" w:eastAsia="Amiri" w:cs="Amiri"/>
          <w:color w:val="111111"/>
          <w:sz w:val="28"/>
          <w:sz w:val="28"/>
          <w:szCs w:val="28"/>
          <w:rtl w:val="true"/>
          <w:lang w:bidi="ar-SA"/>
        </w:rPr>
        <w:t xml:space="preserve">المراد من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أدلّة صحّة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المراد بالحلّية والحرمة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الإشكال في إطلاق الآية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شبهة عدم شمول الآية للمعاطاة ودفعها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تحديد المعنى الحقيقي للعقد وبيان المعنى المستعار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معنى الوفاء بالعهد والعقد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اعتراضات المحقّق النراقي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إشكال تخصيص الأكثر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القنطار والإفضاء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تقريب المحقّق الأصفهاني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اعتراض المحقّق الأصفهاني على اُستاذه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الإشكالات العقلية التي ذكرها المحقّق الأصفهاني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في معنى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شمول الشرط بالمعنى الحدثي للالتزامات الابتدائية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عدم شمول الشروط الابتدائية للمعاملات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دلالة الحديث على نفوذ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أدلّة لزوم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حول معارض استصحاب بقاء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عدم جريان الاستصحاب عند الشكّ في منوّعية اللزوم والجواز للملك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مناقشة المحقّق الأصفهاني ودفعها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اعتراضات وأجوبة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تقريب الاستدلال بالمستثنى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تقريب الاستدلال بالمستثنى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تقريب الاستدلال بالحصر المستفاد من مجموع الجملتين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خيار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نقل الأخبار الواردة في خيار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عدم دلالة الأخبار على اللزوم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الوفاء بالعقود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التقريبات الثلاثة لإثبات اللزوم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تقرير اللزوم بناءً على كون مقتضى الوفاء بالعقود إبقاؤها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دلالة الآية على اللزوم بوجهين 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تقرير استدلال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أجوبة المحقّقين عن إشكال الشبهة المصداقية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جواب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الأجوبة الأربعة للمحقّق الشيرازي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جواب المحقّق الأصفهاني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الوجه الأخير في جواب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حلّ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فيما يتمسّك به على بطلان المعاطاة أو عدم لزومها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التمسّك بالأصل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التمسّك بروايات اُخر لاعتبار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حول دعاوى الإجماع أو الشهرة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شروط البيع بالصيغة في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الكلام في المعاطاة التي اُريد منها 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الكلام في المعاطاة التي اُريد بها التمليك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المعاطاة بإعطاء طرف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إيرادات على الإعطاء من طرف واحد وأجوبتها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عدم تحقّق المعاطاة بلا إعطاء وأخذ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تمييز البائع من المشتري في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المعاطاة بحسب قصد المتعاملين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تمليك المال بإزاء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تمليك المال بإزاء التمليك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إشكالات على 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حول صدق البيع على 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المال بإزاء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المال بإزاء 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حول إشكالي الشيخ الأعظم على القسم الثالث والرابع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المعاطاة في غير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الإشكال في ما تشترط صحّته بالقبض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ملزمات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تأسيس الأصل على القول بالملك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حكم تلف العينين أو إحداهما على القول بالملك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تأسيس الأصل على القول بالإباحة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حكم تلف العينين على القول بالإباحة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حكم تلف إحدى العينين على القول بالإباحة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حكم كون أحد العوضين ديناً على القول بالملك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حكم كون أحد العوضين دينا على القول بالإباحة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حكم انتقال العوضين على القول بالملك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حكم انتقال العوضين على القول بالإباحة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بالصيغة وما يتعلّق به</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عقد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 البيع بالإشارة والكتابة 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تفصيل المحقّق الأصفهاني بالنسبة إلى الأخرس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تقسيم إشارة الأخرس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عدم توقّف بيع الأخرس على تحريك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حكم الشكّ في صحّة المعاملة بالإشارة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تمسّك الشيخ بفحوى روايات طلاق الأخرس لقيام الإشارة مقام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الكلام حول تقدّم الكتابة على إشارة الأخرس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الصيغة وهيئتها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صحّة الإنشاء بالألفاظ الكنائية والمجازية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إشكال المحقّق النائيني في الإنشاء بالكنايات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إشكال المحقّق النائيني في الإنشاء ببعض المجازات والمشتركات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العربية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الإيجاب وحده في صحّة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الماضوية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الإيجاب على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تفصيل الشيخ الأعظم بين ألفاظ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التحقيق في حقيقة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جواز تقديم القبول على الإيجاب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إشكال الشيخ في تقدّم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تفصيل المحقّق النائيني بين العقود الإذنية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استدلال المحقّق النائيني على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استدلال المحقّق الإيرواني على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التنجيز في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منافاة التعليق مع الجزم المعتبر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التطابق بين الإيجاب والقبول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الأهلية في المتعاقدين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جواب الشيخ الأعظم عن النقض بالوصيّة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المتعاقدين في شروط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تفصيل السيّد اليزدي في باب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تفصيل آخر في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بيان لكلام الشيخ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تفصيل الشيخ الأعظم بين الشروط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حكم اختلاف المتعاقدين في تحقّق عنوان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المقبوض بالعقد الفاسد</w:t>
      </w:r>
    </w:p>
    <w:p>
      <w:pPr>
        <w:pStyle w:val="BookText"/>
        <w:rPr/>
      </w:pPr>
      <w:r>
        <w:rPr>
          <w:rFonts w:ascii="Amiri" w:hAnsi="Amiri" w:eastAsia="Amiri" w:cs="Amiri"/>
          <w:color w:val="111111"/>
          <w:sz w:val="28"/>
          <w:sz w:val="28"/>
          <w:szCs w:val="28"/>
          <w:rtl w:val="true"/>
          <w:lang w:bidi="ar-SA"/>
        </w:rPr>
        <w:t>ويتفرّع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w:t>
      </w:r>
    </w:p>
    <w:p>
      <w:pPr>
        <w:pStyle w:val="BookText"/>
        <w:rPr/>
      </w:pPr>
      <w:r>
        <w:rPr>
          <w:rFonts w:ascii="Amiri" w:hAnsi="Amiri" w:eastAsia="Amiri" w:cs="Amiri"/>
          <w:color w:val="111111"/>
          <w:sz w:val="28"/>
          <w:sz w:val="28"/>
          <w:szCs w:val="28"/>
          <w:rtl w:val="true"/>
          <w:lang w:bidi="ar-SA"/>
        </w:rPr>
        <w:t>الدليل الأوّل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 انجبار سند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 دلالة الحديث على الحكم التكليفي أو الوضعي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استقرار العين الخارجية على العهدة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حول شمول حديث اليد لضمان الصغير والمجنون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الدليل الثاني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الأمة المسروقة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إشكال المحقّق الأصفهاني في المقام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إشكال المحقّق الإيرواني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ما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بالضمان في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تضعيف ما ذكره المحقّق النائيني في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حول معنى الضمان عند المحقّق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أقرب الاحتمالات في معنى الضمان في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تحقيق في محتملات كلام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استفادة الضمان بالمثل أو القيمة من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مقدار شمول قاعدة ما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هل العموم باعتبار الأنواع أو الأصناف أو الأفراد؟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بفاسده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مدرك قاعدة ما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الاستدلال بقاعدة الإقدام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إشكال الشيخ في قاعدة الإقدام طرداً وعكساً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الاستدلال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ما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وجوه عدم شمول دليل اليد للمنافع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استدلال الشيخ الأعظم على المطلوب بروايات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عدم الفرق في الضمان بين صورتي العلم والجهل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تفريق المحقّق الأصفهاني بين المقام والمعاطاة من جهة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تفريق المحقّق الأصفهاني بين المقام والغصب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الكلام حول عكس قاعدة ما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مدرك عكس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 شيخ الطائفة بالأولوية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استدلال الشيخ الأعظم بأدلّة الاستئمان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الاستدلال بموثّقة إسحاق بن عمّار على عكس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شرط الضمان فيما لا ضمان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استدلال المحقّق النائيني لعكس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النقض على عكس القاعدة بالإجارة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لابدّ في المقام من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ماهية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الإجارة استيلاء المستأجر على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بطلان تفصيل المحقّق النائيني في موارد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ضمان المستأجر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بالإجارة يختلف باختلاف المباني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النقض على عكس القاعدة بضمان الصيد على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الردّ فوراً</w:t>
      </w:r>
    </w:p>
    <w:p>
      <w:pPr>
        <w:pStyle w:val="BookText"/>
        <w:rPr/>
      </w:pPr>
      <w:r>
        <w:rPr>
          <w:rFonts w:ascii="Amiri" w:hAnsi="Amiri" w:eastAsia="Amiri" w:cs="Amiri"/>
          <w:color w:val="111111"/>
          <w:sz w:val="28"/>
          <w:sz w:val="28"/>
          <w:szCs w:val="28"/>
          <w:rtl w:val="true"/>
          <w:lang w:bidi="ar-SA"/>
        </w:rPr>
        <w:t xml:space="preserve">استدلال الشيخ الأعظم على وجوب الردّ بحرمة الإمساك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بيان وجوه الخلل في كلام المحقّق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تفصيل السيّد الطباطبائي بين علم الدافع وجهله في جواز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نقد كلام المحقّق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حكم العقود الإذنية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مؤونة الردّ على من تكون؟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المنافع</w:t>
      </w:r>
    </w:p>
    <w:p>
      <w:pPr>
        <w:pStyle w:val="BookText"/>
        <w:rPr/>
      </w:pPr>
      <w:r>
        <w:rPr>
          <w:rFonts w:ascii="Amiri" w:hAnsi="Amiri" w:eastAsia="Amiri" w:cs="Amiri"/>
          <w:color w:val="111111"/>
          <w:sz w:val="28"/>
          <w:sz w:val="28"/>
          <w:szCs w:val="28"/>
          <w:rtl w:val="true"/>
          <w:lang w:bidi="ar-SA"/>
        </w:rPr>
        <w:t xml:space="preserve">ما يدلّ على الضمان في المنافع المستوفاة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الكلام حول قاعدة الخراج بالضمان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في مفاد الخراج بالضمان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استظهار المحقّق النائيني من قاعدة الخراج بالضمان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ثبوت الضمان في المنافع غير المستوفاة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نقد كلام الشيخ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المثل في المثلي</w:t>
      </w:r>
    </w:p>
    <w:p>
      <w:pPr>
        <w:pStyle w:val="BookText"/>
        <w:rPr/>
      </w:pPr>
      <w:r>
        <w:rPr>
          <w:rFonts w:ascii="Amiri" w:hAnsi="Amiri" w:eastAsia="Amiri" w:cs="Amiri"/>
          <w:color w:val="111111"/>
          <w:sz w:val="28"/>
          <w:sz w:val="28"/>
          <w:szCs w:val="28"/>
          <w:rtl w:val="true"/>
          <w:lang w:bidi="ar-SA"/>
        </w:rPr>
        <w:t xml:space="preserve">الاستدلال بآية الاعتداء على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الاستدلال بدليل اليد على ضمان المثل في المثلي وتقريبه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بناء العقلاء هو الوجه في ضمان المثلي والقيمي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نكتة حكم العقلائي في المثلي والقيمي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مرجع تشخيص المثلي والقيمي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مقتضى الأصل عند الشكّ في كون شيء مثلياً أو قيمياً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يشتغل به الذمّة في باب الضمانات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القول باشتغال الذمّة بالمالية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الروايات الظاهرة في كون نفس العين على العهدة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الحقّ ثبوت عهدة الغرامة والخسارة دون نفس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رجع إلى مقتضى الأصل عند الشكّ في مثلية الشيء أو قيميته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كلام المحقّق الأصفهاني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كلام المحقّق النائيني في المقام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مقتضى الأصل عند إجمال أدلّة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مختار المحقّق النائيني في هذه الصورة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لم يوجد المثل إلاّ بأكثر من ثمن المثل</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زيادة قيمة 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دليل نفي الضرر مع نفي 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وجوب شراء المثل وإن زادت قيمته السوقية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عدم لزوم شراء المثل بأكثر من ثمنه عند الإعواز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تذنيب 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المطالبة بالمثل في أيّ مكان مع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مكان مطالبة 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تعذّر المثل في المثلي</w:t>
      </w:r>
    </w:p>
    <w:p>
      <w:pPr>
        <w:pStyle w:val="BookText"/>
        <w:rPr/>
      </w:pPr>
      <w:r>
        <w:rPr>
          <w:rFonts w:ascii="Amiri" w:hAnsi="Amiri" w:eastAsia="Amiri" w:cs="Amiri"/>
          <w:color w:val="111111"/>
          <w:sz w:val="28"/>
          <w:sz w:val="28"/>
          <w:szCs w:val="28"/>
          <w:rtl w:val="true"/>
          <w:lang w:bidi="ar-SA"/>
        </w:rPr>
        <w:t xml:space="preserve">ما استدلّ به على جواز مطالبة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بيان زمان اعتبار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لابدّ في تحقيق ما هو الحقّ من ذكر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انقلاب المثل عند إعوازه إلى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الصفات الدخيلة في الرغبات والقيم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محتملات زمان اعتبار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كلام المحقّق الأصفهاني في المقام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بيان النسبة بين آية الاعتداء ودليل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مقتضى القول بالانقلاب إلى القيمة عند التعذّر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وجه اعتبار أعلى القيم من حين الأخذ إلى حين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توجيه المحقّق النائيني انقلاب القدر المشترك إلى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ينبغي التنبيه على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إعواز المثل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مختار السيّد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كلام الشيخ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العقلاء مقيّد لدليل 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عدم جواز المطالبة بقيمة المثل المتعذّر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 xml:space="preserve">بحث حول بعض أخبار السلم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القيمة باختلاف المباني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العين التي سقطت ماليتها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بحث في أخبار الدراهم التي أسقط السلطان اعتبارها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فراغ الذمّة بدفع ما سقط عن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رأي المحقّق الأصفهاني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التمكّن من المثل بعد دفع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القيمة لو كان المأخوذ بالبيع الفاسد قيمياً</w:t>
      </w:r>
    </w:p>
    <w:p>
      <w:pPr>
        <w:pStyle w:val="BookText"/>
        <w:rPr/>
      </w:pPr>
      <w:r>
        <w:rPr>
          <w:rFonts w:ascii="Amiri" w:hAnsi="Amiri" w:eastAsia="Amiri" w:cs="Amiri"/>
          <w:color w:val="111111"/>
          <w:sz w:val="28"/>
          <w:sz w:val="28"/>
          <w:szCs w:val="28"/>
          <w:rtl w:val="true"/>
          <w:lang w:bidi="ar-SA"/>
        </w:rPr>
        <w:t xml:space="preserve">مقتضى الأخبار ضمان الأشياء بالقيمة حتّى في المثلي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خروج المثلي الذي وجد مثله عن مقتضى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الملاك في تعيين القيمة في القيمي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مقتضى القواعد وإطلاقات أدلّة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الاستدلال بفقرتين من صحيحة أبي ولاّد على اعتبار قيمة يوم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الفقرة الاُولى الدالّة على ضمان قيمة يوم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كلام الشيخ الأعظم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المحتملات بناءً على تجرّد البغل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استظهار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تفصيل في ضمان العيب بعد ارتفاعه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الثانية المتوهّم دلالتها على ضمان قيمة يوم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تكفّل الصحيحة لحكم الضمان مطلقاً لا خصوص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الاستدلال بروايات الرهن على اعتبار قيمة يوم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الروايات التي استدلّ بها على اعتبار قيمة يوم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استشهاد الشهيد الثاني بصحيحة أبي ولاّد على اعتبار أعلى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الاستناد إلى حديث اليد لإثبات أعلى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الاستناد إلى قاعدة نفي الضرر وآية الاعتداء لإثبات أعلى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الاستدلال بالاُصول لإثبات أعلى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عدم الاعتبار بزيادة القيمة بعد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الاعتبار بقيمة مكان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الكلام في بدل الحيلولة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الاستدلال بقاعدة اليد على بدل الحيلولة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الاستدلال بقاعدة السلطنة على بدل الحيلولة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الاستدلال بحديث نفي الضرر على بدل الحيلولة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فروع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بحديث اليد لإثبات الضمان في صور التعذّر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أحكام تلف العين عند تعذّرها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بدل الحيلولة ملك لمالك العين أو مباح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المنافع للعين المتعذّرة قبل أداء الغرامة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ردّ العين عند زوال التعذّر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وجوب ردّ العين إلى صاحبها قبل وقوعها تحت يد الغارم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الغرامة إلى ملك الغارم بمجرّد التمكّن من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رجوع الضمان الجديد بالسبب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حبس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العين عن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حكم الخياطة بالخيط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خروج العين عن الملكية مع بقاء حق الأولوية كما لو صار الخلّ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بسط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عدم ملكية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الخلّ لصاحبه بعد أن كان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أسماء المعصومين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اُنظر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قطب الدين الرازي، 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تطلق على الشقّ الذي يحدثه الثور ونحوه في الأرض الزراعية عند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فرهنگ معين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الرِّبَوا أَضعافَاً مُضاعَفَةً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إِنَّمَاالبَيعُ مِثلُ الرِّبوا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مقام بيان التسوية، فلا إطلاق له، مع إمكان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من الآية صدراً وذيلاً أنّها بصدد بيان تحريم الربا لا تحليل البيع، لأنّ تحليله لم يكن محطّ كلامهم، فلا إطلاق فيه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بلغة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الحطيئة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اُنظر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 الطبعة التاسعة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وقد حذفت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المتداولة الجديدة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وَليُوفُوا نُذُورَهُم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فأوفُوا الكَيلَ وَالميزَانَ وَلاَ تَبخَسُوا النّاسَ أَشْيَاءَهُم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الكَيلَ وَلا تَكُونُوا مِنَ المُخسِرِينَ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أوفاها بقيّة المهر حتّى باعها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مسالك الأفهام إلى آيات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اُنظر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بعض فضلاء بحثه عن العلاّمة البروجردي في بحث القضاء، راجع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 عن هذه الرواية بالصحيحة في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ويأتي في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الإجارة، المحقّق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اُحِلَّتْ لَكُم بَهيمَة الأَنعام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وراجع ما 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روي مرسلاً عن النبي صلى‌الله‌عليه‌و‌آله‌وسلم كما 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الأمر والنهي،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الآمال، المحقّق المامقاني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هذا لازماً مساوياً للزوم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الميرزا محمّدتقيّ الشيرازي على المكاسب، قسم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الميرزا محمّد تقيّ الشيرازي على المكاسب، قسم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الميرزا محمّد تقيّ الشيرازي على المكاسب، قسم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الميرزا محمّد تقيّ الشيرازي على المكاسب، قسم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الميرزا محمّد تقيّ الشيرازي على المكاسب، قسم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موثّقتي إسحاق بن عمّار ومنصور بن يونس الآتيتين بعد أسطر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المزارعة والمساقاة،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عليه‌السلام عن الرجل يزرع أرض آخر فيشترط للبذر ثلثا، وللبقر ثلثا؟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أن يسمّي بذرا ولا بقرا، فإنّما يحرّم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المزارعة والمساقاة،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 الاُصولية وغيرها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السند من يتأمّل فيه إلاّ محمّد بن عيسى بن عبيد وهو ثقة عند المصنّف، فلذا عبّر عن هذه الرواية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 يحيى بن الحجّاج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اُنظر التعريفات،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المزارعة والمساقاة،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بيع الثمرة هل يصلح شراؤها قبل أن يخرج طلعها؟ فقال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إلاّ أن يشتري معها شيئا غيرها رطبة أو بقلاً،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أشتري منك هذه الرطبة وهذا النخل وهذا الشجر بكذا وكذا، فإن لم تخرج الثمرة كان رأس مال المشتري في الرطبة والبقل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بيع الثمار،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 بريد بن معاوية، عن أبي عبداللّه عليه‌السلام في رجل اشترى من رجل عشرة آلاف طنّ قصب في أنبار بعضه على بعض من أجمة واحدة، والأنبار فيه ثلاثون ألف طنّ، فقال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بعتك من هذا القصب عشرة آلاف طنّ، فقال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واشتريت ورضيت، فأعطاه من ثمنه ألف درهم، ووكلّ المشتري من يقبضه فأصبحوا وقد وقع النار في القصب فاحترق منه عشرون ألف طنّ وبقي عشرة آلاف طنّ، فقال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 آلاف طنّ التي بقيت هي للمشتري، والعشرون التي احترقت من مال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 الآتية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عن أبي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بينهما شرط أيّاما معدودة فهلك في يد المشتري قبل أن يمضي الشرط فهو من مال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أبي الحسن الرضا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الخيار في الحيوان ثلاثة أيّام للمشتري، وفي غير الحيوان أن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التوصيف بالموثّقة لأجل كون السكوني عامّياً ثقة معتمداً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 الطلاق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 الطلاق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 الطلاق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 الطلاق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عبداللّه بن الحسن عن علي بن جعفر عن 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اعتقل لسانه عند الموت أو امرأة، فجعل أهاليهما يسائله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 فلاناً وفلاناً، فيومئ برأسه أو تومئ برأسها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وفي الصدقة مثل ذلك، أيجوز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وكذا سائر ما ورد في هذا الباب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 السكوني، عن أبي 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تلبية الأخرس وتشهّده وقراءته القرآن في الصلاة تحريك لسانه وإشارته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القراءة في الصلاة،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المتعة،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التمسّك بحديث الرفع كما صرّح في كتاب الخلل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الرفع يدلّ على الإجزاء في جميع الأبواب مع تخلّف الاجتهاد وتبدّل الرأي من غير فرق بين عمل المجتهد والمقلّد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الخلل في الصلاة،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بلغة الطالب في 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للطبعة الحجرية من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الجوامع الفقهية،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العناوين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غاية الآمال، المحقّق المامقاني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الحجّ، أبواب وجوب الحجّ،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قصاص النفس،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البجنوردي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ابن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عمر بامرأة مجنونة قد زنت فأمر برجمها، فقال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القلم يرفع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الصبيّ حتّى يحتلم، وعن المجنون حتّى يفيق، وعن النائم حتّى يستيقظ؟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ما عن جعفر عن أبيه، عن علي عليهم‌السلام أنّه كان يقول في المجنون والمعتوه الذي لا يفيق، والصبيّ الذي لم 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عمدهما خطأ تحمله العاقلة وقد رفع عنهما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الطوسي بإسناده عن محمّد بن الحسن الصفّار، عن معاوية بن حكيم، عن محمّد بن أبي عمير، عن جميل بن درّاج، عن أبي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الشيخ إلى الصفّار صحيح ورجال السند كلّهم من الإمامية الثقات إلاّ معاوية بن حكيم، فإنّه قال النجاشي في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في أصحاب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الكشّي عن العيّاشي أنّه فطحي من فقهاء أصحابنا، على هذا تصير الرواية موثّقة كالصحيحة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أتاها من يزعم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نكاح العبيد والإماء،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كتاب التجارة، أبواب الخيار،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المحقّق المامقاني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الغصب،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عدّة من أصحابنا، عن أحمد بن محمّد بن عيسى، عن الحسين بن سعيد، عن فضالة بن أيّوب، عن عبداللّه بن بكير، عن أبي بصير، عن أبي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موثّقة بعبداللّه بن بكير؛ لأنّه ثقة فطحي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اُنظر 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بحر الفوائد،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 ما قبل الأخير؛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الشيخ الحرّ، عن الكليني مرسلة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كتاب الوديعة،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رواها عن الحسين بن محمّد، عن معلّى بن محمّد، عن الحسن ابن علي، عن أبان،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جعفر عليه‌السلام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رواها بإسناده، عن الحسين بن سعيد، عن فضالة، عن أبان، عن محمّد بن مسلم، عن أبي جعفر عليه‌السلام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به لأجل كلام في مذهب 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العارية،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أحكام الأولاد،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عدّة من أصحابنا، عن أحمد بن محمّد وسهل بن زياد، عن أحمد بن أبي نصر، عن حمّاد بن عثمان،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الرواية موثّقة بإسحاق بن عمّار على ما نسبه الشيخ إليه من مذهب الفطحية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كتاب العارية،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كتاب الوديعة،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المكاسب المحرّمة،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الحجّ، أبواب كفّارات الصيد،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الحجّ، أبواب كفّارات الصيد،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كأخبار أكل الصيد عند الاضطرار إليه أو إلى الميتة، حيث قدّم في بعض تلك الأخبار أكل الصيد وعلّل فيها بأنّه ملكه وماله فيقدّم على أكل الميتة، فراجع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كتاب الحجّ، أبواب كفّارات الصيد،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لَكُمْ صَيْدُ الْبَحْرِ وَطَعامُهُ مَتاعاً لَكُمْ وَلِلسَّيّارَةِ وَحُرِّمَ عَلَيْكُمْ صَيْدُ الْبَرِّ ما دُمْتُمْ حُرُماً وَاتَّقُوا اللّه‌َ الَّذِي إِلَيْهِ تُحْشَرُونَ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راجع المكاسب المحرّمة، الإمام الخميني قدس‌سره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توصيفها بالموثّقة في الصفحة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الحجّ،أبواب أحكام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العارية،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علي بن محبوب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الطوسي بإسناده، عن محمّد بن أحمد بن يحيى، عن أبي جعفر، عن أبي الجوزاء، عن الحسين بن علوان، عن عمرو بن خالد، عن زيد بن علي، عن آبائه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من المصنّف تضعيف هذا السند بالحسين بن علوان في الصفحة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العارية،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الكوهكمري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التوصيف بالموثّقة لأجل كون السكوني عامّياً معتمداً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النفس،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التوصيف بالموثّقة لأجل كون سماعة ثقة واقفياً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حسنة بالسدير؛ فإنّه لم يرد في حقّه توثيق، وكان من أصحاب الإمام السجّاد والباقر والصادق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نكاح البهائم،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ويأتي متنها في الصفحة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 أبي عبداللّه وأبي إبراهيم موسى وأبي الحسن الرضا عليهم‌السلام في الرجل يأتي البهيمة، فقالوا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البهيمة للفاعل ذبحت، فإذا ماتت اُحرقت بالنار ولم ينتفع بها، وضرب هو خمسة وعشرين سوطاً ربع حدّ الزاني، وإن لم تكن البهيمة له قوّمت وأخذ ثمنها منه ودفع إلى صاحبها وذبحت واُحرقت بالنار ولم ينتفع بها، وضرب خمسة وعشرين سوطاً،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ذنب البهيمة؟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ذنب لها، ولكن رسول اللّه صلى‌الله‌عليه‌و‌آله‌وسلم فعل هذا وأمر به لكيلا يجترئ الناس بالبهائم وينقطع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نكاح البهائم،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الأعضاء،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النفس،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في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شككت في الركعتين الأوّلتين فأعد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في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بحر الفوائد،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منية الطالب، قاعدة نفي الضرر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منية الطالب، قاعدة نفي الضرر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الدين والقرض،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أبي 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الرجل يسلم في الغنم ثنيان وجذعان وغير ذلك إلى أجل مسمّى؟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إن لم يقدر الذي عليه الغنم على جميع ما عليه أن يأخذ صاحب الغنم نصفها أو ثلثها أو ثلثيها ويأخذ رأس مال ما بقي من الغنم دراهم، ويأخذون دون شرطهم ولا يأخذون فوق شرطهم، والأ كسية أيضاً مثل الحنطة والشعير والزعفران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الرجل يسلم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أرأيت إن أوفاني بعضاً وعجز عن بعض أيصلح أن آخذ بالباقي رأس مالي؟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ما أحسن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عبداللّه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عليه‌السلام عن رجل أسلف في شيء يسلف الناس فيه من الثمار فذهب زمانها ولم يستوف سلفه،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فليأخذ رأس ماله أو لينظره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بالسلم في الحيوان إذا سمّيت الذي يسلم فيه فوصفته، فإن وفيته وإلاّ فأنت أحقّ بدراهمك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عن 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سمعته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له على رجل تمر أو حنطة أو شعير أو قطن فلمّا تقاضاه،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بقيمة مالك عندي دراهم، أيجوز له ذلك أم لا؟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ذلك عن تراض منهما،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السلف،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الطهارة، الإمام الخميني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أبي حمزة الآتية بعد أسطر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عن ابن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عليه‌السلام في الرهن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أكثر من مال المرتهن فهلك أن يؤدّي الفضل إلى صاحب الرهن، وإن كان أقلّ من ماله فهلك الرهن أدّى إليه صاحبه فضل ماله، وإن كان الرهن سواء فليس عليه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عنه، عن أبي جعفر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رهن رجل أرضاً فيها ثمرة فإنّ ثمرتها من حساب ماله، وله حساب ما عمل فيها وأنفق منها، فإذا استوفى ماله فليدفع الأرض إلى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بختي اغتلم فخرج من الدار فقتل رجلاً فجاء أخو الرجل فضرب الفحل بالسيف؟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البختي ضامن للدية ويقتصّ ثمن بختيه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المملوك بين شركاء فيعتق أحدهم نصيبه،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ذلك فساد على أصحابه، فلا يستطيعون بيعه، ولا مؤاجرته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قيمة، فيجعل على الذي أعتقه عقوبة، وإنّما جعل ذلك عليه، لما أفسده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قرب الإسناد عبداللّه بن جعفر الحميري عن عبداللّه بن الحسن عن جدّه علي ابن جعفر عن أخيه موسى بن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ضعيف بعبداللّه بن الحسن؛ فإنّه مهمل لم يرد في شأنه جرح ولا تعديل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الهامش؛ الاستصحاب،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نكاح البهائم،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نكاح البهائم،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بدائع الدرر في قاعدة نفي الضرر،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اُنظر غاية الآمال، المحقّق المامقاني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العارية،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الطهارة، الإمام الخميني قدس‌سره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بغية الطالب،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إلاّ أنّ 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image" Target="media/image2.jpeg"/><Relationship Id="rId760" Type="http://schemas.openxmlformats.org/officeDocument/2006/relationships/image" Target="media/image2.jpeg"/><Relationship Id="rId761" Type="http://schemas.openxmlformats.org/officeDocument/2006/relationships/footer" Target="footer754.xml"/><Relationship Id="rId762" Type="http://schemas.openxmlformats.org/officeDocument/2006/relationships/footnotes" Target="footnotes.xml"/><Relationship Id="rId763" Type="http://schemas.openxmlformats.org/officeDocument/2006/relationships/numbering" Target="numbering.xml"/><Relationship Id="rId764" Type="http://schemas.openxmlformats.org/officeDocument/2006/relationships/fontTable" Target="fontTable.xml"/><Relationship Id="rId765" Type="http://schemas.openxmlformats.org/officeDocument/2006/relationships/settings" Target="settings.xml"/><Relationship Id="rId7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767</Pages>
  <Words>54427</Words>
  <Characters>244414</Characters>
  <CharactersWithSpaces>296493</CharactersWithSpaces>
  <Paragraphs>2661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2026-08-24T21:36:31Z</dcterms:created>
  <dc:creator>ghaemiyeh.com</dc:creator>
  <dc:description/>
  <dc:language>en-US</dc:language>
  <cp:lastModifiedBy/>
  <dcterms:modified xsi:type="dcterms:W3CDTF">2026-08-25T01:06:54Z</dcterms:modified>
  <cp:revision>1</cp:revision>
  <dc:subject/>
  <dc:title>موسوعة الامام الخمینی قدس سرة الشریف المجلد 15 إلى 19 کتاب البیع جلد 1</dc:title>
</cp:coreProperties>
</file>

<file path=docProps/custom.xml><?xml version="1.0" encoding="utf-8"?>
<Properties xmlns="http://schemas.openxmlformats.org/officeDocument/2006/custom-properties" xmlns:vt="http://schemas.openxmlformats.org/officeDocument/2006/docPropsVTypes"/>
</file>